
<file path=[Content_Types].xml><?xml version="1.0" encoding="utf-8"?>
<Types xmlns="http://schemas.openxmlformats.org/package/2006/content-types">
  <Default Extension="emf" ContentType="image/x-emf"/>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EE5D75" w14:textId="77777777" w:rsidR="00845E49" w:rsidRPr="00C33195" w:rsidRDefault="00845E49" w:rsidP="00875587">
      <w:pPr>
        <w:spacing w:line="360" w:lineRule="auto"/>
        <w:jc w:val="center"/>
        <w:rPr>
          <w:rFonts w:ascii="Times New Roman" w:hAnsi="Times New Roman" w:cs="Times New Roman"/>
          <w:b/>
          <w:sz w:val="28"/>
          <w:szCs w:val="28"/>
          <w:lang w:val="en-GB"/>
        </w:rPr>
      </w:pPr>
      <w:r w:rsidRPr="00C33195">
        <w:rPr>
          <w:rFonts w:ascii="Times New Roman" w:hAnsi="Times New Roman" w:cs="Times New Roman"/>
          <w:b/>
          <w:sz w:val="28"/>
          <w:szCs w:val="28"/>
          <w:lang w:val="en-GB"/>
        </w:rPr>
        <w:t xml:space="preserve">HS-SPME-GC-MS </w:t>
      </w:r>
      <w:r w:rsidR="00705903" w:rsidRPr="00C33195">
        <w:rPr>
          <w:rFonts w:ascii="Times New Roman" w:hAnsi="Times New Roman" w:cs="Times New Roman"/>
          <w:b/>
          <w:sz w:val="28"/>
          <w:szCs w:val="28"/>
          <w:lang w:val="en-GB"/>
        </w:rPr>
        <w:t>approach</w:t>
      </w:r>
      <w:r w:rsidRPr="00C33195">
        <w:rPr>
          <w:rFonts w:ascii="Times New Roman" w:hAnsi="Times New Roman" w:cs="Times New Roman"/>
          <w:b/>
          <w:sz w:val="28"/>
          <w:szCs w:val="28"/>
          <w:lang w:val="en-GB"/>
        </w:rPr>
        <w:t xml:space="preserve"> for the analysis of</w:t>
      </w:r>
      <w:r w:rsidR="00705903" w:rsidRPr="00C33195">
        <w:rPr>
          <w:rFonts w:ascii="Times New Roman" w:hAnsi="Times New Roman" w:cs="Times New Roman"/>
          <w:b/>
          <w:sz w:val="28"/>
          <w:szCs w:val="28"/>
          <w:lang w:val="en-GB"/>
        </w:rPr>
        <w:t xml:space="preserve"> volatile</w:t>
      </w:r>
      <w:r w:rsidRPr="00C33195">
        <w:rPr>
          <w:rFonts w:ascii="Times New Roman" w:hAnsi="Times New Roman" w:cs="Times New Roman"/>
          <w:b/>
          <w:sz w:val="28"/>
          <w:szCs w:val="28"/>
          <w:lang w:val="en-GB"/>
        </w:rPr>
        <w:t xml:space="preserve"> salivary metabolites and application </w:t>
      </w:r>
      <w:r w:rsidR="00767AAF" w:rsidRPr="00C33195">
        <w:rPr>
          <w:rFonts w:ascii="Times New Roman" w:hAnsi="Times New Roman" w:cs="Times New Roman"/>
          <w:b/>
          <w:sz w:val="28"/>
          <w:szCs w:val="28"/>
          <w:lang w:val="en-GB"/>
        </w:rPr>
        <w:t>in a pilot study for the</w:t>
      </w:r>
      <w:r w:rsidRPr="00C33195">
        <w:rPr>
          <w:rFonts w:ascii="Times New Roman" w:hAnsi="Times New Roman" w:cs="Times New Roman"/>
          <w:b/>
          <w:sz w:val="28"/>
          <w:szCs w:val="28"/>
          <w:lang w:val="en-GB"/>
        </w:rPr>
        <w:t xml:space="preserve"> indirect assessment of gut microbiota</w:t>
      </w:r>
    </w:p>
    <w:p w14:paraId="66842473" w14:textId="77777777" w:rsidR="00845E49" w:rsidRPr="00C33195" w:rsidRDefault="00845E49" w:rsidP="00875587">
      <w:pPr>
        <w:spacing w:line="360" w:lineRule="auto"/>
        <w:jc w:val="center"/>
        <w:rPr>
          <w:rFonts w:ascii="Times New Roman" w:hAnsi="Times New Roman" w:cs="Times New Roman"/>
          <w:sz w:val="28"/>
          <w:szCs w:val="28"/>
          <w:lang w:val="en-GB"/>
        </w:rPr>
      </w:pPr>
    </w:p>
    <w:p w14:paraId="76772C89" w14:textId="77777777" w:rsidR="00845E49" w:rsidRPr="00626B76" w:rsidRDefault="00845E49" w:rsidP="00875587">
      <w:pPr>
        <w:spacing w:line="360" w:lineRule="auto"/>
        <w:jc w:val="both"/>
        <w:rPr>
          <w:rFonts w:ascii="Times New Roman" w:hAnsi="Times New Roman" w:cs="Times New Roman"/>
          <w:lang w:val="it-IT"/>
        </w:rPr>
      </w:pPr>
      <w:r w:rsidRPr="00626B76">
        <w:rPr>
          <w:rFonts w:ascii="Times New Roman" w:hAnsi="Times New Roman" w:cs="Times New Roman"/>
          <w:lang w:val="it-IT"/>
        </w:rPr>
        <w:t>Beatrice Campanella</w:t>
      </w:r>
      <w:r w:rsidRPr="00626B76">
        <w:rPr>
          <w:rFonts w:ascii="Times New Roman" w:hAnsi="Times New Roman" w:cs="Times New Roman"/>
          <w:vertAlign w:val="superscript"/>
          <w:lang w:val="it-IT"/>
        </w:rPr>
        <w:t>1¶</w:t>
      </w:r>
      <w:r w:rsidRPr="00626B76">
        <w:rPr>
          <w:rFonts w:ascii="Times New Roman" w:hAnsi="Times New Roman" w:cs="Times New Roman"/>
          <w:lang w:val="it-IT"/>
        </w:rPr>
        <w:t>, Massimo Onor</w:t>
      </w:r>
      <w:r w:rsidRPr="00626B76">
        <w:rPr>
          <w:rFonts w:ascii="Times New Roman" w:hAnsi="Times New Roman" w:cs="Times New Roman"/>
          <w:vertAlign w:val="superscript"/>
          <w:lang w:val="it-IT"/>
        </w:rPr>
        <w:t>1¶</w:t>
      </w:r>
      <w:r w:rsidRPr="00626B76">
        <w:rPr>
          <w:rFonts w:ascii="Times New Roman" w:hAnsi="Times New Roman" w:cs="Times New Roman"/>
          <w:lang w:val="it-IT"/>
        </w:rPr>
        <w:t xml:space="preserve">, </w:t>
      </w:r>
      <w:r w:rsidR="000158FC" w:rsidRPr="00626B76">
        <w:rPr>
          <w:rFonts w:ascii="Times New Roman" w:hAnsi="Times New Roman" w:cs="Times New Roman"/>
          <w:lang w:val="it-IT"/>
        </w:rPr>
        <w:t>Tommaso Lomonaco</w:t>
      </w:r>
      <w:r w:rsidR="000158FC" w:rsidRPr="00626B76">
        <w:rPr>
          <w:rFonts w:ascii="Times New Roman" w:hAnsi="Times New Roman" w:cs="Times New Roman"/>
          <w:vertAlign w:val="superscript"/>
          <w:lang w:val="it-IT"/>
        </w:rPr>
        <w:t>2</w:t>
      </w:r>
      <w:r w:rsidR="000158FC" w:rsidRPr="00626B76">
        <w:rPr>
          <w:rFonts w:ascii="Times New Roman" w:hAnsi="Times New Roman" w:cs="Times New Roman"/>
          <w:lang w:val="it-IT"/>
        </w:rPr>
        <w:t xml:space="preserve">, </w:t>
      </w:r>
      <w:r w:rsidRPr="00626B76">
        <w:rPr>
          <w:rFonts w:ascii="Times New Roman" w:hAnsi="Times New Roman" w:cs="Times New Roman"/>
          <w:lang w:val="it-IT"/>
        </w:rPr>
        <w:t>Edoardo Benedetti</w:t>
      </w:r>
      <w:r w:rsidR="000158FC" w:rsidRPr="00626B76">
        <w:rPr>
          <w:rFonts w:ascii="Times New Roman" w:hAnsi="Times New Roman" w:cs="Times New Roman"/>
          <w:vertAlign w:val="superscript"/>
          <w:lang w:val="it-IT"/>
        </w:rPr>
        <w:t>3</w:t>
      </w:r>
      <w:r w:rsidRPr="00626B76">
        <w:rPr>
          <w:rFonts w:ascii="Times New Roman" w:hAnsi="Times New Roman" w:cs="Times New Roman"/>
          <w:vertAlign w:val="superscript"/>
          <w:lang w:val="it-IT"/>
        </w:rPr>
        <w:t>¶</w:t>
      </w:r>
      <w:r w:rsidR="003002C5" w:rsidRPr="00626B76">
        <w:rPr>
          <w:rFonts w:ascii="Times New Roman" w:hAnsi="Times New Roman" w:cs="Times New Roman"/>
          <w:lang w:val="it-IT"/>
        </w:rPr>
        <w:t xml:space="preserve"> </w:t>
      </w:r>
      <w:r w:rsidRPr="00626B76">
        <w:rPr>
          <w:rFonts w:ascii="Times New Roman" w:hAnsi="Times New Roman" w:cs="Times New Roman"/>
          <w:lang w:val="it-IT"/>
        </w:rPr>
        <w:t>and Emilia Bramanti</w:t>
      </w:r>
      <w:r w:rsidRPr="00626B76">
        <w:rPr>
          <w:rFonts w:ascii="Times New Roman" w:hAnsi="Times New Roman" w:cs="Times New Roman"/>
          <w:vertAlign w:val="superscript"/>
          <w:lang w:val="it-IT"/>
        </w:rPr>
        <w:t>1¶*</w:t>
      </w:r>
    </w:p>
    <w:p w14:paraId="54F47F07" w14:textId="77777777" w:rsidR="00845E49" w:rsidRPr="00626B76" w:rsidRDefault="00845E49" w:rsidP="00875587">
      <w:pPr>
        <w:spacing w:line="360" w:lineRule="auto"/>
        <w:jc w:val="both"/>
        <w:rPr>
          <w:rFonts w:ascii="Times New Roman" w:hAnsi="Times New Roman" w:cs="Times New Roman"/>
          <w:lang w:val="it-IT"/>
        </w:rPr>
      </w:pPr>
    </w:p>
    <w:p w14:paraId="42BA01BD" w14:textId="77777777" w:rsidR="00845E49" w:rsidRPr="00626B76" w:rsidRDefault="00845E49" w:rsidP="00875587">
      <w:pPr>
        <w:spacing w:line="360" w:lineRule="auto"/>
        <w:jc w:val="both"/>
        <w:rPr>
          <w:rFonts w:ascii="Times New Roman" w:hAnsi="Times New Roman" w:cs="Times New Roman"/>
          <w:lang w:val="it-IT"/>
        </w:rPr>
      </w:pPr>
    </w:p>
    <w:p w14:paraId="74E19376" w14:textId="77777777" w:rsidR="00845E49" w:rsidRPr="00C33195" w:rsidRDefault="00845E49" w:rsidP="00875587">
      <w:pPr>
        <w:spacing w:line="360" w:lineRule="auto"/>
        <w:jc w:val="both"/>
        <w:rPr>
          <w:rFonts w:ascii="Times New Roman" w:eastAsia="GulliverRM" w:hAnsi="Times New Roman" w:cs="Times New Roman"/>
          <w:lang w:val="en-GB"/>
        </w:rPr>
      </w:pPr>
      <w:r w:rsidRPr="00C33195">
        <w:rPr>
          <w:rFonts w:ascii="Times New Roman" w:eastAsia="GulliverRM" w:hAnsi="Times New Roman" w:cs="Times New Roman"/>
          <w:vertAlign w:val="superscript"/>
          <w:lang w:val="en-GB"/>
        </w:rPr>
        <w:t xml:space="preserve">1 </w:t>
      </w:r>
      <w:r w:rsidRPr="00C33195">
        <w:rPr>
          <w:rFonts w:ascii="Times New Roman" w:eastAsia="GulliverRM" w:hAnsi="Times New Roman" w:cs="Times New Roman"/>
          <w:lang w:val="en-GB"/>
        </w:rPr>
        <w:t xml:space="preserve">National Research Council of Italy, C.N.R., Institute of Chemistry of </w:t>
      </w:r>
      <w:proofErr w:type="spellStart"/>
      <w:r w:rsidRPr="00C33195">
        <w:rPr>
          <w:rFonts w:ascii="Times New Roman" w:eastAsia="GulliverRM" w:hAnsi="Times New Roman" w:cs="Times New Roman"/>
          <w:lang w:val="en-GB"/>
        </w:rPr>
        <w:t>Organo</w:t>
      </w:r>
      <w:proofErr w:type="spellEnd"/>
      <w:r w:rsidRPr="00C33195">
        <w:rPr>
          <w:rFonts w:ascii="Times New Roman" w:eastAsia="GulliverRM" w:hAnsi="Times New Roman" w:cs="Times New Roman"/>
          <w:lang w:val="en-GB"/>
        </w:rPr>
        <w:t xml:space="preserve"> Metallic Compounds-ICCOM, Pisa, Italy.</w:t>
      </w:r>
    </w:p>
    <w:p w14:paraId="0CE313FA" w14:textId="77777777" w:rsidR="00845E49" w:rsidRPr="00C33195" w:rsidRDefault="00845E49" w:rsidP="00875587">
      <w:pPr>
        <w:spacing w:line="360" w:lineRule="auto"/>
        <w:jc w:val="both"/>
        <w:rPr>
          <w:rFonts w:ascii="Times New Roman" w:eastAsia="GulliverRM" w:hAnsi="Times New Roman" w:cs="Times New Roman"/>
          <w:lang w:val="en-GB"/>
        </w:rPr>
      </w:pPr>
      <w:r w:rsidRPr="00C33195">
        <w:rPr>
          <w:rFonts w:ascii="Times New Roman" w:eastAsia="GulliverRM" w:hAnsi="Times New Roman" w:cs="Times New Roman"/>
          <w:vertAlign w:val="superscript"/>
          <w:lang w:val="en-GB"/>
        </w:rPr>
        <w:t>2</w:t>
      </w:r>
      <w:r w:rsidRPr="00C33195">
        <w:rPr>
          <w:rFonts w:ascii="Times New Roman" w:eastAsia="GulliverRM" w:hAnsi="Times New Roman" w:cs="Times New Roman"/>
          <w:lang w:val="en-GB"/>
        </w:rPr>
        <w:t xml:space="preserve"> </w:t>
      </w:r>
      <w:r w:rsidRPr="00C33195">
        <w:rPr>
          <w:rFonts w:ascii="Times New Roman" w:eastAsia="GulliverRM" w:hAnsi="Times New Roman" w:cs="Times New Roman"/>
          <w:noProof/>
          <w:lang w:val="en-GB"/>
        </w:rPr>
        <w:t>Department of Chemistry and Industrial Chemistry, University of Pisa, Pisa, Italy.</w:t>
      </w:r>
    </w:p>
    <w:p w14:paraId="7E8205E7" w14:textId="77777777" w:rsidR="00845E49" w:rsidRPr="00C33195" w:rsidRDefault="000158FC" w:rsidP="00875587">
      <w:pPr>
        <w:spacing w:line="360" w:lineRule="auto"/>
        <w:jc w:val="both"/>
        <w:rPr>
          <w:rFonts w:ascii="Times New Roman" w:eastAsia="GulliverRM" w:hAnsi="Times New Roman" w:cs="Times New Roman"/>
          <w:lang w:val="en-GB"/>
        </w:rPr>
      </w:pPr>
      <w:r w:rsidRPr="00C33195">
        <w:rPr>
          <w:rFonts w:ascii="Times New Roman" w:eastAsia="GulliverRM" w:hAnsi="Times New Roman" w:cs="Times New Roman"/>
          <w:vertAlign w:val="superscript"/>
          <w:lang w:val="en-GB"/>
        </w:rPr>
        <w:t>3</w:t>
      </w:r>
      <w:r w:rsidR="00845E49" w:rsidRPr="00C33195">
        <w:rPr>
          <w:rFonts w:ascii="Times New Roman" w:eastAsia="GulliverRM" w:hAnsi="Times New Roman" w:cs="Times New Roman"/>
          <w:lang w:val="en-GB"/>
        </w:rPr>
        <w:t xml:space="preserve"> </w:t>
      </w:r>
      <w:proofErr w:type="spellStart"/>
      <w:r w:rsidR="00845E49" w:rsidRPr="00C33195">
        <w:rPr>
          <w:rFonts w:ascii="Times New Roman" w:eastAsia="GulliverRM" w:hAnsi="Times New Roman" w:cs="Times New Roman"/>
          <w:lang w:val="en-GB"/>
        </w:rPr>
        <w:t>Hematology</w:t>
      </w:r>
      <w:proofErr w:type="spellEnd"/>
      <w:r w:rsidR="00845E49" w:rsidRPr="00C33195">
        <w:rPr>
          <w:rFonts w:ascii="Times New Roman" w:eastAsia="GulliverRM" w:hAnsi="Times New Roman" w:cs="Times New Roman"/>
          <w:lang w:val="en-GB"/>
        </w:rPr>
        <w:t xml:space="preserve"> Unit, Department of Oncology, University of Pisa, Pisa, Italy.</w:t>
      </w:r>
    </w:p>
    <w:p w14:paraId="5D2975F0" w14:textId="77777777" w:rsidR="00845E49" w:rsidRPr="00C33195" w:rsidRDefault="00845E49" w:rsidP="00875587">
      <w:pPr>
        <w:spacing w:line="360" w:lineRule="auto"/>
        <w:jc w:val="both"/>
        <w:rPr>
          <w:rFonts w:ascii="Times New Roman" w:eastAsia="GulliverRM" w:hAnsi="Times New Roman" w:cs="Times New Roman"/>
          <w:lang w:val="en-GB"/>
        </w:rPr>
      </w:pPr>
    </w:p>
    <w:p w14:paraId="1A9E5E51" w14:textId="77777777" w:rsidR="00845E49" w:rsidRPr="00626B76" w:rsidRDefault="00845E49" w:rsidP="00875587">
      <w:pPr>
        <w:spacing w:line="360" w:lineRule="auto"/>
        <w:jc w:val="both"/>
        <w:rPr>
          <w:rFonts w:ascii="Times New Roman" w:eastAsia="GulliverRM" w:hAnsi="Times New Roman" w:cs="Times New Roman"/>
          <w:lang w:val="it-IT"/>
        </w:rPr>
      </w:pPr>
      <w:r w:rsidRPr="00626B76">
        <w:rPr>
          <w:rFonts w:ascii="Times New Roman" w:eastAsia="GulliverRM" w:hAnsi="Times New Roman" w:cs="Times New Roman"/>
          <w:lang w:val="it-IT"/>
        </w:rPr>
        <w:t>*</w:t>
      </w:r>
      <w:proofErr w:type="spellStart"/>
      <w:r w:rsidRPr="00626B76">
        <w:rPr>
          <w:rFonts w:ascii="Times New Roman" w:eastAsia="GulliverRM" w:hAnsi="Times New Roman" w:cs="Times New Roman"/>
          <w:b/>
          <w:lang w:val="it-IT"/>
        </w:rPr>
        <w:t>Corresponding</w:t>
      </w:r>
      <w:proofErr w:type="spellEnd"/>
      <w:r w:rsidRPr="00626B76">
        <w:rPr>
          <w:rFonts w:ascii="Times New Roman" w:eastAsia="GulliverRM" w:hAnsi="Times New Roman" w:cs="Times New Roman"/>
          <w:b/>
          <w:lang w:val="it-IT"/>
        </w:rPr>
        <w:t xml:space="preserve"> </w:t>
      </w:r>
      <w:proofErr w:type="spellStart"/>
      <w:r w:rsidRPr="00626B76">
        <w:rPr>
          <w:rFonts w:ascii="Times New Roman" w:eastAsia="GulliverRM" w:hAnsi="Times New Roman" w:cs="Times New Roman"/>
          <w:b/>
          <w:lang w:val="it-IT"/>
        </w:rPr>
        <w:t>author</w:t>
      </w:r>
      <w:proofErr w:type="spellEnd"/>
      <w:r w:rsidR="00E57EE7" w:rsidRPr="00626B76">
        <w:rPr>
          <w:rFonts w:ascii="Times New Roman" w:eastAsia="GulliverRM" w:hAnsi="Times New Roman" w:cs="Times New Roman"/>
          <w:b/>
          <w:lang w:val="it-IT"/>
        </w:rPr>
        <w:t xml:space="preserve">: </w:t>
      </w:r>
      <w:r w:rsidRPr="00626B76">
        <w:rPr>
          <w:rFonts w:ascii="Times New Roman" w:eastAsia="GulliverRM" w:hAnsi="Times New Roman" w:cs="Times New Roman"/>
          <w:lang w:val="it-IT"/>
        </w:rPr>
        <w:t xml:space="preserve">Emilia Bramanti </w:t>
      </w:r>
      <w:hyperlink r:id="rId8" w:history="1">
        <w:r w:rsidRPr="00626B76">
          <w:rPr>
            <w:rStyle w:val="Collegamentoipertestuale"/>
            <w:rFonts w:ascii="Times New Roman" w:eastAsia="GulliverRM" w:hAnsi="Times New Roman" w:cs="Times New Roman"/>
            <w:lang w:val="it-IT"/>
          </w:rPr>
          <w:t>bramanti@pi.iccom.cnr.it</w:t>
        </w:r>
      </w:hyperlink>
    </w:p>
    <w:p w14:paraId="48951301" w14:textId="77777777" w:rsidR="00845E49" w:rsidRPr="00626B76" w:rsidRDefault="00845E49" w:rsidP="00875587">
      <w:pPr>
        <w:spacing w:line="360" w:lineRule="auto"/>
        <w:jc w:val="both"/>
        <w:rPr>
          <w:rFonts w:ascii="Times New Roman" w:hAnsi="Times New Roman" w:cs="Times New Roman"/>
          <w:lang w:val="it-IT"/>
        </w:rPr>
      </w:pPr>
      <w:proofErr w:type="spellStart"/>
      <w:r w:rsidRPr="00626B76">
        <w:rPr>
          <w:rFonts w:ascii="Times New Roman" w:hAnsi="Times New Roman" w:cs="Times New Roman"/>
          <w:lang w:val="it-IT"/>
        </w:rPr>
        <w:t>Tel</w:t>
      </w:r>
      <w:proofErr w:type="spellEnd"/>
      <w:r w:rsidRPr="00626B76">
        <w:rPr>
          <w:rFonts w:ascii="Times New Roman" w:hAnsi="Times New Roman" w:cs="Times New Roman"/>
          <w:lang w:val="it-IT"/>
        </w:rPr>
        <w:t>: 0039-050-315-2293. Fax: +39-050-315-2555</w:t>
      </w:r>
    </w:p>
    <w:p w14:paraId="1A06F571" w14:textId="77777777" w:rsidR="00845E49" w:rsidRPr="00626B76" w:rsidRDefault="00845E49" w:rsidP="00875587">
      <w:pPr>
        <w:spacing w:line="360" w:lineRule="auto"/>
        <w:jc w:val="both"/>
        <w:rPr>
          <w:rFonts w:ascii="Times New Roman" w:hAnsi="Times New Roman" w:cs="Times New Roman"/>
          <w:lang w:val="it-IT"/>
        </w:rPr>
      </w:pPr>
      <w:r w:rsidRPr="00626B76">
        <w:rPr>
          <w:rFonts w:ascii="Times New Roman" w:hAnsi="Times New Roman" w:cs="Times New Roman"/>
          <w:b/>
          <w:lang w:val="it-IT"/>
        </w:rPr>
        <w:t xml:space="preserve">ORCID </w:t>
      </w:r>
      <w:r w:rsidRPr="00626B76">
        <w:rPr>
          <w:rFonts w:ascii="Times New Roman" w:hAnsi="Times New Roman" w:cs="Times New Roman"/>
          <w:lang w:val="it-IT"/>
        </w:rPr>
        <w:t>Emilia Bramanti: orcid.org/0000-0001-8478-7370</w:t>
      </w:r>
    </w:p>
    <w:p w14:paraId="1802AEFE" w14:textId="77777777" w:rsidR="003002C5" w:rsidRPr="00626B76" w:rsidRDefault="003002C5" w:rsidP="00875587">
      <w:pPr>
        <w:spacing w:line="360" w:lineRule="auto"/>
        <w:jc w:val="both"/>
        <w:rPr>
          <w:rFonts w:ascii="Times New Roman" w:hAnsi="Times New Roman" w:cs="Times New Roman"/>
          <w:lang w:val="it-IT"/>
        </w:rPr>
      </w:pPr>
    </w:p>
    <w:p w14:paraId="3A000FEE" w14:textId="77777777" w:rsidR="00845E49" w:rsidRPr="00626B76" w:rsidRDefault="00845E49" w:rsidP="00875587">
      <w:pPr>
        <w:spacing w:line="360" w:lineRule="auto"/>
        <w:jc w:val="both"/>
        <w:rPr>
          <w:rFonts w:ascii="Times New Roman" w:hAnsi="Times New Roman" w:cs="Times New Roman"/>
          <w:lang w:val="it-IT"/>
        </w:rPr>
      </w:pPr>
    </w:p>
    <w:p w14:paraId="2F6FE625" w14:textId="77777777" w:rsidR="00DA4883" w:rsidRPr="00626B76" w:rsidRDefault="00DA4883" w:rsidP="00875587">
      <w:pPr>
        <w:spacing w:line="360" w:lineRule="auto"/>
        <w:jc w:val="both"/>
        <w:rPr>
          <w:rFonts w:ascii="Times New Roman" w:hAnsi="Times New Roman" w:cs="Times New Roman"/>
          <w:lang w:val="it-IT"/>
        </w:rPr>
      </w:pPr>
    </w:p>
    <w:p w14:paraId="72DCD442" w14:textId="7F82E071" w:rsidR="00DA4883" w:rsidRPr="00C33195" w:rsidRDefault="00DA4883" w:rsidP="00E57EE7">
      <w:pPr>
        <w:spacing w:line="360" w:lineRule="auto"/>
        <w:jc w:val="center"/>
        <w:rPr>
          <w:rFonts w:ascii="Times New Roman" w:hAnsi="Times New Roman" w:cs="Times New Roman"/>
          <w:lang w:val="en-GB"/>
        </w:rPr>
      </w:pPr>
      <w:r w:rsidRPr="00C33195">
        <w:rPr>
          <w:rFonts w:ascii="Times New Roman" w:hAnsi="Times New Roman" w:cs="Times New Roman"/>
          <w:lang w:val="en-GB"/>
        </w:rPr>
        <w:t xml:space="preserve">Prepared for Analytical and Bioanalytical </w:t>
      </w:r>
      <w:r w:rsidR="00E57EE7" w:rsidRPr="00C33195">
        <w:rPr>
          <w:rFonts w:ascii="Times New Roman" w:hAnsi="Times New Roman" w:cs="Times New Roman"/>
          <w:lang w:val="en-GB"/>
        </w:rPr>
        <w:t>Chemistry</w:t>
      </w:r>
      <w:r w:rsidRPr="00C33195">
        <w:rPr>
          <w:rFonts w:ascii="Times New Roman" w:hAnsi="Times New Roman" w:cs="Times New Roman"/>
          <w:lang w:val="en-GB"/>
        </w:rPr>
        <w:t xml:space="preserve">, </w:t>
      </w:r>
      <w:r w:rsidR="00BB3052">
        <w:rPr>
          <w:rFonts w:ascii="Times New Roman" w:hAnsi="Times New Roman" w:cs="Times New Roman"/>
          <w:lang w:val="en-GB"/>
        </w:rPr>
        <w:t>July 8</w:t>
      </w:r>
      <w:r w:rsidR="00BB3052" w:rsidRPr="00BB3052">
        <w:rPr>
          <w:rFonts w:ascii="Times New Roman" w:hAnsi="Times New Roman" w:cs="Times New Roman"/>
          <w:vertAlign w:val="superscript"/>
          <w:lang w:val="en-GB"/>
        </w:rPr>
        <w:t>th</w:t>
      </w:r>
      <w:r w:rsidR="00BB3052">
        <w:rPr>
          <w:rFonts w:ascii="Times New Roman" w:hAnsi="Times New Roman" w:cs="Times New Roman"/>
          <w:lang w:val="en-GB"/>
        </w:rPr>
        <w:t xml:space="preserve"> </w:t>
      </w:r>
      <w:r w:rsidRPr="00C33195">
        <w:rPr>
          <w:rFonts w:ascii="Times New Roman" w:hAnsi="Times New Roman" w:cs="Times New Roman"/>
          <w:lang w:val="en-GB"/>
        </w:rPr>
        <w:t xml:space="preserve"> 2019</w:t>
      </w:r>
    </w:p>
    <w:p w14:paraId="1CC7D85F" w14:textId="77777777" w:rsidR="00845E49" w:rsidRPr="00C33195" w:rsidRDefault="00845E49" w:rsidP="00875587">
      <w:pPr>
        <w:spacing w:line="360" w:lineRule="auto"/>
        <w:jc w:val="both"/>
        <w:rPr>
          <w:rFonts w:ascii="Times New Roman" w:hAnsi="Times New Roman" w:cs="Times New Roman"/>
          <w:lang w:val="en-GB"/>
        </w:rPr>
      </w:pPr>
    </w:p>
    <w:p w14:paraId="39C479AC" w14:textId="77777777" w:rsidR="00845E49" w:rsidRPr="00C33195" w:rsidRDefault="00845E49" w:rsidP="00875587">
      <w:pPr>
        <w:spacing w:line="360" w:lineRule="auto"/>
        <w:jc w:val="center"/>
        <w:rPr>
          <w:rFonts w:ascii="Times New Roman" w:hAnsi="Times New Roman" w:cs="Times New Roman"/>
          <w:i/>
          <w:iCs/>
          <w:lang w:val="en-GB"/>
        </w:rPr>
      </w:pPr>
    </w:p>
    <w:p w14:paraId="417C8810" w14:textId="77777777" w:rsidR="00C22CEC" w:rsidRPr="00C33195" w:rsidRDefault="00C22CEC">
      <w:pPr>
        <w:rPr>
          <w:rFonts w:ascii="Times New Roman" w:eastAsiaTheme="majorEastAsia" w:hAnsi="Times New Roman" w:cs="Times New Roman"/>
          <w:b/>
          <w:bCs/>
          <w:color w:val="000000" w:themeColor="text1"/>
          <w:lang w:val="en-GB"/>
        </w:rPr>
      </w:pPr>
      <w:r w:rsidRPr="00C33195">
        <w:rPr>
          <w:rFonts w:cs="Times New Roman"/>
          <w:lang w:val="en-GB"/>
        </w:rPr>
        <w:br w:type="page"/>
      </w:r>
    </w:p>
    <w:p w14:paraId="617C99B7" w14:textId="77777777" w:rsidR="00845E49" w:rsidRPr="00C33195" w:rsidRDefault="00C22CEC" w:rsidP="00075751">
      <w:pPr>
        <w:pStyle w:val="Titolo1"/>
        <w:spacing w:before="0" w:after="200" w:line="360" w:lineRule="auto"/>
        <w:jc w:val="both"/>
        <w:rPr>
          <w:rFonts w:cs="Times New Roman"/>
          <w:sz w:val="24"/>
          <w:szCs w:val="24"/>
          <w:lang w:val="en-GB"/>
        </w:rPr>
      </w:pPr>
      <w:r w:rsidRPr="00C33195">
        <w:rPr>
          <w:rFonts w:cs="Times New Roman"/>
          <w:sz w:val="24"/>
          <w:szCs w:val="24"/>
          <w:lang w:val="en-GB"/>
        </w:rPr>
        <w:lastRenderedPageBreak/>
        <w:t>A</w:t>
      </w:r>
      <w:r w:rsidR="00E57EE7" w:rsidRPr="00C33195">
        <w:rPr>
          <w:rFonts w:cs="Times New Roman"/>
          <w:sz w:val="24"/>
          <w:szCs w:val="24"/>
          <w:lang w:val="en-GB"/>
        </w:rPr>
        <w:t>bstract</w:t>
      </w:r>
    </w:p>
    <w:p w14:paraId="0421DB66" w14:textId="165DE7F5" w:rsidR="00845E49" w:rsidRPr="00C33195" w:rsidRDefault="00E54190"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 xml:space="preserve">In this work </w:t>
      </w:r>
      <w:r w:rsidR="00845E49" w:rsidRPr="00C33195">
        <w:rPr>
          <w:rFonts w:ascii="Times New Roman" w:hAnsi="Times New Roman" w:cs="Times New Roman"/>
          <w:lang w:val="en-GB"/>
        </w:rPr>
        <w:t xml:space="preserve">a </w:t>
      </w:r>
      <w:r w:rsidR="00C33195">
        <w:rPr>
          <w:rFonts w:ascii="Times New Roman" w:hAnsi="Times New Roman" w:cs="Times New Roman"/>
          <w:lang w:val="en-GB"/>
        </w:rPr>
        <w:t>straightforward</w:t>
      </w:r>
      <w:r w:rsidR="00845E49" w:rsidRPr="00C33195">
        <w:rPr>
          <w:rFonts w:ascii="Times New Roman" w:hAnsi="Times New Roman" w:cs="Times New Roman"/>
          <w:lang w:val="en-GB"/>
        </w:rPr>
        <w:t xml:space="preserve"> analytical approach based on headspace solid-phase microextraction (HS-SPME) sampler coupled to gas chromatography-mass spectrometry detection (GC–MS) was developed for the analysis of salivary volatile organic compounds (VOCs) without a</w:t>
      </w:r>
      <w:r w:rsidR="00350D3B" w:rsidRPr="00C33195">
        <w:rPr>
          <w:rFonts w:ascii="Times New Roman" w:hAnsi="Times New Roman" w:cs="Times New Roman"/>
          <w:lang w:val="en-GB"/>
        </w:rPr>
        <w:t>ny</w:t>
      </w:r>
      <w:r w:rsidR="00845E49" w:rsidRPr="00C33195">
        <w:rPr>
          <w:rFonts w:ascii="Times New Roman" w:hAnsi="Times New Roman" w:cs="Times New Roman"/>
          <w:lang w:val="en-GB"/>
        </w:rPr>
        <w:t xml:space="preserve"> prior </w:t>
      </w:r>
      <w:r w:rsidR="00845E49" w:rsidRPr="00BC3563">
        <w:rPr>
          <w:rFonts w:ascii="Times New Roman" w:hAnsi="Times New Roman" w:cs="Times New Roman"/>
          <w:lang w:val="en-GB"/>
        </w:rPr>
        <w:t xml:space="preserve">derivatization step. With a sample volume of </w:t>
      </w:r>
      <w:r w:rsidR="00B57738" w:rsidRPr="00BC3563">
        <w:rPr>
          <w:rFonts w:ascii="Times New Roman" w:hAnsi="Times New Roman" w:cs="Times New Roman"/>
          <w:lang w:val="en-GB"/>
        </w:rPr>
        <w:t xml:space="preserve">500 </w:t>
      </w:r>
      <w:r w:rsidR="00845E49" w:rsidRPr="00BC3563">
        <w:rPr>
          <w:rFonts w:ascii="Times New Roman" w:hAnsi="Times New Roman" w:cs="Times New Roman"/>
          <w:lang w:val="en-GB"/>
        </w:rPr>
        <w:t xml:space="preserve">µL, optimal conditions were achieved by allowing the sample to equilibrate for 10 min at 50°C and then extracting the samples for </w:t>
      </w:r>
      <w:r w:rsidR="00B57738" w:rsidRPr="00BC3563">
        <w:rPr>
          <w:rFonts w:ascii="Times New Roman" w:hAnsi="Times New Roman" w:cs="Times New Roman"/>
          <w:lang w:val="en-GB"/>
        </w:rPr>
        <w:t xml:space="preserve">10 </w:t>
      </w:r>
      <w:r w:rsidR="00845E49" w:rsidRPr="00BC3563">
        <w:rPr>
          <w:rFonts w:ascii="Times New Roman" w:hAnsi="Times New Roman" w:cs="Times New Roman"/>
          <w:lang w:val="en-GB"/>
        </w:rPr>
        <w:t xml:space="preserve">min at the same temperature, using a </w:t>
      </w:r>
      <w:r w:rsidR="00845E49" w:rsidRPr="00BC3563">
        <w:rPr>
          <w:rFonts w:ascii="Times New Roman" w:hAnsi="Times New Roman" w:cs="Times New Roman"/>
          <w:noProof/>
          <w:lang w:val="en-GB"/>
        </w:rPr>
        <w:t xml:space="preserve">carboxen/polydimethylsiloxane </w:t>
      </w:r>
      <w:proofErr w:type="spellStart"/>
      <w:r w:rsidR="00845E49" w:rsidRPr="00BC3563">
        <w:rPr>
          <w:rFonts w:ascii="Times New Roman" w:hAnsi="Times New Roman" w:cs="Times New Roman"/>
          <w:lang w:val="en-GB"/>
        </w:rPr>
        <w:t>fiber</w:t>
      </w:r>
      <w:proofErr w:type="spellEnd"/>
      <w:r w:rsidR="00845E49" w:rsidRPr="00BC3563">
        <w:rPr>
          <w:rFonts w:ascii="Times New Roman" w:hAnsi="Times New Roman" w:cs="Times New Roman"/>
          <w:lang w:val="en-GB"/>
        </w:rPr>
        <w:t xml:space="preserve">. The method allowed the simultaneous identification and quantification of </w:t>
      </w:r>
      <w:r w:rsidR="00845E49" w:rsidRPr="00BC3563">
        <w:rPr>
          <w:rFonts w:ascii="Times New Roman" w:hAnsi="Times New Roman" w:cs="Times New Roman"/>
          <w:color w:val="262626"/>
          <w:lang w:val="en-GB"/>
        </w:rPr>
        <w:t>20 compounds included short-chain fatty acids and their</w:t>
      </w:r>
      <w:r w:rsidR="00845E49" w:rsidRPr="00C33195">
        <w:rPr>
          <w:rFonts w:ascii="Times New Roman" w:hAnsi="Times New Roman" w:cs="Times New Roman"/>
          <w:color w:val="262626"/>
          <w:lang w:val="en-GB"/>
        </w:rPr>
        <w:t xml:space="preserve"> derivatives</w:t>
      </w:r>
      <w:r w:rsidR="00BB3052">
        <w:rPr>
          <w:rFonts w:ascii="Times New Roman" w:hAnsi="Times New Roman" w:cs="Times New Roman"/>
          <w:color w:val="262626"/>
          <w:lang w:val="en-GB"/>
        </w:rPr>
        <w:t>.</w:t>
      </w:r>
    </w:p>
    <w:p w14:paraId="21EA8A55" w14:textId="77777777" w:rsidR="003C3219" w:rsidRPr="00C33195" w:rsidRDefault="00845E49" w:rsidP="00875587">
      <w:pPr>
        <w:spacing w:line="360" w:lineRule="auto"/>
        <w:jc w:val="both"/>
        <w:rPr>
          <w:rFonts w:ascii="Times New Roman" w:hAnsi="Times New Roman" w:cs="Times New Roman"/>
          <w:highlight w:val="yellow"/>
          <w:lang w:val="en-GB"/>
        </w:rPr>
      </w:pPr>
      <w:r w:rsidRPr="00C33195">
        <w:rPr>
          <w:rFonts w:ascii="Times New Roman" w:hAnsi="Times New Roman" w:cs="Times New Roman"/>
          <w:lang w:val="en-GB"/>
        </w:rPr>
        <w:t xml:space="preserve">The proof of applicability of the methodology was performed in a pilot target analysis of the dynamics of volatile metabolites in saliva of a single subject undergoing </w:t>
      </w:r>
      <w:r w:rsidR="00930862" w:rsidRPr="00C33195">
        <w:rPr>
          <w:rFonts w:ascii="Times New Roman" w:hAnsi="Times New Roman" w:cs="Times New Roman"/>
          <w:lang w:val="en-GB"/>
        </w:rPr>
        <w:t xml:space="preserve">5 days </w:t>
      </w:r>
      <w:r w:rsidRPr="00C33195">
        <w:rPr>
          <w:rFonts w:ascii="Times New Roman" w:hAnsi="Times New Roman" w:cs="Times New Roman"/>
          <w:lang w:val="en-GB"/>
        </w:rPr>
        <w:t>treatment with antibiotic</w:t>
      </w:r>
      <w:r w:rsidR="00930862" w:rsidRPr="00C33195">
        <w:rPr>
          <w:rFonts w:ascii="Times New Roman" w:hAnsi="Times New Roman" w:cs="Times New Roman"/>
          <w:lang w:val="en-GB"/>
        </w:rPr>
        <w:t xml:space="preserve">. </w:t>
      </w:r>
      <w:r w:rsidRPr="00C33195">
        <w:rPr>
          <w:rFonts w:ascii="Times New Roman" w:hAnsi="Times New Roman" w:cs="Times New Roman"/>
          <w:lang w:val="en-GB"/>
        </w:rPr>
        <w:t xml:space="preserve">Non-stimulated saliva samples were collected over </w:t>
      </w:r>
      <w:r w:rsidR="00081057" w:rsidRPr="00C33195">
        <w:rPr>
          <w:rFonts w:ascii="Times New Roman" w:hAnsi="Times New Roman" w:cs="Times New Roman"/>
          <w:lang w:val="en-GB"/>
        </w:rPr>
        <w:t>three weeks</w:t>
      </w:r>
      <w:r w:rsidRPr="00C33195">
        <w:rPr>
          <w:rFonts w:ascii="Times New Roman" w:hAnsi="Times New Roman" w:cs="Times New Roman"/>
          <w:lang w:val="en-GB"/>
        </w:rPr>
        <w:t xml:space="preserve"> from a nominally healthy volunteer </w:t>
      </w:r>
      <w:r w:rsidR="00930862" w:rsidRPr="00C33195">
        <w:rPr>
          <w:rFonts w:ascii="Times New Roman" w:hAnsi="Times New Roman" w:cs="Times New Roman"/>
          <w:lang w:val="en-GB"/>
        </w:rPr>
        <w:t xml:space="preserve">before, </w:t>
      </w:r>
      <w:r w:rsidRPr="00C33195">
        <w:rPr>
          <w:rFonts w:ascii="Times New Roman" w:hAnsi="Times New Roman" w:cs="Times New Roman"/>
          <w:lang w:val="en-GB"/>
        </w:rPr>
        <w:t xml:space="preserve">during </w:t>
      </w:r>
      <w:r w:rsidR="00930862" w:rsidRPr="00C33195">
        <w:rPr>
          <w:rFonts w:ascii="Times New Roman" w:hAnsi="Times New Roman" w:cs="Times New Roman"/>
          <w:lang w:val="en-GB"/>
        </w:rPr>
        <w:t xml:space="preserve">and after </w:t>
      </w:r>
      <w:r w:rsidRPr="00C33195">
        <w:rPr>
          <w:rFonts w:ascii="Times New Roman" w:hAnsi="Times New Roman" w:cs="Times New Roman"/>
          <w:lang w:val="en-GB"/>
        </w:rPr>
        <w:t>the antibiotic treatment with rifaximin</w:t>
      </w:r>
      <w:r w:rsidR="00930862" w:rsidRPr="00C33195">
        <w:rPr>
          <w:rFonts w:ascii="Times New Roman" w:hAnsi="Times New Roman" w:cs="Times New Roman"/>
          <w:lang w:val="en-GB"/>
        </w:rPr>
        <w:t>.</w:t>
      </w:r>
    </w:p>
    <w:p w14:paraId="3DC9B426" w14:textId="77777777" w:rsidR="00845E49" w:rsidRPr="00C33195" w:rsidRDefault="00845E49"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Thus, although derived by a single case, this approach can be considered novel from an analytical standpoint and it encourages further studies combining saliva metabolite profiles and gut microbiota dynamics.</w:t>
      </w:r>
    </w:p>
    <w:p w14:paraId="7E10E467" w14:textId="77777777" w:rsidR="00845E49" w:rsidRPr="00C33195" w:rsidRDefault="00845E49" w:rsidP="00875587">
      <w:pPr>
        <w:spacing w:line="360" w:lineRule="auto"/>
        <w:jc w:val="both"/>
        <w:rPr>
          <w:rFonts w:ascii="Times New Roman" w:hAnsi="Times New Roman" w:cs="Times New Roman"/>
          <w:lang w:val="en-GB"/>
        </w:rPr>
      </w:pPr>
    </w:p>
    <w:p w14:paraId="69173203" w14:textId="77777777" w:rsidR="00845E49" w:rsidRPr="00C33195" w:rsidRDefault="00845E49" w:rsidP="00875587">
      <w:pPr>
        <w:pStyle w:val="BGKeywords"/>
        <w:spacing w:line="360" w:lineRule="auto"/>
        <w:jc w:val="both"/>
        <w:rPr>
          <w:b/>
          <w:kern w:val="21"/>
          <w:lang w:val="en-GB"/>
        </w:rPr>
      </w:pPr>
      <w:r w:rsidRPr="00C33195">
        <w:rPr>
          <w:lang w:val="en-GB"/>
        </w:rPr>
        <w:t>KEYWORDS: volatile organic compounds; m</w:t>
      </w:r>
      <w:r w:rsidR="00C33195">
        <w:rPr>
          <w:lang w:val="en-GB"/>
        </w:rPr>
        <w:t>icrobiota; HS-SPME-GC-MS method;</w:t>
      </w:r>
      <w:r w:rsidRPr="00C33195">
        <w:rPr>
          <w:lang w:val="en-GB"/>
        </w:rPr>
        <w:t xml:space="preserve"> saliva.</w:t>
      </w:r>
    </w:p>
    <w:p w14:paraId="39E67AD3" w14:textId="77777777" w:rsidR="00845E49" w:rsidRPr="00C33195" w:rsidRDefault="00845E49"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br w:type="page"/>
      </w:r>
    </w:p>
    <w:p w14:paraId="5A02D368" w14:textId="77777777" w:rsidR="00845E49" w:rsidRPr="00C33195" w:rsidRDefault="00845E49" w:rsidP="00075751">
      <w:pPr>
        <w:spacing w:after="200" w:line="360" w:lineRule="auto"/>
        <w:jc w:val="both"/>
        <w:rPr>
          <w:rFonts w:ascii="Times New Roman" w:hAnsi="Times New Roman" w:cs="Times New Roman"/>
          <w:b/>
          <w:sz w:val="28"/>
          <w:lang w:val="en-GB"/>
        </w:rPr>
      </w:pPr>
      <w:r w:rsidRPr="00C33195">
        <w:rPr>
          <w:rFonts w:ascii="Times New Roman" w:hAnsi="Times New Roman" w:cs="Times New Roman"/>
          <w:b/>
          <w:sz w:val="28"/>
          <w:lang w:val="en-GB"/>
        </w:rPr>
        <w:lastRenderedPageBreak/>
        <w:t>Introduction</w:t>
      </w:r>
    </w:p>
    <w:p w14:paraId="3975260E" w14:textId="0418D687" w:rsidR="00845E49" w:rsidRPr="00C33195" w:rsidRDefault="00845E49"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The analysis of human gut microbiota is commonly performed on faecal samples using culture-dependent methodologies or metagenomics, primarily next-generation sequencing (NGS), which studies the genomes (</w:t>
      </w:r>
      <w:proofErr w:type="spellStart"/>
      <w:r w:rsidRPr="00C33195">
        <w:rPr>
          <w:rFonts w:ascii="Times New Roman" w:hAnsi="Times New Roman" w:cs="Times New Roman"/>
          <w:lang w:val="en-GB"/>
        </w:rPr>
        <w:t>microbioma</w:t>
      </w:r>
      <w:proofErr w:type="spellEnd"/>
      <w:r w:rsidRPr="00C33195">
        <w:rPr>
          <w:rFonts w:ascii="Times New Roman" w:hAnsi="Times New Roman" w:cs="Times New Roman"/>
          <w:lang w:val="en-GB"/>
        </w:rPr>
        <w:t xml:space="preserve">) through 16S rRNA gene amplicon analysis </w:t>
      </w:r>
      <w:r w:rsidR="00BD0093">
        <w:rPr>
          <w:rFonts w:ascii="Times New Roman" w:hAnsi="Times New Roman" w:cs="Times New Roman"/>
          <w:lang w:val="en-GB"/>
        </w:rPr>
        <w:fldChar w:fldCharType="begin" w:fldLock="1"/>
      </w:r>
      <w:r w:rsidR="00BD0093">
        <w:rPr>
          <w:rFonts w:ascii="Times New Roman" w:hAnsi="Times New Roman" w:cs="Times New Roman"/>
          <w:lang w:val="en-GB"/>
        </w:rPr>
        <w:instrText>ADDIN CSL_CITATION {"citationItems":[{"id":"ITEM-1","itemData":{"DOI":"10.1038/s41598-018-23296-4","ISSN":"2045-2322","abstract":"The information on microbiota composition in the human gastrointestinal tract predominantly originates from the analyses of human faeces by application of next generation sequencing (NGS). However, the detected composition of the faecal bacterial community can be affected by various factors including experimental design and procedures. This study evaluated the performance of different protocols for collection and storage of faecal samples (native and OMNIgene. GUT system) and bacterial DNA extraction (MP Biomedicals, QIAGEN and MO BIO kits), using two NGS platforms for 16S rRNA gene sequencing (Ilumina MiSeq and Ion Torrent PGM). OMNIgene. GUT proved as a reliable and convenient system for collection and storage of faecal samples although favouring Sutterella genus. MP provided superior DNA yield and quality, MO BIO depleted Gram positive organisms while using QIAGEN with OMNIgene. GUT resulted in greatest variability compared to other two kits. MiSeq and IT platforms in their supplier recommended setups provided comparable reproducibility of donor faecal microbiota. The differences included higher diversity observed with MiSeq and increased capacity of MiSeq to detect Akkermansia muciniphila, [Odoribacteraceae], Erysipelotrichaceae and Ruminococcaceae (primarily Faecalibacterium prausnitzii). The results of our study could assist the investigators using NGS technologies to make informed decisions on appropriate tools for their experimental pipelines.","author":[{"dropping-particle":"","family":"Panek","given":"M","non-dropping-particle":"","parse-names":false,"suffix":""},{"dropping-particle":"","family":"Paljetak","given":"H C","non-dropping-particle":"","parse-names":false,"suffix":""},{"dropping-particle":"","family":"Baresic","given":"A","non-dropping-particle":"","parse-names":false,"suffix":""},{"dropping-particle":"","family":"Peric","given":"M","non-dropping-particle":"","parse-names":false,"suffix":""},{"dropping-particle":"","family":"Matijasic","given":"M","non-dropping-particle":"","parse-names":false,"suffix":""},{"dropping-particle":"","family":"Lojkic","given":"I","non-dropping-particle":"","parse-names":false,"suffix":""},{"dropping-particle":"V","family":"Bender","given":"D","non-dropping-particle":"","parse-names":false,"suffix":""},{"dropping-particle":"","family":"Krznaric","given":"Z","non-dropping-particle":"","parse-names":false,"suffix":""},{"dropping-particle":"","family":"Verbanac","given":"D","non-dropping-particle":"","parse-names":false,"suffix":""}],"container-title":"Scientific Reports","id":"ITEM-1","issued":{"date-parts":[["2018"]]},"note":"Panek, Marina Paljetak, Hana Cipcic Baresic, Anja Peric, Mihaela Matijasic, Mario Lojkic, Ivana Bender, Darija Vranesic Krznaric, Zeljko Verbanac, Donatella","title":"Methodology challenges in studying human gut microbiota - effects of collection, storage, DNA extraction and next generation sequencing technologies","type":"article-journal","volume":"8"},"uris":["http://www.mendeley.com/documents/?uuid=19478b3f-c912-4a36-bfaf-f7c373a168d2"]}],"mendeley":{"formattedCitation":"[1]","plainTextFormattedCitation":"[1]","previouslyFormattedCitation":"[1]"},"properties":{"noteIndex":0},"schema":"https://github.com/citation-style-language/schema/raw/master/csl-citation.json"}</w:instrText>
      </w:r>
      <w:r w:rsidR="00BD0093">
        <w:rPr>
          <w:rFonts w:ascii="Times New Roman" w:hAnsi="Times New Roman" w:cs="Times New Roman"/>
          <w:lang w:val="en-GB"/>
        </w:rPr>
        <w:fldChar w:fldCharType="separate"/>
      </w:r>
      <w:r w:rsidR="00BD0093" w:rsidRPr="00BD0093">
        <w:rPr>
          <w:rFonts w:ascii="Times New Roman" w:hAnsi="Times New Roman" w:cs="Times New Roman"/>
          <w:noProof/>
          <w:lang w:val="en-GB"/>
        </w:rPr>
        <w:t>[1]</w:t>
      </w:r>
      <w:r w:rsidR="00BD0093">
        <w:rPr>
          <w:rFonts w:ascii="Times New Roman" w:hAnsi="Times New Roman" w:cs="Times New Roman"/>
          <w:lang w:val="en-GB"/>
        </w:rPr>
        <w:fldChar w:fldCharType="end"/>
      </w:r>
      <w:r w:rsidRPr="00C33195">
        <w:rPr>
          <w:rFonts w:ascii="Times New Roman" w:hAnsi="Times New Roman" w:cs="Times New Roman"/>
          <w:lang w:val="en-GB"/>
        </w:rPr>
        <w:t>. Other approaches include the analysis of volatile and non-volatile metabolites of faeces using liquid (LC) and gas chromatography (GC) mass spectrometric (MS) techniques</w:t>
      </w:r>
      <w:r w:rsidR="00BB3052">
        <w:rPr>
          <w:rFonts w:ascii="Times New Roman" w:hAnsi="Times New Roman" w:cs="Times New Roman"/>
          <w:lang w:val="en-GB"/>
        </w:rPr>
        <w:t xml:space="preserve"> </w:t>
      </w:r>
      <w:r w:rsidR="00375F85">
        <w:rPr>
          <w:rFonts w:ascii="Times New Roman" w:hAnsi="Times New Roman" w:cs="Times New Roman"/>
          <w:lang w:val="en-GB"/>
        </w:rPr>
        <w:fldChar w:fldCharType="begin" w:fldLock="1"/>
      </w:r>
      <w:r w:rsidR="0060417F">
        <w:rPr>
          <w:rFonts w:ascii="Times New Roman" w:hAnsi="Times New Roman" w:cs="Times New Roman"/>
          <w:lang w:val="en-GB"/>
        </w:rPr>
        <w:instrText>ADDIN CSL_CITATION {"citationItems":[{"id":"ITEM-1","itemData":{"DOI":"10.3389/fbioe.2015.00023","ISSN":"2296-4185","abstract":"Metabolomics comprises the methods and techniques that are used to measure the small molecule composition of biofluids and tissues, and is actually one of the most rapidly evolving research fields. The determination of the metabolomic profile –the metabolome- has multiple applications in many biological sciences, including the developing of new diagnostic tools in medicine. Recent technological advances in nuclear magnetic resonance (NMR) and mass spectrometry (MS) are significantly improving our capacity to obtain more data from each biological sample. Consequently, there is a need for fast and accurate statistical and bioinformatic tools that can deal with the complexity and volume of the data generated in metabolomic studies. In this review we provide an update of the most commonly used analytical methods in metabolomics, starting from raw data processing and ending with pathway analysis and biomarker identification. Finally, the integration of metabolomic profiles with molecular data from other high throughput biotechnologies is also reviewed.","author":[{"dropping-particle":"","family":"Alonso","given":"Arnald","non-dropping-particle":"","parse-names":false,"suffix":""},{"dropping-particle":"","family":"Marsal","given":"Sara","non-dropping-particle":"","parse-names":false,"suffix":""},{"dropping-particle":"","family":"JuliÃ ","given":"Antonio","non-dropping-particle":"","parse-names":false,"suffix":""}],"container-title":"Frontiers in Bioengineering and Biotechnology","id":"ITEM-1","issued":{"date-parts":[["2015"]]},"title":"Analytical Methods in Untargeted Metabolomics: State of the Art in 2015","type":"article-journal"},"uris":["http://www.mendeley.com/documents/?uuid=0dbea42f-838c-4657-ae28-590b20fddadd"]},{"id":"ITEM-2","itemData":{"DOI":"10.1021/pr0605217","ISSN":"15353893","abstract":"To perform metabonomics investigations, it is necessary to generate comprehensive metabolite profiles for complex samples such as biofluids and tissue/tissue extracts. Analytical technologies that can be used to achieve this aim are constantly evolving, and new developments are changing the way in which such profiles' metabolite profiles can be generated. Here, the utility of various analytical techniques for global metabolite profiling, such as, e.g., 1H NMR, MS, HPLC-MS, and GC-MS, are explored and compared.","author":[{"dropping-particle":"","family":"Lenz","given":"Eva Maria","non-dropping-particle":"","parse-names":false,"suffix":""},{"dropping-particle":"","family":"Wilson","given":"Ian D.","non-dropping-particle":"","parse-names":false,"suffix":""}],"container-title":"Journal of Proteome Research","id":"ITEM-2","issued":{"date-parts":[["2007"]]},"title":"Analytical strategies in metabonomics","type":"article"},"uris":["http://www.mendeley.com/documents/?uuid=da287c54-c709-4708-88f6-71e5333a13d5"]}],"mendeley":{"formattedCitation":"[2, 3]","plainTextFormattedCitation":"[2, 3]","previouslyFormattedCitation":"[2, 3]"},"properties":{"noteIndex":0},"schema":"https://github.com/citation-style-language/schema/raw/master/csl-citation.json"}</w:instrText>
      </w:r>
      <w:r w:rsidR="00375F85">
        <w:rPr>
          <w:rFonts w:ascii="Times New Roman" w:hAnsi="Times New Roman" w:cs="Times New Roman"/>
          <w:lang w:val="en-GB"/>
        </w:rPr>
        <w:fldChar w:fldCharType="separate"/>
      </w:r>
      <w:r w:rsidR="00375F85" w:rsidRPr="00375F85">
        <w:rPr>
          <w:rFonts w:ascii="Times New Roman" w:hAnsi="Times New Roman" w:cs="Times New Roman"/>
          <w:noProof/>
          <w:lang w:val="en-GB"/>
        </w:rPr>
        <w:t>[2, 3]</w:t>
      </w:r>
      <w:r w:rsidR="00375F85">
        <w:rPr>
          <w:rFonts w:ascii="Times New Roman" w:hAnsi="Times New Roman" w:cs="Times New Roman"/>
          <w:lang w:val="en-GB"/>
        </w:rPr>
        <w:fldChar w:fldCharType="end"/>
      </w:r>
      <w:r w:rsidR="00BD0093">
        <w:rPr>
          <w:rFonts w:ascii="Times New Roman" w:hAnsi="Times New Roman" w:cs="Times New Roman"/>
          <w:lang w:val="en-GB"/>
        </w:rPr>
        <w:t>.</w:t>
      </w:r>
      <w:r w:rsidRPr="00C33195">
        <w:rPr>
          <w:rFonts w:ascii="Times New Roman" w:hAnsi="Times New Roman" w:cs="Times New Roman"/>
          <w:lang w:val="en-GB"/>
        </w:rPr>
        <w:t xml:space="preserve"> Although the sampling of faeces is non-invasive, faecal sample preparation is a demanding task due to the high complexity and heterogeneity of the matrix</w:t>
      </w:r>
      <w:r w:rsidR="0060417F">
        <w:rPr>
          <w:rFonts w:ascii="Times New Roman" w:hAnsi="Times New Roman" w:cs="Times New Roman"/>
          <w:lang w:val="en-GB"/>
        </w:rPr>
        <w:t xml:space="preserve"> </w:t>
      </w:r>
      <w:r w:rsidR="00375F85">
        <w:rPr>
          <w:rFonts w:ascii="Times New Roman" w:hAnsi="Times New Roman" w:cs="Times New Roman"/>
          <w:lang w:val="en-GB"/>
        </w:rPr>
        <w:fldChar w:fldCharType="begin" w:fldLock="1"/>
      </w:r>
      <w:r w:rsidR="00375F85">
        <w:rPr>
          <w:rFonts w:ascii="Times New Roman" w:hAnsi="Times New Roman" w:cs="Times New Roman"/>
          <w:lang w:val="en-GB"/>
        </w:rPr>
        <w:instrText>ADDIN CSL_CITATION {"citationItems":[{"id":"ITEM-1","itemData":{"DOI":"https://doi.org/10.1016/j.cca.2017.10.029","ISSN":"0009-8981","abstract":"Metabolomics is a well-established field in fundamental clinical research with applications in different human body fluids. However, metabolomic investigations in feces are currently an emerging field. Fecal sample preparation is a demanding task due to high complexity and heterogeneity of the matrix. To gain access to the information enclosed in human feces it is necessary to extract the metabolites and make them accessible to analytical platforms like NMR or LC-MS. In this study different pre-analytical parameters and factors were investigated i.e. water content, different extraction solvents, influence of freeze-drying and homogenization, ratios of sample weight to extraction solvent, and their respective impact on metabolite profiles acquired by NMR and LC-MS. The results indicate that profiles are strongly biased by selection of extraction solvent or drying of samples, which causes different metabolites to be lost, under- or overstated. Additionally signal intensity and reproducibility of the measurement were found to be strongly dependent on sample pre-treatment steps: freeze-drying and homogenization lead to improved release of metabolites and thus increased signals, but at the same time induced variations and thus deteriorated reproducibility. We established the first protocol for extraction of human fecal samples and subsequent measurement with both complementary techniques NMR and LC-MS.","author":[{"dropping-particle":"","family":"Moosmang","given":"Simon","non-dropping-particle":"","parse-names":false,"suffix":""},{"dropping-particle":"","family":"Pitscheider","given":"Maria","non-dropping-particle":"","parse-names":false,"suffix":""},{"dropping-particle":"","family":"Sturm","given":"Sonja","non-dropping-particle":"","parse-names":false,"suffix":""},{"dropping-particle":"","family":"Seger","given":"Christoph","non-dropping-particle":"","parse-names":false,"suffix":""},{"dropping-particle":"","family":"Tilg","given":"Herbert","non-dropping-particle":"","parse-names":false,"suffix":""},{"dropping-particle":"","family":"Halabalaki","given":"Maria","non-dropping-particle":"","parse-names":false,"suffix":""},{"dropping-particle":"","family":"Stuppner","given":"Hermann","non-dropping-particle":"","parse-names":false,"suffix":""}],"container-title":"Clinica Chimica Acta","id":"ITEM-1","issued":{"date-parts":[["2017"]]},"title":"Metabolomic analysis—Addressing NMR and LC-MS related problems in human feces sample preparation","type":"article-journal"},"uris":["http://www.mendeley.com/documents/?uuid=7a84a603-32d8-43c4-89d7-abeb5524c6db"]},{"id":"ITEM-2","itemData":{"DOI":"10.1186/1471-2180-14-112","ISSN":"1471-2180","abstract":"BACKGROUND: The microbial community analysis of stools requires optimised and standardised protocols for their collection, homogenisation, microbial disruption and nucleic acid extraction. Here we examined whether different layers of the stool are equally representative of the microbiome. We also studied the effect of stool water content, which typically increases in diarrhoeic samples, and of a microbial disruption method on DNA integrity and, therefore, on providing an unbiased microbial composition analysis. RESULTS: We collected faecal samples from healthy subjects and performed microbial composition analysis by pyrosequencing the V4 region of the 16S rRNA gene. To examine the effect of stool structure, we compared the inner and outer layers of the samples (N = 8). Both layers presented minor differences in microbial composition and abundance at the species level. These differences did not significantly bias the microbial community specific to an individual. To evaluate the effect of stool water content and bead-beating, we used various volumes of a water-based salt solution and beads of distinct weights before nucleic acid extraction (N = 4). The different proportions of water did not affect the UniFrac-based clustering of samples from the same subject However, the use or omission of a bead-beating step produced different proportions of Gram-positive and Gram-negative bacteria and significant changes in the UniFrac-based clustering of the samples. CONCLUSION: The degree of hydration and homogenisation of faecal samples do not significantly alter their microbial community composition. However, the use of bead-beating is critical for the proper detection of Gram-positive bacteria such as Blautia and Bifidobacterium.","author":[{"dropping-particle":"","family":"Santiago","given":"Alba","non-dropping-particle":"","parse-names":false,"suffix":""},{"dropping-particle":"","family":"Panda","given":"Suchita","non-dropping-particle":"","parse-names":false,"suffix":""},{"dropping-particle":"","family":"Mengels","given":"Griet","non-dropping-particle":"","parse-names":false,"suffix":""},{"dropping-particle":"","family":"Martinez","given":"Xavier","non-dropping-particle":"","parse-names":false,"suffix":""},{"dropping-particle":"","family":"Azpiroz","given":"Fernando","non-dropping-particle":"","parse-names":false,"suffix":""},{"dropping-particle":"","family":"Dore","given":"Joel","non-dropping-particle":"","parse-names":false,"suffix":""},{"dropping-particle":"","family":"Guarner","given":"Francisco","non-dropping-particle":"","parse-names":false,"suffix":""},{"dropping-particle":"","family":"Manichanh","given":"Chaysavanh","non-dropping-particle":"","parse-names":false,"suffix":""}],"container-title":"BMC Microbiology","id":"ITEM-2","issued":{"date-parts":[["2014"]]},"note":"1471-2180-14-112[PII]\n24884524[pmid]\nBMC Microbiol","page":"112","title":"Processing faecal samples: a step forward for standards in microbial community analysis","type":"article-journal","volume":"14"},"uris":["http://www.mendeley.com/documents/?uuid=1aa3c1a9-3b41-4639-8492-3fab3fd70d70"]}],"mendeley":{"formattedCitation":"[4, 5]","plainTextFormattedCitation":"[4, 5]","previouslyFormattedCitation":"[4, 5]"},"properties":{"noteIndex":0},"schema":"https://github.com/citation-style-language/schema/raw/master/csl-citation.json"}</w:instrText>
      </w:r>
      <w:r w:rsidR="00375F85">
        <w:rPr>
          <w:rFonts w:ascii="Times New Roman" w:hAnsi="Times New Roman" w:cs="Times New Roman"/>
          <w:lang w:val="en-GB"/>
        </w:rPr>
        <w:fldChar w:fldCharType="separate"/>
      </w:r>
      <w:r w:rsidR="00375F85" w:rsidRPr="00375F85">
        <w:rPr>
          <w:rFonts w:ascii="Times New Roman" w:hAnsi="Times New Roman" w:cs="Times New Roman"/>
          <w:noProof/>
          <w:lang w:val="en-GB"/>
        </w:rPr>
        <w:t>[4, 5]</w:t>
      </w:r>
      <w:r w:rsidR="00375F85">
        <w:rPr>
          <w:rFonts w:ascii="Times New Roman" w:hAnsi="Times New Roman" w:cs="Times New Roman"/>
          <w:lang w:val="en-GB"/>
        </w:rPr>
        <w:fldChar w:fldCharType="end"/>
      </w:r>
      <w:r w:rsidRPr="00C33195">
        <w:rPr>
          <w:rFonts w:ascii="Times New Roman" w:hAnsi="Times New Roman" w:cs="Times New Roman"/>
          <w:lang w:val="en-GB"/>
        </w:rPr>
        <w:t>.</w:t>
      </w:r>
    </w:p>
    <w:p w14:paraId="5E41C8CA" w14:textId="1B493F87" w:rsidR="00845E49" w:rsidRPr="00C33195" w:rsidRDefault="00845E49"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 xml:space="preserve">In the last years saliva emerged as a non-conventional, valuable matrices in diagnostic medicine and therapeutic drug monitoring, as well as in toxicology, and occupational and environmental exposure </w:t>
      </w:r>
      <w:r w:rsidR="00CE775A">
        <w:rPr>
          <w:rFonts w:ascii="Times New Roman" w:hAnsi="Times New Roman" w:cs="Times New Roman"/>
          <w:lang w:val="en-GB"/>
        </w:rPr>
        <w:fldChar w:fldCharType="begin" w:fldLock="1"/>
      </w:r>
      <w:r w:rsidR="00C70BCC">
        <w:rPr>
          <w:rFonts w:ascii="Times New Roman" w:hAnsi="Times New Roman" w:cs="Times New Roman"/>
          <w:lang w:val="en-GB"/>
        </w:rPr>
        <w:instrText>ADDIN CSL_CITATION {"citationItems":[{"id":"ITEM-1","itemData":{"DOI":"doi:10.1002/3527600418.bisalivae2115","ISSN":"9783527600410","abstract":"Purpose: Human biomonitoring ( HBM ) implies the assessment of internal exposure to hazardous substances by measuring the substances, their metabolites or reaction products, as well as effect parameters in human body fluids. Along with blood, plasma and urine, saliva is of increasing interest as an alternative matrix for HBM. Methods: This paper reviews studies that measure salivary background levels of hazardous substances, elevated levels after environmental or occupational exposure, as well as references which deal with physiological and toxicokinetic behaviour of saliva and salivary parameters, respectively. Results: The studies revealed that the determination of biomarkers in saliva is a promising approach for HBM, even if only few substances showed a satisfying correlation with exposure data or established biomonitoring matrices such as blood, plasma and urine. Saliva has been proven to be particularly suitable for substances of low molecular weight such as organic solvents, selected pesticides, cotinine, and for some specific trace elements. Besides several advantages, serious problems and limitations were identified. Above all, the complex interactions between substance properties, sampling procedure, sample preparation, measurement techniques or individual factors, and the salivary analyte level are discussed. Conclusions: A major conclusion of the review is that more scientific studies are needed in order to systematically collect data on parameters, influencing salivary analyte levels. Crucially required is a harmonisation of the sampling as well as the sample preparation techniques and procedures, which is indispensable to achieve an overall comparability and interpretability of salivary biomarker levels.","author":[{"dropping-particle":"","family":"Michalke","given":"B","non-dropping-particle":"","parse-names":false,"suffix":""},{"dropping-particle":"","family":"Rossbach","given":"B","non-dropping-particle":"","parse-names":false,"suffix":""},{"dropping-particle":"","family":"Göen","given":"T","non-dropping-particle":"","parse-names":false,"suffix":""},{"dropping-particle":"","family":"Schäferhenrich","given":"A","non-dropping-particle":"","parse-names":false,"suffix":""},{"dropping-particle":"","family":"Scherer","given":"G","non-dropping-particle":"","parse-names":false,"suffix":""},{"dropping-particle":"","family":"Hartwig","given":"A","non-droppin</w:instrText>
      </w:r>
      <w:r w:rsidR="00C70BCC">
        <w:rPr>
          <w:rFonts w:ascii="Times New Roman" w:hAnsi="Times New Roman" w:cs="Times New Roman" w:hint="eastAsia"/>
          <w:lang w:val="en-GB"/>
        </w:rPr>
        <w:instrText>g-particle":"","parse-names":false,"suffix":""},{"dropping-particle":"","family":"null","given":"null","non-dropping-particle":"","parse-names":false,"suffix":""}],"container-title":"The MAK</w:instrText>
      </w:r>
      <w:r w:rsidR="00C70BCC">
        <w:rPr>
          <w:rFonts w:ascii="Times New Roman" w:hAnsi="Times New Roman" w:cs="Times New Roman" w:hint="eastAsia"/>
          <w:lang w:val="en-GB"/>
        </w:rPr>
        <w:instrText>‐</w:instrText>
      </w:r>
      <w:r w:rsidR="00C70BCC">
        <w:rPr>
          <w:rFonts w:ascii="Times New Roman" w:hAnsi="Times New Roman" w:cs="Times New Roman" w:hint="eastAsia"/>
          <w:lang w:val="en-GB"/>
        </w:rPr>
        <w:instrText>Collection for Occupational Health and Safety","id":"ITEM-1","is</w:instrText>
      </w:r>
      <w:r w:rsidR="00C70BCC">
        <w:rPr>
          <w:rFonts w:ascii="Times New Roman" w:hAnsi="Times New Roman" w:cs="Times New Roman"/>
          <w:lang w:val="en-GB"/>
        </w:rPr>
        <w:instrText>sued":{"date-parts":[["2016","4","25"]]},"title":"Saliva as a matrix for human biomonitoring in occupational and environmental medicine [Biomonitoring Methods, 2015]","type":"article-journal"},"uris":["http://www.mendeley.com/documents/?uuid=4bc390b2-d427-405b-95e0-744f749189a0"]},{"id":"ITEM-2","itemData":{"DOI":"10.1002/bmc.2713","ISSN":"02693879 10990801","abstract":"The simultaneous determination of lactate and pyruvate in sweat has been performed using reversed phase high-performance liquid chromatography (RP-HPLC) with UV detection at 220nm. The calibration curves were linear in the investigated range 0.3 - 350mm of lactate, 0.003- 1mm of pyruvate. The sensitivity was good with a limit of detection of 0.03mm for lactate and 0.001mm for pyruvate. Recoveries evaluated for the entire procedure were 102?0.1 and 96?0.1for lactate and pyruvate, respectively. The method was successfully applied to analysis of sweat in 8 athletes at rest (pilocarpine sweating) and during physical exercise. ? 2012 John Wiley &amp; Sons, Ltd.","author":[{"dropping-particle":"","family":"Biagi","given":"S.","non-dropping-particle":"","parse-names":false,"suffix":""},{"dropping-particle":"","family":"Ghimenti","given":"S.","non-dropping-particle":"","parse-names":false,"suffix":""},{"dropping-particle":"","family":"Onor","given":"M.","non-dropping-particle":"","parse-names":false,"suffix":""},{"dropping-particle":"","family":"Bramanti","given":"E.","non-dropping-particle":"","parse-names":false,"suffix":""}],"container-title":"Biomedical Chromatography","id":"ITEM-2","issue":"11","issued":{"date-parts":[["2012"]]},"title":"Simultaneous determination of lactate and pyruvate in human sweat using reversed-phase high-performance liquid chromatography: A noninvasive approach","type":"article-journal","volume":"26"},"uris":["http://www.mendeley.com/documents/?uuid=cb319d8d-53d9-371f-a980-635939b94b49"]},{"id":"ITEM-3","itemData":{"DOI":"10.1016/j.aca.2014.11.029","ISSN":"0003-2670","abstract":"On-site sample preparation is an analytical approach based on direct sampling from the system under investigation. It has the advantage of combining sampling and sample preparation into a single step, thus generally is fast, minimizes the potential sources of error and eliminates the risks for analytes instability. For such analysis solid phase microextraction in thin film geometry (TF-SPME) can provide robust and convenient in vivo sampling, offering in the same time faster analysis and higher extraction recovery (i.e., better sensitivity) due to large surface to volume ratio. In this study, TF-SPME in coated blade and membrane formats with a single extraction phase were used for in vivo and ex vivo saliva extraction and separation by LC and GC, respectively. Due to applicability for wide range of polarity of analytes as well as thermal and solvent stability during the desorption, hydrophilic lipophilic balanced particles (HLB) were chosen as extraction phase and used for fast (5 min) in vivo and ex vivo sampling. The results of metabolomic profiling of the saliva are indicating that even 5 min in vivo sampling using TF-SPME followed by GC and LC analyses provides complementary coverage of wide range of analytes with different physical and chemical properties. To demonstrate the applicability of the method for doping analyses, the SPME-LC-MS/MS method was validated for simultaneous quantification of 49 prohibited substances with limit of quantification (LOQ) ranging between 0.004 and 0.98 ng mL(-1). Moreover, the method was also validated and successfully applied for determination of endogenous steroids in saliva where the concentrations of the analytes are substantially low. The developed assay offers fast and reliable multiresidue analysis of saliva as an attractive alternative to the standard analysis methods. (C) 2014 Elsevier B.V. All rights reserved.","author":[{"dropping-particle":"","family":"Bessonneau","given":"V","non-dropping-particle":"","parse-names":false,"suffix":""},{"dropping-particle":"","family":"Boyaci","given":"E","non-dropping-particle":"","parse-names":false,"suffix":""},{"dropping-particle":"","family":"Maciazek-Jurczyk","given":"M","non-dropping-particle":"","parse-names":false,"suffix":""},{"dropping-particle":"","family":"Pawliszyn","given":"J","non-dropping-particle":"","parse-names":false,"suffix":""}],"container-title":"Analytica Chimica Acta","id":"ITEM-3","issued":{"date-parts":[["2015"]]},"note":"Bessonneau, Vincent Boyaci, Ezel Maciazek-Jurczyk, Malgorzata Pawliszyn, Janusz\n1873-4324","page":"35-45","title":"In vivo solid phase microextraction sampling of human saliva for non-invasive and on-site monitoring","type":"article-journal","volume":"856"},"uris":["http://www.mendeley.com/documents/?uuid=4168823d-6e81-42ce-9fa4-5240ee0a8a15"]},{"id":"ITEM-4","itemData":{"DOI":"10.1186/gm383","ISSN":"1756-994X","abstract":"The use of saliva as a diagnostic sample provides a non-invasive, cost-efficient method of sample collection for disease screening without the need for highly trained professionals. Saliva collection is far more practical and safe compared with invasive methods of sample collection, because of the infection risk from contaminated needles during, for example, blood sampling. Furthermore, the use of saliva could increase the availability of accurate diagnostics for remote and impoverished regions. However, the development of salivary diagnostics has required technical innovation to allow stabilization and detection of analytes in the complex molecular mixture that is saliva. The recent development of cost-effective room temperature analyte stabilization methods, nucleic acid pre-amplification techniques and direct saliva transcriptomic analysis have allowed accurate detection and quantification of transcripts found in saliva. Novel protein stabilization methods have also facilitated improved proteomic analyses. Although candidate biomarkers have been discovered using epigenetic, transcriptomic, proteomic and metabolomic approaches, transcriptomic analyses have so far achieved the most progress in terms of sensitivity and specificity, and progress towards clinical implementation. Here, we review recent developments in salivary diagnostics that have been accomplished using genomic, transcriptomic, proteomic and metabolomic approaches.","author":[{"dropping-particle":"","family":"Bonne","given":"N J","non-dropping-particle":"","parse-names":false,"suffix":""},{"dropping-particle":"","family":"Wong","given":"D T W","non-dropping-particle":"","parse-names":false,"suffix":""}],"container-title":"Genome Medicine","id":"ITEM-4","issued":{"date-parts":[["2012"]]},"note":"Bonne, Nicolai J. Wong, David T. W.","title":"Salivary biomarker development using genomic, proteomic and metabolomic approaches","type":"article-journal","volume":"4"},"uris":["http://www.mendeley.com/documents/?uuid=cc2eb2ba-3eda-426f-995e-51f81a5fd123"]},{"id":"ITEM-5","itemData":{"DOI":"10.1371/journal.pone.0114430","ISSN":"1932-6203","abstract":"Background and Objective: The determination of warfarin, RS/SR- and RR/SS-warfarin alcohols in oral fluid may offer additional information to the INR assay. This study aimed to establish an optimized sampling technique providing the best correlation between the oral fluid and the unbound plasma concentrations of these compounds. Materials and Methods: Samples of non-stimulated and stimulated oral fluid, and blood were collected from 14 patients undergoing warfarin therapy. After acidification, analytes were extracted with a dichloromethane/hexane mixture and determined by HPLC with fluorescence detection. Plasma samples were also ultrafiltered for the determination of the unbound fraction. The chromatographic separation was carried out in isocratic conditions with a phosphate buffer/methanol mobile phase on a C-18 reversed-phase column. The absence of interfering compounds was verified by HPLC-ESI-Q-TOF. Results: Stimulation generally increased the oral fluid pH to values close to blood pH in about 6 minutes. The concentration of warfarin and RS/SR-warfarin alcohols in oral fluid followed the same trend, whereas the concentration of RR/SS-warfarin alcohols was not affected. Six minute stimulation with chewing gum followed by collection with a polyester swab was the best sampling procedure, with a good repeatability (RSD &lt;10%) and relatively low inter-subject variability (RSD = 30%) of the oral fluid to plasma ratio. This procedure provided strong correlations between the measured oral fluid and unbound plasma concentration of warfarin (r = 0.92, p &lt;0.001) and RS/SR-warfarin alcohols (r = 0.84, p &lt;0.001), as well as between stimulated oral fluid and total plasma concentration of warfarin (r = 0.78, p &lt;0.001) and RS/SR-warfarin alcohols (r = 0.81, p &lt;0.001). Conclusion: The very good correlation between oral fluid and unbound plasma concentration of warfarin and RS/SR-warfarin alcohols suggests that oral fluid analysis could provide clinically useful information for the monitoring of anticoagulant therapy, complementary to the INR assay.","author":[{"dropping-particle":"","family":"Lomonaco","given":"T","non-dropping-particle":"","parse-names":false,"suffix":""},{"dropping-particle":"","family":"Ghimenti","given":"S","non-dropping-particle":"","parse-names":false,"suffix":""},{"dropping-particle":"","family":"Piga","given":"I","non-dropping-particle":"","parse-names":false,"suffix":""},{"dropping-particle":"","family":"Biagini","given":"D","non-dropping-particle":"","parse-names":false,"suffix":""},{"dropping-particle":"","family":"Onor","given":"M","non-dropping-particle":"","parse-names":false,"suffix":""},{"dropping-particle":"","family":"Fuoco","given":"R","non-dropping-particle":"","parse-names":false,"suffix":""},{"dropping-particle":"","family":"Francesco","given":"F","non-dropping-particle":"Di","parse-names":false,"suffix":""}],"container-title":"Plos One","id":"ITEM-5","issue":"12","issued":{"date-parts":[["2014"]]},"note":"Lomonaco, Tommaso Ghimenti, Silvia Piga, Isabella Biagini, Denise Onor, Massimo Fuoco, Roger Di Francesco, Fabio\nDi Francesco, Fabio/I-8756-2012; Onor, Massimo/A-4382-2012; Piga, Isabella/H-1065-2018; Lomonaco, Tommaso/K-8276-2016\nDi Francesco, Fabio/0000-0002-9285-1595; Onor, Massimo/0000-0003-3023-1072; Piga, Isabella/0000-0001-8221-2493; Lomonaco, Tommaso/0000-0002-1822-7399","title":"Influence of Sampling on the Determination of Warfarin and Warfarin Alcohols in Oral Fluid","type":"article-journal","volume":"9"},"uris":["http://www.mendeley.com/documents/?uuid=e4d9b396-91a4-4b0a-a1f0-ae968b6f1843"]},{"id":"ITEM-6","itemData":{"DOI":"10.1016/j.microc.2017.02.032","ISBN":"0026-265X","ISSN":"0026265X","abstract":"This study was aimed at evaluating the influence of sampling procedure on the determination of uric acid and lactate in oral fluid. Samples of non-stimulated and stimulated oral fluid were collected from 22 healthy volunteers. Different frequencies of stimulation were obtained by moving a polyester swab within the mouth at 50, 100 and 150 min− 1. Three oral fluid samples were consecutively collected from a subgroup of 5 volunteers at a constant stimulation (70 min− 1) and at a self-selected pace to evaluate reproducibility. The urate concentration in oral fluid decreased with the increase of the stimulation and oral fluid flow rate (r = − 0.98, p = 0.01). Also, the lactate concentration was much (p = 0.03, two tailed) lower in samples collected under a mild stimulation (50 min− 1) than in samples collected without stimulation. Nevertheless, it progressively increased at higher stimulations (100 and 150 min− 1). A transfer process mediated by membrane carriers (i.e. urate transporter and organic anion transporters) was hypothesized to explain these results. Finally, a reduced variability (relative standard deviation below 10%) of the urate concentration was obtained when oral fluid was sampled at constant stimulation (70 min− 1), but it increased remarkably (20–50%) in case of sampling at self-selected pace. Nevertheless, expressing the salivary excretion of urate as a function of time (μg min− 1), the variability of sampling procedure at self-selected pace was lower than 15%.","author":[{"dropping-particle":"","family":"Lomonaco","given":"T.","non-dropping-particle":"","parse-names":false,"suffix":""},{"dropping-particle":"","family":"Ghimenti","given":"S.","non-dropping-particle":"","parse-names":false,"suffix":""},{"dropping-particle":"","family":"Biagini","given":"D.","non-dropping-particle":"","parse-names":false,"suffix":""},{"dropping-particle":"","family":"Bramanti","given":"E.","non-dropping-particle":"","parse-names":false,"suffix":""},{"dropping-particle":"","family":"Onor","given":"M.","non-dropping-particle":"","parse-names":false,"suffix":""},{"dropping-particle":"","family":"Bellagambi","given":"F. G.","non-dropping-particle":"","parse-names":false,"suffix":""},{"dropping-particle":"","family":"Fuoco","given":"R.","non-dropping-particle":"","parse-names":false,"suffix":""},{"dropping-particle":"","family":"Francesco","given":"F.","non-dropping-particle":"Di","parse-names":false,"suffix":""}],"container-title":"Microchemical Journal","id":"ITEM-6","issued":{"date-parts":[["2018"]]},"title":"The effect of sampling procedures on the urate and lactate concentration in oral fluid","type":"article-journal"},"uris":["http://www.mendeley.com/documents/?uuid=2f359e5b-5c4e-4a78-85dc-d11bcac68007"]},{"id":"ITEM-7","itemData":{"DOI":"10.1089/omi.2013.0064","ISSN":"1536-2310","abstract":"Saliva is a fluid that can be collected easily and noninvasively. Its functions in the oral cavity are well known. Advances in molecular biology and technology, as well as research conducted by the various disciplines of omics (genomics, transcriptomics, proteomics, metabolomics, and metagenomics) have contributed to the identification and characterization of salivary components, including DNA, RNA, proteins, metabolites, and microorganisms. These biomolecules enter the saliva through extracellular and intracellular routes, providing information from several organs and systems and raising the possibility of their use as disease biomarkers. In recent years, these factors have expanded the potential use of saliva as a diagnostic fluid for oral and systemic diseases. This review integrates information regarding salivary biomolecules studied through omics and explores their utility as biomarkers for the diagnosis of several infectious and noninfectious diseases, and the opportunity they represent for the development of point of care devices for clinical application. We also discuss the advantages, disadvantages, and challenges to be overcome in order to establish saliva as a useful fluid for the accurate diagnosis and monitoring of a wide range of diseases.","author":[{"dropping-particle":"","family":"Cuevas-Cordoba","given":"B","non-dropping-particle":"","parse-names":false,"suffix":""},{"dropping-particle":"","family":"Santiago-Garcia","given":"J","non-dropping-particle":"","parse-names":false,"suffix":""}],"container-title":"Omics-a Journal of Integrative Biology","id":"ITEM-7","issue":"2","issued":{"date-parts":[["2014"]]},"note":"Cuevas-Cordoba, Betzaida Santiago-Garcia, Juan\nCuevas-Cordoba, Betzaida/0000-0002-6528-9998\n1557-8100","page":"87-97","title":"Saliva: A Fluid of Study for OMICS","type":"article-journal","volume":"18"},"uris":["http://www.mendeley.com/documents/?uuid=0d4ed80b-429d-4860-b288-56d76e0c8dc7"]}],"mendeley":{"formattedCitation":"[6–12]","plainTextFormattedCitation":"[6–12]","previouslyFormattedCitation":"[6–12]"},"properties":{"noteIndex":0},"schema":"https://github.com/citation-style-language/schema/raw/master/csl-citation.json"}</w:instrText>
      </w:r>
      <w:r w:rsidR="00CE775A">
        <w:rPr>
          <w:rFonts w:ascii="Times New Roman" w:hAnsi="Times New Roman" w:cs="Times New Roman"/>
          <w:lang w:val="en-GB"/>
        </w:rPr>
        <w:fldChar w:fldCharType="separate"/>
      </w:r>
      <w:r w:rsidR="00CE775A" w:rsidRPr="00CE775A">
        <w:rPr>
          <w:rFonts w:ascii="Times New Roman" w:hAnsi="Times New Roman" w:cs="Times New Roman"/>
          <w:noProof/>
          <w:lang w:val="en-GB"/>
        </w:rPr>
        <w:t>[6–12]</w:t>
      </w:r>
      <w:r w:rsidR="00CE775A">
        <w:rPr>
          <w:rFonts w:ascii="Times New Roman" w:hAnsi="Times New Roman" w:cs="Times New Roman"/>
          <w:lang w:val="en-GB"/>
        </w:rPr>
        <w:fldChar w:fldCharType="end"/>
      </w:r>
      <w:r w:rsidRPr="00C33195">
        <w:rPr>
          <w:rFonts w:ascii="Times New Roman" w:hAnsi="Times New Roman" w:cs="Times New Roman"/>
          <w:lang w:val="en-GB"/>
        </w:rPr>
        <w:t xml:space="preserve">. Saliva has many advantages in terms of collection, storage, shipping, and voluminous sampling and handling. It can be considered functionally equivalent to blood in reflecting the physiological state of the body due to the rapid diffusion equilibrium between the dissolved substances in the blood capillaries and salivary fluid through thin membranes of salivary glands </w:t>
      </w:r>
      <w:r w:rsidR="00C70BCC">
        <w:rPr>
          <w:rFonts w:ascii="Times New Roman" w:hAnsi="Times New Roman" w:cs="Times New Roman"/>
          <w:lang w:val="en-GB"/>
        </w:rPr>
        <w:fldChar w:fldCharType="begin" w:fldLock="1"/>
      </w:r>
      <w:r w:rsidR="00C70BCC">
        <w:rPr>
          <w:rFonts w:ascii="Times New Roman" w:hAnsi="Times New Roman" w:cs="Times New Roman"/>
          <w:lang w:val="en-GB"/>
        </w:rPr>
        <w:instrText>ADDIN CSL_CITATION {"citationItems":[{"id":"ITEM-1","itemData":{"DOI":"https://doi.org/10.1016/j.ijid.2009.04.022","ISSN":"1201-9712","abstract":"Saliva has become an important resource for evaluating physiological and pathological conditions in humans. The use of saliva has many advantages, including the simple and non-invasive method of collection and its easy, low-cost storage. With the addition of modern techniques and chemical instrumentation equipment, there has been an increase in its use for laboratory investigations, applicable for basic and clinical analyses in the fields of medicine and dentistry. The value of these methods for the diagnosis of oral and systemic diseases has been the subject of study by several researchers with the aim of increasing its use alongside complementary exams.","author":[{"dropping-particle":"","family":"Lima","given":"Daniela Pereira","non-dropping-particle":"","parse-names":false,"suffix":""},{"dropping-particle":"","family":"Diniz","given":"Diego Garcia","non-dropping-particle":"","parse-names":false,"suffix":""},{"dropping-particle":"","family":"Moimaz","given":"Suzely Adas Saliba","non-dropping-particle":"","parse-names":false,"suffix":""},{"dropping-particle":"","family":"Sumida","given":"Dóris Hissako","non-dropping-particle":"","parse-names":false,"suffix":""},{"dropping-particle":"","family":"Okamoto","given":"Ana Cláudia","non-dropping-particle":"","parse-names":false,"suffix":""}],"container-title":"International Journal of Infectious Diseases","id":"ITEM-1","issue":"3","issued":{"date-parts":[["2010"]]},"page":"e184-e188","title":"Saliva: reflection of the body","type":"article-journal","volume":"14"},"uris":["http://www.mendeley.com/documents/?uuid=288e2140-bf9f-44fc-b582-7928ee26f3d2"]}],"mendeley":{"formattedCitation":"[13]","plainTextFormattedCitation":"[13]","previouslyFormattedCitation":"[13]"},"properties":{"noteIndex":0},"schema":"https://github.com/citation-style-language/schema/raw/master/csl-citation.json"}</w:instrText>
      </w:r>
      <w:r w:rsidR="00C70BCC">
        <w:rPr>
          <w:rFonts w:ascii="Times New Roman" w:hAnsi="Times New Roman" w:cs="Times New Roman"/>
          <w:lang w:val="en-GB"/>
        </w:rPr>
        <w:fldChar w:fldCharType="separate"/>
      </w:r>
      <w:r w:rsidR="00C70BCC" w:rsidRPr="00C70BCC">
        <w:rPr>
          <w:rFonts w:ascii="Times New Roman" w:hAnsi="Times New Roman" w:cs="Times New Roman"/>
          <w:noProof/>
          <w:lang w:val="en-GB"/>
        </w:rPr>
        <w:t>[13]</w:t>
      </w:r>
      <w:r w:rsidR="00C70BCC">
        <w:rPr>
          <w:rFonts w:ascii="Times New Roman" w:hAnsi="Times New Roman" w:cs="Times New Roman"/>
          <w:lang w:val="en-GB"/>
        </w:rPr>
        <w:fldChar w:fldCharType="end"/>
      </w:r>
      <w:r w:rsidRPr="00C33195">
        <w:rPr>
          <w:rFonts w:ascii="Times New Roman" w:hAnsi="Times New Roman" w:cs="Times New Roman"/>
          <w:lang w:val="en-GB"/>
        </w:rPr>
        <w:t xml:space="preserve">. More than 700 bacterial species have been found in the oral cavity, which also contribute to saliva chemical composition through secretion of their metabolic by products </w:t>
      </w:r>
      <w:r w:rsidR="00C70BCC">
        <w:rPr>
          <w:rFonts w:ascii="Times New Roman" w:hAnsi="Times New Roman" w:cs="Times New Roman"/>
          <w:lang w:val="en-GB"/>
        </w:rPr>
        <w:fldChar w:fldCharType="begin" w:fldLock="1"/>
      </w:r>
      <w:r w:rsidR="00F31F7B">
        <w:rPr>
          <w:rFonts w:ascii="Times New Roman" w:hAnsi="Times New Roman" w:cs="Times New Roman"/>
          <w:lang w:val="en-GB"/>
        </w:rPr>
        <w:instrText>ADDIN CSL_CITATION {"citationItems":[{"id":"ITEM-1","itemData":{"DOI":"10.1128/jcm.43.11.5721-5732.2005","ISSN":"0095-1137 (Print) 0095-1137","abstract":"More than 700 bacterial species or phylotypes, of which over 50% have not been cultivated, have been detected in the oral cavity. Our purposes were (i) to utilize culture-independent molecular techniques to extend our knowledge on the breadth of bacterial diversity in the healthy human oral cavity, including not-yet-cultivated bacteria species, and (ii) to determine the site and subject specificity of bacterial colonization. Nine sites from five clinically healthy subjects were analyzed. Sites included tongue dorsum, lateral sides of tongue, buccal epithelium, hard palate, soft palate, supragingival plaque of tooth surfaces, subgingival plaque, maxillary anterior vestibule, and tonsils. 16S rRNA genes from sample DNA were amplified, cloned, and transformed into Escherichia coli. Sequences of 16S rRNA genes were used to determine species identity or closest relatives. In 2,589 clones, 141 predominant species were detected, of which over 60% have not been cultivated. Thirteen new phylotypes were identified. Species common to all sites belonged to the genera Gemella, Granulicatella, Streptococcus, and Veillonella. While some species were subject specific and detected in most sites, other species were site specific. Most sites possessed 20 to 30 different predominant species, and the number of predominant species from all nine sites per individual ranged from 34 to 72. Species typically associated with periodontitis and caries were not detected. There is a distinctive predominant bacterial flora of the healthy oral cavity that is highly diverse and site and subject specific. It is important to fully define the human microflora of the healthy oral cavity before we can understand the role of bacteria in oral disease.","author":[{"dropping-particle":"","family":"Aas","given":"J A","non-dropping-particle":"","parse-names":false,"suffix":""},{"dropping-particle":"","family":"Paster","given":"B J","non-dropping-particle":"","parse-names":false,"suffix":""},{"dropping-particle":"","family":"Stokes","given":"L N","non-dropping-particle":"","parse-names":false,"suffix":""},{"dropping-particle":"","family":"Olsen","given":"I","non-dropping-particle":"","parse-names":false,"suffix":""},{"dropping-particle":"","family":"Dewhirst","given":"F E","non-dropping-particle":"","parse-names":false,"suffix":""}],"container-title":"J Clin Microbiol","edition":"2005/11/08","id":"ITEM-1","issue":"11","issued":{"date-parts":[["2005"]]},"language":"eng","note":"Aas, Jorn A\nPaster, Bruce J\nStokes, Lauren N\nOlsen, Ingar\nDewhirst, Floyd E\nR01 DE011443/DE/NIDCR NIH HHS/United States","page":"5721-5732","publisher-place":"Institute of Oral Biology, University of Oslo, Postbox 1052 Blindern, 0316 Oslo, Norway. jornaaas@odont.uio.no","title":"Defining the normal bacterial flora of the oral cavity","type":"article-journal","volume":"43"},"uris":["http://www.mendeley.com/documents/?uuid=4edf91b9-5b30-40f9-bd92-b023ecff54f9"]},{"id":"ITEM-2","itemData":{"DOI":"10.1038/srep22164 https://www.nature.com/articles/srep22164#supplementary-information","author":[{"dropping-particle":"","family":"Takeshita","given":"Toru","non-dropping-particle":"","parse-names":false,"suffix":""},{"dropping-particle":"","family":"Kageyama","given":"Shinya","non-dropping-particle":"","parse-names":false,"suffix":""},{"dropping-particle":"","family":"Furuta","given":"Michiko","non-dropping-particle":"","parse-names":false,"suffix":""},{"dropping-particle":"","family":"Tsuboi","given":"Hidenori","non-dropping-particle":"","parse-names":false,"suffix":""},{"dropping-particle":"","family":"Takeuchi","given":"Kenji","non-dropping-particle":"","parse-names":false,"suffix":""},{"dropping-particle":"","family":"Shibata","given":"Yukie","non-dropping-particle":"","parse-names":false,"suffix":""},{"dropping-particle":"","family":"Shimazaki","given":"Yoshihiro","non-dropping-particle":"","parse-names":false,"suffix":""},{"dropping-particle":"","family":"Akifusa","given":"Sumio","non-dropping-particle":"","parse-names":false,"suffix":""},{"dropping-particle":"","family":"Ninomiya","given":"Toshiharu","non-dropping-particle":"","parse-names":false,"suffix":""},{"dropping-particle":"","family":"Kiyohara","given":"Yutaka","non-dropping-particle":"","parse-names":false,"suffix":""},{"dropping-particle":"","family":"Yamashita","given":"Yoshihisa","non-dropping-particle":"","parse-names":false,"suffix":""}],"container-title":"Scientific Reports","id":"ITEM-2","issued":{"date-parts":[["2016"]]},"page":"22164","title":"Bacterial diversity in saliva and oral health-related conditions: the Hisayama Study","type":"article-journal","volume":"6"},"uris":["http://www.mendeley.com/documents/?uuid=19a94da2-c4c9-467b-ab96-508c8ccfc577"]}],"mendeley":{"formattedCitation":"[14, 15]","plainTextFormattedCitation":"[14, 15]","previouslyFormattedCitation":"[14, 15]"},"properties":{"noteIndex":0},"schema":"https://github.com/citation-style-language/schema/raw/master/csl-citation.json"}</w:instrText>
      </w:r>
      <w:r w:rsidR="00C70BCC">
        <w:rPr>
          <w:rFonts w:ascii="Times New Roman" w:hAnsi="Times New Roman" w:cs="Times New Roman"/>
          <w:lang w:val="en-GB"/>
        </w:rPr>
        <w:fldChar w:fldCharType="separate"/>
      </w:r>
      <w:r w:rsidR="00C70BCC" w:rsidRPr="00C70BCC">
        <w:rPr>
          <w:rFonts w:ascii="Times New Roman" w:hAnsi="Times New Roman" w:cs="Times New Roman"/>
          <w:noProof/>
          <w:lang w:val="en-GB"/>
        </w:rPr>
        <w:t>[14, 15]</w:t>
      </w:r>
      <w:r w:rsidR="00C70BCC">
        <w:rPr>
          <w:rFonts w:ascii="Times New Roman" w:hAnsi="Times New Roman" w:cs="Times New Roman"/>
          <w:lang w:val="en-GB"/>
        </w:rPr>
        <w:fldChar w:fldCharType="end"/>
      </w:r>
      <w:r w:rsidRPr="00C33195">
        <w:rPr>
          <w:rFonts w:ascii="Times New Roman" w:hAnsi="Times New Roman" w:cs="Times New Roman"/>
          <w:lang w:val="en-GB"/>
        </w:rPr>
        <w:t>.</w:t>
      </w:r>
    </w:p>
    <w:p w14:paraId="1CC0E831" w14:textId="137B935E" w:rsidR="00E57EE7" w:rsidRPr="00C33195" w:rsidRDefault="00845E49" w:rsidP="00E57EE7">
      <w:pPr>
        <w:tabs>
          <w:tab w:val="left" w:pos="8293"/>
        </w:tabs>
        <w:spacing w:line="360" w:lineRule="auto"/>
        <w:jc w:val="both"/>
        <w:rPr>
          <w:rFonts w:ascii="Times New Roman" w:hAnsi="Times New Roman" w:cs="Times New Roman"/>
          <w:lang w:val="en-GB"/>
        </w:rPr>
      </w:pPr>
      <w:r w:rsidRPr="00C33195">
        <w:rPr>
          <w:rFonts w:ascii="Times New Roman" w:hAnsi="Times New Roman" w:cs="Times New Roman"/>
          <w:lang w:val="en-GB"/>
        </w:rPr>
        <w:t xml:space="preserve">Few studies (about </w:t>
      </w:r>
      <w:r w:rsidR="0003205A" w:rsidRPr="00C33195">
        <w:rPr>
          <w:rFonts w:ascii="Times New Roman" w:hAnsi="Times New Roman" w:cs="Times New Roman"/>
          <w:lang w:val="en-GB"/>
        </w:rPr>
        <w:t xml:space="preserve">98 </w:t>
      </w:r>
      <w:r w:rsidRPr="00C33195">
        <w:rPr>
          <w:rFonts w:ascii="Times New Roman" w:hAnsi="Times New Roman" w:cs="Times New Roman"/>
          <w:lang w:val="en-GB"/>
        </w:rPr>
        <w:t>papers in Web of Science: “microbiota AND saliva</w:t>
      </w:r>
      <w:r w:rsidR="0003205A" w:rsidRPr="00C33195">
        <w:rPr>
          <w:rFonts w:ascii="Times New Roman" w:hAnsi="Times New Roman" w:cs="Times New Roman"/>
          <w:lang w:val="en-GB"/>
        </w:rPr>
        <w:t>*</w:t>
      </w:r>
      <w:r w:rsidRPr="00C33195">
        <w:rPr>
          <w:rFonts w:ascii="Times New Roman" w:hAnsi="Times New Roman" w:cs="Times New Roman"/>
          <w:lang w:val="en-GB"/>
        </w:rPr>
        <w:t xml:space="preserve">” in the title) explore the microbiota of saliva </w:t>
      </w:r>
      <w:r w:rsidR="00F31F7B">
        <w:rPr>
          <w:rFonts w:ascii="Times New Roman" w:hAnsi="Times New Roman" w:cs="Times New Roman"/>
          <w:lang w:val="en-GB"/>
        </w:rPr>
        <w:fldChar w:fldCharType="begin" w:fldLock="1"/>
      </w:r>
      <w:r w:rsidR="00F31F7B">
        <w:rPr>
          <w:rFonts w:ascii="Times New Roman" w:hAnsi="Times New Roman" w:cs="Times New Roman"/>
          <w:lang w:val="en-GB"/>
        </w:rPr>
        <w:instrText>ADDIN CSL_CITATION {"citationItems":[{"id":"ITEM-1","itemData":{"DOI":"10.1089/omi.2013.0064","ISSN":"1536-2310","abstract":"Saliva is a fluid that can be collected easily and noninvasively. Its functions in the oral cavity are well known. Advances in molecular biology and technology, as well as research conducted by the various disciplines of omics (genomics, transcriptomics, proteomics, metabolomics, and metagenomics) have contributed to the identification and characterization of salivary components, including DNA, RNA, proteins, metabolites, and microorganisms. These biomolecules enter the saliva through extracellular and intracellular routes, providing information from several organs and systems and raising the possibility of their use as disease biomarkers. In recent years, these factors have expanded the potential use of saliva as a diagnostic fluid for oral and systemic diseases. This review integrates information regarding salivary biomolecules studied through omics and explores their utility as biomarkers for the diagnosis of several infectious and noninfectious diseases, and the opportunity they represent for the development of point of care devices for clinical application. We also discuss the advantages, disadvantages, and challenges to be overcome in order to establish saliva as a useful fluid for the accurate diagnosis and monitoring of a wide range of diseases.","author":[{"dropping-particle":"","family":"Cuevas-Cordoba","given":"B","non-dropping-particle":"","parse-names":false,"suffix":""},{"dropping-particle":"","family":"Santiago-Garcia","given":"J","non-dropping-particle":"","parse-names":false,"suffix":""}],"container-title":"Omics-a Journal of Integrative Biology","id":"ITEM-1","issue":"2","issued":{"date-parts":[["2014"]]},"note":"Cuevas-Cordoba, Betzaida Santiago-Garcia, Juan\nCuevas-Cordoba, Betzaida/0000-0002-6528-9998\n1557-8100","page":"87-97","title":"Saliva: A Fluid of Study for OMICS","type":"article-journal","volume":"18"},"uris":["http://www.mendeley.com/documents/?uuid=0d4ed80b-429d-4860-b288-56d76e0c8dc7"]}],"mendeley":{"formattedCitation":"[12]","plainTextFormattedCitation":"[12]","previouslyFormattedCitation":"[12]"},"properties":{"noteIndex":0},"schema":"https://github.com/citation-style-language/schema/raw/master/csl-citation.json"}</w:instrText>
      </w:r>
      <w:r w:rsidR="00F31F7B">
        <w:rPr>
          <w:rFonts w:ascii="Times New Roman" w:hAnsi="Times New Roman" w:cs="Times New Roman"/>
          <w:lang w:val="en-GB"/>
        </w:rPr>
        <w:fldChar w:fldCharType="separate"/>
      </w:r>
      <w:r w:rsidR="00F31F7B" w:rsidRPr="00F31F7B">
        <w:rPr>
          <w:rFonts w:ascii="Times New Roman" w:hAnsi="Times New Roman" w:cs="Times New Roman"/>
          <w:noProof/>
          <w:lang w:val="en-GB"/>
        </w:rPr>
        <w:t>[12]</w:t>
      </w:r>
      <w:r w:rsidR="00F31F7B">
        <w:rPr>
          <w:rFonts w:ascii="Times New Roman" w:hAnsi="Times New Roman" w:cs="Times New Roman"/>
          <w:lang w:val="en-GB"/>
        </w:rPr>
        <w:fldChar w:fldCharType="end"/>
      </w:r>
      <w:r w:rsidR="00F31F7B">
        <w:rPr>
          <w:rFonts w:ascii="Times New Roman" w:hAnsi="Times New Roman" w:cs="Times New Roman"/>
          <w:lang w:val="en-GB"/>
        </w:rPr>
        <w:fldChar w:fldCharType="begin" w:fldLock="1"/>
      </w:r>
      <w:r w:rsidR="00097781">
        <w:rPr>
          <w:rFonts w:ascii="Times New Roman" w:hAnsi="Times New Roman" w:cs="Times New Roman"/>
          <w:lang w:val="en-GB"/>
        </w:rPr>
        <w:instrText>ADDIN CSL_CITATION {"citationItems":[{"id":"ITEM-1","itemData":{"DOI":"10.1007/s11306-015-0840-5","ISSN":"1573-3882","abstract":"Saliva is a clear, watery biofluid produced by the salivary glands to protect and lubricate the oral cavity. While mostly composed of water (99 %), the chemical composition of saliva is known to change quite dramatically in response to a variety of different physiological states, stimuli, insults and stressors. Unfortunately, among the human biofluids typically used in medical testing (such as blood and urine), saliva is rarely used. Given that saliva is the most easily accessible and readily obtained biofluid, this is rather unfortunate. Part of the reluctance to use saliva in medical testing likely has to do with the fact that its chemical composition is not well known. Here, a comprehensive characterization of the human saliva metabolome is presented. Multiple analytical platforms including nuclear magnetic resonance spectroscopy, gas chromatography mass spectrometry, direct flow injection/liquid chromatography mass spectrometry, inductively coupled plasma mass spectrometry, and high performance liquid chromatography were employed to quantify the metabolites that can be commonly detected in human saliva. Using this multiplatform approach, we were able to quantify and/or identify 308 salivary metabolites or metabolite species in human saliva. This experimental work was complemented with computer-aided literature mining that led to the identification and annotation of another 708 salivary metabolites. The combined collection of 853 non-redundant salivary metabolites or metabolite species together with their concentrations, related literature references, and links to their known disease associations are freely available at http://www.hmdb.ca/.","author":[{"dropping-particle":"","family":"Dame","given":"Z T","non-dropping-particle":"","parse-names":false,"suffix":""},{"dropping-particle":"","family":"Aziat","given":"F","non-dropping-particle":"","parse-names":false,"suffix":""},{"dropping-particle":"","family":"Mandal","given":"R","non-dropping-particle":"","parse-names":false,"suffix":""},{"dropping-particle":"","family":"Krishnamurthy","given":"R","non-dropping-particle":"","parse-names":false,"suffix":""},{"dropping-particle":"","family":"Bouatra","given":"S","non-dropping-particle":"","parse-names":false,"suffix":""},{"dropping-particle":"","family":"Borzouie","given":"S","non-dropping-particle":"","parse-names":false,"suffix":""},{"dropping-particle":"","family":"Guo","given":"A C","non-dropping-particle":"","parse-names":false,"suffix":""},{"dropping-particle":"","family":"Sajed","given":"T","non-dropping-particle":"","parse-names":false,"suffix":""},{"dropping-particle":"","family":"Deng","given":"L","non-dropping-particle":"","parse-names":false,"suffix":""},{"dropping-particle":"","family":"Lin","given":"H","non-dropping-particle":"","parse-names":false,"suffix":""},{"dropping-particle":"","family":"Liu","given":"P","non-dropping-particle":"","parse-names":false,"suffix":""},{"dropping-particle":"","family":"Dong","given":"E","non-dropping-particle":"","parse-names":false,"suffix":""},{"dropping-particle":"","family":"Wishart","given":"D S","non-dropping-particle":"","parse-names":false,"suffix":""}],"container-title":"Metabolomics","id":"ITEM-1","issue":"6","issued":{"date-parts":[["2015"]]},"note":"Dame, Zerihun T. Aziat, Farid Mandal, Rupasri Krishnamurthy, Ram Bouatra, Souhaila Borzouie, Shima Guo, An Chi Sajed, Tanvir Deng, Lu Lin, Hong Liu, Philip Dong, Edison Wishart, David S.\nWishart, David S/0000-0002-3207-2434; Dame, Zerihun/0000-0003-3862-1067\n1573-3890","page":"1864-1883","title":"The human saliva metabolome","type":"article-journal","volume":"11"},"uris":["http://www.mendeley.com/documents/?uuid=4a7d2496-050b-488f-887b-f9f5c2388ece"]},{"id":"ITEM-2","itemData":{"DOI":"10.1177/1535370216681550","ISSN":"1535-3702","abstract":"In this review, we provide an update on the current and future applications of saliva for diagnostic purposes. There are many advantages of using saliva as a biofluid. Its collection is fast, easy, inexpensive, and non-invasive. In addition, saliva, as a \"mirror of the body,''can reflect the physiological and pathological state of the body. Therefore, it serves as a diagnostic and monitoring tool in many fields of science such as medicine, dentistry, and pharmacotherapy. Introduced in 2008, the term \"Salivaomics'' aimed to highlight the rapid development of knowledge about various \"omics'' constituents of saliva, including: proteome, transcriptome, micro-RNA, metabolome, and microbiome. In the last few years, researchers have developed new technologies and validated a wide range of salivary biomarkers that will soon make the use of saliva a clinical reality. However, a great need still exists for convenient and accurate point-of-care devices that can serve as a non-invasive diagnostic tool. In addition, there is an urgent need to decipher the scientific rationale and mechanisms that convey systemic diseases to saliva. Another promising technology called liquid biopsy enables detection of circulating tumor cells (CTCs) and fragments of tumor DNA in saliva, thus enabling non-invasive early detection of various cancers. The newly developed technology-electric field-induced release and measurement (EFIRM) provides near perfect detection of actionablemutations in lung cancer patients. These recent advances widened the salivary diagnostic approach from the oral cavity to the whole physiological system, and thus point towards a promising future of salivary diagnostics for personalized individual medicine applications including clinical decisions and post-treatment outcome predictions.","author":[{"dropping-particle":"","family":"Kaczor-Urbanowicz","given":"K E","non-dropping-particle":"","parse-names":false,"suffix":""},{"dropping-particle":"","family":"Carreras-Presas","given":"C M","non-dropping-particle":"","parse-names":false,"suffix":""},{"dropping-particle":"","family":"Aro","given":"K","non-dropping-particle":"","parse-names":false,"suffix":""},{"dropping-particle":"","family":"Tu","given":"M","non-dropping-particle":"","parse-names":false,"suffix":""},{"dropping-particle":"","family":"Garcia-Godoy","given":"F","non-dropping-particle":"","parse-names":false,"suffix":""},{"dropping-particle":"","family":"Wong","given":"D T W","non-dropping-particle":"","parse-names":false,"suffix":""}],"container-title":"Experimental Biology and Medicine","id":"ITEM-2","issue":"5","issued":{"date-parts":[["2017"]]},"note":"Kaczor-Urbanowicz, Karolina Elzbieta Martin Carreras-Presas, Carmen Aro, Katri Tu, Michael Garcia-Godoy, Franklin Wong, David T. W.\n1535-3699","page":"459-472","title":"Saliva diagnostics - Current views and directions","type":"article-journal","volume":"242"},"uris":["http://www.mendeley.com/documents/?uuid=e9d46a68-e2c4-4f19-ae81-02a083ed00b4"]}],"mendeley":{"formattedCitation":"[16, 17]","plainTextFormattedCitation":"[16, 17]","previouslyFormattedCitation":"[16, 17]"},"properties":{"noteIndex":0},"schema":"https://github.com/citation-style-language/schema/raw/master/csl-citation.json"}</w:instrText>
      </w:r>
      <w:r w:rsidR="00F31F7B">
        <w:rPr>
          <w:rFonts w:ascii="Times New Roman" w:hAnsi="Times New Roman" w:cs="Times New Roman"/>
          <w:lang w:val="en-GB"/>
        </w:rPr>
        <w:fldChar w:fldCharType="separate"/>
      </w:r>
      <w:r w:rsidR="00F31F7B" w:rsidRPr="00F31F7B">
        <w:rPr>
          <w:rFonts w:ascii="Times New Roman" w:hAnsi="Times New Roman" w:cs="Times New Roman"/>
          <w:noProof/>
          <w:lang w:val="en-GB"/>
        </w:rPr>
        <w:t>[16, 17]</w:t>
      </w:r>
      <w:r w:rsidR="00F31F7B">
        <w:rPr>
          <w:rFonts w:ascii="Times New Roman" w:hAnsi="Times New Roman" w:cs="Times New Roman"/>
          <w:lang w:val="en-GB"/>
        </w:rPr>
        <w:fldChar w:fldCharType="end"/>
      </w:r>
      <w:r w:rsidRPr="00C33195">
        <w:rPr>
          <w:rFonts w:ascii="Times New Roman" w:hAnsi="Times New Roman" w:cs="Times New Roman"/>
          <w:lang w:val="en-GB"/>
        </w:rPr>
        <w:t xml:space="preserve">. While it is quite clear that the salivary microbiota is associated with the oral health status or local inflammation </w:t>
      </w:r>
      <w:r w:rsidR="00097781">
        <w:rPr>
          <w:rFonts w:ascii="Times New Roman" w:hAnsi="Times New Roman" w:cs="Times New Roman"/>
          <w:lang w:val="en-GB"/>
        </w:rPr>
        <w:fldChar w:fldCharType="begin" w:fldLock="1"/>
      </w:r>
      <w:r w:rsidR="000726D3">
        <w:rPr>
          <w:rFonts w:ascii="Times New Roman" w:hAnsi="Times New Roman" w:cs="Times New Roman"/>
          <w:lang w:val="en-GB"/>
        </w:rPr>
        <w:instrText>ADDIN CSL_CITATION {"citationItems":[{"id":"ITEM-1","itemData":{"DOI":"10.1007/s00784-014-1286-2","ISSN":"1432-6981","abstract":"The objective of this study is to analyse the correlation of our own design of oral health scale (grades 0 and 1-better oral health vs. grades 2 and 3-poorer oral health) with the salivary microbiota. The oral health scale we elaborated was evaluated in 100 adults (25 patients from each global oral health grade). Saliva samples collected from these patients were analysed using microbiological culture techniques, determining the presence/absence and the concentrations of some odontopathogens and periodontopathogens. In comparison with the global oral health grades 0-1, the grades 2-3 presented significantly higher values for the presence of odontopathogens (78 vs. 38 %; Streptococcus mutans, Lactobacillus spp. and Actinomyces spp.) and periodontopathogens (100 vs. 90 %; Aggregatibacter actinomycetemcomitans, Campylobacter spp., Fusobacterium spp. and Prevotella gingivalis). In comparison with the grades 0-1, the grades 2-3 presented significantly higher values for the concentrations (CFU/mL log(10)) of facultative anaerobes, strict anaerobes, odontopathogens (S. mutans, Lactobacillus spp. and Actinomyces spp.) and periodontopathogens (A. actinomycetemcomitans, Capnocytophaga spp., Campylobacter spp. and Fusobacterium spp.). Our new global oral health scale shows a positive correlation with the detection and quantification of certain odontopathogens and periodontopathogens present in the saliva, confirming their possible infectious potential. Our own design of oral health scale could be particularly useful for the epidemiological study of different populations, the evaluation of the influence of oral health on the development of certain systemic diseases as well as the analysis of inter- and intra-individual variability of the oral microbiota in relation to the different grades of the oral health scale.","author":[{"dropping-particle":"","family":"Relvas","given":"M","non-dropping-particle":"","parse-names":false,"suffix":""},{"dropping-particle":"","family":"Tomas","given":"I","non-dropping-particle":"","parse-names":false,"suffix":""},{"dropping-particle":"","family":"Casares-De-Cal","given":"M D","non-dropping-particle":"","parse-names":false,"suffix":""},{"dropping-particle":"","family":"Velazco","given":"C","non-dropping-particle":"","parse-names":false,"suffix":""}],"container-title":"Clinical Oral Investigations","id":"ITEM-1","issue":"3","issued":{"date-parts":[["2015"]]},"note":"Relvas, Marta Tomas, Inmaculada de los Angeles Casares-De-Cal, Maria Velazco, Corsina\nCasares-de-Cal, Maria-Angeles/E-1767-2018; TOMAS-CARMONA, INMACULADA/M-1135-2014\nCasares-de-Cal, Maria-Angeles/0000-0001-8077-3684; TOMAS-CARMONA, INMACULADA/0000-0002-3317-0853; Velazco, Corsina/0000-0003-4815-8256; Relvas, Marta/0000-0003-0713-2041\n1436-3771","page":"717-728","title":"Evaluation of a new oral health scale of infectious potential based on the salivary microbiota","type":"article-journal","volume":"19"},"uris":["http://www.mendeley.com/documents/?uuid=cb718a31-e879-4fb7-ba05-ecb824751a92"]},{"id":"ITEM-2","itemData":{"DOI":"10.1007/s00784-011-0654-4","ISSN":"1432-6981","abstract":"Objective The aim of this study was to determine the profiles of periodontopathogenic bacteria in a Chinese population using quantitative real-time polymerase chain reaction (qRT-PCR). Materials and methods Twenty-four periodontally healthy Chinese subjects and 60 patients with chronic periodontitis (CP) were enrolled in this cross-sectional study. qRT-PCR was used to quantify Aggregatibacter actinomycetemcomitans, Fusobacterium nucleatum, Porphyromonas gingivalis, and Prevotella intermedia as well as total bacterial counts from 252 samples collected from the saliva, supragingival plaque, and subgingival plaque of all 84 subjects. Results The detection frequency of A. actinomycetemcomitans was less than 50%. F. nucleatum was detected in all subjects and CP patients had higher bacterial loads than healthy subjects. The median proportion of F. nucleatum was significantly higher in subgingival plaque than in supragingival plaque and saliva. P. gingivalis and P. intermedia had higher detection frequencies and bacterial loads in CP patients than in healthy subjects. The median proportion of P. gingivalis was significantly different among the three intraoral locations in the CP group and its proportion in subgingival plaque was 9.01%. Moreover, strong positive Spearman's correlations were found in A. actinomycetemcomitans, P. gingivalis, and P. intermedia counts across the three intraoral locations. Conclusion The presence and bacteria loads of these four bacteria in this Chinese population are similar to those from other populations. Clinical relevance Examination of bacterial detection frequency and loads in Chinese adults may assist microbial studies of periodontal disease and will shed light on periodontal disease diagnosis and treatment using antibiotics in the Chinese population.","author":[{"dropping-particle":"","family":"He","given":"J Y","non-dropping-particle":"","parse-names":false,"suffix":""},{"dropping-particle":"","family":"Huang","given":"W J","non-dropping-particle":"","parse-names":false,"suffix":""},{"dropping-particle":"","family":"Pan","given":"Z W","non-dropping-particle":"","parse-names":false,"suffix":""},{"dropping-particle":"","family":"Cui","given":"H H","non-dropping-particle":"","parse-names":false,"suffix":""},{"dropping-particle":"","family":"Qi","given":"G G","non-dropping-particle":"","parse-names":false,"suffix":""},{"dropping-particle":"","family":"Zhou","given":"X P","non-dropping-particle":"","parse-names":false,"suffix":""},{"dropping-particle":"","family":"Chen","given":"H","non-dropping-particle":"","parse-names":false,"suffix":""}],"container-title":"Clinical Oral Investigations","id":"ITEM-2","issue":"6","issued":{"date-parts":[["2012"]]},"note":"He, Jiayan Huang, Wujing Pan, Zhiwen Cui, Honghua Qi, Ganggang Zhou, Xueping Chen, Hui","page":"1579-1588","title":"Quantitative analysis of microbiota in saliva, supragingival, and subgingival plaque of Chinese adults with chronic periodontitis","type":"article-journal","volume":"16"},"uris":["http://www.mendeley.com/documents/?uuid=cd1f2afb-1747-4aff-9835-366f50148b45"]},{"id":"ITEM-3","itemData":{"DOI":"10.1016/j.archoralbio.2013.10.011","ISSN":"0003-9969","abstract":"Objective: A growingbody of evidence has implicated human oral microbiota in the aetiology of oral and systemic diseases. Nasopharyngeal carcinoma (NPC), an epithelial-originated malignancy, has a complex aetiology not yet fully understood. Chemoradiation therapy of NPC can affect oral microbiota and is usually accompanied by plaque accumulation. Thus, the study aimed to understand the diversity, divergence and development of the oral microbiota in NPC patients and their associated treatment, which might provide useful insights into disease aetiology and treatment side effects. Design: A longitudinal study was designed that included three Chinese adults with NPC. Saliva samples were collected at three time points: prior to the chemoradiation treatment (carcinoma baseline, or CB), 7 months post-treatment (carcinoma-after-therapy phase 1 or CA1) and 12 months post-treatment (carcinoma-after-therapy phase 2 or CA2). Pyrosequencing of the bacterial 16S ribosomal DNA (rDNA) V1-V3 hypervariable region was employed to characterise the microbiota. Saliva samples of three healthy subjects from our former study were employed as healthy controls. Principal coordinates analysis (PCoA), Metastats and random forest prediction models were used to reveal the key microbial members associated with NPC and its treatment programme. Results: (1) In total, 412 bacterial species from at least 107 genera and 13 phyla were found in the saliva samples of the NPC patients. (2) PCoA revealed that not only were the microbiota from NPC patients distinct from those of healthy controls (p &lt; 0.001) but also that separation was found on the saliva microbiota between pre- and post-therapy (p &lt; 0.001) in the NPC samples. (3) At the genus level and the operational taxonomic unit (OTU) level, Streptococcus was found with lower abundance in NPC samples. (4) Chemoradiation therapy did not incur similar changes in microbiota structure among the three NPC patients; the microbiota in one of them stayed largely steady, while those in the other two showed significant alteration. Conclusions: This is the first study employing culture-independent techniques to interrogate the phylogenetic diversity, divergence and temporal development of oral microbiota in NPC patients. Our results indicated that certain bacterial taxa might be associated with NPC and that oral microbiota of NPC patients might respond to the chemoradiation therapy in a host-specific manner. Further investigation with larger sample s…","author":[{"dropping-particle":"","family":"Xu","given":"Y","non-dropping-particle":"","parse-names":false,"suffix":""},{"dropping-particle":"","family":"Teng","given":"F","non-dropping-particle":"","parse-names":false,"suffix":""},{"dropping-particle":"","family":"Huang","given":"S","non-dropping-particle":"","parse-names":false,"suffix":""},{"dropping-particle":"","family":"Lin","given":"Z M","non-dropping-particle":"","parse-names":false,"suffix":""},{"dropping-particle":"","family":"Yuan","given":"X","non-dropping-particle":"","parse-names":false,"suffix":""},{"dropping-particle":"","family":"Zeng","given":"X W","non-dropping-particle":"","parse-names":false,"suffix":""},{"dropping-particle":"","family":"Yang","given":"F","non-dropping-particle":"","parse-names":false,"suffix":""}],"container-title":"Archives of Oral Biology","id":"ITEM-3","issue":"2","issued":{"date-parts":[["2014"]]},"note":"Xu, Yuan Teng, Fei Huang, Shi Lin, Zhengmei Yuan, Xiao Zeng, Xiaowei Yang, Fang\n1879-1506","page":"176-186","title":"Changes of saliva microbiota in nasopharyngeal carcinoma patients under chemoradiation therapy","type":"article-journal","volume":"59"},"uris":["http://www.mendeley.com/documents/?uuid=0eceb96d-8da9-46c4-85f6-1cc28d9b805d"]},{"id":"ITEM-4","itemData":{"DOI":"10.1586/14737159.2016.1133296","ISSN":"1473-7159","abstract":"The variation of saliva composition in different physiological and pathological states is well demonstrated. Several saliva constituents (enzymes, hormones, antibodies, cytokines etc.) are up- or down-regulated in respect to benign, premalignant and malignant conditions in the oral cavity, and several patterns of deregulation are associated with specific disorders. Omics technologies have contributed significantly in the identification of alterations in gene expression, transcription, protein coding and small molecules concentration, in biologic systems. In this aspect, salivaomics integrate these technologies in saliva analysis and represent a novel and holistic approach in oral disease management including diagnosis, prognosis and monitoring. This review summarizes the current research in the discovery of biomarkers and molecular signatures with diagnostic or prognostic utility for oral diseases in saliva. The review also focuses on the emerging issues of the salivaomics technology and saliva diagnostics and the translational potential.","author":[{"dropping-particle":"","family":"Tasoulas","given":"J","non-dropping-particle":"","parse-names":false,"suffix":""},{"dropping-particle":"","family":"Patsouris","given":"E","non-dropping-particle":"","parse-names":false,"suffix":""},{"dropping-particle":"","family":"Giaginis","given":"C","non-dropping-particle":"","parse-names":false,"suffix":""},{"dropping-particle":"","family":"Theocharis","given":"S","non-dropping-particle":"","parse-names":false,"suffix":""}],"container-title":"Expert Review of Molecular Diagnostics","id":"ITEM-4","issue":"3","issued":{"date-parts":[["2016"]]},"note":"Tasoulas, Jason Patsouris, Efstratios Giaginis, Constantinos Theocharis, Stamatios\nTasoulas, Jason/0000-0003-3791-3252\n1744-8352","page":"285-295","title":"Salivaomics for oral diseases biomarkers detection","type":"article-journal","volume":"16"},"uris":["http://www.mendeley.com/documents/?uuid=d4c04253-224f-49bd-85b0-1c42f629bac7"]},{"id":"ITEM-5","itemData":{"DOI":"10.1136/annrheumdis-2014-eular.1201","ISSN":"0003-4967","author":[{"dropping-particle":"","family":"Kageyama","given":"G","non-dropping-particle":"","parse-names":false,"suffix":""},{"dropping-particle":"","family":"Saegusa","given":"J","non-dropping-particle":"","parse-names":false,"suffix":""},{"dropping-particle":"","family":"Tanaka","given":"S","non-dropping-particle":"","parse-names":false,"suffix":""},{"dropping-particle":"","family":"Takahashi","given":"S","non-dropping-particle":"","parse-names":false,"suffix":""},{"dropping-particle":"","family":"Nishida","given":"M","non-dropping-particle":"","parse-names":false,"suffix":""},{"dropping-particle":"","family":"Tsuda","given":"K","non-dropping-particle":"","parse-names":false,"suffix":""},{"dropping-particle":"","family":"Yamamoto","given":"Y","non-dropping-particle":"","parse-names":false,"suffix":""},{"dropping-particle":"","family":"Okano","given":"T","non-dropping-particle":"","parse-names":false,"suffix":""},{"dropping-particle":"","family":"Akashi","given":"K","non-dropping-particle":"","parse-names":false,"suffix":""},{"dropping-particle":"","family":"Nishimura","given":"K","non-dropping-particle":"","parse-names":false,"suffix":""},{"dropping-particle":"","family":"Sendo","given":"S","non-dropping-particle":"","parse-names":false,"suffix":""},{"dropping-particle":"","family":"Kogata","given":"Y","non-dropping-particle":"","parse-names":false,"suffix":""},{"dropping-particle":"","family":"Kawano","given":"S","non-dropping-particle":"","parse-names":false,"suffix":""},{"dropping-particle":"","family":"Morinobu","given":"A","non-dropping-particle":"","parse-names":false,"suffix":""}],"container-title":"Annals of the Rheumatic Diseases","id":"ITEM-5","issued":{"date-parts":[["2014"]]},"note":"Kageyama, G. Saegusa, J. Tanaka, S. Takahashi, S. Nishida, M. Tsuda, K. Yamamoto, Y. Okano, T. Akashi, K. Nishimura, K. Sendo, S. Kogata, Y. Kawano, S. Morinobu, A.\n15th Annual European Congress of Rheumatology (EULAR)\nJun 11-14, 2014\nParis, FRANCE\n1468-2060\n2","page":"524-525","title":"SALIVARY METABOLOMICS OF PRIMARY SJOGREN'S SYNDROME","type":"article-journal","volume":"73"},"uris":["http://www.mendeley.com/documents/?uuid=51b82ed0-f744-430c-8ab1-ae7bdf6e1915"]}],"mendeley":{"formattedCitation":"[18–22]","plainTextFormattedCitation":"[18–22]","previouslyFormattedCitation":"[18–22]"},"properties":{"noteIndex":0},"schema":"https://github.com/citation-style-language/schema/raw/master/csl-citation.json"}</w:instrText>
      </w:r>
      <w:r w:rsidR="00097781">
        <w:rPr>
          <w:rFonts w:ascii="Times New Roman" w:hAnsi="Times New Roman" w:cs="Times New Roman"/>
          <w:lang w:val="en-GB"/>
        </w:rPr>
        <w:fldChar w:fldCharType="separate"/>
      </w:r>
      <w:r w:rsidR="00097781" w:rsidRPr="00097781">
        <w:rPr>
          <w:rFonts w:ascii="Times New Roman" w:hAnsi="Times New Roman" w:cs="Times New Roman"/>
          <w:noProof/>
          <w:lang w:val="en-GB"/>
        </w:rPr>
        <w:t>[18–22]</w:t>
      </w:r>
      <w:r w:rsidR="00097781">
        <w:rPr>
          <w:rFonts w:ascii="Times New Roman" w:hAnsi="Times New Roman" w:cs="Times New Roman"/>
          <w:lang w:val="en-GB"/>
        </w:rPr>
        <w:fldChar w:fldCharType="end"/>
      </w:r>
      <w:r w:rsidRPr="00C33195">
        <w:rPr>
          <w:rFonts w:ascii="Times New Roman" w:hAnsi="Times New Roman" w:cs="Times New Roman"/>
          <w:lang w:val="en-GB"/>
        </w:rPr>
        <w:t xml:space="preserve">, relatively few authors investigated the dependence of salivary microbiota with life style </w:t>
      </w:r>
      <w:r w:rsidR="000726D3">
        <w:rPr>
          <w:rFonts w:ascii="Times New Roman" w:hAnsi="Times New Roman" w:cs="Times New Roman"/>
          <w:lang w:val="en-GB"/>
        </w:rPr>
        <w:fldChar w:fldCharType="begin" w:fldLock="1"/>
      </w:r>
      <w:r w:rsidR="007C777B">
        <w:rPr>
          <w:rFonts w:ascii="Times New Roman" w:hAnsi="Times New Roman" w:cs="Times New Roman"/>
          <w:lang w:val="en-GB"/>
        </w:rPr>
        <w:instrText>ADDIN CSL_CITATION {"citationItems":[{"id":"ITEM-1","itemData":{"DOI":"10.1038/s41598-018-24207-3","ISSN":"2045-2322","abstract":"Little is known about the effect of long-term diet patterns on the composition and functional potential of the human salivary microbiota. In the present study, we sought to contribute to the ongoing elucidation of dietary effects on the oral microbial community by examining the diversity, composition and functional potential of the salivary microbiota in 160 healthy vegans and omnivores using 16S rRNA gene amplicon sequencing. We further sought to identify bacterial taxa in saliva associated with host inflammatory markers. We show that compositional differences in the salivary microbiota of vegans and omnivores is present at all taxonomic levels below phylum level and includes upper respiratory tract commensals (e.g. Neisseria subflava, Haemophilus parainfluenzae, and Rothia mucilaginosa) and species associated with periodontal disease (e.g. Campylobacter rectus and Porphyromonas endodontalis). Dietary intake of medium chain fatty acids, piscine mono-and polyunsaturated fatty acids, and dietary fibre was associated with bacterial diversity, community structure, as well as relative abundance of several species-level operational taxonomic units. Analysis of imputed genomic potential revealed several metabolic pathways differentially abundant in vegans and omnivores indicating possible effects of macro-and micro-nutrient intake. We also show that certain oral bacteria are associated with the systemic inflammatory state of the host.","author":[{"dropping-particle":"","family":"Hansen","given":"T H","non-dropping-particle":"","parse-names":false,"suffix":""},{"dropping-particle":"","family":"Kern","given":"T","non-dropping-particle":"","parse-names":false,"suffix":""},{"dropping-particle":"","family":"Bak","given":"E G","non-dropping-particle":"","parse-names":false,"suffix":""},{"dropping-particle":"","family":"Kashani","given":"A","non-dropping-particle":"","parse-names":false,"suffix":""},{"dropping-particle":"","family":"Allin","given":"K H","non-dropping-particle":"","parse-names":false,"suffix":""},{"dropping-particle":"","family":"Nielsen","given":"T","non-dropping-particle":"","parse-names":false,"suffix":""},{"dropping-particle":"","family":"Hansen","given":"T","non-dropping-particle":"","parse-names":false,"suffix":""},{"dropping-particle":"","family":"Pedersen","given":"O","non-dropping-particle":"","parse-names":false,"suffix":""}],"container-title":"Scientific Reports","id":"ITEM-1","issued":{"date-parts":[["2018"]]},"note":"Hansen, Tue H. Kern, Timo Bak, Emilie G. Kashani, Alireza Allin, Kristine H. Nielsen, Trine Hansen, Torben Pedersen, Oluf","title":"Impact of a vegan diet on the human salivary microbiota","type":"article-journal","volume":"8"},"uris":["http://www.mendeley.com/documents/?uuid=256f60b2-48e9-4e60-a5f1-27dc897d01e8"]},{"id":"ITEM-2","itemData":{"DOI":"10.1111/nbu.12298","ISSN":"1471-9827","abstract":"Saliva offers the advantages of simple and non-invasive sampling and a rich source of biomarkers due to the high diversity of its microbiome, proteome and metabolome. The main objective of the SALivAry bioMarkers of mediterraneAN Diet associated with long-tERm protection against type 2 diabetes (SALAMANDER) project is to identify and validate salivary signatures indicative of healthy dietary choices (adoption of a Mediterranean diet) with a positive long-term health outcome (protection against type 2 diabetes) throughout adult life. The project will utilise the UK Biobank, a bank of saliva samples with dietary, lifestyle and health-associated data from 85 000 donors, collected during 2006-2010. UK Biobank data will enable SALAMANDER project researchers to relate past salivary composition and dietary patterns to health status several years later, in order to ascertain the validity of various biomarkers. All subjects will be healthy at baseline and categorised as either healthy (H+) or diagnosed with type 2 diabetes (H-) at follow-up. Compliance (or not) to the Mediterranean diet (D+, D-) will be evaluated with appropriate adjustment factors (e.g. physical activity, use of dietary supplements). Within each of the four D/H groups, 50 subjects will be randomly selected and their salivary microbiome, proteome and metabolome will be analysed by 16SrDNA analyses, nano-LC-MS/MS of tryptic digests and H-1 NMR, respectively. Integration of analytical data will then be performed to define a multimarker signature of a healthy diet associated with protection against type 2 diabetes. The data obtained from UK Biobank samples will be validated using two other population-based cohorts of older subjects in Spain (ENRICA) and France (3-City Bordeaux), enabling verification of whether the identified signatures of biomarkers are conserved as ageing proceeds. The SALAMANDER project aims to advance current knowledge and methods in nutritional epidemiology by identifying objective and non-invasive biomarkers of compliance to a diet associated with prevention of a diet-related disease. It will also provide information on an ageing population, the salivary profiles of which are poorly documented, especially in relation to diet and health.","author":[{"dropping-particle":"","family":"Proctor","given":"G B","non-dropping-particle":"","parse-names":false,"suffix":""},{"dropping-particle":"","family":"Andre","given":"P","non-dropping-particle":"","parse-names":false,"suffix":""},{"dropping-particle":"","family":"Lopez-Garcia","given":"E","non-dropping-particle":"","parse-names":false,"suffix":""},{"dropping-particle":"","family":"Lopez","given":"D G C","non-dropping-particle":"","parse-names":false,"suffix":""},{"dropping-particle":"","family":"Neyraud","given":"E","non-dropping-particle":"","parse-names":false,"suffix":""},{"dropping-particle":"","family":"Feart","given":"C","non-dropping-particle":"","parse-names":false,"suffix":""},{"dropping-particle":"","family":"Artalejo","given":"F R","non-dropping-particle":"","parse-names":false,"suffix":""},{"dropping-particle":"","family":"Garcia-Esquinas","given":"E","non-dropping-particle":"","parse-names":false,"suffix":""},{"dropping-particle":"","family":"Morzel","given":"M","non-dropping-particle":"","parse-names":false,"suffix":""}],"container-title":"Nutrition Bulletin","id":"ITEM-2","issue":"4","issued":{"date-parts":[["2017"]]},"note":"Proctor, G. B. Andre, P. Lopez-Garcia, E. Lopez, D. Gomez Cabrero Neyraud, E. Feart, C. Rodriguez Artalejo, F. Garcia-Esquinas, E. Morzel, M.\nNeyraud, Eric/L-2296-2017\nNeyraud, Eric/0000-0001-7060-1336\n1467-3010","page":"369-374","title":"The SALAMANDER project: SALivAry bioMarkers of mediterraneAN Diet associated with long-tERm protection against type 2 diabetes","type":"article-journal","volume":"42"},"uris":["http://www.mendeley.com/documents/?uuid=4d774f13-6ea2-489f-9bcf-f5bb0e1cda40"]}],"mendeley":{"formattedCitation":"[23, 24]","plainTextFormattedCitation":"[23, 24]","previouslyFormattedCitation":"[23, 24]"},"properties":{"noteIndex":0},"schema":"https://github.com/citation-style-language/schema/raw/master/csl-citation.json"}</w:instrText>
      </w:r>
      <w:r w:rsidR="000726D3">
        <w:rPr>
          <w:rFonts w:ascii="Times New Roman" w:hAnsi="Times New Roman" w:cs="Times New Roman"/>
          <w:lang w:val="en-GB"/>
        </w:rPr>
        <w:fldChar w:fldCharType="separate"/>
      </w:r>
      <w:r w:rsidR="000726D3" w:rsidRPr="000726D3">
        <w:rPr>
          <w:rFonts w:ascii="Times New Roman" w:hAnsi="Times New Roman" w:cs="Times New Roman"/>
          <w:noProof/>
          <w:lang w:val="en-GB"/>
        </w:rPr>
        <w:t>[23, 24]</w:t>
      </w:r>
      <w:r w:rsidR="000726D3">
        <w:rPr>
          <w:rFonts w:ascii="Times New Roman" w:hAnsi="Times New Roman" w:cs="Times New Roman"/>
          <w:lang w:val="en-GB"/>
        </w:rPr>
        <w:fldChar w:fldCharType="end"/>
      </w:r>
      <w:r w:rsidR="00BB3052">
        <w:rPr>
          <w:rFonts w:ascii="Times New Roman" w:hAnsi="Times New Roman" w:cs="Times New Roman"/>
          <w:lang w:val="en-GB"/>
        </w:rPr>
        <w:t xml:space="preserve"> </w:t>
      </w:r>
      <w:r w:rsidRPr="00C33195">
        <w:rPr>
          <w:rFonts w:ascii="Times New Roman" w:hAnsi="Times New Roman" w:cs="Times New Roman"/>
          <w:lang w:val="en-GB"/>
        </w:rPr>
        <w:t xml:space="preserve">or systemic pathological conditions </w:t>
      </w:r>
      <w:r w:rsidR="007C777B">
        <w:rPr>
          <w:rFonts w:ascii="Times New Roman" w:hAnsi="Times New Roman" w:cs="Times New Roman"/>
          <w:lang w:val="en-GB"/>
        </w:rPr>
        <w:fldChar w:fldCharType="begin" w:fldLock="1"/>
      </w:r>
      <w:r w:rsidR="007C777B">
        <w:rPr>
          <w:rFonts w:ascii="Times New Roman" w:hAnsi="Times New Roman" w:cs="Times New Roman"/>
          <w:lang w:val="en-GB"/>
        </w:rPr>
        <w:instrText>ADDIN CSL_CITATION {"citationItems":[{"id":"ITEM-1","itemData":{"DOI":"https://doi.org/10.1016/j.ijid.2009.04.022","ISSN":"1201-9712","abstract":"Saliva has become an important resource for evaluating physiological and pathological conditions in humans. The use of saliva has many advantages, including the simple and non-invasive method of collection and its easy, low-cost storage. With the addition of modern techniques and chemical instrumentation equipment, there has been an increase in its use for laboratory investigations, applicable for basic and clinical analyses in the fields of medicine and dentistry. The value of these methods for the diagnosis of oral and systemic diseases has been the subject of study by several researchers with the aim of increasing its use alongside complementary exams.","author":[{"dropping-particle":"","family":"Lima","given":"Daniela Pereira","non-dropping-particle":"","parse-names":false,"suffix":""},{"dropping-particle":"","family":"Diniz","given":"Diego Garcia","non-dropping-particle":"","parse-names":false,"suffix":""},{"dropping-particle":"","family":"Moimaz","given":"Suzely Adas Saliba","non-dropping-particle":"","parse-names":false,"suffix":""},{"dropping-particle":"","family":"Sumida","given":"Dóris Hissako","non-dropping-particle":"","parse-names":false,"suffix":""},{"dropping-particle":"","family":"Okamoto","given":"Ana Cláudia","non-dropping-particle":"","parse-names":false,"suffix":""}],"container-title":"International Journal of Infectious Diseases","id":"ITEM-1","issue":"3","issued":{"date-parts":[["2010"]]},"page":"e184-e188","title":"Saliva: reflection of the body","type":"article-journal","volume":"14"},"uris":["http://www.mendeley.com/documents/?uuid=288e2140-bf9f-44fc-b582-7928ee26f3d2"]}],"mendeley":{"formattedCitation":"[13]","plainTextFormattedCitation":"[13]","previouslyFormattedCitation":"[13]"},"properties":{"noteIndex":0},"schema":"https://github.com/citation-style-language/schema/raw/master/csl-citation.json"}</w:instrText>
      </w:r>
      <w:r w:rsidR="007C777B">
        <w:rPr>
          <w:rFonts w:ascii="Times New Roman" w:hAnsi="Times New Roman" w:cs="Times New Roman"/>
          <w:lang w:val="en-GB"/>
        </w:rPr>
        <w:fldChar w:fldCharType="separate"/>
      </w:r>
      <w:r w:rsidR="007C777B" w:rsidRPr="007C777B">
        <w:rPr>
          <w:rFonts w:ascii="Times New Roman" w:hAnsi="Times New Roman" w:cs="Times New Roman"/>
          <w:noProof/>
          <w:lang w:val="en-GB"/>
        </w:rPr>
        <w:t>[13]</w:t>
      </w:r>
      <w:r w:rsidR="007C777B">
        <w:rPr>
          <w:rFonts w:ascii="Times New Roman" w:hAnsi="Times New Roman" w:cs="Times New Roman"/>
          <w:lang w:val="en-GB"/>
        </w:rPr>
        <w:fldChar w:fldCharType="end"/>
      </w:r>
      <w:r w:rsidR="007C777B">
        <w:rPr>
          <w:rFonts w:ascii="Times New Roman" w:hAnsi="Times New Roman" w:cs="Times New Roman"/>
          <w:lang w:val="en-GB"/>
        </w:rPr>
        <w:fldChar w:fldCharType="begin" w:fldLock="1"/>
      </w:r>
      <w:r w:rsidR="007C777B">
        <w:rPr>
          <w:rFonts w:ascii="Times New Roman" w:hAnsi="Times New Roman" w:cs="Times New Roman"/>
          <w:lang w:val="en-GB"/>
        </w:rPr>
        <w:instrText>ADDIN CSL_CITATION {"citationItems":[{"id":"ITEM-1","itemData":{"DOI":"10.1016/j.freeradbiomed.2015.04.005","ISSN":"0891-5849","abstract":"Human saliva is an increasingly attractive medium for biomarker discovery due to its amenability to noninvasive and repeated sampling, ease of collection and processing, and suitability for single analyte or metabolomic measurements. Salivary biomarkers of oxidative stress reflect local and systemic pathologies and may inform on the diagnosis, prognosis, and therapeutic responsiveness of numerous human diseases. However, for many of the disorders investigated, data reporting on alterations in salivary reflux homeostasis are often highly conflicted across studies. We surveyed the available biomedical literature on this topic and noted significant discrepancies in the study designs, targets populations, and operating procedures which likely contribute to the discordant data sets reported. Based on these observations, guidelines are provided to minimize interlaboratory variability in reflux biomarker discovery based on human saliva. (C) 2015 Elsevier Inc. All rights reserved.","author":[{"dropping-particle":"","family":"Wang","given":"J","non-dropping-particle":"","parse-names":false,"suffix":""},{"dropping-particle":"","family":"Schipper","given":"H M","non-dropping-particle":"","parse-names":false,"suffix":""},{"dropping-particle":"","family":"Velly","given":"A M","non-dropping-particle":"","parse-names":false,"suffix":""},{"dropping-particle":"","family":"Mohit","given":"S","non-dropping-particle":"","parse-names":false,"suffix":""},{"dropping-particle":"","family":"Gornitsky","given":"M","non-dropping-particle":"","parse-names":false,"suffix":""}],"container-title":"Free Radical Biology and Medicine","id":"ITEM-1","issued":{"date-parts":[["2015"]]},"note":"Wang, Jessica Schipper, Hyman M. Velly, Ana M. Mohit, Shrisha Gornitsky, Mervyn\n1873-4596","page":"95-104","title":"Salivary biomarkers of oxidative stress: A critical review","type":"article-journal","volume":"85"},"uris":["http://www.mendeley.com/documents/?uuid=1364ce0f-6866-4653-895d-a35c950ef112"]},{"id":"ITEM-2","itemData":{"ISSN":"0270-9139","author":[{"dropping-particle":"","family":"Abe","given":"K","non-dropping-particle":"","parse-names":false,"suffix":""},{"dropping-particle":"","family":"Takahashi","given":"A","non-dropping-particle":"","parse-names":false,"suffix":""},{"dropping-particle":"","family":"Fujita","given":"M","non-dropping-particle":"","parse-names":false,"suffix":""},{"dropping-particle":"","family":"Hayashi","given":"M","non-dropping-particle":"","parse-names":false,"suffix":""},{"dropping-particle":"","family":"Okai","given":"K","non-dropping-particle":"","parse-names":false,"suffix":""},{"dropping-particle":"","family":"Ohira","given":"H","non-dropping-particle":"","parse-names":false,"suffix":""}],"container-title":"Hepatology","id":"ITEM-2","issued":{"date-parts":[["2017"]]},"note":"Abe, Kazumichi Takahashi, Atsushi Fujita, Masashi Hayashi, Manabu Okai, Ken Ohira, Hiromasa\n68th Annual Meeting of the American-Association-for-the-Study-of-Liver-Diseases (AASLD) / Liver Meeting\nOct 20-24, 2017\nWashington, DC\nAmer Assoc Study Liver Dis\n1527-3350\n1\nSi","page":"189A-190A","title":"Dysbiosis of oral microbiota and its association with salivary immunological biomarkers in autoimmune liver disease","type":"article-journal","volume":"66"},"uris":["http://www.mendeley.com/documents/?uuid=98a68c6f-4e8e-4b7f-839f-fa586b18d37d"]},{"id":"ITEM-3","itemData":{"DOI":"10.1128/aem.00362-14","ISSN":"0099-2240","abstract":"This study aimed to investigate the salivary microbiota and metabolome of 13 children with celiac disease (CD) under a gluten-free diet (treated celiac disease [T-CD]). The same number of healthy children (HC) was used as controls. The salivary microbiota was analyzed by an integrated approach using culture-dependent and -independent methods. Metabolome analysis was carried out by gas chromatography-mass spectrometry-solid-phase microextraction. Compared to HC, the number of some cultivable bacterial groups (e.g., total anaerobes) significantly (P &lt; 0.05) differed in the saliva samples of the T-CD children. As shown by community-level catabolic profiles, the highest Shannon's diversity and substrate richness were found in HC. Pyrosequencing data showed the highest richness estimator and diversity index values for HC. Levels of Lachnospiraceae, Gemellaceae, and Streptococcus sanguinis were highest for the T-CD children. Streptococcus thermophilus levels were markedly decreased in T-CD children. The saliva of T-CD children showed the largest amount of Bacteroidetes (e.g., Porphyromonas sp., Porphyromonas endodontalis, and Prevotella nanceiensis), together with the smallest amount of Actinobacteria. T-CD children were also characterized by decreased levels of some Actinomyces species, Atopobium species, and Corynebacterium durum. Rothia mucilaginosa was the only Actinobacteria species found at the highest level in T-CD children. As shown by multivariate statistical analyses, the levels of organic volatile compounds markedly differentiated T-CD children. Some compounds (e.g., ethyl-acetate, nonanal, and 2-hexanone) were found to be associated with T-CD children. Correlations (false discovery rate [FDR], &lt; 0.05) were found between the relative abundances of bacteria and some volatile organic compounds (VOCs). The findings of this study indicated that CD is associated with oral dysbiosis that could affect the oral metabolome.","author":[{"dropping-particle":"","family":"Francavilla","given":"R","non-dropping-particle":"","parse-names":false,"suffix":""},{"dropping-particle":"","family":"Ercolini","given":"D","non-dropping-particle":"","parse-names":false,"suffix":""},{"dropping-particle":"","family":"Piccolo","given":"M","non-dropping-particle":"","parse-names":false,"suffix":""},{"dropping-particle":"","family":"Vannini","given":"L","non-dropping-particle":"","parse-names":false,"suffix":""},{"dropping-particle":"","family":"Siragusa","given":"S","non-dropping-particle":"","parse-names":false,"suffix":""},{"dropping-particle":"","family":"Filippis","given":"F","non-dropping-particle":"De","parse-names":false,"suffix":""},{"dropping-particle":"","family":"Pasquale","given":"I","non-dropping-particle":"De","parse-names":false,"suffix":""},{"dropping-particle":"","family":"Cagno","given":"R","non-dropping-particle":"Di","parse-names":false,"suffix":""},{"dropping-particle":"","family":"Toma","given":"M","non-dropping-particle":"Di","parse-names":false,"suffix":""},{"dropping-particle":"","family":"Gozzi","given":"G","non-dropping-particle":"","parse-names":false,"suffix":""},{"dropping-particle":"","family":"Serrazanetti","given":"D I","non-dropping-particle":"","parse-names":false,"suffix":""},{"dropping-particle":"","family":"Angelis","given":"M","non-dropping-particle":"De","parse-names":false,"suffix":""},{"dropping-particle":"","family":"Gobbetti","given":"M","non-dropping-particle":"","parse-names":false,"suffix":""}],"container-title":"Applied and Environmental Microbiology","id":"ITEM-3","issue":"11","issued":{"date-parts":[["2014"]]},"note":"Francavilla, Ruggiero Ercolini, Danilo Piccolo, Maria Vannini, Lucia Siragusa, Sonya De Filippis, Francesca De Pasquale, Ilaria Di Cagno, Raffaella Di Toma, Michele Gozzi, Giorgia Serrazanetti, Diana I. De Angelis, Maria Gobbetti, Marco\nDe Filippis, Francesca/K-3816-2016; Serrazanetti, Diana Isabella/K-2606-2016\nDe Filippis, Francesca/0000-0002-3474-2884; Serrazanetti, Diana Isabella/0000-0002-6796-4053; Ercolini, Danilo/0000-0003-3061-9560; GOZZI, Giorgia/0000-0001-6015-6144; Francavilla, Ruggiero/0000-0002-4603-974X; Gobbetti, Marco/0000-0003-0869-2737; De Angelis, Maria/0000-0002-2010-884X; Di Cagno, Raffaella/0000-0002-9431-4427\n1098-5336","page":"3416-3425","title":"Salivary Microbiota and Metabolome Associated with Celiac Disease","type":"article-journal","volume":"80"},"uris":["http://www.mendeley.com/documents/?uuid=d3a33b86-ee14-4477-8682-08fa386265df"]},{"id":"ITEM-4","itemData":{"DOI":"10.1016/j.dld.2014.07.063","ISSN":"1590-8658","author":[{"dropping-particle":"","family":"Francavilla","given":"R","non-dropping-particle":"","parse-names":false,"suffix":""},{"dropping-particle":"","family":"Ercolini","given":"D","non-dropping-particle":"","parse-names":false,"suffix":""},{"dropping-particle":"","family":"Vannini","given":"L","non-dropping-particle":"","parse-names":false,"suffix":""},{"dropping-particle":"","family":"Indrio","given":"F","non-dropping-particle":"","parse-names":false,"suffix":""},{"dropping-particle":"","family":"Capriati","given":"T","non-dropping-particle":"","parse-names":false,"suffix":""},{"dropping-particle":"","family":"Cagno","given":"R","non-dropping-particle":"Di","parse-names":false,"suffix":""},{"dropping-particle":"","family":"Iacono","given":"G","non-dropping-particle":"","parse-names":false,"suffix":""},{"dropping-particle":"","family":"Angelis","given":"M","non-dropping-particle":"De","parse-names":false,"suffix":""},{"dropping-particle":"","family":"Gobbetti","given":"M","non-dropping-particle":"","parse-names":false,"suffix":""}],"container-title":"Digestive and Liver Disease","id":"ITEM-4","issued":{"date-parts":[["2014"]]},"note":"Francavilla, Ruggiero Ercolini, Danilo Vannini, Lucia Indrio, Flavia Capriati, Teresa Di Cagno, Raffaella Iacono, Giuseppe De Angelis, Maria Gobbetti, Marco\n21st National Conference of the Societa-Italiana-di-Gastroenterologia-Epatologia-e-Nutrizione-Pediatrica (SIGENAP)\nOct 02-04, 2014\nSorrento, ITALY\nSoc Italiana Gastroenterologia Epatologia &amp;amp; Nutrizione Pediatrica\n1878-3562\n3","page":"E88-E89","title":"ITALIAN-STYLE GLUTEN-FREE DIET CHANGES THE SALIVARY MICROBIOTA AND METABOLOME OF AFRICAN (SAHARAWI) CELIAC CHILDREN","type":"article-journal","volume":"46"},"uris":["http://www.mendeley.com/documents/?uuid=f130a5a8-53f7-4e96-979c-38b088a9deba"]},{"id":"ITEM-5","itemData":{"DOI":"10.1038/s41598-018-23870-w","ISSN":"2045-2322","abstract":"Primary sclerosing cholangitis (PSC) is a liver disease known for its frequent concurrence with inflammatory bowel disease. Dysbiosis of the gut microbiota in PSC was reported in several studies, but the microbiological features of the salivary microbiota in PSC have not been established. Here we compared the salivary microbial communities of 24 pediatric-onset PSC patients, 16 age-matched ulcerative colitis (UC) patients, and 24 healthy controls (HCs) by analyzing the bacterial 16S rRNA gene sequence data. The species-richness (alpha-diversity) showed no significant between-group differences, whereas the overall salivary microbiota structure (beta-diversity) showed significant differences among the three groups. Taxonomic assignment revealed that the PSC salivary microbiota were characterized by significant decreases in the abundance of Rothia and Haemophilus compared to the HC group, and significantly decreased Haemophilus and increased Oribacterium compared to the UC group. By combining the genera selected by the random forest algorithm in machine learning, followed by confirmation with 10-fold cross-validation, we were able to distinguish the PSC group from the HC group with the area under the curve (AUC) of 0.7423, and from the UC group with the AUC of 0.8756. Our results indicate the potential of salivary microbiota as biomarkers for a noninvasive diagnosis of PSC.","author":[{"dropping-particle":"","family":"Iwasawa","given":"K","non-dropping-particle":"","parse-names":false,"suffix":""},{"dropping-particle":"","family":"Suda","given":"W","non-dropping-particle":"","parse-names":false,"suffix":""},{"dropping-particle":"","family":"Tsunoda","given":"T","non-dropping-particle":"","parse-names":false,"suffix":""},{"dropping-particle":"","family":"Oikawa-Kawamoto","given":"M","non-dropping-particle":"","parse-names":false,"suffix":""},{"dropping-particle":"","family":"Umetsu","given":"S","non-dropping-particle":"","parse-names":false,"suffix":""},{"dropping-particle":"","family":"Takayasu","given":"L","non-dropping-particle":"","parse-names":false,"suffix":""},{"dropping-particle":"","family":"Inui","given":"A","non-dropping-particle":"","parse-names":false,"suffix":""},{"dropping-particle":"","family":"Fujisawa","given":"T","non-dropping-particle":"","parse-names":false,"suffix":""},{"dropping-particle":"","family":"Morita","given":"H","non-dropping-particle":"","parse-names":false,"suffix":""},{"dropping-particle":"","family":"Sogo","given":"T","non-dropping-particle":"","parse-names":false,"suffix":""},{"dropping-particle":"","family":"Hattori","given":"M","non-dropping-particle":"","parse-names":false,"suffix":""}],"container-title":"Scientific Reports","id":"ITEM-5","issued":{"date-parts":[["2018"]]},"note":"Iwasawa, Kentaro Suda, Wataru Tsunoda, Tomoyuki Oikawa-Kawamoto, Manari Umetsu, Shuichiro Takayasu, Lena Inui, Ayano Fujisawa, Tomoo Morita, Hidetoshi Sogo, Tsuyoshi Hattori, Masahira","title":"Dysbiosis of the salivary microbiota in pediatric-onset primary sclerosing cholangitis and its potential as a biomarker","type":"article-journal","volume":"8"},"uris":["http://www.mendeley.com/documents/?uuid=f3b58e85-4793-4f50-b1b8-7cf94a6d3f8e"]},{"id":"ITEM-6","itemData":{"DOI":"10.1093/dnares/dst037","ISSN":"1340-2838","abstract":"Analysis of microbiota in various biological and environmental samples under a variety of conditions has recently become more practical due to remarkable advances in next-generation sequencing. Changes leading to specific biological states including some of the more complex diseases can now be characterized with relative ease. It is known that gut microbiota is involved in the pathogenesis of inflammatory bowel disease (IBD), mainly Crohn's disease and ulcerative colitis, exhibiting symptoms in the gastrointestinal tract. Recent studies also showed increased frequency of oral manifestations among IBD patients, indicating aberrations in the oral microbiota. Based on these observations, we analyzed the composition of salivary microbiota of 35 IBD patients by 454 pyrosequencing of the bacterial 16S rRNA gene and compared it with that of 24 healthy controls (HCs). The results showed that Bacteroidetes was significantly increased with a concurrent decrease in Proteobacteria in the salivary microbiota of IBD patients. The dominant genera, Streptococcus, Prevotella, Neisseria, Haemophilus, Veillonella, and Gemella, were found to largely contribute to dysbiosis (dysbacteriosis) observed in the salivary microbiota of IBD patients. Analysis of immunological biomarkers in the saliva of IBD patients showed elevated levels of many inflammatory cytokines and immunoglobulin A, and a lower lysozyme level. A strong correlation was shown between lysozyme and IL-1 beta levels and the relative abundance of Streptococcus, Prevotella, Haemophilus and Veillonella. Our data demonstrate that dysbiosis of salivary microbiota is associated with inflammatory responses in IBD patients, suggesting that it is possibly linked to dysbiosis of their gut microbiota.","author":[{"dropping-particle":"","family":"Said","given":"H S","non-dropping-particle":"","parse-names":false,"suffix":""},{"dropping-particle":"","family":"Suda","given":"W","non-dropping-particle":"","parse-names":false,"suffix":""},{"dropping-particle":"","family":"Nakagome","given":"S","non-dropping-particle":"","parse-names":false,"suffix":""},{"dropping-particle":"","family":"Chinen","given":"H","non-dropping-particle":"","parse-names":false,"suffix":""},{"dropping-particle":"","family":"Oshima","given":"K","non-dropping-particle":"","parse-names":false,"suffix":""},{"dropping-particle":"","family":"Kim","given":"S","non-dropping-particle":"","parse-names":false,"suffix":""},{"dropping-particle":"","family":"Kimura","given":"R","non-dropping-particle":"","parse-names":false,"suffix":""},{"dropping-particle":"","family":"Iraha","given":"A","non-dropping-particle":"","parse-names":false,"suffix":""},{"dropping-particle":"","family":"Ishida","given":"H","non-dropping-particle":"","parse-names":false,"suffix":""},{"dropping-particle":"","family":"Fujita","given":"J","non-dropping-particle":"","parse-names":false,"suffix":""},{"dropping-particle":"","family":"Mano","given":"S","non-dropping-particle":"","parse-names":false,"suffix":""},{"dropping-particle":"","family":"Morita","given":"H","non-dropping-particle":"","parse-names":false,"suffix":""},{"dropping-particle":"","family":"Dohi","given":"T","non-dropping-particle":"","parse-names":false,"suffix":""},{"dropping-particle":"","family":"Oota","given":"H","non-dropping-particle":"","parse-names":false,"suffix":""},{"dropping-particle":"","family":"Hattori","given":"M","non-dropping-particle":"","parse-names":false,"suffix":""}],"container-title":"DNA Research","id":"ITEM-6","issue":"1","issued":{"date-parts":[["2014"]]},"note":"Said, Heba S. Suda, Wataru Nakagome, Shigeki Chinen, Hiroshi Oshima, Kenshiro Kim, Sangwan Kimura, Ryosuke Iraha, Atsushi Ishida, Hajime Fujita, Jiro Mano, Shuhei Morita, Hidetoshi Dohi, Taeko Oota, Hiroki Hattori, Masahira\nKimura, Ryosuke/B-3354-2015\nNakagome, Shigeki/0000-0001-9613-975X\n1756-1663","page":"15-25","title":"Dysbiosis of Salivary Microbiota in Inflammatory Bowel Disease and Its Association With Oral Immunological Biomarkers","type":"article-journal","volume":"21"},"uris":["http://www.mendeley.com/documents/?uuid=e0bd2d28-7529-4815-95b2-72ec42fe7c0a"]}],"mendeley":{"formattedCitation":"[25–30]","plainTextFormattedCitation":"[25–30]","previouslyFormattedCitation":"[25–30]"},"properties":{"noteIndex":0},"schema":"https://github.com/citation-style-language/schema/raw/master/csl-citation.json"}</w:instrText>
      </w:r>
      <w:r w:rsidR="007C777B">
        <w:rPr>
          <w:rFonts w:ascii="Times New Roman" w:hAnsi="Times New Roman" w:cs="Times New Roman"/>
          <w:lang w:val="en-GB"/>
        </w:rPr>
        <w:fldChar w:fldCharType="separate"/>
      </w:r>
      <w:r w:rsidR="007C777B" w:rsidRPr="007C777B">
        <w:rPr>
          <w:rFonts w:ascii="Times New Roman" w:hAnsi="Times New Roman" w:cs="Times New Roman"/>
          <w:noProof/>
          <w:lang w:val="en-GB"/>
        </w:rPr>
        <w:t>[25–30]</w:t>
      </w:r>
      <w:r w:rsidR="007C777B">
        <w:rPr>
          <w:rFonts w:ascii="Times New Roman" w:hAnsi="Times New Roman" w:cs="Times New Roman"/>
          <w:lang w:val="en-GB"/>
        </w:rPr>
        <w:fldChar w:fldCharType="end"/>
      </w:r>
      <w:r w:rsidR="00BB3052">
        <w:rPr>
          <w:rFonts w:ascii="Times New Roman" w:hAnsi="Times New Roman" w:cs="Times New Roman"/>
          <w:lang w:val="en-GB"/>
        </w:rPr>
        <w:t>.</w:t>
      </w:r>
      <w:r w:rsidRPr="00C33195">
        <w:rPr>
          <w:rFonts w:ascii="Times New Roman" w:hAnsi="Times New Roman" w:cs="Times New Roman"/>
          <w:lang w:val="en-GB"/>
        </w:rPr>
        <w:t xml:space="preserve"> </w:t>
      </w:r>
      <w:proofErr w:type="spellStart"/>
      <w:r w:rsidRPr="00C33195">
        <w:rPr>
          <w:rFonts w:ascii="Times New Roman" w:hAnsi="Times New Roman" w:cs="Times New Roman"/>
          <w:lang w:val="en-GB"/>
        </w:rPr>
        <w:t>Mishiro</w:t>
      </w:r>
      <w:proofErr w:type="spellEnd"/>
      <w:r w:rsidRPr="00C33195">
        <w:rPr>
          <w:rFonts w:ascii="Times New Roman" w:hAnsi="Times New Roman" w:cs="Times New Roman"/>
          <w:lang w:val="en-GB"/>
        </w:rPr>
        <w:t xml:space="preserve"> et al. have reported that acid suppressive agents (e.g. proton pump inhibitors) affect gut and salivary microbiota </w:t>
      </w:r>
      <w:r w:rsidR="007C777B">
        <w:rPr>
          <w:rFonts w:ascii="Times New Roman" w:hAnsi="Times New Roman" w:cs="Times New Roman"/>
          <w:lang w:val="en-GB"/>
        </w:rPr>
        <w:fldChar w:fldCharType="begin" w:fldLock="1"/>
      </w:r>
      <w:r w:rsidR="007C777B">
        <w:rPr>
          <w:rFonts w:ascii="Times New Roman" w:hAnsi="Times New Roman" w:cs="Times New Roman"/>
          <w:lang w:val="en-GB"/>
        </w:rPr>
        <w:instrText>ADDIN CSL_CITATION {"citationItems":[{"id":"ITEM-1","itemData":{"DOI":"10.1111/jgh.14040","ISSN":"0815-9319","abstract":"Abstract Background and Aim Acid suppressive agents including proton pump inhibitors (PPIs) are used as first?line treatment for various acid?related gastrointestinal disorders. Although known to profoundly reduce gastric acid production, their influence on inhibition of acid secretion as part of the function of the gastrointestinal tract microbiome remains to be elucidated. The aim of the present study was to examine the effects of PPI usage on oral and gut microbiota in healthy volunteers. Methods Ten healthy adult volunteers receiving no medications were enrolled. We obtained fecal, saliva, and periodontal pocket fluid samples from the subjects before and after 4 weeks of once daily administrations of 20?mg esomeprazole. The effects of PPI administration on bacterial communities were investigated using a 16S rRNA gene sequencing method. Results Species richness (alpha diversity) was significantly different among the salivary, periodontal pocket, and fecal samples. Furthermore, the measurements for UniFrac distances, despite inter?individual variations (beta diversity), of the microbiota structure of saliva and periodontal pocket and feces samples were clearly separated from each other. The salivary samples showed significant differences between alpha and beta diversity measurements before and after administration of the PPI for 4 weeks. Meanwhile, taxon?based analysis indicated that PPI administration raised the ratio of Streptococcus organisms in fecal samples, suggesting a potentially unfavorable effect leading to gut microbiota alteration. Moreover, alterations of the microbiota in the oral carriage microbiome along with bacterial overgrowth (Streptococcus) and decreases in distinct bacterial species (Neisseria and Veillonella) were observed. Conclusions These results suggest that PPIs cause both oral and gut microbiota alterations.","author":[{"dropping-particle":"","family":"Mishiro","given":"Tsuyoshi","non-dropping-particle":"","parse-names":false,"suffix":""},{"dropping-particle":"","family":"Oka","given":"Kentaro","non-dropping-particle":"","parse-names":false,"suffix":""},{"dropping-particle":"","family":"Kuroki","given":"Yasutoshi","non-dropping-particle":"","parse-names":false,"suffix":""},{"dropping-particle":"","family":"Takahashi","given":"Motomichi","non-dropping-particle":"","parse-names":false,"suffix":""},{"dropping-particle":"","family":"Tatsumi","given":"Kasumi","non-dropping-particle":"","parse-names":false,"suffix":""},{"dropping-particle":"","family":"Saitoh","given":"Tsukasa","non-dropping-particle":"","parse-names":false,"suffix":""},{"dropping-particle":"","family":"Tobita","given":"Hiroshi","non-dropping-particle":"","parse-names":false,"suffix":""},{"dropping-particle":"","family":"Ishimura","given":"Norihisa","non-dropping-particle":"","parse-names":false,"suffix":""},{"dropping-particle":"","family":"Sato","given":"Shuichi","non-dropping-particle":"","parse-names":false,"suffix":""},{"dropping-particle":"","family":"Ishihara","given":"Shunji","non-dropping-particle":"","parse-names":false,"suffix":""},{"dropping-particle":"","family":"Sekine","given":"Joji","non-dropping-particle":"","parse-names":false,"suffix":""},{"dropping-particle":"","family":"Wada","given":"Koichiro","non-dropping-particle":"","parse-names":false,"suffix":""},{"dropping-particle":"","family":"Kinoshita","given":"Yoshikazu","non-dropping-particle":"","parse-names":false,"suffix":""}],"container-title":"Journal of Gastroenterology and Hepatology","id":"ITEM-1","issue":"5","issued":{"date-parts":[["2018","5","2"]]},"page":"1059-1066","title":"Oral microbiome alterations of healthy volunteers with proton pump inhibitor","type":"article-journal","volume":"33"},"uris":["http://www.mendeley.com/documents/?uuid=871fb9ae-6ead-4933-a503-8b531b809f8a"]}],"mendeley":{"formattedCitation":"[31]","plainTextFormattedCitation":"[31]","previouslyFormattedCitation":"[31]"},"properties":{"noteIndex":0},"schema":"https://github.com/citation-style-language/schema/raw/master/csl-citation.json"}</w:instrText>
      </w:r>
      <w:r w:rsidR="007C777B">
        <w:rPr>
          <w:rFonts w:ascii="Times New Roman" w:hAnsi="Times New Roman" w:cs="Times New Roman"/>
          <w:lang w:val="en-GB"/>
        </w:rPr>
        <w:fldChar w:fldCharType="separate"/>
      </w:r>
      <w:r w:rsidR="007C777B" w:rsidRPr="007C777B">
        <w:rPr>
          <w:rFonts w:ascii="Times New Roman" w:hAnsi="Times New Roman" w:cs="Times New Roman"/>
          <w:noProof/>
          <w:lang w:val="en-GB"/>
        </w:rPr>
        <w:t>[31]</w:t>
      </w:r>
      <w:r w:rsidR="007C777B">
        <w:rPr>
          <w:rFonts w:ascii="Times New Roman" w:hAnsi="Times New Roman" w:cs="Times New Roman"/>
          <w:lang w:val="en-GB"/>
        </w:rPr>
        <w:fldChar w:fldCharType="end"/>
      </w:r>
      <w:r w:rsidRPr="00C33195">
        <w:rPr>
          <w:rFonts w:ascii="Times New Roman" w:hAnsi="Times New Roman" w:cs="Times New Roman"/>
          <w:lang w:val="en-GB"/>
        </w:rPr>
        <w:t>.</w:t>
      </w:r>
    </w:p>
    <w:p w14:paraId="2F986E7A" w14:textId="77777777" w:rsidR="00E57EE7" w:rsidRPr="00C33195" w:rsidRDefault="0003205A" w:rsidP="00E57EE7">
      <w:pPr>
        <w:tabs>
          <w:tab w:val="left" w:pos="8293"/>
        </w:tabs>
        <w:spacing w:line="360" w:lineRule="auto"/>
        <w:jc w:val="both"/>
        <w:rPr>
          <w:rFonts w:ascii="Times New Roman" w:hAnsi="Times New Roman" w:cs="Times New Roman"/>
          <w:lang w:val="en-GB"/>
        </w:rPr>
      </w:pPr>
      <w:r w:rsidRPr="00C33195">
        <w:rPr>
          <w:rFonts w:ascii="Times New Roman" w:hAnsi="Times New Roman" w:cs="Times New Roman"/>
          <w:lang w:val="en-GB"/>
        </w:rPr>
        <w:t>Very recently saliva microbiota composition was correlated with body size and gender in Finnish children</w:t>
      </w:r>
      <w:r w:rsidR="00E57EE7" w:rsidRPr="00C33195">
        <w:rPr>
          <w:rFonts w:ascii="Times New Roman" w:hAnsi="Times New Roman" w:cs="Times New Roman"/>
          <w:lang w:val="en-GB"/>
        </w:rPr>
        <w:t xml:space="preserve"> </w:t>
      </w:r>
      <w:r w:rsidRPr="00C33195">
        <w:rPr>
          <w:rFonts w:ascii="Times New Roman" w:hAnsi="Times New Roman" w:cs="Times New Roman"/>
          <w:lang w:val="en-GB"/>
        </w:rPr>
        <w:t>(</w:t>
      </w:r>
      <w:hyperlink r:id="rId9" w:history="1">
        <w:r w:rsidRPr="00C33195">
          <w:rPr>
            <w:rStyle w:val="Collegamentoipertestuale"/>
            <w:rFonts w:ascii="Times New Roman" w:hAnsi="Times New Roman" w:cs="Times New Roman"/>
            <w:lang w:val="en-GB"/>
          </w:rPr>
          <w:t>https://www.frontiersin.org/articles/10.3389/fmicb.2019.00767/full</w:t>
        </w:r>
      </w:hyperlink>
      <w:r w:rsidRPr="00C33195">
        <w:rPr>
          <w:rFonts w:ascii="Times New Roman" w:hAnsi="Times New Roman" w:cs="Times New Roman"/>
          <w:lang w:val="en-GB"/>
        </w:rPr>
        <w:t>).</w:t>
      </w:r>
    </w:p>
    <w:p w14:paraId="05D30D86" w14:textId="77777777" w:rsidR="00845E49" w:rsidRPr="00C33195" w:rsidRDefault="00845E49" w:rsidP="00875587">
      <w:pPr>
        <w:tabs>
          <w:tab w:val="left" w:pos="8293"/>
        </w:tabs>
        <w:spacing w:line="360" w:lineRule="auto"/>
        <w:jc w:val="both"/>
        <w:rPr>
          <w:rFonts w:ascii="Times New Roman" w:hAnsi="Times New Roman" w:cs="Times New Roman"/>
          <w:lang w:val="en-GB"/>
        </w:rPr>
      </w:pPr>
      <w:r w:rsidRPr="00C33195">
        <w:rPr>
          <w:rFonts w:ascii="Times New Roman" w:hAnsi="Times New Roman" w:cs="Times New Roman"/>
          <w:lang w:val="en-GB"/>
        </w:rPr>
        <w:t>As in the case of faeces, the analysis of salivary microbiota is usually performed by culture-dependent methodologies or NGS as well as by determining the metabolic profile by chemical approaches.</w:t>
      </w:r>
    </w:p>
    <w:p w14:paraId="0CBA80EF" w14:textId="77777777" w:rsidR="00845E49" w:rsidRPr="00C33195" w:rsidRDefault="00845E49" w:rsidP="00875587">
      <w:pPr>
        <w:tabs>
          <w:tab w:val="left" w:pos="8293"/>
        </w:tabs>
        <w:spacing w:line="360" w:lineRule="auto"/>
        <w:jc w:val="both"/>
        <w:rPr>
          <w:rFonts w:ascii="Times New Roman" w:hAnsi="Times New Roman" w:cs="Times New Roman"/>
          <w:lang w:val="en-GB"/>
        </w:rPr>
      </w:pPr>
      <w:r w:rsidRPr="00C33195">
        <w:rPr>
          <w:rFonts w:ascii="Times New Roman" w:hAnsi="Times New Roman" w:cs="Times New Roman"/>
          <w:lang w:val="en-GB"/>
        </w:rPr>
        <w:t>In this “proof of concept” study we investigated for the first time by solid phase micro-extraction gas chromatography coupled to mass spectrometry (SPME-GC-MS) the salivary VOCs profile to verify whether the dynamics of salivary metabolites might be a useful indicator for the study of the gut microbiota status.</w:t>
      </w:r>
      <w:r w:rsidR="00356461" w:rsidRPr="00C33195">
        <w:rPr>
          <w:rFonts w:ascii="Times New Roman" w:hAnsi="Times New Roman" w:cs="Times New Roman"/>
          <w:lang w:val="en-GB"/>
        </w:rPr>
        <w:t xml:space="preserve">  </w:t>
      </w:r>
    </w:p>
    <w:p w14:paraId="69F10D97" w14:textId="5C43FB71" w:rsidR="00023344" w:rsidRPr="00C33195" w:rsidRDefault="0073497F"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Fourteen</w:t>
      </w:r>
      <w:r w:rsidR="00845E49" w:rsidRPr="00C33195">
        <w:rPr>
          <w:rFonts w:ascii="Times New Roman" w:hAnsi="Times New Roman" w:cs="Times New Roman"/>
          <w:lang w:val="en-GB"/>
        </w:rPr>
        <w:t xml:space="preserve"> saliva samples were collected from a nominally healthy volunteer over </w:t>
      </w:r>
      <w:r w:rsidR="00081057" w:rsidRPr="00C33195">
        <w:rPr>
          <w:rFonts w:ascii="Times New Roman" w:hAnsi="Times New Roman" w:cs="Times New Roman"/>
          <w:lang w:val="en-GB"/>
        </w:rPr>
        <w:t>three weeks</w:t>
      </w:r>
      <w:r w:rsidR="00845E49" w:rsidRPr="00C33195">
        <w:rPr>
          <w:rFonts w:ascii="Times New Roman" w:hAnsi="Times New Roman" w:cs="Times New Roman"/>
          <w:lang w:val="en-GB"/>
        </w:rPr>
        <w:t xml:space="preserve">, before, during and after the treatment with rifaximin, an antibiotic that is known to exerts anti-inflammatory effects and </w:t>
      </w:r>
      <w:proofErr w:type="spellStart"/>
      <w:r w:rsidR="00845E49" w:rsidRPr="00C33195">
        <w:rPr>
          <w:rFonts w:ascii="Times New Roman" w:hAnsi="Times New Roman" w:cs="Times New Roman"/>
          <w:lang w:val="en-GB"/>
        </w:rPr>
        <w:t>eubiotic</w:t>
      </w:r>
      <w:proofErr w:type="spellEnd"/>
      <w:r w:rsidR="00845E49" w:rsidRPr="00C33195">
        <w:rPr>
          <w:rFonts w:ascii="Times New Roman" w:hAnsi="Times New Roman" w:cs="Times New Roman"/>
          <w:lang w:val="en-GB"/>
        </w:rPr>
        <w:t xml:space="preserve"> properties in gut microbiota</w:t>
      </w:r>
      <w:r w:rsidR="00BB3052">
        <w:rPr>
          <w:rFonts w:ascii="Times New Roman" w:hAnsi="Times New Roman" w:cs="Times New Roman"/>
          <w:lang w:val="en-GB"/>
        </w:rPr>
        <w:t xml:space="preserve"> </w:t>
      </w:r>
      <w:r w:rsidR="007C777B">
        <w:rPr>
          <w:rFonts w:ascii="Times New Roman" w:hAnsi="Times New Roman" w:cs="Times New Roman"/>
          <w:lang w:val="en-GB"/>
        </w:rPr>
        <w:fldChar w:fldCharType="begin" w:fldLock="1"/>
      </w:r>
      <w:r w:rsidR="001642AF">
        <w:rPr>
          <w:rFonts w:ascii="Times New Roman" w:hAnsi="Times New Roman" w:cs="Times New Roman"/>
          <w:lang w:val="en-GB"/>
        </w:rPr>
        <w:instrText>ADDIN CSL_CITATION {"citationItems":[{"id":"ITEM-1","itemData":{"DOI":"10.1007/s10620-017-4656-1","ISSN":"0163-2116","author":[{"dropping-particle":"","family":"Ponziani","given":"F R","non-dropping-particle":"","parse-names":false,"suffix":""},{"dropping-particle":"","family":"Pompili","given":"M","non-dropping-particle":"","parse-names":false,"suffix":""},{"dropping-particle":"","family":"Gasbarrini","given":"A","non-dropping-particle":"","parse-names":false,"suffix":""}],"container-title":"Digestive Diseases and Sciences","id":"ITEM-1","issue":"9","issued":{"date-parts":[["2017"]]},"note":"Ponziani, Francesca Romana Pompili, Maurizio Gasbarrini, Antonio\n1573-2568","page":"2220-2222","title":"Rifaximin Re-treatment in Patients with Irritable Bowel Syndrome: Feels Like the First Time?","type":"article-journal","volume":"62"},"uris":["http://www.mendeley.com/documents/?uuid=eea204aa-d8fa-454b-a45c-bb53694ac8cc"]},{"id":"ITEM-2","itemData":{"DOI":"10.1159/000443361","ISSN":"0257-2753","abstract":"Antibiotics are mainly used in clinical practice for their activity against pathogens, but they also alter the composition of commensal gut microbial community. Rifaximin is a non-absorbable antibiotic with additional effects on the gut micro biota about which very little is known. It is still not clear to what extent rifaximin can be able to modulate gut microbiota composition and diversity in different clinical settings. Studies based on culture-dependent techniques revealed that rifaximin treatment promotes the growth of beneficial bacteria, such as Bifidobacteria and Lactobacilli. Accordingly, our metagenomic analysis carried out on patients with different gastrointestinal and liver diseases highlighted a significant increase in Lactobacilli after rifaximin treatment, persisting in the short time period. This result was independent of the disease background and was not accompanied by a significant alteration of the overall gut microbial ecology. This suggests that rifaximin can exert important eubiotic effects independently of the original disease, producing a favorable gut microbiota perturbation without changing its overall composition and diversity. (C) 2016 S. Karger AG, Basel","author":[{"dropping-particle":"","family":"Ponziani","given":"F R","non-dropping-particle":"","parse-names":false,"suffix":""},{"dropping-particle":"","family":"Scaldaferri","given":"F","non-dropping-particle":"","parse-names":false,"suffix":""},{"dropping-particle":"","family":"Petito","given":"V","non-dropping-particle":"","parse-names":false,"suffix":""},{"dropping-particle":"","family":"Sterbini","given":"F P","non-dropping-particle":"","parse-names":false,"suffix":""},{"dropping-particle":"","family":"Pecere","given":"S","non-dropping-particle":"","parse-names":false,"suffix":""},{"dropping-particle":"","family":"Lopetuso","given":"L R","non-dropping-particle":"","parse-names":false,"suffix":""},{"dropping-particle":"","family":"Palladini","given":"A","non-dropping-particle":"","parse-names":false,"suffix":""},{"dropping-particle":"","family":"Gerardi","given":"V","non-dropping-particle":"","parse-names":false,"suffix":""},{"dropping-particle":"","family":"Masucci","given":"L","non-dropping-particle":"","parse-names":false,"suffix":""},{"dropping-particle":"","family":"Pompili","given":"M","non-dropping-particle":"","parse-names":false,"suffix":""},{"dropping-particle":"","family":"Cammarota","given":"G","non-dropping-particle":"","parse-names":false,"suffix":""},{"dropping-particle":"","family":"Sanguinetti","given":"M","non-dropping-particle":"","parse-names":false,"suffix":""},{"dropping-particle":"","family":"Gasbarrini","given":"A","non-dropping-particle":"","parse-names":false,"suffix":""}],"container-title":"Digestive Diseases","id":"ITEM-2","issue":"3","issued":{"date-parts":[["2016"]]},"note":"Ponziani, Francesca Romana Scaldaferri, Franco Petito, Valentina Sterbini, Francesco Paroni Pecere, Silvia Lopetuso, Loris R. Palladini, Alessandra Gerardi, Viviana Masucci, Luca Pompili, Maurizio Cammarota, Giovanni Sanguinetti, Maurizio Gasbarrini, Antonio\nPonziani, Francesca Romana/E-4136-2016; Paroni Sterbini, Francesco/K-9290-2016\nPonziani, Francesca Romana/0000-0002-5924-6238; Paroni Sterbini, Francesco/0000-0003-4708-1250; scaldaferri, franco/0000-0001-8334-7541; Palladini, Alessandra/0000-0001-5307-8643\n1421-9875","page":"269-278","title":"The Role of Antibiotics in Gut Microbiota Modulation: The Eubiotic Effects of Rifaximin","type":"article-journal","volume":"34"},"uris":["http://www.mendeley.com/documents/?uuid=555dd37a-cbc5-469f-b585-f2e3ea393e0c"]},{"id":"ITEM-3","itemData":{"DOI":"10.1080/14740338.2016.1186639","ISSN":"1474-0338","abstract":"Introduction: Irritable bowel syndrome is a functional gastrointestinal disorder with a multifactorial etiology. Alterations of intestinal motility and immunity, gut-brain interactions, as well as gut microbiota dysbiosis contribute to the development of irritable bowel syndrome. Therefore, gut microbiota modulation by non-absorbable antibiotics is a therapeutic option in patients with IBS. Areas covered: Published articles including patients with irritable bowel syndrome reporting data about rifaximin activity and safety have been searched throughout the literature and selected. Expert opinion: The optimal antibiotic molecule should be local-acting, long-acting and safe-acting. Rifaximin is a non-absorbable antibiotic with additional anti-inflammatory and gut microbiota-modulating activity. It is effective in inducing symptoms relief in patients with IBS, even after repeated treatment courses. Rifaximin-related side effects in patients with IBS are reported to be mild and infrequent; microbial resistance is rare and transient, due to the high local concentration of the drug and to the absence of horizontal transmission. Clostridium difficile infection is not usual in patients receiving rifaximin in absence of predisposing conditions such as hospitalization and immunosuppression, which are uncommon in patients affected by irritable bowel syndrome. Nevertheless rifaximin is an antibiotic active against Clostridium difficile infection. Rifaximin has limited metabolic interactions and is not expected to interfere with drug metabolism in patients with normal hepatic function. These properties make rifaximin a safe antibiotic for gut microbiota modulation in patients with IBS.","author":[{"dropping-particle":"","family":"Ponziani","given":"F R","non-dropping-particle":"","parse-names":false,"suffix":""},{"dropping-particle":"","family":"Pecere","given":"S","non-dropping-particle":"","parse-names":false,"suffix":""},{"dropping-particle":"","family":"Lopetuso","given":"L","non-dropping-particle":"","parse-names":false,"suffix":""},{"dropping-particle":"","family":"Scaldaferri","given":"F","non-dropping-particle":"","parse-names":false,"suffix":""},{"dropping-particle":"","family":"Cammarota","given":"G","non-dropping-particle":"","parse-names":false,"suffix":""},{"dropping-particle":"","family":"Gasbarrini","given":"A","non-dropping-particle":"","parse-names":false,"suffix":""}],"container-title":"Expert Opinion on Drug Safety","id":"ITEM-3","issue":"7","issued":{"date-parts":[["2016"]]},"note":"Ponziani, Francesca Romana Pecere, Silvia Lopetuso, Loris Scaldaferri, Franco Cammarota, Giovanni Gasbarrini, Antonio\nPonziani, Francesca Romana/E-4136-2016\nPonziani, Francesca Romana/0000-0002-5924-6238; scaldaferri, franco/0000-0001-8334-7541\n1744-764x","page":"983-991","title":"Rifaximin for the treatment of irritable bowel syndrome - a drug safety evaluation","type":"article-journal","volume":"15"},"uris":["http://www.mendeley.com/documents/?uuid=121199ef-8783-4963-860e-b16ea88a5e5a"]},{"id":"ITEM-4","itemData":{"DOI":"10.3748/wjg.v21.i43.12322","ISSN":"1007-9327","abstract":"Liver cirrhosis is a paradigm of intestinal dysbiosis. The qualitative and quantitative derangement of intestinal microbial community reported in cirrhotic patients seems to be strictly related with the impairment of liver function. A kind of gut microbial \"fingerprint\", characterized by the reduced ratio of \"good\" to \"potentially pathogenic\" bacteria has recently been outlined, and is associated with the increase in Model for End-Stage Liver Disease and Child Pugh scores. Moreover, in patients presenting with cirrhosis complications such as spontaneous bacterial peritonitis (SBP), hepatic encephalopathy (HE), and, portal hypertension intestinal microbiota modifications or the isolation of bacteria deriving from the gut are commonly reported. Rifaximin is a non-absorbable antibiotic used in the management of several gastrointestinal diseases. Beyond bactericidal/bacteriostatic, immune-modulating and anti-inflammatory activity, a little is known about its interaction with gut microbial environment. Rifaximin has been demonstrated to exert beneficial effects on cognitive function in patients with HE, and also to prevent the development of SBP, to reduce endotoxemia and to improve hemodynamics in cirrhotics. These results are linked to a shift in gut microbes functionality, triggering the production of favorable metabolites. The low incidence of drug-related adverse events due to the small amount of circulating drug makes rifaximin a relatively safe antibiotic for the modulation of gut microbiota in advanced liver disease.","author":[{"dropping-particle":"","family":"Ponziani","given":"F R","non-dropping-particle":"","parse-names":false,"suffix":""},{"dropping-particle":"","family":"Gerardi","given":"V","non-dropping-particle":"","parse-names":false,"suffix":""},{"dropping-particle":"","family":"Pecere","given":"S","non-dropping-particle":"","parse-names":false,"suffix":""},{"dropping-particle":"","family":"D'Aversa","given":"F","non-dropping-particle":"","parse-names":false,"suffix":""},{"dropping-particle":"","family":"Lopetuso","given":"L","non-dropping-particle":"","parse-names":false,"suffix":""},{"dropping-particle":"","family":"Zocco","given":"M A","non-dropping-particle":"","parse-names":false,"suffix":""},{"dropping-particle":"","family":"Pompili","given":"M","non-dropping-particle":"","parse-names":false,"suffix":""},{"dropping-particle":"","family":"Gasbarrini","given":"A","non-dropping-particle":"","parse-names":false,"suffix":""}],"container-title":"World Journal of Gastroenterology","id":"ITEM-4","issue":"43","issued":{"date-parts":[["2015"]]},"note":"Ponziani, Francesca Romana Gerardi, Viviana Pecere, Silvia D'Aversa, Francesca Lopetuso, Loris Zocco, Maria Assunta Pompili, Maurizio Gasbarrini, Antonio\nPonziani, Francesca Romana/E-4136-2016\nPonziani, Francesca Romana/0000-0002-5924-6238; Zocco, Maria Assunta/0000-0002-0814-9542\n2219-2840","page":"12322-12333","title":"Effect of rifaximin on gut microbiota composition in advanced liver disease and its complications","type":"article-journal","volume":"21"},"uris":["http://www.mendeley.com/documents/?uuid=9eddabc4-3f62-4afb-8706-53cfd41d91a5"]}],"mendeley":{"formattedCitation":"[32–35]","plainTextFormattedCitation":"[32–35]","previouslyFormattedCitation":"[32–35]"},"properties":{"noteIndex":0},"schema":"https://github.com/citation-style-language/schema/raw/master/csl-citation.json"}</w:instrText>
      </w:r>
      <w:r w:rsidR="007C777B">
        <w:rPr>
          <w:rFonts w:ascii="Times New Roman" w:hAnsi="Times New Roman" w:cs="Times New Roman"/>
          <w:lang w:val="en-GB"/>
        </w:rPr>
        <w:fldChar w:fldCharType="separate"/>
      </w:r>
      <w:r w:rsidR="007C777B" w:rsidRPr="007C777B">
        <w:rPr>
          <w:rFonts w:ascii="Times New Roman" w:hAnsi="Times New Roman" w:cs="Times New Roman"/>
          <w:noProof/>
          <w:lang w:val="en-GB"/>
        </w:rPr>
        <w:t>[32–35]</w:t>
      </w:r>
      <w:r w:rsidR="007C777B">
        <w:rPr>
          <w:rFonts w:ascii="Times New Roman" w:hAnsi="Times New Roman" w:cs="Times New Roman"/>
          <w:lang w:val="en-GB"/>
        </w:rPr>
        <w:fldChar w:fldCharType="end"/>
      </w:r>
      <w:r w:rsidR="00845E49" w:rsidRPr="00C33195">
        <w:rPr>
          <w:rFonts w:ascii="Times New Roman" w:hAnsi="Times New Roman" w:cs="Times New Roman"/>
          <w:lang w:val="en-GB"/>
        </w:rPr>
        <w:t xml:space="preserve">. </w:t>
      </w:r>
    </w:p>
    <w:p w14:paraId="5FA33F9B" w14:textId="77777777" w:rsidR="00845E49" w:rsidRPr="00C33195" w:rsidRDefault="00845E49"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lastRenderedPageBreak/>
        <w:t>The results herein presented are novel and they are discussed relatively to the possible employment of saliva metabolites as biomarkers of gut microbiota “health status”.</w:t>
      </w:r>
    </w:p>
    <w:p w14:paraId="14CC10C7" w14:textId="77777777" w:rsidR="00705903" w:rsidRDefault="00705903" w:rsidP="00875587">
      <w:pPr>
        <w:spacing w:line="360" w:lineRule="auto"/>
        <w:rPr>
          <w:lang w:val="en-GB"/>
        </w:rPr>
      </w:pPr>
    </w:p>
    <w:p w14:paraId="73AC523F" w14:textId="77777777" w:rsidR="00C33195" w:rsidRPr="00C33195" w:rsidRDefault="00C33195" w:rsidP="00875587">
      <w:pPr>
        <w:spacing w:line="360" w:lineRule="auto"/>
        <w:rPr>
          <w:lang w:val="en-GB"/>
        </w:rPr>
      </w:pPr>
    </w:p>
    <w:p w14:paraId="34DC1E51" w14:textId="77777777" w:rsidR="00845E49" w:rsidRPr="00C33195" w:rsidRDefault="00845E49" w:rsidP="00075751">
      <w:pPr>
        <w:pStyle w:val="Titolo1"/>
        <w:spacing w:before="0" w:after="200" w:line="360" w:lineRule="auto"/>
        <w:jc w:val="both"/>
        <w:rPr>
          <w:rFonts w:cs="Times New Roman"/>
          <w:sz w:val="28"/>
          <w:szCs w:val="24"/>
          <w:lang w:val="en-GB"/>
        </w:rPr>
      </w:pPr>
      <w:r w:rsidRPr="00C33195">
        <w:rPr>
          <w:rFonts w:cs="Times New Roman"/>
          <w:sz w:val="28"/>
          <w:szCs w:val="24"/>
          <w:lang w:val="en-GB"/>
        </w:rPr>
        <w:t>Materials and methods</w:t>
      </w:r>
    </w:p>
    <w:p w14:paraId="7B83E4C3" w14:textId="77777777" w:rsidR="00845E49" w:rsidRPr="00C33195" w:rsidRDefault="00845E49" w:rsidP="00875587">
      <w:pPr>
        <w:spacing w:line="360" w:lineRule="auto"/>
        <w:jc w:val="both"/>
        <w:rPr>
          <w:rFonts w:ascii="Times New Roman" w:eastAsiaTheme="majorEastAsia" w:hAnsi="Times New Roman" w:cs="Times New Roman"/>
          <w:bCs/>
          <w:color w:val="000000" w:themeColor="text1"/>
          <w:lang w:val="en-GB"/>
        </w:rPr>
      </w:pPr>
      <w:r w:rsidRPr="00C33195">
        <w:rPr>
          <w:rStyle w:val="Titolo2Carattere"/>
          <w:rFonts w:eastAsiaTheme="minorEastAsia"/>
          <w:sz w:val="24"/>
          <w:szCs w:val="24"/>
          <w:lang w:val="en-GB"/>
        </w:rPr>
        <w:t>Chemicals and materials</w:t>
      </w:r>
    </w:p>
    <w:p w14:paraId="0DEBF6CB" w14:textId="77777777" w:rsidR="00845E49" w:rsidRPr="00C33195" w:rsidRDefault="002B5AF1" w:rsidP="00875587">
      <w:pPr>
        <w:spacing w:line="360" w:lineRule="auto"/>
        <w:jc w:val="both"/>
        <w:rPr>
          <w:rFonts w:ascii="Times New Roman" w:hAnsi="Times New Roman" w:cs="Times New Roman"/>
          <w:noProof/>
          <w:lang w:val="en-GB"/>
        </w:rPr>
      </w:pPr>
      <w:r w:rsidRPr="00C33195">
        <w:rPr>
          <w:rFonts w:ascii="Times New Roman" w:hAnsi="Times New Roman" w:cs="Times New Roman"/>
          <w:noProof/>
          <w:lang w:val="en-GB"/>
        </w:rPr>
        <w:t xml:space="preserve">Acetaldehyde, propanal, ethanol, acetone, methyl acetate, ethyl acetate, 2-butanone, methanol, 2-propanol, 2-pentanone, 2-3-butandione, 2-butanol, 1-propanol, 4-heptanon, 1-butanol, heptanal, 3-OH-2-butanone, acetic acid, propionic acid, butanoic acid, D-labeled ethanol and </w:t>
      </w:r>
      <w:r w:rsidRPr="00C33195">
        <w:rPr>
          <w:rFonts w:ascii="Times New Roman" w:hAnsi="Times New Roman" w:cs="Times New Roman"/>
          <w:noProof/>
          <w:vertAlign w:val="superscript"/>
          <w:lang w:val="en-GB"/>
        </w:rPr>
        <w:t>13</w:t>
      </w:r>
      <w:r w:rsidRPr="00C33195">
        <w:rPr>
          <w:rFonts w:ascii="Times New Roman" w:hAnsi="Times New Roman" w:cs="Times New Roman"/>
          <w:noProof/>
          <w:lang w:val="en-GB"/>
        </w:rPr>
        <w:t xml:space="preserve">C-labeled butanoic acid </w:t>
      </w:r>
      <w:r w:rsidR="00845E49" w:rsidRPr="00C33195">
        <w:rPr>
          <w:rFonts w:ascii="Times New Roman" w:hAnsi="Times New Roman" w:cs="Times New Roman"/>
          <w:noProof/>
          <w:lang w:val="en-GB"/>
        </w:rPr>
        <w:t xml:space="preserve">were purchased from Sigma-Aldrich (Italy). All compounds had a purity higher than 99% and thus were used without any further purification. Working solutions of all these analytes were prepared by diluting their stock solution with milli-Q water and then stored at 4 °C up to 1 month in an amber vial until their use. </w:t>
      </w:r>
    </w:p>
    <w:p w14:paraId="3067773B" w14:textId="77777777" w:rsidR="00845E49" w:rsidRPr="00C33195" w:rsidRDefault="00845E49" w:rsidP="00875587">
      <w:pPr>
        <w:spacing w:line="360" w:lineRule="auto"/>
        <w:jc w:val="both"/>
        <w:rPr>
          <w:rFonts w:ascii="Times New Roman" w:hAnsi="Times New Roman" w:cs="Times New Roman"/>
          <w:noProof/>
          <w:lang w:val="en-GB"/>
        </w:rPr>
      </w:pPr>
      <w:r w:rsidRPr="00C33195">
        <w:rPr>
          <w:rFonts w:ascii="Times New Roman" w:hAnsi="Times New Roman" w:cs="Times New Roman"/>
          <w:noProof/>
          <w:lang w:val="en-GB"/>
        </w:rPr>
        <w:t>Helium 5.6 IP was purchased from Sol Group Spa (Italy) and was further purified with a super clean filter purchased from Agilent Technologies (USA) to remove water, oxygen and hydrocarbon contaminants. Solid Phase Micro-Extraction Fiber based on 85 µm carboxen/polydimethylsiloxane (CAR/PDMS) were employed for the preconcentration of volatile compounds in the HS.</w:t>
      </w:r>
    </w:p>
    <w:p w14:paraId="0C55CFBA" w14:textId="77777777" w:rsidR="00845E49" w:rsidRPr="00C33195" w:rsidRDefault="00845E49" w:rsidP="00875587">
      <w:pPr>
        <w:spacing w:line="360" w:lineRule="auto"/>
        <w:jc w:val="both"/>
        <w:rPr>
          <w:rFonts w:ascii="Times New Roman" w:hAnsi="Times New Roman" w:cs="Times New Roman"/>
          <w:noProof/>
          <w:lang w:val="en-GB"/>
        </w:rPr>
      </w:pPr>
      <w:r w:rsidRPr="00C33195">
        <w:rPr>
          <w:rFonts w:ascii="Times New Roman" w:hAnsi="Times New Roman" w:cs="Times New Roman"/>
          <w:noProof/>
          <w:lang w:val="en-GB"/>
        </w:rPr>
        <w:t xml:space="preserve">The antibiotic rifaximin (200 mg tablets, batch no. 07/071c) was supplied by GRUNENTHAL ITALIA Srl. Aloe Vera was supplied by Specchiasol (Italy). Probiotics </w:t>
      </w:r>
      <w:r w:rsidR="0073497F" w:rsidRPr="00C33195">
        <w:rPr>
          <w:rFonts w:ascii="Times New Roman" w:hAnsi="Times New Roman" w:cs="Times New Roman"/>
          <w:i/>
          <w:noProof/>
          <w:lang w:val="en-GB"/>
        </w:rPr>
        <w:t xml:space="preserve">Lactobacillus reuteri </w:t>
      </w:r>
      <w:r w:rsidRPr="00C33195">
        <w:rPr>
          <w:rFonts w:ascii="Times New Roman" w:hAnsi="Times New Roman" w:cs="Times New Roman"/>
          <w:noProof/>
          <w:lang w:val="en-GB"/>
        </w:rPr>
        <w:t xml:space="preserve">(5 billions/capsule) were supplied by </w:t>
      </w:r>
      <w:r w:rsidR="0073497F" w:rsidRPr="00C33195">
        <w:rPr>
          <w:rFonts w:ascii="Times New Roman" w:hAnsi="Times New Roman" w:cs="Times New Roman"/>
          <w:noProof/>
          <w:lang w:val="en-GB"/>
        </w:rPr>
        <w:t>Italchimici</w:t>
      </w:r>
      <w:r w:rsidRPr="00C33195">
        <w:rPr>
          <w:rFonts w:ascii="Times New Roman" w:hAnsi="Times New Roman" w:cs="Times New Roman"/>
          <w:noProof/>
          <w:lang w:val="en-GB"/>
        </w:rPr>
        <w:t xml:space="preserve"> (Italy).</w:t>
      </w:r>
    </w:p>
    <w:p w14:paraId="530EDC60" w14:textId="77777777" w:rsidR="00845E49" w:rsidRPr="00C33195" w:rsidRDefault="00845E49" w:rsidP="00875587">
      <w:pPr>
        <w:spacing w:line="360" w:lineRule="auto"/>
        <w:jc w:val="both"/>
        <w:rPr>
          <w:rFonts w:ascii="Times New Roman" w:hAnsi="Times New Roman" w:cs="Times New Roman"/>
          <w:noProof/>
          <w:lang w:val="en-GB"/>
        </w:rPr>
      </w:pPr>
      <w:r w:rsidRPr="00C33195">
        <w:rPr>
          <w:rFonts w:ascii="Times New Roman" w:hAnsi="Times New Roman" w:cs="Times New Roman"/>
          <w:noProof/>
          <w:lang w:val="en-GB"/>
        </w:rPr>
        <w:t xml:space="preserve">All the liquid solutions and saliva samples were stored in sterile polypropylene containers purchased from Eppendorf (Italy). </w:t>
      </w:r>
      <w:proofErr w:type="spellStart"/>
      <w:r w:rsidRPr="00C33195">
        <w:rPr>
          <w:rFonts w:ascii="Times New Roman" w:hAnsi="Times New Roman" w:cs="Times New Roman"/>
          <w:lang w:val="en-GB"/>
        </w:rPr>
        <w:t>Salivette</w:t>
      </w:r>
      <w:proofErr w:type="spellEnd"/>
      <w:r w:rsidRPr="00C33195">
        <w:rPr>
          <w:rFonts w:ascii="Times New Roman" w:hAnsi="Times New Roman" w:cs="Times New Roman"/>
          <w:lang w:val="en-GB"/>
        </w:rPr>
        <w:t xml:space="preserve">® </w:t>
      </w:r>
      <w:r w:rsidRPr="00C33195">
        <w:rPr>
          <w:rFonts w:ascii="Times New Roman" w:hAnsi="Times New Roman" w:cs="Times New Roman"/>
          <w:noProof/>
          <w:lang w:val="en-GB"/>
        </w:rPr>
        <w:t xml:space="preserve">roll-shaped polyester swabs </w:t>
      </w:r>
      <w:r w:rsidRPr="00C33195">
        <w:rPr>
          <w:rFonts w:ascii="Times New Roman" w:hAnsi="Times New Roman" w:cs="Times New Roman"/>
          <w:lang w:val="en-GB"/>
        </w:rPr>
        <w:t>(</w:t>
      </w:r>
      <w:proofErr w:type="spellStart"/>
      <w:r w:rsidRPr="00C33195">
        <w:rPr>
          <w:rFonts w:ascii="Times New Roman" w:hAnsi="Times New Roman" w:cs="Times New Roman"/>
          <w:lang w:val="en-GB"/>
        </w:rPr>
        <w:t>Sarstaedt</w:t>
      </w:r>
      <w:proofErr w:type="spellEnd"/>
      <w:r w:rsidRPr="00C33195">
        <w:rPr>
          <w:rFonts w:ascii="Times New Roman" w:hAnsi="Times New Roman" w:cs="Times New Roman"/>
          <w:lang w:val="en-GB"/>
        </w:rPr>
        <w:t>, Germany) were used for saliva collection</w:t>
      </w:r>
      <w:r w:rsidRPr="00C33195">
        <w:rPr>
          <w:rFonts w:ascii="Times New Roman" w:hAnsi="Times New Roman" w:cs="Times New Roman"/>
          <w:noProof/>
          <w:lang w:val="en-GB"/>
        </w:rPr>
        <w:t>. An Eppendorf Centrifuge 5810 R equipped with an A-4-44 swinging bucket rotor (Italy) was used for sample centrifugation</w:t>
      </w:r>
      <w:r w:rsidR="009967CA" w:rsidRPr="00C33195">
        <w:rPr>
          <w:rFonts w:ascii="Times New Roman" w:hAnsi="Times New Roman" w:cs="Times New Roman"/>
          <w:noProof/>
          <w:lang w:val="en-GB"/>
        </w:rPr>
        <w:t>.</w:t>
      </w:r>
    </w:p>
    <w:p w14:paraId="7C29257D" w14:textId="77777777" w:rsidR="00845E49" w:rsidRPr="00C33195" w:rsidRDefault="00845E49"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Preparation/dilution of samples and solutions was performed gravimetrically using ultrapure water (</w:t>
      </w:r>
      <w:proofErr w:type="spellStart"/>
      <w:r w:rsidRPr="00C33195">
        <w:rPr>
          <w:rFonts w:ascii="Times New Roman" w:hAnsi="Times New Roman" w:cs="Times New Roman"/>
          <w:lang w:val="en-GB"/>
        </w:rPr>
        <w:t>MilliQ</w:t>
      </w:r>
      <w:proofErr w:type="spellEnd"/>
      <w:r w:rsidRPr="00C33195">
        <w:rPr>
          <w:rFonts w:ascii="Times New Roman" w:hAnsi="Times New Roman" w:cs="Times New Roman"/>
          <w:lang w:val="en-GB"/>
        </w:rPr>
        <w:t>; 18.2 M</w:t>
      </w:r>
      <w:r w:rsidRPr="00C33195">
        <w:rPr>
          <w:rFonts w:ascii="Times New Roman" w:hAnsi="Times New Roman" w:cs="Times New Roman"/>
          <w:lang w:val="en-GB"/>
        </w:rPr>
        <w:sym w:font="Symbol" w:char="F057"/>
      </w:r>
      <w:r w:rsidRPr="00C33195">
        <w:rPr>
          <w:rFonts w:ascii="Times New Roman" w:hAnsi="Times New Roman" w:cs="Times New Roman"/>
          <w:lang w:val="en-GB"/>
        </w:rPr>
        <w:t xml:space="preserve"> cm</w:t>
      </w:r>
      <w:r w:rsidRPr="00C33195">
        <w:rPr>
          <w:rFonts w:ascii="Times New Roman" w:hAnsi="Times New Roman" w:cs="Times New Roman"/>
          <w:vertAlign w:val="superscript"/>
          <w:lang w:val="en-GB"/>
        </w:rPr>
        <w:t>-1</w:t>
      </w:r>
      <w:r w:rsidRPr="00C33195">
        <w:rPr>
          <w:rFonts w:ascii="Times New Roman" w:hAnsi="Times New Roman" w:cs="Times New Roman"/>
          <w:lang w:val="en-GB"/>
        </w:rPr>
        <w:t xml:space="preserve"> at 25 °C, Millipore, Bedford, MA, USA).</w:t>
      </w:r>
    </w:p>
    <w:p w14:paraId="51902BB6" w14:textId="77777777" w:rsidR="00845E49" w:rsidRPr="00C33195" w:rsidRDefault="00845E49" w:rsidP="00875587">
      <w:pPr>
        <w:spacing w:line="360" w:lineRule="auto"/>
        <w:jc w:val="both"/>
        <w:rPr>
          <w:rFonts w:ascii="Times New Roman" w:hAnsi="Times New Roman" w:cs="Times New Roman"/>
          <w:lang w:val="en-GB"/>
        </w:rPr>
      </w:pPr>
    </w:p>
    <w:p w14:paraId="22E9D656" w14:textId="77777777" w:rsidR="00845E49" w:rsidRPr="00C33195" w:rsidRDefault="00845E49" w:rsidP="00875587">
      <w:pPr>
        <w:spacing w:line="360" w:lineRule="auto"/>
        <w:jc w:val="both"/>
        <w:rPr>
          <w:rFonts w:ascii="Times New Roman" w:hAnsi="Times New Roman" w:cs="Times New Roman"/>
          <w:b/>
          <w:lang w:val="en-GB"/>
        </w:rPr>
      </w:pPr>
      <w:r w:rsidRPr="00C33195">
        <w:rPr>
          <w:rFonts w:ascii="Times New Roman" w:hAnsi="Times New Roman" w:cs="Times New Roman"/>
          <w:b/>
          <w:lang w:val="en-GB"/>
        </w:rPr>
        <w:t>Standard solutions</w:t>
      </w:r>
    </w:p>
    <w:p w14:paraId="7FD06653" w14:textId="77777777" w:rsidR="00845E49" w:rsidRPr="00C33195" w:rsidRDefault="00845E49"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Compounds were classified in</w:t>
      </w:r>
      <w:r w:rsidR="00C33195">
        <w:rPr>
          <w:rFonts w:ascii="Times New Roman" w:hAnsi="Times New Roman" w:cs="Times New Roman"/>
          <w:lang w:val="en-GB"/>
        </w:rPr>
        <w:t>to</w:t>
      </w:r>
      <w:r w:rsidRPr="00C33195">
        <w:rPr>
          <w:rFonts w:ascii="Times New Roman" w:hAnsi="Times New Roman" w:cs="Times New Roman"/>
          <w:lang w:val="en-GB"/>
        </w:rPr>
        <w:t xml:space="preserve"> three groups (aldehydes and ketones, carboxylic acids, alcohols) and three stock solutions were prepared at a concentration between 30 and 180 mg/mL by mixing the selected analytes. The stock solutions (stored at 4 °C) were subsequently diluted in ultrapure water and used for method validation. </w:t>
      </w:r>
    </w:p>
    <w:p w14:paraId="78F26A1F" w14:textId="77777777" w:rsidR="00845E49" w:rsidRPr="00C33195" w:rsidRDefault="00845E49" w:rsidP="00875587">
      <w:pPr>
        <w:spacing w:line="360" w:lineRule="auto"/>
        <w:jc w:val="both"/>
        <w:rPr>
          <w:rFonts w:ascii="Times New Roman" w:hAnsi="Times New Roman" w:cs="Times New Roman"/>
          <w:i/>
          <w:lang w:val="en-GB"/>
        </w:rPr>
      </w:pPr>
    </w:p>
    <w:p w14:paraId="06DE1DBA" w14:textId="77777777" w:rsidR="00845E49" w:rsidRPr="00C33195" w:rsidRDefault="00845E49" w:rsidP="00875587">
      <w:pPr>
        <w:spacing w:line="360" w:lineRule="auto"/>
        <w:jc w:val="both"/>
        <w:rPr>
          <w:rFonts w:ascii="Times New Roman" w:hAnsi="Times New Roman" w:cs="Times New Roman"/>
          <w:b/>
          <w:lang w:val="en-GB"/>
        </w:rPr>
      </w:pPr>
      <w:r w:rsidRPr="00C33195">
        <w:rPr>
          <w:rFonts w:ascii="Times New Roman" w:hAnsi="Times New Roman" w:cs="Times New Roman"/>
          <w:b/>
          <w:lang w:val="en-GB"/>
        </w:rPr>
        <w:t>Saliva collection and processing</w:t>
      </w:r>
    </w:p>
    <w:p w14:paraId="122722CB" w14:textId="2C3BCCEC" w:rsidR="00845E49" w:rsidRPr="00C33195" w:rsidRDefault="00845E49"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lastRenderedPageBreak/>
        <w:t xml:space="preserve">A nominally healthy volunteer (48 </w:t>
      </w:r>
      <w:proofErr w:type="spellStart"/>
      <w:r w:rsidRPr="00C33195">
        <w:rPr>
          <w:rFonts w:ascii="Times New Roman" w:hAnsi="Times New Roman" w:cs="Times New Roman"/>
          <w:lang w:val="en-GB"/>
        </w:rPr>
        <w:t>y.o</w:t>
      </w:r>
      <w:proofErr w:type="spellEnd"/>
      <w:r w:rsidRPr="00C33195">
        <w:rPr>
          <w:rFonts w:ascii="Times New Roman" w:hAnsi="Times New Roman" w:cs="Times New Roman"/>
          <w:lang w:val="en-GB"/>
        </w:rPr>
        <w:t xml:space="preserve">. female) </w:t>
      </w:r>
      <w:r w:rsidRPr="00C33195">
        <w:rPr>
          <w:rFonts w:ascii="Times New Roman" w:hAnsi="Times New Roman" w:cs="Times New Roman"/>
          <w:noProof/>
          <w:lang w:val="en-GB"/>
        </w:rPr>
        <w:t xml:space="preserve">was enrolled in this pilot study. A total of </w:t>
      </w:r>
      <w:r w:rsidR="0073497F" w:rsidRPr="00C33195">
        <w:rPr>
          <w:rFonts w:ascii="Times New Roman" w:hAnsi="Times New Roman" w:cs="Times New Roman"/>
          <w:noProof/>
          <w:lang w:val="en-GB"/>
        </w:rPr>
        <w:t>14</w:t>
      </w:r>
      <w:r w:rsidRPr="00C33195">
        <w:rPr>
          <w:rFonts w:ascii="Times New Roman" w:hAnsi="Times New Roman" w:cs="Times New Roman"/>
          <w:noProof/>
          <w:lang w:val="en-GB"/>
        </w:rPr>
        <w:t xml:space="preserve"> unstimulated saliva samples were collected </w:t>
      </w:r>
      <w:r w:rsidRPr="00C33195">
        <w:rPr>
          <w:rFonts w:ascii="Times New Roman" w:hAnsi="Times New Roman" w:cs="Times New Roman"/>
          <w:lang w:val="en-GB"/>
        </w:rPr>
        <w:t xml:space="preserve">at the same time of day (6:00 am to 7:00 am) to avoid fluctuation in the results due to the circadian saliva cycle, without eating or drinking or brushing her teeth and entire mouth at least 8 h before saliva collection. Saliva samples were collected every day </w:t>
      </w:r>
      <w:r w:rsidR="00930CC9" w:rsidRPr="00C33195">
        <w:rPr>
          <w:rFonts w:ascii="Times New Roman" w:hAnsi="Times New Roman" w:cs="Times New Roman"/>
          <w:lang w:val="en-GB"/>
        </w:rPr>
        <w:t xml:space="preserve">three days before the treatment, </w:t>
      </w:r>
      <w:r w:rsidRPr="00C33195">
        <w:rPr>
          <w:rFonts w:ascii="Times New Roman" w:hAnsi="Times New Roman" w:cs="Times New Roman"/>
          <w:lang w:val="en-GB"/>
        </w:rPr>
        <w:t>during rifaximin treatment (</w:t>
      </w:r>
      <w:r w:rsidR="00930CC9" w:rsidRPr="00C33195">
        <w:rPr>
          <w:rFonts w:ascii="Times New Roman" w:hAnsi="Times New Roman" w:cs="Times New Roman"/>
          <w:lang w:val="en-GB"/>
        </w:rPr>
        <w:t xml:space="preserve">400 mg/day in the first and fifth day, </w:t>
      </w:r>
      <w:r w:rsidRPr="00C33195">
        <w:rPr>
          <w:rFonts w:ascii="Times New Roman" w:hAnsi="Times New Roman" w:cs="Times New Roman"/>
          <w:lang w:val="en-GB"/>
        </w:rPr>
        <w:t xml:space="preserve">800 mg/day </w:t>
      </w:r>
      <w:r w:rsidR="00930CC9" w:rsidRPr="00C33195">
        <w:rPr>
          <w:rFonts w:ascii="Times New Roman" w:hAnsi="Times New Roman" w:cs="Times New Roman"/>
          <w:lang w:val="en-GB"/>
        </w:rPr>
        <w:t xml:space="preserve">in the second, third and </w:t>
      </w:r>
      <w:r w:rsidR="00563942" w:rsidRPr="00C33195">
        <w:rPr>
          <w:rFonts w:ascii="Times New Roman" w:hAnsi="Times New Roman" w:cs="Times New Roman"/>
          <w:lang w:val="en-GB"/>
        </w:rPr>
        <w:t>fourth</w:t>
      </w:r>
      <w:r w:rsidR="00930CC9" w:rsidRPr="00C33195">
        <w:rPr>
          <w:rFonts w:ascii="Times New Roman" w:hAnsi="Times New Roman" w:cs="Times New Roman"/>
          <w:lang w:val="en-GB"/>
        </w:rPr>
        <w:t xml:space="preserve"> </w:t>
      </w:r>
      <w:r w:rsidRPr="00C33195">
        <w:rPr>
          <w:rFonts w:ascii="Times New Roman" w:hAnsi="Times New Roman" w:cs="Times New Roman"/>
          <w:lang w:val="en-GB"/>
        </w:rPr>
        <w:t xml:space="preserve">day) and every </w:t>
      </w:r>
      <w:r w:rsidR="00081057" w:rsidRPr="00C33195">
        <w:rPr>
          <w:rFonts w:ascii="Times New Roman" w:hAnsi="Times New Roman" w:cs="Times New Roman"/>
          <w:lang w:val="en-GB"/>
        </w:rPr>
        <w:t>1-2</w:t>
      </w:r>
      <w:r w:rsidRPr="00C33195">
        <w:rPr>
          <w:rFonts w:ascii="Times New Roman" w:hAnsi="Times New Roman" w:cs="Times New Roman"/>
          <w:lang w:val="en-GB"/>
        </w:rPr>
        <w:t xml:space="preserve"> days during </w:t>
      </w:r>
      <w:r w:rsidR="00081057" w:rsidRPr="00C33195">
        <w:rPr>
          <w:rFonts w:ascii="Times New Roman" w:hAnsi="Times New Roman" w:cs="Times New Roman"/>
          <w:lang w:val="en-GB"/>
        </w:rPr>
        <w:t>14</w:t>
      </w:r>
      <w:r w:rsidRPr="00C33195">
        <w:rPr>
          <w:rFonts w:ascii="Times New Roman" w:hAnsi="Times New Roman" w:cs="Times New Roman"/>
          <w:lang w:val="en-GB"/>
        </w:rPr>
        <w:t xml:space="preserve"> days after the treatment.</w:t>
      </w:r>
      <w:r w:rsidRPr="00C33195" w:rsidDel="002D4E5A">
        <w:rPr>
          <w:rFonts w:ascii="Times New Roman" w:hAnsi="Times New Roman" w:cs="Times New Roman"/>
          <w:lang w:val="en-GB"/>
        </w:rPr>
        <w:t xml:space="preserve"> </w:t>
      </w:r>
    </w:p>
    <w:p w14:paraId="026E7E65" w14:textId="6A165449" w:rsidR="00845E49" w:rsidRPr="00C33195" w:rsidRDefault="00845E49"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 xml:space="preserve">During </w:t>
      </w:r>
      <w:r w:rsidR="00B50C2D" w:rsidRPr="00C33195">
        <w:rPr>
          <w:rFonts w:ascii="Times New Roman" w:hAnsi="Times New Roman" w:cs="Times New Roman"/>
          <w:lang w:val="en-GB"/>
        </w:rPr>
        <w:t>21</w:t>
      </w:r>
      <w:r w:rsidRPr="00C33195">
        <w:rPr>
          <w:rFonts w:ascii="Times New Roman" w:hAnsi="Times New Roman" w:cs="Times New Roman"/>
          <w:lang w:val="en-GB"/>
        </w:rPr>
        <w:t xml:space="preserve"> days of the experiment the diet was kept approximately constant (1800 </w:t>
      </w:r>
      <w:r w:rsidRPr="00C33195">
        <w:rPr>
          <w:rFonts w:ascii="Times New Roman" w:hAnsi="Times New Roman" w:cs="Times New Roman"/>
          <w:lang w:val="en-GB"/>
        </w:rPr>
        <w:sym w:font="Symbol" w:char="F0B1"/>
      </w:r>
      <w:r w:rsidRPr="00C33195">
        <w:rPr>
          <w:rFonts w:ascii="Times New Roman" w:hAnsi="Times New Roman" w:cs="Times New Roman"/>
          <w:lang w:val="en-GB"/>
        </w:rPr>
        <w:t xml:space="preserve"> 200 kcal/day; approximately 250 </w:t>
      </w:r>
      <w:r w:rsidRPr="00C33195">
        <w:rPr>
          <w:rFonts w:ascii="Times New Roman" w:hAnsi="Times New Roman" w:cs="Times New Roman"/>
          <w:lang w:val="en-GB"/>
        </w:rPr>
        <w:sym w:font="Symbol" w:char="F0B1"/>
      </w:r>
      <w:r w:rsidRPr="00C33195">
        <w:rPr>
          <w:rFonts w:ascii="Times New Roman" w:hAnsi="Times New Roman" w:cs="Times New Roman"/>
          <w:lang w:val="en-GB"/>
        </w:rPr>
        <w:t xml:space="preserve"> 20 gr carbohydrates; 60 </w:t>
      </w:r>
      <w:r w:rsidRPr="00C33195">
        <w:rPr>
          <w:rFonts w:ascii="Times New Roman" w:hAnsi="Times New Roman" w:cs="Times New Roman"/>
          <w:lang w:val="en-GB"/>
        </w:rPr>
        <w:sym w:font="Symbol" w:char="F0B1"/>
      </w:r>
      <w:r w:rsidRPr="00C33195">
        <w:rPr>
          <w:rFonts w:ascii="Times New Roman" w:hAnsi="Times New Roman" w:cs="Times New Roman"/>
          <w:lang w:val="en-GB"/>
        </w:rPr>
        <w:t xml:space="preserve"> 10 g proteins; 62 </w:t>
      </w:r>
      <w:r w:rsidRPr="00C33195">
        <w:rPr>
          <w:rFonts w:ascii="Times New Roman" w:hAnsi="Times New Roman" w:cs="Times New Roman"/>
          <w:lang w:val="en-GB"/>
        </w:rPr>
        <w:sym w:font="Symbol" w:char="F0B1"/>
      </w:r>
      <w:r w:rsidRPr="00C33195">
        <w:rPr>
          <w:rFonts w:ascii="Times New Roman" w:hAnsi="Times New Roman" w:cs="Times New Roman"/>
          <w:lang w:val="en-GB"/>
        </w:rPr>
        <w:t xml:space="preserve"> 5 gr fat). The subject involved in the experiment did not show any of the symptoms reported in Birmingham IBS Symptom Questionnaire</w:t>
      </w:r>
      <w:r w:rsidR="00D2512A">
        <w:rPr>
          <w:rFonts w:ascii="Times New Roman" w:hAnsi="Times New Roman" w:cs="Times New Roman"/>
          <w:lang w:val="en-GB"/>
        </w:rPr>
        <w:t xml:space="preserve"> </w:t>
      </w:r>
      <w:r w:rsidR="001642AF">
        <w:rPr>
          <w:rFonts w:ascii="Times New Roman" w:hAnsi="Times New Roman" w:cs="Times New Roman"/>
          <w:lang w:val="en-GB"/>
        </w:rPr>
        <w:fldChar w:fldCharType="begin" w:fldLock="1"/>
      </w:r>
      <w:r w:rsidR="00F0121F">
        <w:rPr>
          <w:rFonts w:ascii="Times New Roman" w:hAnsi="Times New Roman" w:cs="Times New Roman"/>
          <w:lang w:val="en-GB"/>
        </w:rPr>
        <w:instrText>ADDIN CSL_CITATION {"citationItems":[{"id":"ITEM-1","itemData":{"DOI":"10.1186/1471-230X-8-30","ISSN":"1471-230X","abstract":"Irritable Bowel Syndrome (IBS) is a chronic/common condition that causes a significant effect on the individual (reduced quality of life), society (time lost off work) and health services. Comparison of studies evaluating the management of IBS has been hindered by the lack of a widely adopted validated symptom score. The aim of this study was to develop and validate a disease specific score to measure the symptoms of patients with IBS.","author":[{"dropping-particle":"","family":"Roalfe","given":"Andrea K","non-dropping-particle":"","parse-names":false,"suffix":""},{"dropping-particle":"","family":"Roberts","given":"Lesley M","non-dropping-particle":"","parse-names":false,"suffix":""},{"dropping-particle":"","family":"Wilson","given":"Sue","non-dropping-particle":"","parse-names":false,"suffix":""}],"container-title":"BMC Gastroenterology","id":"ITEM-1","issue":"1","issued":{"date-parts":[["2008"]]},"page":"30","title":"Evaluation of the Birmingham IBS symptom questionnaire","type":"article-journal","volume":"8"},"uris":["http://www.mendeley.com/documents/?uuid=6f070a5e-bd71-461a-bba6-911d710e5938"]}],"mendeley":{"formattedCitation":"[36]","plainTextFormattedCitation":"[36]","previouslyFormattedCitation":"[36]"},"properties":{"noteIndex":0},"schema":"https://github.com/citation-style-language/schema/raw/master/csl-citation.json"}</w:instrText>
      </w:r>
      <w:r w:rsidR="001642AF">
        <w:rPr>
          <w:rFonts w:ascii="Times New Roman" w:hAnsi="Times New Roman" w:cs="Times New Roman"/>
          <w:lang w:val="en-GB"/>
        </w:rPr>
        <w:fldChar w:fldCharType="separate"/>
      </w:r>
      <w:r w:rsidR="001642AF" w:rsidRPr="001642AF">
        <w:rPr>
          <w:rFonts w:ascii="Times New Roman" w:hAnsi="Times New Roman" w:cs="Times New Roman"/>
          <w:noProof/>
          <w:lang w:val="en-GB"/>
        </w:rPr>
        <w:t>[36]</w:t>
      </w:r>
      <w:r w:rsidR="001642AF">
        <w:rPr>
          <w:rFonts w:ascii="Times New Roman" w:hAnsi="Times New Roman" w:cs="Times New Roman"/>
          <w:lang w:val="en-GB"/>
        </w:rPr>
        <w:fldChar w:fldCharType="end"/>
      </w:r>
      <w:r w:rsidRPr="00C33195">
        <w:rPr>
          <w:rFonts w:ascii="Times New Roman" w:hAnsi="Times New Roman" w:cs="Times New Roman"/>
          <w:lang w:val="en-GB"/>
        </w:rPr>
        <w:t>, but a moderate dysbiosis condition characterized by abdominal pain and swelling. At the end of the experiments the symptoms had disappeared.</w:t>
      </w:r>
    </w:p>
    <w:p w14:paraId="63F3A874" w14:textId="29890678" w:rsidR="00845E49" w:rsidRPr="00C33195" w:rsidRDefault="00845E49"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P</w:t>
      </w:r>
      <w:r w:rsidRPr="00C33195">
        <w:rPr>
          <w:rFonts w:ascii="Times New Roman" w:hAnsi="Times New Roman" w:cs="Times New Roman"/>
          <w:noProof/>
          <w:lang w:val="en-GB"/>
        </w:rPr>
        <w:t xml:space="preserve">olyester swabs </w:t>
      </w:r>
      <w:r w:rsidRPr="00C33195">
        <w:rPr>
          <w:rFonts w:ascii="Times New Roman" w:hAnsi="Times New Roman" w:cs="Times New Roman"/>
          <w:lang w:val="en-GB"/>
        </w:rPr>
        <w:t xml:space="preserve">were used for saliva collection by keeping in the mouth for 5 min and immediately stored at −20 °C. Prior to analysis, saliva samples were centrifuged at 4500 </w:t>
      </w:r>
      <w:r w:rsidRPr="00C33195">
        <w:rPr>
          <w:rFonts w:ascii="Times New Roman" w:hAnsi="Times New Roman" w:cs="Times New Roman"/>
          <w:i/>
          <w:lang w:val="en-GB"/>
        </w:rPr>
        <w:t>g</w:t>
      </w:r>
      <w:r w:rsidRPr="00C33195">
        <w:rPr>
          <w:rFonts w:ascii="Times New Roman" w:hAnsi="Times New Roman" w:cs="Times New Roman"/>
          <w:lang w:val="en-GB"/>
        </w:rPr>
        <w:t xml:space="preserve"> for 10 min at 4 °C (Eppendorf™ 5804R Centrifuge), and </w:t>
      </w:r>
      <w:r w:rsidR="001642AF">
        <w:rPr>
          <w:rFonts w:ascii="Times New Roman" w:hAnsi="Times New Roman" w:cs="Times New Roman"/>
          <w:lang w:val="en-GB"/>
        </w:rPr>
        <w:t>500</w:t>
      </w:r>
      <w:r w:rsidRPr="00C33195">
        <w:rPr>
          <w:rFonts w:ascii="Times New Roman" w:hAnsi="Times New Roman" w:cs="Times New Roman"/>
          <w:lang w:val="en-GB"/>
        </w:rPr>
        <w:t xml:space="preserve"> </w:t>
      </w:r>
      <w:r w:rsidRPr="00C33195">
        <w:rPr>
          <w:rFonts w:ascii="Times New Roman" w:hAnsi="Times New Roman" w:cs="Times New Roman"/>
          <w:lang w:val="en-GB"/>
        </w:rPr>
        <w:sym w:font="Symbol" w:char="F06D"/>
      </w:r>
      <w:r w:rsidRPr="00C33195">
        <w:rPr>
          <w:rFonts w:ascii="Times New Roman" w:hAnsi="Times New Roman" w:cs="Times New Roman"/>
          <w:lang w:val="en-GB"/>
        </w:rPr>
        <w:t xml:space="preserve">L of centrifuged saliva were placed in vials for GC-MS. </w:t>
      </w:r>
    </w:p>
    <w:p w14:paraId="15925A17" w14:textId="77777777" w:rsidR="00845E49" w:rsidRPr="00C33195" w:rsidRDefault="00845E49" w:rsidP="00875587">
      <w:pPr>
        <w:spacing w:line="360" w:lineRule="auto"/>
        <w:jc w:val="both"/>
        <w:rPr>
          <w:rFonts w:ascii="Times New Roman" w:hAnsi="Times New Roman" w:cs="Times New Roman"/>
          <w:lang w:val="en-GB"/>
        </w:rPr>
      </w:pPr>
    </w:p>
    <w:p w14:paraId="2A96D6B5" w14:textId="77777777" w:rsidR="00845E49" w:rsidRPr="00C33195" w:rsidRDefault="00845E49" w:rsidP="00875587">
      <w:pPr>
        <w:spacing w:line="360" w:lineRule="auto"/>
        <w:jc w:val="both"/>
        <w:rPr>
          <w:rFonts w:ascii="Times New Roman" w:hAnsi="Times New Roman" w:cs="Times New Roman"/>
          <w:lang w:val="en-GB"/>
        </w:rPr>
      </w:pPr>
      <w:r w:rsidRPr="00C33195">
        <w:rPr>
          <w:rStyle w:val="Titolo3Carattere"/>
          <w:rFonts w:cs="Times New Roman"/>
          <w:sz w:val="24"/>
          <w:lang w:val="en-GB"/>
        </w:rPr>
        <w:t>HS-SPME-GC-MS analysis</w:t>
      </w:r>
    </w:p>
    <w:p w14:paraId="77B7B9FD" w14:textId="77777777" w:rsidR="00845E49" w:rsidRPr="00C33195" w:rsidRDefault="00845E49"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An Agilent 6850 gas chromatograph, equipped with a split/</w:t>
      </w:r>
      <w:proofErr w:type="spellStart"/>
      <w:r w:rsidRPr="00C33195">
        <w:rPr>
          <w:rFonts w:ascii="Times New Roman" w:hAnsi="Times New Roman" w:cs="Times New Roman"/>
          <w:lang w:val="en-GB"/>
        </w:rPr>
        <w:t>splitless</w:t>
      </w:r>
      <w:proofErr w:type="spellEnd"/>
      <w:r w:rsidRPr="00C33195">
        <w:rPr>
          <w:rFonts w:ascii="Times New Roman" w:hAnsi="Times New Roman" w:cs="Times New Roman"/>
          <w:lang w:val="en-GB"/>
        </w:rPr>
        <w:t xml:space="preserve"> injector, was used in </w:t>
      </w:r>
      <w:r w:rsidRPr="00BC3563">
        <w:rPr>
          <w:rFonts w:ascii="Times New Roman" w:hAnsi="Times New Roman" w:cs="Times New Roman"/>
          <w:lang w:val="en-GB"/>
        </w:rPr>
        <w:t xml:space="preserve">combination with an Agilent 5975c mass spectrometer. A CTC </w:t>
      </w:r>
      <w:proofErr w:type="spellStart"/>
      <w:r w:rsidRPr="00BC3563">
        <w:rPr>
          <w:rFonts w:ascii="Times New Roman" w:hAnsi="Times New Roman" w:cs="Times New Roman"/>
          <w:lang w:val="en-GB"/>
        </w:rPr>
        <w:t>CombiPAL</w:t>
      </w:r>
      <w:proofErr w:type="spellEnd"/>
      <w:r w:rsidRPr="00BC3563">
        <w:rPr>
          <w:rFonts w:ascii="Times New Roman" w:hAnsi="Times New Roman" w:cs="Times New Roman"/>
          <w:lang w:val="en-GB"/>
        </w:rPr>
        <w:t xml:space="preserve"> autosampler was employed for HS sampling. The vials were incubated at 50°C for 10 min. The SPME </w:t>
      </w:r>
      <w:proofErr w:type="spellStart"/>
      <w:r w:rsidRPr="00BC3563">
        <w:rPr>
          <w:rFonts w:ascii="Times New Roman" w:hAnsi="Times New Roman" w:cs="Times New Roman"/>
          <w:lang w:val="en-GB"/>
        </w:rPr>
        <w:t>fiber</w:t>
      </w:r>
      <w:proofErr w:type="spellEnd"/>
      <w:r w:rsidRPr="00BC3563">
        <w:rPr>
          <w:rFonts w:ascii="Times New Roman" w:hAnsi="Times New Roman" w:cs="Times New Roman"/>
          <w:lang w:val="en-GB"/>
        </w:rPr>
        <w:t xml:space="preserve"> was then exposed for </w:t>
      </w:r>
      <w:r w:rsidR="00B57738" w:rsidRPr="00BC3563">
        <w:rPr>
          <w:rFonts w:ascii="Times New Roman" w:hAnsi="Times New Roman" w:cs="Times New Roman"/>
          <w:lang w:val="en-GB"/>
        </w:rPr>
        <w:t xml:space="preserve">10 </w:t>
      </w:r>
      <w:r w:rsidRPr="00BC3563">
        <w:rPr>
          <w:rFonts w:ascii="Times New Roman" w:hAnsi="Times New Roman" w:cs="Times New Roman"/>
          <w:lang w:val="en-GB"/>
        </w:rPr>
        <w:t xml:space="preserve">minutes in the HS and injected in </w:t>
      </w:r>
      <w:proofErr w:type="spellStart"/>
      <w:r w:rsidRPr="00BC3563">
        <w:rPr>
          <w:rFonts w:ascii="Times New Roman" w:hAnsi="Times New Roman" w:cs="Times New Roman"/>
          <w:lang w:val="en-GB"/>
        </w:rPr>
        <w:t>splitless</w:t>
      </w:r>
      <w:proofErr w:type="spellEnd"/>
      <w:r w:rsidRPr="00BC3563">
        <w:rPr>
          <w:rFonts w:ascii="Times New Roman" w:hAnsi="Times New Roman" w:cs="Times New Roman"/>
          <w:lang w:val="en-GB"/>
        </w:rPr>
        <w:t xml:space="preserve"> mode into the GC. </w:t>
      </w:r>
      <w:r w:rsidRPr="00BC3563">
        <w:rPr>
          <w:rFonts w:ascii="Times New Roman" w:hAnsi="Times New Roman" w:cs="Times New Roman"/>
          <w:noProof/>
          <w:lang w:val="en-GB"/>
        </w:rPr>
        <w:t>Just before use, SPME fiber was conditioned for 15 minutes at 280 °C inside the injector using a helium split flow of 300</w:t>
      </w:r>
      <w:r w:rsidRPr="00C33195">
        <w:rPr>
          <w:rFonts w:ascii="Times New Roman" w:hAnsi="Times New Roman" w:cs="Times New Roman"/>
          <w:noProof/>
          <w:lang w:val="en-GB"/>
        </w:rPr>
        <w:t xml:space="preserve"> mL/min (no carry-over problems were observed for all the investigated analytes). The inlet liner (1 mm internal diameter) was held at 280 °C and the injection was performed in splitless mode (15 s splitless time). The chromatographic separation was carried out on a DB-FFAP high polarity column (60 m × 0.25 mm, 0.5 </w:t>
      </w:r>
      <w:r w:rsidRPr="00C33195">
        <w:rPr>
          <w:rFonts w:ascii="Times New Roman" w:hAnsi="Times New Roman" w:cs="Times New Roman"/>
          <w:noProof/>
          <w:lang w:val="en-GB"/>
        </w:rPr>
        <w:sym w:font="Symbol" w:char="F06D"/>
      </w:r>
      <w:r w:rsidRPr="00C33195">
        <w:rPr>
          <w:rFonts w:ascii="Times New Roman" w:hAnsi="Times New Roman" w:cs="Times New Roman"/>
          <w:noProof/>
          <w:lang w:val="en-GB"/>
        </w:rPr>
        <w:t xml:space="preserve">m film thickness) supplied by Agilent Technologies (USA). Helium 5.6 IP was used as a carrier gas at constant flow of 1 mL/min. The oven temperature program was: 30 °C for 10 min, 4 °C/min up to 240 °C (15 min hold time). The total runtime was 77.5 min. The temperature of the transfer line and ion source was set at 240 and 250 °C, respectively. </w:t>
      </w:r>
      <w:r w:rsidRPr="00C33195">
        <w:rPr>
          <w:rFonts w:ascii="Times New Roman" w:hAnsi="Times New Roman" w:cs="Times New Roman"/>
          <w:lang w:val="en-GB"/>
        </w:rPr>
        <w:t xml:space="preserve">After GC separation, analytes were ionized in positive EI. The MS acquisition was performed in total ion chromatography (TIC) </w:t>
      </w:r>
      <w:r w:rsidRPr="00C33195">
        <w:rPr>
          <w:rFonts w:ascii="Times New Roman" w:hAnsi="Times New Roman" w:cs="Times New Roman"/>
          <w:noProof/>
          <w:lang w:val="en-GB"/>
        </w:rPr>
        <w:t xml:space="preserve">(range set from 20 m/z to 150 m/z) </w:t>
      </w:r>
      <w:r w:rsidRPr="00C33195">
        <w:rPr>
          <w:rFonts w:ascii="Times New Roman" w:hAnsi="Times New Roman" w:cs="Times New Roman"/>
          <w:lang w:val="en-GB"/>
        </w:rPr>
        <w:t xml:space="preserve">and in selected ion monitoring (SIM) modes. TIC allowed us the identification of the analytes, whereas SIM was implemented for quantitative purposes by monitoring m/z showed in Table 1 (100 </w:t>
      </w:r>
      <w:proofErr w:type="spellStart"/>
      <w:r w:rsidRPr="00C33195">
        <w:rPr>
          <w:rFonts w:ascii="Times New Roman" w:hAnsi="Times New Roman" w:cs="Times New Roman"/>
          <w:lang w:val="en-GB"/>
        </w:rPr>
        <w:t>ms</w:t>
      </w:r>
      <w:proofErr w:type="spellEnd"/>
      <w:r w:rsidRPr="00C33195">
        <w:rPr>
          <w:rFonts w:ascii="Times New Roman" w:hAnsi="Times New Roman" w:cs="Times New Roman"/>
          <w:lang w:val="en-GB"/>
        </w:rPr>
        <w:t xml:space="preserve"> dwell time). For the peak identification signal-to-noise ratio cut-off of 50 was used.</w:t>
      </w:r>
    </w:p>
    <w:p w14:paraId="5E670FC0" w14:textId="77777777" w:rsidR="00305AD5" w:rsidRPr="00C33195" w:rsidRDefault="00305AD5" w:rsidP="00875587">
      <w:pPr>
        <w:spacing w:line="360" w:lineRule="auto"/>
        <w:jc w:val="both"/>
        <w:rPr>
          <w:rFonts w:ascii="Times New Roman" w:hAnsi="Times New Roman" w:cs="Times New Roman"/>
          <w:lang w:val="en-GB"/>
        </w:rPr>
      </w:pPr>
    </w:p>
    <w:p w14:paraId="32D427DF" w14:textId="77777777" w:rsidR="00845E49" w:rsidRDefault="00845E49" w:rsidP="00E65993">
      <w:pPr>
        <w:spacing w:line="360" w:lineRule="auto"/>
        <w:jc w:val="center"/>
        <w:rPr>
          <w:rFonts w:ascii="Times New Roman" w:hAnsi="Times New Roman" w:cs="Times New Roman"/>
          <w:sz w:val="22"/>
          <w:szCs w:val="22"/>
          <w:lang w:val="en-GB"/>
        </w:rPr>
      </w:pPr>
      <w:r w:rsidRPr="00C33195">
        <w:rPr>
          <w:rFonts w:ascii="Times New Roman" w:hAnsi="Times New Roman" w:cs="Times New Roman"/>
          <w:b/>
          <w:sz w:val="22"/>
          <w:szCs w:val="22"/>
          <w:lang w:val="en-GB"/>
        </w:rPr>
        <w:lastRenderedPageBreak/>
        <w:t>Table 1</w:t>
      </w:r>
      <w:r w:rsidR="00E57EE7" w:rsidRPr="00C33195">
        <w:rPr>
          <w:rFonts w:ascii="Times New Roman" w:hAnsi="Times New Roman" w:cs="Times New Roman"/>
          <w:sz w:val="22"/>
          <w:szCs w:val="22"/>
          <w:lang w:val="en-GB"/>
        </w:rPr>
        <w:t xml:space="preserve"> </w:t>
      </w:r>
      <w:r w:rsidRPr="00C33195">
        <w:rPr>
          <w:rFonts w:ascii="Times New Roman" w:hAnsi="Times New Roman" w:cs="Times New Roman"/>
          <w:sz w:val="22"/>
          <w:szCs w:val="22"/>
          <w:lang w:val="en-GB"/>
        </w:rPr>
        <w:t xml:space="preserve"> List of VOCs identified in saliva by HS-GCMS </w:t>
      </w:r>
      <w:r w:rsidR="00DA65A3" w:rsidRPr="00C33195">
        <w:rPr>
          <w:rFonts w:ascii="Times New Roman" w:hAnsi="Times New Roman" w:cs="Times New Roman"/>
          <w:sz w:val="22"/>
          <w:szCs w:val="22"/>
          <w:lang w:val="en-GB"/>
        </w:rPr>
        <w:t>on the basis of their m/z ratio and</w:t>
      </w:r>
      <w:r w:rsidR="004D24DD" w:rsidRPr="00C33195">
        <w:rPr>
          <w:rFonts w:ascii="Times New Roman" w:hAnsi="Times New Roman" w:cs="Times New Roman"/>
          <w:sz w:val="22"/>
          <w:szCs w:val="22"/>
          <w:lang w:val="en-GB"/>
        </w:rPr>
        <w:t xml:space="preserve"> their</w:t>
      </w:r>
      <w:r w:rsidR="00DA65A3" w:rsidRPr="00C33195">
        <w:rPr>
          <w:rFonts w:ascii="Times New Roman" w:hAnsi="Times New Roman" w:cs="Times New Roman"/>
          <w:sz w:val="22"/>
          <w:szCs w:val="22"/>
          <w:lang w:val="en-GB"/>
        </w:rPr>
        <w:t xml:space="preserve"> retention time.</w:t>
      </w:r>
    </w:p>
    <w:p w14:paraId="100A57CD" w14:textId="77777777" w:rsidR="00B57738" w:rsidRPr="00C33195" w:rsidRDefault="00B57738" w:rsidP="00E65993">
      <w:pPr>
        <w:spacing w:line="360" w:lineRule="auto"/>
        <w:jc w:val="center"/>
        <w:rPr>
          <w:rFonts w:ascii="Times New Roman" w:hAnsi="Times New Roman" w:cs="Times New Roman"/>
          <w:sz w:val="22"/>
          <w:szCs w:val="22"/>
          <w:lang w:val="en-GB"/>
        </w:rPr>
      </w:pPr>
    </w:p>
    <w:tbl>
      <w:tblPr>
        <w:tblW w:w="3968" w:type="dxa"/>
        <w:jc w:val="center"/>
        <w:tblBorders>
          <w:top w:val="single" w:sz="4" w:space="0" w:color="auto"/>
          <w:bottom w:val="single" w:sz="4" w:space="0" w:color="auto"/>
        </w:tblBorders>
        <w:tblLook w:val="04A0" w:firstRow="1" w:lastRow="0" w:firstColumn="1" w:lastColumn="0" w:noHBand="0" w:noVBand="1"/>
      </w:tblPr>
      <w:tblGrid>
        <w:gridCol w:w="1890"/>
        <w:gridCol w:w="809"/>
        <w:gridCol w:w="699"/>
        <w:gridCol w:w="756"/>
      </w:tblGrid>
      <w:tr w:rsidR="00B57738" w:rsidRPr="00BC3563" w14:paraId="36F62308" w14:textId="77777777" w:rsidTr="00BC3563">
        <w:trPr>
          <w:trHeight w:val="315"/>
          <w:jc w:val="center"/>
        </w:trPr>
        <w:tc>
          <w:tcPr>
            <w:tcW w:w="1890" w:type="dxa"/>
            <w:tcBorders>
              <w:top w:val="single" w:sz="4" w:space="0" w:color="auto"/>
              <w:bottom w:val="single" w:sz="4" w:space="0" w:color="auto"/>
            </w:tcBorders>
            <w:shd w:val="clear" w:color="auto" w:fill="auto"/>
            <w:noWrap/>
            <w:vAlign w:val="bottom"/>
            <w:hideMark/>
          </w:tcPr>
          <w:p w14:paraId="77D71961" w14:textId="77777777" w:rsidR="00B57738" w:rsidRPr="00BC3563" w:rsidRDefault="00B57738" w:rsidP="00EE3045">
            <w:pPr>
              <w:spacing w:line="360" w:lineRule="auto"/>
              <w:rPr>
                <w:rFonts w:ascii="Times New Roman" w:eastAsia="Times New Roman" w:hAnsi="Times New Roman" w:cs="Times New Roman"/>
                <w:sz w:val="22"/>
                <w:szCs w:val="22"/>
                <w:lang w:val="en-GB"/>
              </w:rPr>
            </w:pPr>
          </w:p>
        </w:tc>
        <w:tc>
          <w:tcPr>
            <w:tcW w:w="724" w:type="dxa"/>
            <w:tcBorders>
              <w:top w:val="single" w:sz="4" w:space="0" w:color="auto"/>
              <w:bottom w:val="single" w:sz="4" w:space="0" w:color="auto"/>
            </w:tcBorders>
            <w:shd w:val="clear" w:color="auto" w:fill="auto"/>
            <w:noWrap/>
            <w:vAlign w:val="bottom"/>
            <w:hideMark/>
          </w:tcPr>
          <w:p w14:paraId="11F58A23" w14:textId="77777777" w:rsidR="00B57738" w:rsidRPr="00BC3563" w:rsidRDefault="00B57738" w:rsidP="00EE3045">
            <w:pPr>
              <w:spacing w:line="360" w:lineRule="auto"/>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Quant</w:t>
            </w:r>
            <w:r w:rsidR="00BC3563">
              <w:rPr>
                <w:rFonts w:ascii="Times New Roman" w:eastAsia="Times New Roman" w:hAnsi="Times New Roman" w:cs="Times New Roman"/>
                <w:color w:val="000000"/>
                <w:sz w:val="22"/>
                <w:szCs w:val="22"/>
                <w:lang w:val="en-GB"/>
              </w:rPr>
              <w:t>. m</w:t>
            </w:r>
            <w:r w:rsidRPr="00BC3563">
              <w:rPr>
                <w:rFonts w:ascii="Times New Roman" w:eastAsia="Times New Roman" w:hAnsi="Times New Roman" w:cs="Times New Roman"/>
                <w:color w:val="000000"/>
                <w:sz w:val="22"/>
                <w:szCs w:val="22"/>
                <w:lang w:val="en-GB"/>
              </w:rPr>
              <w:t>/z</w:t>
            </w:r>
          </w:p>
        </w:tc>
        <w:tc>
          <w:tcPr>
            <w:tcW w:w="598" w:type="dxa"/>
            <w:tcBorders>
              <w:top w:val="single" w:sz="4" w:space="0" w:color="auto"/>
              <w:bottom w:val="single" w:sz="4" w:space="0" w:color="auto"/>
            </w:tcBorders>
            <w:shd w:val="clear" w:color="auto" w:fill="auto"/>
            <w:noWrap/>
            <w:vAlign w:val="bottom"/>
            <w:hideMark/>
          </w:tcPr>
          <w:p w14:paraId="13C129C6" w14:textId="77777777" w:rsidR="00B57738" w:rsidRPr="00BC3563" w:rsidRDefault="00B57738" w:rsidP="00EE3045">
            <w:pPr>
              <w:spacing w:line="360" w:lineRule="auto"/>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Qual.</w:t>
            </w:r>
          </w:p>
          <w:p w14:paraId="746C4839" w14:textId="77777777" w:rsidR="00B57738" w:rsidRPr="00BC3563" w:rsidRDefault="00BC3563" w:rsidP="00EE3045">
            <w:pPr>
              <w:spacing w:line="360" w:lineRule="auto"/>
              <w:rPr>
                <w:rFonts w:ascii="Times New Roman" w:eastAsia="Times New Roman" w:hAnsi="Times New Roman" w:cs="Times New Roman"/>
                <w:color w:val="000000"/>
                <w:sz w:val="22"/>
                <w:szCs w:val="22"/>
                <w:lang w:val="en-GB"/>
              </w:rPr>
            </w:pPr>
            <w:r>
              <w:rPr>
                <w:rFonts w:ascii="Times New Roman" w:eastAsia="Times New Roman" w:hAnsi="Times New Roman" w:cs="Times New Roman"/>
                <w:color w:val="000000"/>
                <w:sz w:val="22"/>
                <w:szCs w:val="22"/>
                <w:lang w:val="en-GB"/>
              </w:rPr>
              <w:t>m</w:t>
            </w:r>
            <w:r w:rsidR="00B57738" w:rsidRPr="00BC3563">
              <w:rPr>
                <w:rFonts w:ascii="Times New Roman" w:eastAsia="Times New Roman" w:hAnsi="Times New Roman" w:cs="Times New Roman"/>
                <w:color w:val="000000"/>
                <w:sz w:val="22"/>
                <w:szCs w:val="22"/>
                <w:lang w:val="en-GB"/>
              </w:rPr>
              <w:t>/z</w:t>
            </w:r>
          </w:p>
        </w:tc>
        <w:tc>
          <w:tcPr>
            <w:tcW w:w="756" w:type="dxa"/>
            <w:tcBorders>
              <w:top w:val="single" w:sz="4" w:space="0" w:color="auto"/>
              <w:bottom w:val="single" w:sz="4" w:space="0" w:color="auto"/>
            </w:tcBorders>
            <w:shd w:val="clear" w:color="auto" w:fill="auto"/>
            <w:noWrap/>
            <w:vAlign w:val="bottom"/>
            <w:hideMark/>
          </w:tcPr>
          <w:p w14:paraId="791BB4DB" w14:textId="77777777" w:rsidR="00B57738" w:rsidRPr="00BC3563" w:rsidRDefault="00BC3563" w:rsidP="00EE3045">
            <w:pPr>
              <w:spacing w:line="360" w:lineRule="auto"/>
              <w:rPr>
                <w:rFonts w:ascii="Times New Roman" w:eastAsia="Times New Roman" w:hAnsi="Times New Roman" w:cs="Times New Roman"/>
                <w:color w:val="000000"/>
                <w:sz w:val="22"/>
                <w:szCs w:val="22"/>
                <w:lang w:val="en-GB"/>
              </w:rPr>
            </w:pPr>
            <w:r>
              <w:rPr>
                <w:rFonts w:ascii="Times New Roman" w:eastAsia="Times New Roman" w:hAnsi="Times New Roman" w:cs="Times New Roman"/>
                <w:color w:val="000000"/>
                <w:sz w:val="22"/>
                <w:szCs w:val="22"/>
                <w:lang w:val="en-GB"/>
              </w:rPr>
              <w:t>Rt</w:t>
            </w:r>
          </w:p>
        </w:tc>
      </w:tr>
      <w:tr w:rsidR="00B57738" w:rsidRPr="00BC3563" w14:paraId="6F174F3C" w14:textId="77777777" w:rsidTr="00BC3563">
        <w:trPr>
          <w:trHeight w:val="315"/>
          <w:jc w:val="center"/>
        </w:trPr>
        <w:tc>
          <w:tcPr>
            <w:tcW w:w="1890" w:type="dxa"/>
            <w:tcBorders>
              <w:top w:val="single" w:sz="4" w:space="0" w:color="auto"/>
            </w:tcBorders>
            <w:shd w:val="clear" w:color="auto" w:fill="auto"/>
            <w:noWrap/>
            <w:vAlign w:val="bottom"/>
            <w:hideMark/>
          </w:tcPr>
          <w:p w14:paraId="1BAAABEC" w14:textId="77777777" w:rsidR="00B57738" w:rsidRPr="00BC3563" w:rsidRDefault="00B57738" w:rsidP="00EE3045">
            <w:pPr>
              <w:spacing w:line="360" w:lineRule="auto"/>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Acetaldehyde</w:t>
            </w:r>
          </w:p>
        </w:tc>
        <w:tc>
          <w:tcPr>
            <w:tcW w:w="724" w:type="dxa"/>
            <w:tcBorders>
              <w:top w:val="single" w:sz="4" w:space="0" w:color="auto"/>
            </w:tcBorders>
            <w:shd w:val="clear" w:color="auto" w:fill="auto"/>
            <w:noWrap/>
            <w:vAlign w:val="bottom"/>
            <w:hideMark/>
          </w:tcPr>
          <w:p w14:paraId="7D92312E"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29</w:t>
            </w:r>
          </w:p>
        </w:tc>
        <w:tc>
          <w:tcPr>
            <w:tcW w:w="598" w:type="dxa"/>
            <w:tcBorders>
              <w:top w:val="single" w:sz="4" w:space="0" w:color="auto"/>
            </w:tcBorders>
            <w:shd w:val="clear" w:color="auto" w:fill="auto"/>
            <w:noWrap/>
            <w:vAlign w:val="bottom"/>
            <w:hideMark/>
          </w:tcPr>
          <w:p w14:paraId="6C75B79B"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44</w:t>
            </w:r>
          </w:p>
        </w:tc>
        <w:tc>
          <w:tcPr>
            <w:tcW w:w="756" w:type="dxa"/>
            <w:tcBorders>
              <w:top w:val="single" w:sz="4" w:space="0" w:color="auto"/>
            </w:tcBorders>
            <w:shd w:val="clear" w:color="auto" w:fill="auto"/>
            <w:noWrap/>
            <w:vAlign w:val="bottom"/>
            <w:hideMark/>
          </w:tcPr>
          <w:p w14:paraId="7B11A5EC"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6.66</w:t>
            </w:r>
          </w:p>
        </w:tc>
      </w:tr>
      <w:tr w:rsidR="00B57738" w:rsidRPr="00BC3563" w14:paraId="04D4E649" w14:textId="77777777" w:rsidTr="00BC3563">
        <w:trPr>
          <w:trHeight w:val="315"/>
          <w:jc w:val="center"/>
        </w:trPr>
        <w:tc>
          <w:tcPr>
            <w:tcW w:w="1890" w:type="dxa"/>
            <w:shd w:val="clear" w:color="auto" w:fill="auto"/>
            <w:noWrap/>
            <w:vAlign w:val="bottom"/>
            <w:hideMark/>
          </w:tcPr>
          <w:p w14:paraId="6C479E6A" w14:textId="77777777" w:rsidR="00B57738" w:rsidRPr="00BC3563" w:rsidRDefault="00B57738" w:rsidP="00EE3045">
            <w:pPr>
              <w:spacing w:line="360" w:lineRule="auto"/>
              <w:rPr>
                <w:rFonts w:ascii="Times New Roman" w:eastAsia="Times New Roman" w:hAnsi="Times New Roman" w:cs="Times New Roman"/>
                <w:color w:val="000000"/>
                <w:sz w:val="22"/>
                <w:szCs w:val="22"/>
                <w:lang w:val="en-GB"/>
              </w:rPr>
            </w:pPr>
            <w:proofErr w:type="spellStart"/>
            <w:r w:rsidRPr="00BC3563">
              <w:rPr>
                <w:rFonts w:ascii="Times New Roman" w:eastAsia="Times New Roman" w:hAnsi="Times New Roman" w:cs="Times New Roman"/>
                <w:color w:val="000000"/>
                <w:sz w:val="22"/>
                <w:szCs w:val="22"/>
                <w:lang w:val="en-GB"/>
              </w:rPr>
              <w:t>Propanal</w:t>
            </w:r>
            <w:proofErr w:type="spellEnd"/>
          </w:p>
        </w:tc>
        <w:tc>
          <w:tcPr>
            <w:tcW w:w="724" w:type="dxa"/>
            <w:shd w:val="clear" w:color="auto" w:fill="auto"/>
            <w:noWrap/>
            <w:vAlign w:val="bottom"/>
            <w:hideMark/>
          </w:tcPr>
          <w:p w14:paraId="12953ED3"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29</w:t>
            </w:r>
          </w:p>
        </w:tc>
        <w:tc>
          <w:tcPr>
            <w:tcW w:w="598" w:type="dxa"/>
            <w:shd w:val="clear" w:color="auto" w:fill="auto"/>
            <w:noWrap/>
            <w:vAlign w:val="bottom"/>
            <w:hideMark/>
          </w:tcPr>
          <w:p w14:paraId="0297D0F0"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58</w:t>
            </w:r>
          </w:p>
        </w:tc>
        <w:tc>
          <w:tcPr>
            <w:tcW w:w="756" w:type="dxa"/>
            <w:shd w:val="clear" w:color="auto" w:fill="auto"/>
            <w:noWrap/>
            <w:vAlign w:val="bottom"/>
            <w:hideMark/>
          </w:tcPr>
          <w:p w14:paraId="15374814"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9.48</w:t>
            </w:r>
          </w:p>
        </w:tc>
      </w:tr>
      <w:tr w:rsidR="00B57738" w:rsidRPr="00BC3563" w14:paraId="6F25588E" w14:textId="77777777" w:rsidTr="00BC3563">
        <w:trPr>
          <w:trHeight w:val="315"/>
          <w:jc w:val="center"/>
        </w:trPr>
        <w:tc>
          <w:tcPr>
            <w:tcW w:w="1890" w:type="dxa"/>
            <w:shd w:val="clear" w:color="auto" w:fill="auto"/>
            <w:noWrap/>
            <w:vAlign w:val="bottom"/>
            <w:hideMark/>
          </w:tcPr>
          <w:p w14:paraId="76933FC7" w14:textId="77777777" w:rsidR="00B57738" w:rsidRPr="00BC3563" w:rsidRDefault="00B57738" w:rsidP="00EE3045">
            <w:pPr>
              <w:spacing w:line="360" w:lineRule="auto"/>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Acetone</w:t>
            </w:r>
          </w:p>
        </w:tc>
        <w:tc>
          <w:tcPr>
            <w:tcW w:w="724" w:type="dxa"/>
            <w:shd w:val="clear" w:color="auto" w:fill="auto"/>
            <w:noWrap/>
            <w:vAlign w:val="bottom"/>
            <w:hideMark/>
          </w:tcPr>
          <w:p w14:paraId="0A02BD84"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43</w:t>
            </w:r>
          </w:p>
        </w:tc>
        <w:tc>
          <w:tcPr>
            <w:tcW w:w="598" w:type="dxa"/>
            <w:shd w:val="clear" w:color="auto" w:fill="auto"/>
            <w:noWrap/>
            <w:vAlign w:val="bottom"/>
            <w:hideMark/>
          </w:tcPr>
          <w:p w14:paraId="262D2D1F"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58</w:t>
            </w:r>
          </w:p>
        </w:tc>
        <w:tc>
          <w:tcPr>
            <w:tcW w:w="756" w:type="dxa"/>
            <w:shd w:val="clear" w:color="auto" w:fill="auto"/>
            <w:noWrap/>
            <w:vAlign w:val="bottom"/>
            <w:hideMark/>
          </w:tcPr>
          <w:p w14:paraId="2E28D2A2"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10.73</w:t>
            </w:r>
          </w:p>
        </w:tc>
      </w:tr>
      <w:tr w:rsidR="00B57738" w:rsidRPr="00BC3563" w14:paraId="41FC7782" w14:textId="77777777" w:rsidTr="00BC3563">
        <w:trPr>
          <w:trHeight w:val="315"/>
          <w:jc w:val="center"/>
        </w:trPr>
        <w:tc>
          <w:tcPr>
            <w:tcW w:w="1890" w:type="dxa"/>
            <w:shd w:val="clear" w:color="auto" w:fill="auto"/>
            <w:noWrap/>
            <w:vAlign w:val="bottom"/>
            <w:hideMark/>
          </w:tcPr>
          <w:p w14:paraId="06C33946" w14:textId="77777777" w:rsidR="00B57738" w:rsidRPr="00BC3563" w:rsidRDefault="00B57738" w:rsidP="00EE3045">
            <w:pPr>
              <w:spacing w:line="360" w:lineRule="auto"/>
              <w:rPr>
                <w:rFonts w:ascii="Times New Roman" w:eastAsia="Times New Roman" w:hAnsi="Times New Roman" w:cs="Times New Roman"/>
                <w:color w:val="000000"/>
                <w:sz w:val="22"/>
                <w:szCs w:val="22"/>
                <w:lang w:val="en-GB"/>
              </w:rPr>
            </w:pPr>
            <w:proofErr w:type="spellStart"/>
            <w:r w:rsidRPr="00BC3563">
              <w:rPr>
                <w:rFonts w:ascii="Times New Roman" w:eastAsia="Times New Roman" w:hAnsi="Times New Roman" w:cs="Times New Roman"/>
                <w:color w:val="000000"/>
                <w:sz w:val="22"/>
                <w:szCs w:val="22"/>
                <w:lang w:val="en-GB"/>
              </w:rPr>
              <w:t>MethylAcetate</w:t>
            </w:r>
            <w:proofErr w:type="spellEnd"/>
          </w:p>
        </w:tc>
        <w:tc>
          <w:tcPr>
            <w:tcW w:w="724" w:type="dxa"/>
            <w:shd w:val="clear" w:color="auto" w:fill="auto"/>
            <w:noWrap/>
            <w:vAlign w:val="bottom"/>
            <w:hideMark/>
          </w:tcPr>
          <w:p w14:paraId="0A78E54F"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43</w:t>
            </w:r>
          </w:p>
        </w:tc>
        <w:tc>
          <w:tcPr>
            <w:tcW w:w="598" w:type="dxa"/>
            <w:shd w:val="clear" w:color="auto" w:fill="auto"/>
            <w:noWrap/>
            <w:vAlign w:val="bottom"/>
            <w:hideMark/>
          </w:tcPr>
          <w:p w14:paraId="5B01C7FD"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74</w:t>
            </w:r>
          </w:p>
        </w:tc>
        <w:tc>
          <w:tcPr>
            <w:tcW w:w="756" w:type="dxa"/>
            <w:shd w:val="clear" w:color="auto" w:fill="auto"/>
            <w:noWrap/>
            <w:vAlign w:val="bottom"/>
            <w:hideMark/>
          </w:tcPr>
          <w:p w14:paraId="6E6208E7"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11.54</w:t>
            </w:r>
          </w:p>
        </w:tc>
      </w:tr>
      <w:tr w:rsidR="00B57738" w:rsidRPr="00BC3563" w14:paraId="48CFECF3" w14:textId="77777777" w:rsidTr="00BC3563">
        <w:trPr>
          <w:trHeight w:val="315"/>
          <w:jc w:val="center"/>
        </w:trPr>
        <w:tc>
          <w:tcPr>
            <w:tcW w:w="1890" w:type="dxa"/>
            <w:shd w:val="clear" w:color="auto" w:fill="auto"/>
            <w:noWrap/>
            <w:vAlign w:val="bottom"/>
            <w:hideMark/>
          </w:tcPr>
          <w:p w14:paraId="0D819E28" w14:textId="77777777" w:rsidR="00B57738" w:rsidRPr="00BC3563" w:rsidRDefault="00B57738" w:rsidP="00EE3045">
            <w:pPr>
              <w:spacing w:line="360" w:lineRule="auto"/>
              <w:rPr>
                <w:rFonts w:ascii="Times New Roman" w:eastAsia="Times New Roman" w:hAnsi="Times New Roman" w:cs="Times New Roman"/>
                <w:color w:val="000000"/>
                <w:sz w:val="22"/>
                <w:szCs w:val="22"/>
                <w:lang w:val="en-GB"/>
              </w:rPr>
            </w:pPr>
            <w:proofErr w:type="spellStart"/>
            <w:r w:rsidRPr="00BC3563">
              <w:rPr>
                <w:rFonts w:ascii="Times New Roman" w:eastAsia="Times New Roman" w:hAnsi="Times New Roman" w:cs="Times New Roman"/>
                <w:color w:val="000000"/>
                <w:sz w:val="22"/>
                <w:szCs w:val="22"/>
                <w:lang w:val="en-GB"/>
              </w:rPr>
              <w:t>EthylAcetate</w:t>
            </w:r>
            <w:proofErr w:type="spellEnd"/>
          </w:p>
        </w:tc>
        <w:tc>
          <w:tcPr>
            <w:tcW w:w="724" w:type="dxa"/>
            <w:shd w:val="clear" w:color="auto" w:fill="auto"/>
            <w:noWrap/>
            <w:vAlign w:val="bottom"/>
            <w:hideMark/>
          </w:tcPr>
          <w:p w14:paraId="409D1589"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43</w:t>
            </w:r>
          </w:p>
        </w:tc>
        <w:tc>
          <w:tcPr>
            <w:tcW w:w="598" w:type="dxa"/>
            <w:shd w:val="clear" w:color="auto" w:fill="auto"/>
            <w:noWrap/>
            <w:vAlign w:val="bottom"/>
            <w:hideMark/>
          </w:tcPr>
          <w:p w14:paraId="654FFAAA"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61</w:t>
            </w:r>
          </w:p>
        </w:tc>
        <w:tc>
          <w:tcPr>
            <w:tcW w:w="756" w:type="dxa"/>
            <w:shd w:val="clear" w:color="auto" w:fill="auto"/>
            <w:noWrap/>
            <w:vAlign w:val="bottom"/>
            <w:hideMark/>
          </w:tcPr>
          <w:p w14:paraId="48503A0D"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15.38</w:t>
            </w:r>
          </w:p>
        </w:tc>
      </w:tr>
      <w:tr w:rsidR="00B57738" w:rsidRPr="00BC3563" w14:paraId="7E17583E" w14:textId="77777777" w:rsidTr="00BC3563">
        <w:trPr>
          <w:trHeight w:val="315"/>
          <w:jc w:val="center"/>
        </w:trPr>
        <w:tc>
          <w:tcPr>
            <w:tcW w:w="1890" w:type="dxa"/>
            <w:shd w:val="clear" w:color="auto" w:fill="auto"/>
            <w:noWrap/>
            <w:vAlign w:val="bottom"/>
            <w:hideMark/>
          </w:tcPr>
          <w:p w14:paraId="6BC1F327" w14:textId="77777777" w:rsidR="00B57738" w:rsidRPr="00BC3563" w:rsidRDefault="00B57738" w:rsidP="00EE3045">
            <w:pPr>
              <w:spacing w:line="360" w:lineRule="auto"/>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2-Butanone</w:t>
            </w:r>
          </w:p>
        </w:tc>
        <w:tc>
          <w:tcPr>
            <w:tcW w:w="724" w:type="dxa"/>
            <w:shd w:val="clear" w:color="auto" w:fill="auto"/>
            <w:noWrap/>
            <w:vAlign w:val="bottom"/>
            <w:hideMark/>
          </w:tcPr>
          <w:p w14:paraId="0A9A06F2"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43</w:t>
            </w:r>
          </w:p>
        </w:tc>
        <w:tc>
          <w:tcPr>
            <w:tcW w:w="598" w:type="dxa"/>
            <w:shd w:val="clear" w:color="auto" w:fill="auto"/>
            <w:noWrap/>
            <w:vAlign w:val="bottom"/>
            <w:hideMark/>
          </w:tcPr>
          <w:p w14:paraId="52093B6B"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72</w:t>
            </w:r>
          </w:p>
        </w:tc>
        <w:tc>
          <w:tcPr>
            <w:tcW w:w="756" w:type="dxa"/>
            <w:shd w:val="clear" w:color="auto" w:fill="auto"/>
            <w:noWrap/>
            <w:vAlign w:val="bottom"/>
            <w:hideMark/>
          </w:tcPr>
          <w:p w14:paraId="473958FA"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16.16</w:t>
            </w:r>
          </w:p>
        </w:tc>
      </w:tr>
      <w:tr w:rsidR="00B57738" w:rsidRPr="00BC3563" w14:paraId="57D3527B" w14:textId="77777777" w:rsidTr="00BC3563">
        <w:trPr>
          <w:trHeight w:val="315"/>
          <w:jc w:val="center"/>
        </w:trPr>
        <w:tc>
          <w:tcPr>
            <w:tcW w:w="1890" w:type="dxa"/>
            <w:shd w:val="clear" w:color="auto" w:fill="auto"/>
            <w:noWrap/>
            <w:vAlign w:val="bottom"/>
            <w:hideMark/>
          </w:tcPr>
          <w:p w14:paraId="60A1322A" w14:textId="77777777" w:rsidR="00B57738" w:rsidRPr="00BC3563" w:rsidRDefault="00B57738" w:rsidP="00EE3045">
            <w:pPr>
              <w:spacing w:line="360" w:lineRule="auto"/>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Methanol</w:t>
            </w:r>
          </w:p>
        </w:tc>
        <w:tc>
          <w:tcPr>
            <w:tcW w:w="724" w:type="dxa"/>
            <w:shd w:val="clear" w:color="auto" w:fill="auto"/>
            <w:noWrap/>
            <w:vAlign w:val="bottom"/>
            <w:hideMark/>
          </w:tcPr>
          <w:p w14:paraId="230E67FA"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31</w:t>
            </w:r>
          </w:p>
        </w:tc>
        <w:tc>
          <w:tcPr>
            <w:tcW w:w="598" w:type="dxa"/>
            <w:shd w:val="clear" w:color="auto" w:fill="auto"/>
            <w:noWrap/>
            <w:vAlign w:val="bottom"/>
            <w:hideMark/>
          </w:tcPr>
          <w:p w14:paraId="7AB798D0"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32</w:t>
            </w:r>
          </w:p>
        </w:tc>
        <w:tc>
          <w:tcPr>
            <w:tcW w:w="756" w:type="dxa"/>
            <w:shd w:val="clear" w:color="auto" w:fill="auto"/>
            <w:noWrap/>
            <w:vAlign w:val="bottom"/>
            <w:hideMark/>
          </w:tcPr>
          <w:p w14:paraId="706E7033"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16.4</w:t>
            </w:r>
          </w:p>
        </w:tc>
      </w:tr>
      <w:tr w:rsidR="00B57738" w:rsidRPr="00BC3563" w14:paraId="7AF9BA4C" w14:textId="77777777" w:rsidTr="00BC3563">
        <w:trPr>
          <w:trHeight w:val="315"/>
          <w:jc w:val="center"/>
        </w:trPr>
        <w:tc>
          <w:tcPr>
            <w:tcW w:w="1890" w:type="dxa"/>
            <w:shd w:val="clear" w:color="auto" w:fill="auto"/>
            <w:noWrap/>
            <w:vAlign w:val="bottom"/>
            <w:hideMark/>
          </w:tcPr>
          <w:p w14:paraId="61101F8F" w14:textId="77777777" w:rsidR="00B57738" w:rsidRPr="00BC3563" w:rsidRDefault="00B57738" w:rsidP="00EE3045">
            <w:pPr>
              <w:spacing w:line="360" w:lineRule="auto"/>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2-Propanol</w:t>
            </w:r>
          </w:p>
        </w:tc>
        <w:tc>
          <w:tcPr>
            <w:tcW w:w="724" w:type="dxa"/>
            <w:shd w:val="clear" w:color="auto" w:fill="auto"/>
            <w:noWrap/>
            <w:vAlign w:val="bottom"/>
            <w:hideMark/>
          </w:tcPr>
          <w:p w14:paraId="429799D9"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45</w:t>
            </w:r>
          </w:p>
        </w:tc>
        <w:tc>
          <w:tcPr>
            <w:tcW w:w="598" w:type="dxa"/>
            <w:shd w:val="clear" w:color="auto" w:fill="auto"/>
            <w:noWrap/>
            <w:vAlign w:val="bottom"/>
            <w:hideMark/>
          </w:tcPr>
          <w:p w14:paraId="4CF5FF0F"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59</w:t>
            </w:r>
          </w:p>
        </w:tc>
        <w:tc>
          <w:tcPr>
            <w:tcW w:w="756" w:type="dxa"/>
            <w:shd w:val="clear" w:color="auto" w:fill="auto"/>
            <w:noWrap/>
            <w:vAlign w:val="bottom"/>
            <w:hideMark/>
          </w:tcPr>
          <w:p w14:paraId="1446CB80"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19.11</w:t>
            </w:r>
          </w:p>
        </w:tc>
      </w:tr>
      <w:tr w:rsidR="00B57738" w:rsidRPr="00BC3563" w14:paraId="039DEAD5" w14:textId="77777777" w:rsidTr="00BC3563">
        <w:trPr>
          <w:trHeight w:val="315"/>
          <w:jc w:val="center"/>
        </w:trPr>
        <w:tc>
          <w:tcPr>
            <w:tcW w:w="1890" w:type="dxa"/>
            <w:shd w:val="clear" w:color="auto" w:fill="auto"/>
            <w:noWrap/>
            <w:vAlign w:val="bottom"/>
            <w:hideMark/>
          </w:tcPr>
          <w:p w14:paraId="596CFCC7" w14:textId="77777777" w:rsidR="00B57738" w:rsidRPr="00BC3563" w:rsidRDefault="00B57738" w:rsidP="00EE3045">
            <w:pPr>
              <w:spacing w:line="360" w:lineRule="auto"/>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Ethanol</w:t>
            </w:r>
          </w:p>
        </w:tc>
        <w:tc>
          <w:tcPr>
            <w:tcW w:w="724" w:type="dxa"/>
            <w:shd w:val="clear" w:color="auto" w:fill="auto"/>
            <w:noWrap/>
            <w:vAlign w:val="bottom"/>
            <w:hideMark/>
          </w:tcPr>
          <w:p w14:paraId="452A5235"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45</w:t>
            </w:r>
          </w:p>
        </w:tc>
        <w:tc>
          <w:tcPr>
            <w:tcW w:w="598" w:type="dxa"/>
            <w:shd w:val="clear" w:color="auto" w:fill="auto"/>
            <w:noWrap/>
            <w:vAlign w:val="bottom"/>
            <w:hideMark/>
          </w:tcPr>
          <w:p w14:paraId="03A09506"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46</w:t>
            </w:r>
          </w:p>
        </w:tc>
        <w:tc>
          <w:tcPr>
            <w:tcW w:w="756" w:type="dxa"/>
            <w:shd w:val="clear" w:color="auto" w:fill="auto"/>
            <w:noWrap/>
            <w:vAlign w:val="bottom"/>
            <w:hideMark/>
          </w:tcPr>
          <w:p w14:paraId="4281AB85"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19.52</w:t>
            </w:r>
          </w:p>
        </w:tc>
      </w:tr>
      <w:tr w:rsidR="00B57738" w:rsidRPr="00BC3563" w14:paraId="4D0F2373" w14:textId="77777777" w:rsidTr="00BC3563">
        <w:trPr>
          <w:trHeight w:val="315"/>
          <w:jc w:val="center"/>
        </w:trPr>
        <w:tc>
          <w:tcPr>
            <w:tcW w:w="1890" w:type="dxa"/>
            <w:shd w:val="clear" w:color="auto" w:fill="auto"/>
            <w:noWrap/>
            <w:vAlign w:val="bottom"/>
            <w:hideMark/>
          </w:tcPr>
          <w:p w14:paraId="5C4694DD" w14:textId="77777777" w:rsidR="00B57738" w:rsidRPr="00BC3563" w:rsidRDefault="00B57738" w:rsidP="00EE3045">
            <w:pPr>
              <w:spacing w:line="360" w:lineRule="auto"/>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2-Pentanone</w:t>
            </w:r>
          </w:p>
        </w:tc>
        <w:tc>
          <w:tcPr>
            <w:tcW w:w="724" w:type="dxa"/>
            <w:shd w:val="clear" w:color="auto" w:fill="auto"/>
            <w:noWrap/>
            <w:vAlign w:val="bottom"/>
            <w:hideMark/>
          </w:tcPr>
          <w:p w14:paraId="1AC9D7ED"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58</w:t>
            </w:r>
          </w:p>
        </w:tc>
        <w:tc>
          <w:tcPr>
            <w:tcW w:w="598" w:type="dxa"/>
            <w:shd w:val="clear" w:color="auto" w:fill="auto"/>
            <w:noWrap/>
            <w:vAlign w:val="bottom"/>
            <w:hideMark/>
          </w:tcPr>
          <w:p w14:paraId="4C6D5951"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43</w:t>
            </w:r>
          </w:p>
        </w:tc>
        <w:tc>
          <w:tcPr>
            <w:tcW w:w="756" w:type="dxa"/>
            <w:shd w:val="clear" w:color="auto" w:fill="auto"/>
            <w:noWrap/>
            <w:vAlign w:val="bottom"/>
            <w:hideMark/>
          </w:tcPr>
          <w:p w14:paraId="1A085770"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22.35</w:t>
            </w:r>
          </w:p>
        </w:tc>
      </w:tr>
      <w:tr w:rsidR="00B57738" w:rsidRPr="00BC3563" w14:paraId="13661B8C" w14:textId="77777777" w:rsidTr="00BC3563">
        <w:trPr>
          <w:trHeight w:val="315"/>
          <w:jc w:val="center"/>
        </w:trPr>
        <w:tc>
          <w:tcPr>
            <w:tcW w:w="1890" w:type="dxa"/>
            <w:shd w:val="clear" w:color="auto" w:fill="auto"/>
            <w:noWrap/>
            <w:vAlign w:val="bottom"/>
            <w:hideMark/>
          </w:tcPr>
          <w:p w14:paraId="58CFE2B8" w14:textId="77777777" w:rsidR="00B57738" w:rsidRPr="00BC3563" w:rsidRDefault="00B57738" w:rsidP="00EE3045">
            <w:pPr>
              <w:spacing w:line="360" w:lineRule="auto"/>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2,3-Butandione</w:t>
            </w:r>
          </w:p>
        </w:tc>
        <w:tc>
          <w:tcPr>
            <w:tcW w:w="724" w:type="dxa"/>
            <w:shd w:val="clear" w:color="auto" w:fill="auto"/>
            <w:noWrap/>
            <w:vAlign w:val="bottom"/>
            <w:hideMark/>
          </w:tcPr>
          <w:p w14:paraId="3A3994EB"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43</w:t>
            </w:r>
          </w:p>
        </w:tc>
        <w:tc>
          <w:tcPr>
            <w:tcW w:w="598" w:type="dxa"/>
            <w:shd w:val="clear" w:color="auto" w:fill="auto"/>
            <w:noWrap/>
            <w:vAlign w:val="bottom"/>
            <w:hideMark/>
          </w:tcPr>
          <w:p w14:paraId="4E12E0AC"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86</w:t>
            </w:r>
          </w:p>
        </w:tc>
        <w:tc>
          <w:tcPr>
            <w:tcW w:w="756" w:type="dxa"/>
            <w:shd w:val="clear" w:color="auto" w:fill="auto"/>
            <w:noWrap/>
            <w:vAlign w:val="bottom"/>
            <w:hideMark/>
          </w:tcPr>
          <w:p w14:paraId="45421681"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22.54</w:t>
            </w:r>
          </w:p>
        </w:tc>
      </w:tr>
      <w:tr w:rsidR="00B57738" w:rsidRPr="00BC3563" w14:paraId="2EA5AE12" w14:textId="77777777" w:rsidTr="00BC3563">
        <w:trPr>
          <w:trHeight w:val="315"/>
          <w:jc w:val="center"/>
        </w:trPr>
        <w:tc>
          <w:tcPr>
            <w:tcW w:w="1890" w:type="dxa"/>
            <w:shd w:val="clear" w:color="auto" w:fill="auto"/>
            <w:noWrap/>
            <w:vAlign w:val="bottom"/>
            <w:hideMark/>
          </w:tcPr>
          <w:p w14:paraId="4F3B84AD" w14:textId="77777777" w:rsidR="00B57738" w:rsidRPr="00BC3563" w:rsidRDefault="00B57738" w:rsidP="00EE3045">
            <w:pPr>
              <w:spacing w:line="360" w:lineRule="auto"/>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2-Butanol</w:t>
            </w:r>
          </w:p>
        </w:tc>
        <w:tc>
          <w:tcPr>
            <w:tcW w:w="724" w:type="dxa"/>
            <w:shd w:val="clear" w:color="auto" w:fill="auto"/>
            <w:noWrap/>
            <w:vAlign w:val="bottom"/>
            <w:hideMark/>
          </w:tcPr>
          <w:p w14:paraId="395DD13E"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45</w:t>
            </w:r>
          </w:p>
        </w:tc>
        <w:tc>
          <w:tcPr>
            <w:tcW w:w="598" w:type="dxa"/>
            <w:shd w:val="clear" w:color="auto" w:fill="auto"/>
            <w:noWrap/>
            <w:vAlign w:val="bottom"/>
            <w:hideMark/>
          </w:tcPr>
          <w:p w14:paraId="5F30FCAE"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59</w:t>
            </w:r>
          </w:p>
        </w:tc>
        <w:tc>
          <w:tcPr>
            <w:tcW w:w="756" w:type="dxa"/>
            <w:shd w:val="clear" w:color="auto" w:fill="auto"/>
            <w:noWrap/>
            <w:vAlign w:val="bottom"/>
            <w:hideMark/>
          </w:tcPr>
          <w:p w14:paraId="755A9226"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26.37</w:t>
            </w:r>
          </w:p>
        </w:tc>
      </w:tr>
      <w:tr w:rsidR="00B57738" w:rsidRPr="00BC3563" w14:paraId="7A8CCCA0" w14:textId="77777777" w:rsidTr="00BC3563">
        <w:trPr>
          <w:trHeight w:val="315"/>
          <w:jc w:val="center"/>
        </w:trPr>
        <w:tc>
          <w:tcPr>
            <w:tcW w:w="1890" w:type="dxa"/>
            <w:shd w:val="clear" w:color="auto" w:fill="auto"/>
            <w:noWrap/>
            <w:vAlign w:val="bottom"/>
            <w:hideMark/>
          </w:tcPr>
          <w:p w14:paraId="2513C288" w14:textId="77777777" w:rsidR="00B57738" w:rsidRPr="00BC3563" w:rsidRDefault="00B57738" w:rsidP="00EE3045">
            <w:pPr>
              <w:spacing w:line="360" w:lineRule="auto"/>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1-Propanol</w:t>
            </w:r>
          </w:p>
        </w:tc>
        <w:tc>
          <w:tcPr>
            <w:tcW w:w="724" w:type="dxa"/>
            <w:shd w:val="clear" w:color="auto" w:fill="auto"/>
            <w:noWrap/>
            <w:vAlign w:val="bottom"/>
            <w:hideMark/>
          </w:tcPr>
          <w:p w14:paraId="021A94A8"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31</w:t>
            </w:r>
          </w:p>
        </w:tc>
        <w:tc>
          <w:tcPr>
            <w:tcW w:w="598" w:type="dxa"/>
            <w:shd w:val="clear" w:color="auto" w:fill="auto"/>
            <w:noWrap/>
            <w:vAlign w:val="bottom"/>
            <w:hideMark/>
          </w:tcPr>
          <w:p w14:paraId="50C59BD1"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59</w:t>
            </w:r>
          </w:p>
        </w:tc>
        <w:tc>
          <w:tcPr>
            <w:tcW w:w="756" w:type="dxa"/>
            <w:shd w:val="clear" w:color="auto" w:fill="auto"/>
            <w:noWrap/>
            <w:vAlign w:val="bottom"/>
            <w:hideMark/>
          </w:tcPr>
          <w:p w14:paraId="47F76FE7"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27.21</w:t>
            </w:r>
          </w:p>
        </w:tc>
      </w:tr>
      <w:tr w:rsidR="00B57738" w:rsidRPr="00BC3563" w14:paraId="5DBEFB78" w14:textId="77777777" w:rsidTr="00BC3563">
        <w:trPr>
          <w:trHeight w:val="315"/>
          <w:jc w:val="center"/>
        </w:trPr>
        <w:tc>
          <w:tcPr>
            <w:tcW w:w="1890" w:type="dxa"/>
            <w:shd w:val="clear" w:color="auto" w:fill="auto"/>
            <w:noWrap/>
            <w:vAlign w:val="bottom"/>
            <w:hideMark/>
          </w:tcPr>
          <w:p w14:paraId="069322EB" w14:textId="77777777" w:rsidR="00B57738" w:rsidRPr="00BC3563" w:rsidRDefault="00B57738" w:rsidP="00EE3045">
            <w:pPr>
              <w:spacing w:line="360" w:lineRule="auto"/>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4-Eptanone</w:t>
            </w:r>
          </w:p>
        </w:tc>
        <w:tc>
          <w:tcPr>
            <w:tcW w:w="724" w:type="dxa"/>
            <w:shd w:val="clear" w:color="auto" w:fill="auto"/>
            <w:noWrap/>
            <w:vAlign w:val="bottom"/>
            <w:hideMark/>
          </w:tcPr>
          <w:p w14:paraId="55AF5089"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43</w:t>
            </w:r>
          </w:p>
        </w:tc>
        <w:tc>
          <w:tcPr>
            <w:tcW w:w="598" w:type="dxa"/>
            <w:shd w:val="clear" w:color="auto" w:fill="auto"/>
            <w:noWrap/>
            <w:vAlign w:val="bottom"/>
            <w:hideMark/>
          </w:tcPr>
          <w:p w14:paraId="41B17654"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71</w:t>
            </w:r>
          </w:p>
        </w:tc>
        <w:tc>
          <w:tcPr>
            <w:tcW w:w="756" w:type="dxa"/>
            <w:shd w:val="clear" w:color="auto" w:fill="auto"/>
            <w:noWrap/>
            <w:vAlign w:val="bottom"/>
            <w:hideMark/>
          </w:tcPr>
          <w:p w14:paraId="50155732"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32.04</w:t>
            </w:r>
          </w:p>
        </w:tc>
      </w:tr>
      <w:tr w:rsidR="00B57738" w:rsidRPr="00BC3563" w14:paraId="45DBA9A8" w14:textId="77777777" w:rsidTr="00BC3563">
        <w:trPr>
          <w:trHeight w:val="315"/>
          <w:jc w:val="center"/>
        </w:trPr>
        <w:tc>
          <w:tcPr>
            <w:tcW w:w="1890" w:type="dxa"/>
            <w:shd w:val="clear" w:color="auto" w:fill="auto"/>
            <w:noWrap/>
            <w:vAlign w:val="bottom"/>
            <w:hideMark/>
          </w:tcPr>
          <w:p w14:paraId="02C2106D" w14:textId="77777777" w:rsidR="00B57738" w:rsidRPr="00BC3563" w:rsidRDefault="00B57738" w:rsidP="00EE3045">
            <w:pPr>
              <w:spacing w:line="360" w:lineRule="auto"/>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1-Butanol</w:t>
            </w:r>
          </w:p>
        </w:tc>
        <w:tc>
          <w:tcPr>
            <w:tcW w:w="724" w:type="dxa"/>
            <w:shd w:val="clear" w:color="auto" w:fill="auto"/>
            <w:noWrap/>
            <w:vAlign w:val="bottom"/>
            <w:hideMark/>
          </w:tcPr>
          <w:p w14:paraId="69FCD34D"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56</w:t>
            </w:r>
          </w:p>
        </w:tc>
        <w:tc>
          <w:tcPr>
            <w:tcW w:w="598" w:type="dxa"/>
            <w:shd w:val="clear" w:color="auto" w:fill="auto"/>
            <w:noWrap/>
            <w:vAlign w:val="bottom"/>
            <w:hideMark/>
          </w:tcPr>
          <w:p w14:paraId="23432989"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43</w:t>
            </w:r>
          </w:p>
        </w:tc>
        <w:tc>
          <w:tcPr>
            <w:tcW w:w="756" w:type="dxa"/>
            <w:shd w:val="clear" w:color="auto" w:fill="auto"/>
            <w:noWrap/>
            <w:vAlign w:val="bottom"/>
            <w:hideMark/>
          </w:tcPr>
          <w:p w14:paraId="629D4136"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33.18</w:t>
            </w:r>
          </w:p>
        </w:tc>
      </w:tr>
      <w:tr w:rsidR="00B57738" w:rsidRPr="00BC3563" w14:paraId="77C3A25B" w14:textId="77777777" w:rsidTr="00BC3563">
        <w:trPr>
          <w:trHeight w:val="315"/>
          <w:jc w:val="center"/>
        </w:trPr>
        <w:tc>
          <w:tcPr>
            <w:tcW w:w="1890" w:type="dxa"/>
            <w:shd w:val="clear" w:color="auto" w:fill="auto"/>
            <w:noWrap/>
            <w:vAlign w:val="bottom"/>
            <w:hideMark/>
          </w:tcPr>
          <w:p w14:paraId="1708613C" w14:textId="77777777" w:rsidR="00B57738" w:rsidRPr="00BC3563" w:rsidRDefault="00B57738" w:rsidP="00EE3045">
            <w:pPr>
              <w:spacing w:line="360" w:lineRule="auto"/>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Heptanal</w:t>
            </w:r>
          </w:p>
        </w:tc>
        <w:tc>
          <w:tcPr>
            <w:tcW w:w="724" w:type="dxa"/>
            <w:shd w:val="clear" w:color="auto" w:fill="auto"/>
            <w:noWrap/>
            <w:vAlign w:val="bottom"/>
            <w:hideMark/>
          </w:tcPr>
          <w:p w14:paraId="3786EE0C"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70</w:t>
            </w:r>
          </w:p>
        </w:tc>
        <w:tc>
          <w:tcPr>
            <w:tcW w:w="598" w:type="dxa"/>
            <w:shd w:val="clear" w:color="auto" w:fill="auto"/>
            <w:noWrap/>
            <w:vAlign w:val="bottom"/>
            <w:hideMark/>
          </w:tcPr>
          <w:p w14:paraId="4E67257D"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55</w:t>
            </w:r>
          </w:p>
        </w:tc>
        <w:tc>
          <w:tcPr>
            <w:tcW w:w="756" w:type="dxa"/>
            <w:shd w:val="clear" w:color="auto" w:fill="auto"/>
            <w:noWrap/>
            <w:vAlign w:val="bottom"/>
            <w:hideMark/>
          </w:tcPr>
          <w:p w14:paraId="66161229"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35.09</w:t>
            </w:r>
          </w:p>
        </w:tc>
      </w:tr>
      <w:tr w:rsidR="00B57738" w:rsidRPr="00BC3563" w14:paraId="3A30FD0E" w14:textId="77777777" w:rsidTr="00BC3563">
        <w:trPr>
          <w:trHeight w:val="315"/>
          <w:jc w:val="center"/>
        </w:trPr>
        <w:tc>
          <w:tcPr>
            <w:tcW w:w="1890" w:type="dxa"/>
            <w:shd w:val="clear" w:color="auto" w:fill="auto"/>
            <w:noWrap/>
            <w:vAlign w:val="bottom"/>
            <w:hideMark/>
          </w:tcPr>
          <w:p w14:paraId="273879BE" w14:textId="77777777" w:rsidR="00B57738" w:rsidRPr="00BC3563" w:rsidRDefault="00B57738" w:rsidP="00EE3045">
            <w:pPr>
              <w:spacing w:line="360" w:lineRule="auto"/>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3-OH-2-Butanone</w:t>
            </w:r>
          </w:p>
        </w:tc>
        <w:tc>
          <w:tcPr>
            <w:tcW w:w="724" w:type="dxa"/>
            <w:shd w:val="clear" w:color="auto" w:fill="auto"/>
            <w:noWrap/>
            <w:vAlign w:val="bottom"/>
            <w:hideMark/>
          </w:tcPr>
          <w:p w14:paraId="3CA32B17"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45</w:t>
            </w:r>
          </w:p>
        </w:tc>
        <w:tc>
          <w:tcPr>
            <w:tcW w:w="598" w:type="dxa"/>
            <w:shd w:val="clear" w:color="auto" w:fill="auto"/>
            <w:noWrap/>
            <w:vAlign w:val="bottom"/>
            <w:hideMark/>
          </w:tcPr>
          <w:p w14:paraId="5AB8EC9E"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43</w:t>
            </w:r>
          </w:p>
        </w:tc>
        <w:tc>
          <w:tcPr>
            <w:tcW w:w="756" w:type="dxa"/>
            <w:shd w:val="clear" w:color="auto" w:fill="auto"/>
            <w:noWrap/>
            <w:vAlign w:val="bottom"/>
            <w:hideMark/>
          </w:tcPr>
          <w:p w14:paraId="035A4C62"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39.78</w:t>
            </w:r>
          </w:p>
        </w:tc>
      </w:tr>
      <w:tr w:rsidR="00B57738" w:rsidRPr="00BC3563" w14:paraId="08D9BC0D" w14:textId="77777777" w:rsidTr="00BC3563">
        <w:trPr>
          <w:trHeight w:val="315"/>
          <w:jc w:val="center"/>
        </w:trPr>
        <w:tc>
          <w:tcPr>
            <w:tcW w:w="1890" w:type="dxa"/>
            <w:shd w:val="clear" w:color="auto" w:fill="auto"/>
            <w:noWrap/>
            <w:vAlign w:val="bottom"/>
            <w:hideMark/>
          </w:tcPr>
          <w:p w14:paraId="0468D76F" w14:textId="77777777" w:rsidR="00B57738" w:rsidRPr="00BC3563" w:rsidRDefault="00B57738" w:rsidP="00EE3045">
            <w:pPr>
              <w:spacing w:line="360" w:lineRule="auto"/>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Acetic Acid</w:t>
            </w:r>
          </w:p>
        </w:tc>
        <w:tc>
          <w:tcPr>
            <w:tcW w:w="724" w:type="dxa"/>
            <w:shd w:val="clear" w:color="auto" w:fill="auto"/>
            <w:noWrap/>
            <w:vAlign w:val="bottom"/>
            <w:hideMark/>
          </w:tcPr>
          <w:p w14:paraId="451D6C87"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60</w:t>
            </w:r>
          </w:p>
        </w:tc>
        <w:tc>
          <w:tcPr>
            <w:tcW w:w="598" w:type="dxa"/>
            <w:shd w:val="clear" w:color="auto" w:fill="auto"/>
            <w:noWrap/>
            <w:vAlign w:val="bottom"/>
            <w:hideMark/>
          </w:tcPr>
          <w:p w14:paraId="14D96185"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43</w:t>
            </w:r>
          </w:p>
        </w:tc>
        <w:tc>
          <w:tcPr>
            <w:tcW w:w="756" w:type="dxa"/>
            <w:shd w:val="clear" w:color="auto" w:fill="auto"/>
            <w:noWrap/>
            <w:vAlign w:val="bottom"/>
            <w:hideMark/>
          </w:tcPr>
          <w:p w14:paraId="727EE30F"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44.59</w:t>
            </w:r>
          </w:p>
        </w:tc>
      </w:tr>
      <w:tr w:rsidR="00B57738" w:rsidRPr="00BC3563" w14:paraId="60F25A3E" w14:textId="77777777" w:rsidTr="00BC3563">
        <w:trPr>
          <w:trHeight w:val="315"/>
          <w:jc w:val="center"/>
        </w:trPr>
        <w:tc>
          <w:tcPr>
            <w:tcW w:w="1890" w:type="dxa"/>
            <w:shd w:val="clear" w:color="auto" w:fill="auto"/>
            <w:noWrap/>
            <w:vAlign w:val="bottom"/>
            <w:hideMark/>
          </w:tcPr>
          <w:p w14:paraId="240FED1B" w14:textId="77777777" w:rsidR="00B57738" w:rsidRPr="00BC3563" w:rsidRDefault="00B57738" w:rsidP="00EE3045">
            <w:pPr>
              <w:spacing w:line="360" w:lineRule="auto"/>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Propionic Acid</w:t>
            </w:r>
          </w:p>
        </w:tc>
        <w:tc>
          <w:tcPr>
            <w:tcW w:w="724" w:type="dxa"/>
            <w:shd w:val="clear" w:color="auto" w:fill="auto"/>
            <w:noWrap/>
            <w:vAlign w:val="bottom"/>
            <w:hideMark/>
          </w:tcPr>
          <w:p w14:paraId="1207E8FF"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74</w:t>
            </w:r>
          </w:p>
        </w:tc>
        <w:tc>
          <w:tcPr>
            <w:tcW w:w="598" w:type="dxa"/>
            <w:shd w:val="clear" w:color="auto" w:fill="auto"/>
            <w:noWrap/>
            <w:vAlign w:val="bottom"/>
            <w:hideMark/>
          </w:tcPr>
          <w:p w14:paraId="54823D5A"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45</w:t>
            </w:r>
          </w:p>
        </w:tc>
        <w:tc>
          <w:tcPr>
            <w:tcW w:w="756" w:type="dxa"/>
            <w:shd w:val="clear" w:color="auto" w:fill="auto"/>
            <w:noWrap/>
            <w:vAlign w:val="bottom"/>
            <w:hideMark/>
          </w:tcPr>
          <w:p w14:paraId="237880CF"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46.44</w:t>
            </w:r>
          </w:p>
        </w:tc>
      </w:tr>
      <w:tr w:rsidR="00B57738" w:rsidRPr="00BC3563" w14:paraId="24C48F41" w14:textId="77777777" w:rsidTr="00BC3563">
        <w:trPr>
          <w:trHeight w:val="315"/>
          <w:jc w:val="center"/>
        </w:trPr>
        <w:tc>
          <w:tcPr>
            <w:tcW w:w="1890" w:type="dxa"/>
            <w:shd w:val="clear" w:color="auto" w:fill="auto"/>
            <w:noWrap/>
            <w:vAlign w:val="bottom"/>
            <w:hideMark/>
          </w:tcPr>
          <w:p w14:paraId="4C7CDC95" w14:textId="77777777" w:rsidR="00B57738" w:rsidRPr="00BC3563" w:rsidRDefault="00B57738" w:rsidP="00EE3045">
            <w:pPr>
              <w:spacing w:line="360" w:lineRule="auto"/>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Butyric Acid</w:t>
            </w:r>
          </w:p>
        </w:tc>
        <w:tc>
          <w:tcPr>
            <w:tcW w:w="724" w:type="dxa"/>
            <w:shd w:val="clear" w:color="auto" w:fill="auto"/>
            <w:noWrap/>
            <w:vAlign w:val="bottom"/>
            <w:hideMark/>
          </w:tcPr>
          <w:p w14:paraId="6D2714B8"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60</w:t>
            </w:r>
          </w:p>
        </w:tc>
        <w:tc>
          <w:tcPr>
            <w:tcW w:w="598" w:type="dxa"/>
            <w:shd w:val="clear" w:color="auto" w:fill="auto"/>
            <w:noWrap/>
            <w:vAlign w:val="bottom"/>
            <w:hideMark/>
          </w:tcPr>
          <w:p w14:paraId="0F52D9D2"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45</w:t>
            </w:r>
          </w:p>
        </w:tc>
        <w:tc>
          <w:tcPr>
            <w:tcW w:w="756" w:type="dxa"/>
            <w:shd w:val="clear" w:color="auto" w:fill="auto"/>
            <w:noWrap/>
            <w:vAlign w:val="bottom"/>
            <w:hideMark/>
          </w:tcPr>
          <w:p w14:paraId="787B143E" w14:textId="77777777" w:rsidR="00B57738" w:rsidRPr="00BC3563" w:rsidRDefault="00B57738" w:rsidP="00EE3045">
            <w:pPr>
              <w:spacing w:line="360" w:lineRule="auto"/>
              <w:jc w:val="right"/>
              <w:rPr>
                <w:rFonts w:ascii="Times New Roman" w:eastAsia="Times New Roman" w:hAnsi="Times New Roman" w:cs="Times New Roman"/>
                <w:color w:val="000000"/>
                <w:sz w:val="22"/>
                <w:szCs w:val="22"/>
                <w:lang w:val="en-GB"/>
              </w:rPr>
            </w:pPr>
            <w:r w:rsidRPr="00BC3563">
              <w:rPr>
                <w:rFonts w:ascii="Times New Roman" w:eastAsia="Times New Roman" w:hAnsi="Times New Roman" w:cs="Times New Roman"/>
                <w:color w:val="000000"/>
                <w:sz w:val="22"/>
                <w:szCs w:val="22"/>
                <w:lang w:val="en-GB"/>
              </w:rPr>
              <w:t>48.04</w:t>
            </w:r>
          </w:p>
        </w:tc>
      </w:tr>
    </w:tbl>
    <w:p w14:paraId="23B8667D" w14:textId="77777777" w:rsidR="00845E49" w:rsidRPr="00C33195" w:rsidRDefault="00845E49" w:rsidP="00875587">
      <w:pPr>
        <w:spacing w:line="360" w:lineRule="auto"/>
        <w:jc w:val="both"/>
        <w:rPr>
          <w:rFonts w:ascii="Times New Roman" w:hAnsi="Times New Roman" w:cs="Times New Roman"/>
          <w:lang w:val="en-GB"/>
        </w:rPr>
      </w:pPr>
    </w:p>
    <w:p w14:paraId="744093E3" w14:textId="77777777" w:rsidR="00305AD5" w:rsidRPr="00C33195" w:rsidRDefault="00305AD5" w:rsidP="00875587">
      <w:pPr>
        <w:spacing w:line="360" w:lineRule="auto"/>
        <w:jc w:val="both"/>
        <w:rPr>
          <w:rFonts w:ascii="Times New Roman" w:hAnsi="Times New Roman" w:cs="Times New Roman"/>
          <w:i/>
          <w:noProof/>
          <w:lang w:val="en-GB"/>
        </w:rPr>
      </w:pPr>
    </w:p>
    <w:p w14:paraId="6C765A6E" w14:textId="77777777" w:rsidR="00845E49" w:rsidRPr="00C33195" w:rsidRDefault="00845E49" w:rsidP="00875587">
      <w:pPr>
        <w:spacing w:line="360" w:lineRule="auto"/>
        <w:jc w:val="both"/>
        <w:rPr>
          <w:rFonts w:ascii="Times New Roman" w:hAnsi="Times New Roman" w:cs="Times New Roman"/>
          <w:b/>
          <w:noProof/>
          <w:lang w:val="en-GB"/>
        </w:rPr>
      </w:pPr>
      <w:r w:rsidRPr="00C33195">
        <w:rPr>
          <w:rFonts w:ascii="Times New Roman" w:hAnsi="Times New Roman" w:cs="Times New Roman"/>
          <w:b/>
          <w:noProof/>
          <w:lang w:val="en-GB"/>
        </w:rPr>
        <w:t xml:space="preserve">Method validation </w:t>
      </w:r>
    </w:p>
    <w:p w14:paraId="13782E9E" w14:textId="77777777" w:rsidR="00845E49" w:rsidRPr="00C33195" w:rsidRDefault="00845E49" w:rsidP="00875587">
      <w:pPr>
        <w:spacing w:line="360" w:lineRule="auto"/>
        <w:jc w:val="both"/>
        <w:rPr>
          <w:rFonts w:ascii="Times New Roman" w:hAnsi="Times New Roman" w:cs="Times New Roman"/>
          <w:noProof/>
          <w:lang w:val="en-GB"/>
        </w:rPr>
      </w:pPr>
      <w:r w:rsidRPr="00C33195">
        <w:rPr>
          <w:rFonts w:ascii="Times New Roman" w:hAnsi="Times New Roman" w:cs="Times New Roman"/>
          <w:noProof/>
          <w:lang w:val="en-GB"/>
        </w:rPr>
        <w:t xml:space="preserve">Chromatographic data </w:t>
      </w:r>
      <w:r w:rsidR="00C33195">
        <w:rPr>
          <w:rFonts w:ascii="Times New Roman" w:hAnsi="Times New Roman" w:cs="Times New Roman"/>
          <w:noProof/>
          <w:lang w:val="en-GB"/>
        </w:rPr>
        <w:t>were</w:t>
      </w:r>
      <w:r w:rsidRPr="00C33195">
        <w:rPr>
          <w:rFonts w:ascii="Times New Roman" w:hAnsi="Times New Roman" w:cs="Times New Roman"/>
          <w:noProof/>
          <w:lang w:val="en-GB"/>
        </w:rPr>
        <w:t xml:space="preserve"> acquired by means of MSD Chem Stationr software (v. E.02.02 Agilent Technologies, USA). Reference libraries from NIST MS Search program (v. 2.0) were used to identify the VOCs. Reference compounds were used as a standard for confirming the presence of particular volatile compounds.</w:t>
      </w:r>
    </w:p>
    <w:p w14:paraId="04A1123C" w14:textId="58530AC8" w:rsidR="00845E49" w:rsidRPr="00C33195" w:rsidRDefault="00845E49"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Calibration curves were obtained by diluting different amounts of VOCs standard solution, performing all analyses in triplicate. The method linearity was determined by evaluating the regression curves and expressed by the squared determination coefficient (R</w:t>
      </w:r>
      <w:r w:rsidRPr="00C33195">
        <w:rPr>
          <w:rFonts w:ascii="Times New Roman" w:hAnsi="Times New Roman" w:cs="Times New Roman"/>
          <w:vertAlign w:val="superscript"/>
          <w:lang w:val="en-GB"/>
        </w:rPr>
        <w:t>2</w:t>
      </w:r>
      <w:r w:rsidRPr="00C33195">
        <w:rPr>
          <w:rFonts w:ascii="Times New Roman" w:hAnsi="Times New Roman" w:cs="Times New Roman"/>
          <w:lang w:val="en-GB"/>
        </w:rPr>
        <w:t>).</w:t>
      </w:r>
      <w:r w:rsidRPr="00C33195" w:rsidDel="00F55C0F">
        <w:rPr>
          <w:rFonts w:ascii="Times New Roman" w:hAnsi="Times New Roman" w:cs="Times New Roman"/>
          <w:lang w:val="en-GB"/>
        </w:rPr>
        <w:t xml:space="preserve"> </w:t>
      </w:r>
      <w:r w:rsidRPr="00C33195">
        <w:rPr>
          <w:rFonts w:ascii="Times New Roman" w:hAnsi="Times New Roman" w:cs="Times New Roman"/>
          <w:lang w:val="en-GB"/>
        </w:rPr>
        <w:t xml:space="preserve">SIM m/z response areas were employed after normalization with respect to the area of isotopic </w:t>
      </w:r>
      <w:r w:rsidR="00563942" w:rsidRPr="00C33195">
        <w:rPr>
          <w:rFonts w:ascii="Times New Roman" w:hAnsi="Times New Roman" w:cs="Times New Roman"/>
          <w:lang w:val="en-GB"/>
        </w:rPr>
        <w:t>labelled</w:t>
      </w:r>
      <w:r w:rsidRPr="00C33195">
        <w:rPr>
          <w:rFonts w:ascii="Times New Roman" w:hAnsi="Times New Roman" w:cs="Times New Roman"/>
          <w:lang w:val="en-GB"/>
        </w:rPr>
        <w:t xml:space="preserve"> ethanol or </w:t>
      </w:r>
      <w:r w:rsidRPr="00C33195">
        <w:rPr>
          <w:rFonts w:ascii="Times New Roman" w:hAnsi="Times New Roman" w:cs="Times New Roman"/>
          <w:lang w:val="en-GB"/>
        </w:rPr>
        <w:lastRenderedPageBreak/>
        <w:t xml:space="preserve">butyric acid as internal standards. For recovery, a pool of saliva samples added with sodium </w:t>
      </w:r>
      <w:proofErr w:type="spellStart"/>
      <w:r w:rsidRPr="00C33195">
        <w:rPr>
          <w:rFonts w:ascii="Times New Roman" w:hAnsi="Times New Roman" w:cs="Times New Roman"/>
          <w:lang w:val="en-GB"/>
        </w:rPr>
        <w:t>azide</w:t>
      </w:r>
      <w:proofErr w:type="spellEnd"/>
      <w:r w:rsidRPr="00C33195">
        <w:rPr>
          <w:rFonts w:ascii="Times New Roman" w:hAnsi="Times New Roman" w:cs="Times New Roman"/>
          <w:lang w:val="en-GB"/>
        </w:rPr>
        <w:t xml:space="preserve"> </w:t>
      </w:r>
      <w:r w:rsidRPr="00BC3563">
        <w:rPr>
          <w:rFonts w:ascii="Times New Roman" w:hAnsi="Times New Roman" w:cs="Times New Roman"/>
          <w:lang w:val="en-GB"/>
        </w:rPr>
        <w:t xml:space="preserve">to block any enzymatic activity were purged with nitrogen at 40°C overnight. After the analysis of this “blank” sample, saliva was spiked with standard solution of VOCs to obtain in the samples </w:t>
      </w:r>
      <w:r w:rsidR="00C34493" w:rsidRPr="00BC3563">
        <w:rPr>
          <w:rFonts w:ascii="Times New Roman" w:hAnsi="Times New Roman" w:cs="Times New Roman"/>
          <w:lang w:val="en-GB"/>
        </w:rPr>
        <w:t>6-40</w:t>
      </w:r>
      <w:r w:rsidRPr="00BC3563">
        <w:rPr>
          <w:rFonts w:ascii="Times New Roman" w:hAnsi="Times New Roman" w:cs="Times New Roman"/>
          <w:lang w:val="en-GB"/>
        </w:rPr>
        <w:t xml:space="preserve"> </w:t>
      </w:r>
      <w:r w:rsidR="003C3219" w:rsidRPr="00BC3563">
        <w:rPr>
          <w:rFonts w:ascii="Times New Roman" w:hAnsi="Times New Roman" w:cs="Times New Roman"/>
          <w:lang w:val="en-GB"/>
        </w:rPr>
        <w:t>µM</w:t>
      </w:r>
      <w:r w:rsidR="00E1430B" w:rsidRPr="00BC3563">
        <w:rPr>
          <w:rFonts w:ascii="Times New Roman" w:hAnsi="Times New Roman" w:cs="Times New Roman"/>
          <w:lang w:val="en-GB"/>
        </w:rPr>
        <w:t>, added to</w:t>
      </w:r>
      <w:r w:rsidRPr="00BC3563">
        <w:rPr>
          <w:rFonts w:ascii="Times New Roman" w:hAnsi="Times New Roman" w:cs="Times New Roman"/>
          <w:lang w:val="en-GB"/>
        </w:rPr>
        <w:t xml:space="preserve"> a </w:t>
      </w:r>
      <w:proofErr w:type="spellStart"/>
      <w:r w:rsidRPr="00BC3563">
        <w:rPr>
          <w:rFonts w:ascii="Times New Roman" w:hAnsi="Times New Roman" w:cs="Times New Roman"/>
          <w:lang w:val="en-GB"/>
        </w:rPr>
        <w:t>Salivette</w:t>
      </w:r>
      <w:proofErr w:type="spellEnd"/>
      <w:r w:rsidRPr="00BC3563">
        <w:rPr>
          <w:rFonts w:ascii="Times New Roman" w:hAnsi="Times New Roman" w:cs="Times New Roman"/>
          <w:lang w:val="en-GB"/>
        </w:rPr>
        <w:t xml:space="preserve"> </w:t>
      </w:r>
      <w:r w:rsidR="00E1430B" w:rsidRPr="00BC3563">
        <w:rPr>
          <w:rFonts w:ascii="Times New Roman" w:hAnsi="Times New Roman" w:cs="Times New Roman"/>
          <w:lang w:val="en-GB"/>
        </w:rPr>
        <w:t>and treated for</w:t>
      </w:r>
      <w:r w:rsidRPr="00BC3563">
        <w:rPr>
          <w:rFonts w:ascii="Times New Roman" w:hAnsi="Times New Roman" w:cs="Times New Roman"/>
          <w:lang w:val="en-GB"/>
        </w:rPr>
        <w:t xml:space="preserve"> the analysis</w:t>
      </w:r>
      <w:r w:rsidR="00C33195" w:rsidRPr="00BC3563">
        <w:rPr>
          <w:rFonts w:ascii="Times New Roman" w:hAnsi="Times New Roman" w:cs="Times New Roman"/>
          <w:lang w:val="en-GB"/>
        </w:rPr>
        <w:t xml:space="preserve"> (N=3 replicates)</w:t>
      </w:r>
      <w:r w:rsidRPr="00BC3563">
        <w:rPr>
          <w:rFonts w:ascii="Times New Roman" w:hAnsi="Times New Roman" w:cs="Times New Roman"/>
          <w:lang w:val="en-GB"/>
        </w:rPr>
        <w:t>.</w:t>
      </w:r>
      <w:r w:rsidRPr="00C33195">
        <w:rPr>
          <w:rFonts w:ascii="Times New Roman" w:hAnsi="Times New Roman" w:cs="Times New Roman"/>
          <w:lang w:val="en-GB"/>
        </w:rPr>
        <w:t xml:space="preserve"> </w:t>
      </w:r>
    </w:p>
    <w:p w14:paraId="32452911" w14:textId="77777777" w:rsidR="00961012" w:rsidRPr="00C33195" w:rsidRDefault="00961012" w:rsidP="00875587">
      <w:pPr>
        <w:spacing w:line="360" w:lineRule="auto"/>
        <w:jc w:val="both"/>
        <w:rPr>
          <w:rFonts w:ascii="Times New Roman" w:hAnsi="Times New Roman" w:cs="Times New Roman"/>
          <w:lang w:val="en-GB"/>
        </w:rPr>
      </w:pPr>
    </w:p>
    <w:p w14:paraId="22453D88" w14:textId="77777777" w:rsidR="00845E49" w:rsidRPr="00C33195" w:rsidRDefault="00E57EE7" w:rsidP="00875587">
      <w:pPr>
        <w:widowControl w:val="0"/>
        <w:autoSpaceDE w:val="0"/>
        <w:autoSpaceDN w:val="0"/>
        <w:adjustRightInd w:val="0"/>
        <w:spacing w:line="360" w:lineRule="auto"/>
        <w:jc w:val="both"/>
        <w:rPr>
          <w:rFonts w:ascii="Times New Roman" w:hAnsi="Times New Roman" w:cs="Times New Roman"/>
          <w:b/>
          <w:color w:val="262626"/>
          <w:lang w:val="en-GB"/>
        </w:rPr>
      </w:pPr>
      <w:r w:rsidRPr="00C33195">
        <w:rPr>
          <w:rFonts w:ascii="Times New Roman" w:hAnsi="Times New Roman" w:cs="Times New Roman"/>
          <w:b/>
          <w:color w:val="262626"/>
          <w:lang w:val="en-GB"/>
        </w:rPr>
        <w:t>Data analysis</w:t>
      </w:r>
    </w:p>
    <w:p w14:paraId="55564167" w14:textId="77777777" w:rsidR="00845E49" w:rsidRPr="00C33195" w:rsidRDefault="00845E49" w:rsidP="00875587">
      <w:pPr>
        <w:widowControl w:val="0"/>
        <w:autoSpaceDE w:val="0"/>
        <w:autoSpaceDN w:val="0"/>
        <w:adjustRightInd w:val="0"/>
        <w:spacing w:line="360" w:lineRule="auto"/>
        <w:jc w:val="both"/>
        <w:rPr>
          <w:rFonts w:ascii="Times New Roman" w:hAnsi="Times New Roman" w:cs="Times New Roman"/>
          <w:color w:val="262626"/>
          <w:lang w:val="en-GB"/>
        </w:rPr>
      </w:pPr>
      <w:r w:rsidRPr="00C33195">
        <w:rPr>
          <w:rFonts w:ascii="Times New Roman" w:hAnsi="Times New Roman" w:cs="Times New Roman"/>
          <w:color w:val="262626"/>
          <w:lang w:val="en-GB"/>
        </w:rPr>
        <w:t xml:space="preserve">Compound identification of VOCs was achieved using </w:t>
      </w:r>
      <w:proofErr w:type="spellStart"/>
      <w:r w:rsidRPr="00C33195">
        <w:rPr>
          <w:rFonts w:ascii="Times New Roman" w:hAnsi="Times New Roman" w:cs="Times New Roman"/>
          <w:color w:val="262626"/>
          <w:lang w:val="en-GB"/>
        </w:rPr>
        <w:t>ChemStation</w:t>
      </w:r>
      <w:proofErr w:type="spellEnd"/>
      <w:r w:rsidRPr="00C33195">
        <w:rPr>
          <w:rFonts w:ascii="Times New Roman" w:hAnsi="Times New Roman" w:cs="Times New Roman"/>
          <w:color w:val="262626"/>
          <w:lang w:val="en-GB"/>
        </w:rPr>
        <w:t xml:space="preserve"> Data Analysis software and PBM search </w:t>
      </w:r>
      <w:proofErr w:type="spellStart"/>
      <w:r w:rsidRPr="00C33195">
        <w:rPr>
          <w:rFonts w:ascii="Times New Roman" w:hAnsi="Times New Roman" w:cs="Times New Roman"/>
          <w:color w:val="262626"/>
          <w:lang w:val="en-GB"/>
        </w:rPr>
        <w:t>Algoritm</w:t>
      </w:r>
      <w:proofErr w:type="spellEnd"/>
      <w:r w:rsidRPr="00C33195">
        <w:rPr>
          <w:rFonts w:ascii="Times New Roman" w:hAnsi="Times New Roman" w:cs="Times New Roman"/>
          <w:color w:val="262626"/>
          <w:lang w:val="en-GB"/>
        </w:rPr>
        <w:t xml:space="preserve"> on standard mass spectra library comparison and confirmed by injecting standard compounds. </w:t>
      </w:r>
    </w:p>
    <w:p w14:paraId="6917F2B1" w14:textId="77777777" w:rsidR="00845E49" w:rsidRPr="00C33195" w:rsidRDefault="00845E49" w:rsidP="00875587">
      <w:pPr>
        <w:widowControl w:val="0"/>
        <w:autoSpaceDE w:val="0"/>
        <w:autoSpaceDN w:val="0"/>
        <w:adjustRightInd w:val="0"/>
        <w:spacing w:line="360" w:lineRule="auto"/>
        <w:jc w:val="both"/>
        <w:rPr>
          <w:rFonts w:ascii="Times New Roman" w:hAnsi="Times New Roman" w:cs="Times New Roman"/>
          <w:color w:val="262626"/>
          <w:lang w:val="en-GB"/>
        </w:rPr>
      </w:pPr>
      <w:r w:rsidRPr="00C33195">
        <w:rPr>
          <w:rFonts w:ascii="Times New Roman" w:hAnsi="Times New Roman" w:cs="Times New Roman"/>
          <w:color w:val="262626"/>
          <w:lang w:val="en-GB"/>
        </w:rPr>
        <w:t>In any given saliva HS sample, more than 100 chromatographic peaks can be observed, and it was therefore found necessary to select a subset of them to render statistical analysis tractable. Analytes were selected on the basis of their abundance in the gas chromatogram and on the basis of published works. The final list of 20 compounds included short-chain fatty acid</w:t>
      </w:r>
      <w:r w:rsidR="00223776" w:rsidRPr="00C33195">
        <w:rPr>
          <w:rFonts w:ascii="Times New Roman" w:hAnsi="Times New Roman" w:cs="Times New Roman"/>
          <w:color w:val="262626"/>
          <w:lang w:val="en-GB"/>
        </w:rPr>
        <w:t xml:space="preserve">s (SCFAs), </w:t>
      </w:r>
      <w:r w:rsidR="00223776" w:rsidRPr="00C33195">
        <w:rPr>
          <w:rFonts w:ascii="Times New Roman" w:hAnsi="Times New Roman" w:cs="Times New Roman"/>
          <w:lang w:val="en-GB"/>
        </w:rPr>
        <w:t>aldehydes, ketones and alcohols</w:t>
      </w:r>
      <w:r w:rsidRPr="00C33195">
        <w:rPr>
          <w:rFonts w:ascii="Times New Roman" w:hAnsi="Times New Roman" w:cs="Times New Roman"/>
          <w:color w:val="262626"/>
          <w:lang w:val="en-GB"/>
        </w:rPr>
        <w:t xml:space="preserve">. </w:t>
      </w:r>
      <w:r w:rsidRPr="00C33195">
        <w:rPr>
          <w:rFonts w:ascii="Times New Roman" w:hAnsi="Times New Roman" w:cs="Times New Roman"/>
          <w:lang w:val="en-GB"/>
        </w:rPr>
        <w:t>A data matrix was prepared, having each sample in rows and HS-GCMS data of each metabolite in columns. To minimize possible differences in c</w:t>
      </w:r>
      <w:r w:rsidR="00C837A2" w:rsidRPr="00C33195">
        <w:rPr>
          <w:rFonts w:ascii="Times New Roman" w:hAnsi="Times New Roman" w:cs="Times New Roman"/>
          <w:lang w:val="en-GB"/>
        </w:rPr>
        <w:t>oncentration between samples, the normalization</w:t>
      </w:r>
      <w:r w:rsidRPr="00C33195">
        <w:rPr>
          <w:rFonts w:ascii="Times New Roman" w:hAnsi="Times New Roman" w:cs="Times New Roman"/>
          <w:lang w:val="en-GB"/>
        </w:rPr>
        <w:t xml:space="preserve"> and scaling of the data to unit variance were performed so that all of the variables were given equal weight regardless of their absolute value.</w:t>
      </w:r>
    </w:p>
    <w:p w14:paraId="56C66E2E" w14:textId="77777777" w:rsidR="00845E49" w:rsidRPr="00C33195" w:rsidRDefault="00F90FA2" w:rsidP="00875587">
      <w:pPr>
        <w:widowControl w:val="0"/>
        <w:autoSpaceDE w:val="0"/>
        <w:autoSpaceDN w:val="0"/>
        <w:adjustRightInd w:val="0"/>
        <w:spacing w:line="360" w:lineRule="auto"/>
        <w:jc w:val="both"/>
        <w:rPr>
          <w:rFonts w:ascii="Times New Roman" w:hAnsi="Times New Roman" w:cs="Times New Roman"/>
          <w:noProof/>
          <w:color w:val="262626"/>
          <w:lang w:val="en-GB"/>
        </w:rPr>
      </w:pPr>
      <w:r w:rsidRPr="00C33195">
        <w:rPr>
          <w:rFonts w:ascii="Times New Roman" w:hAnsi="Times New Roman" w:cs="Times New Roman"/>
          <w:noProof/>
          <w:color w:val="262626"/>
          <w:lang w:val="en-GB"/>
        </w:rPr>
        <w:t>All statistical analyse</w:t>
      </w:r>
      <w:r w:rsidR="00E1430B" w:rsidRPr="00C33195">
        <w:rPr>
          <w:rFonts w:ascii="Times New Roman" w:hAnsi="Times New Roman" w:cs="Times New Roman"/>
          <w:noProof/>
          <w:color w:val="262626"/>
          <w:lang w:val="en-GB"/>
        </w:rPr>
        <w:t xml:space="preserve">s were performed by means of R </w:t>
      </w:r>
      <w:r w:rsidRPr="00C33195">
        <w:rPr>
          <w:rFonts w:ascii="Times New Roman" w:hAnsi="Times New Roman" w:cs="Times New Roman"/>
          <w:noProof/>
          <w:color w:val="262626"/>
          <w:lang w:val="en-GB"/>
        </w:rPr>
        <w:t>version 2.15.2 software.</w:t>
      </w:r>
    </w:p>
    <w:p w14:paraId="157DBA8C" w14:textId="77777777" w:rsidR="00F90FA2" w:rsidRPr="00C33195" w:rsidRDefault="00F90FA2" w:rsidP="00875587">
      <w:pPr>
        <w:widowControl w:val="0"/>
        <w:autoSpaceDE w:val="0"/>
        <w:autoSpaceDN w:val="0"/>
        <w:adjustRightInd w:val="0"/>
        <w:spacing w:line="360" w:lineRule="auto"/>
        <w:jc w:val="both"/>
        <w:rPr>
          <w:rFonts w:ascii="Times New Roman" w:hAnsi="Times New Roman" w:cs="Times New Roman"/>
          <w:noProof/>
          <w:color w:val="262626"/>
          <w:lang w:val="en-GB"/>
        </w:rPr>
      </w:pPr>
    </w:p>
    <w:p w14:paraId="136A4C8D" w14:textId="77777777" w:rsidR="00075751" w:rsidRPr="00C33195" w:rsidRDefault="00075751" w:rsidP="00075751">
      <w:pPr>
        <w:pStyle w:val="Titolo1"/>
        <w:spacing w:before="0" w:after="200" w:line="360" w:lineRule="auto"/>
        <w:jc w:val="both"/>
        <w:rPr>
          <w:rFonts w:cs="Times New Roman"/>
          <w:sz w:val="24"/>
          <w:szCs w:val="24"/>
          <w:lang w:val="en-GB"/>
        </w:rPr>
      </w:pPr>
    </w:p>
    <w:p w14:paraId="70077FD5" w14:textId="77777777" w:rsidR="00845E49" w:rsidRPr="00C33195" w:rsidRDefault="00845E49" w:rsidP="00075751">
      <w:pPr>
        <w:pStyle w:val="Titolo1"/>
        <w:spacing w:before="0" w:after="200" w:line="360" w:lineRule="auto"/>
        <w:jc w:val="both"/>
        <w:rPr>
          <w:rFonts w:cs="Times New Roman"/>
          <w:sz w:val="28"/>
          <w:szCs w:val="24"/>
          <w:lang w:val="en-GB"/>
        </w:rPr>
      </w:pPr>
      <w:r w:rsidRPr="00C33195">
        <w:rPr>
          <w:rFonts w:cs="Times New Roman"/>
          <w:sz w:val="28"/>
          <w:szCs w:val="24"/>
          <w:lang w:val="en-GB"/>
        </w:rPr>
        <w:t>Results and discussion</w:t>
      </w:r>
    </w:p>
    <w:p w14:paraId="6ABFFA93" w14:textId="77777777" w:rsidR="00845E49" w:rsidRPr="00C33195" w:rsidRDefault="00845E49" w:rsidP="00875587">
      <w:pPr>
        <w:spacing w:line="360" w:lineRule="auto"/>
        <w:jc w:val="both"/>
        <w:rPr>
          <w:rFonts w:ascii="Times New Roman" w:hAnsi="Times New Roman" w:cs="Times New Roman"/>
          <w:b/>
          <w:lang w:val="en-GB"/>
        </w:rPr>
      </w:pPr>
      <w:r w:rsidRPr="00C33195">
        <w:rPr>
          <w:rFonts w:ascii="Times New Roman" w:hAnsi="Times New Roman" w:cs="Times New Roman"/>
          <w:b/>
          <w:lang w:val="en-GB"/>
        </w:rPr>
        <w:t xml:space="preserve">Method </w:t>
      </w:r>
      <w:r w:rsidR="00CF7B74" w:rsidRPr="00C33195">
        <w:rPr>
          <w:rFonts w:ascii="Times New Roman" w:hAnsi="Times New Roman" w:cs="Times New Roman"/>
          <w:b/>
          <w:lang w:val="en-GB"/>
        </w:rPr>
        <w:t>development and validation</w:t>
      </w:r>
    </w:p>
    <w:p w14:paraId="61FCBE54" w14:textId="760639EB" w:rsidR="000B00BD" w:rsidRPr="00C33195" w:rsidRDefault="000B00BD"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Few authors propose the analysis of VOCs</w:t>
      </w:r>
      <w:r w:rsidR="00F0121F">
        <w:rPr>
          <w:rFonts w:ascii="Times New Roman" w:hAnsi="Times New Roman" w:cs="Times New Roman"/>
          <w:lang w:val="en-GB"/>
        </w:rPr>
        <w:t xml:space="preserve"> </w:t>
      </w:r>
      <w:r w:rsidR="00F0121F">
        <w:rPr>
          <w:rFonts w:ascii="Times New Roman" w:hAnsi="Times New Roman" w:cs="Times New Roman"/>
          <w:lang w:val="en-GB"/>
        </w:rPr>
        <w:fldChar w:fldCharType="begin" w:fldLock="1"/>
      </w:r>
      <w:r w:rsidR="00F0121F">
        <w:rPr>
          <w:rFonts w:ascii="Times New Roman" w:hAnsi="Times New Roman" w:cs="Times New Roman"/>
          <w:lang w:val="en-GB"/>
        </w:rPr>
        <w:instrText>ADDIN CSL_CITATION {"citationItems":[{"id":"ITEM-1","itemData":{"DOI":"10.1088/1752-7155/7/3/036004","ISSN":"1752-7155","abstract":"Analysis of volatile organic compounds (VOCs) from saliva, to aid disease diagnoses, has received little attention. This work aims to address the paucity of information on saliva volatiles and includes a database of newly identified compounds whilst incorporating a review of the literature. The volatile constituents in the headspace of whole saliva obtained from ten healthy individuals were examined in a longitudinal study over a period of ten days using headspace-trap gas chromatography-mass spectrometry (HS-trap/GC-MS). A total of 317 compounds (268 identified) were found and compared across subjects and between samples with 34 VOCs being present in all 100 samples. The average number of compounds per subject ranged from 121 to 150 over a 10 day period and was fairly consistent for a particular individual (s.d. ranged from 3-15). However, the number of compounds present in an individual on all ten days was substantially lower ranging between 65 and 109, showing that there is significant daily variation in salivary composition. A core group of ubiquitous VOCs were found with the remaining VOCs showing significant intra and inter individual variability. Saliva VOCs have been found to be readily analysed using the HS-trap technique and studies on the VOCs from healthy individuals should be of utility for comparison with VOCs analysed from samples from diseased groups.","author":[{"dropping-particle":"","family":"Al-Kateb","given":"H","non-dropping-particle":"","parse-names":false,"suffix":""},{"dropping-particle":"","family":"Lacy Costello","given":"B","non-dropping-particle":"de","parse-names":false,"suffix":""},{"dropping-particle":"","family":"Ratcliffe","given":"N","non-dropping-particle":"","parse-names":false,"suffix":""}],"container-title":"J Breath Res","edition":"2013/07/23","id":"ITEM-1","issue":"3","issued":{"date-parts":[["2013"]]},"language":"eng","note":"1752-7163\nAl-Kateb, Huda\nde Lacy Costello, Benjamin\nRatcliffe, Norman\nJournal Article\nResearch Support, Non-U.S. Gov't\nEngland\nJ Breath Res. 2013 Sep;7(3):036004. doi: 10.1088/1752-7155/7/3/036004. Epub 2013 Jul 18.","page":"36004","publisher-place":"University of the West of England, Institute of Biosensor Technology, Frenchay Campus, Coldharbour Lane, Bristol, BS16 1QY, UK. Huda.Al-Kateb@uwe.ac.uk","title":"An investigation of volatile organic compounds from the saliva of healthy individuals using headspace-trap/GC-MS","type":"article-journal","volume":"7"},"uris":["http://www.mendeley.com/documents/?uuid=516eca28-449f-4faf-953f-d7adbb2c1945"]},{"id":"ITEM-2","itemData":{"DOI":"10.1007/s10886-010-9846-7","ISSN":"0098-0331","abstract":"Human saliva not only helps control oral health (with anti-microbial proteins), but it may also play a role in chemical communication. As is the case with other mammalian species, human saliva contains peptides, proteins, and numerous volatile organic compounds (VOCs). A high-throughput analytical method is described for profiling a large number of saliva samples to screen the profiles of VOCs. Saliva samples were collected in a non-stimulated fashion. The method utilized static stir bar extraction followed by gas chromatography-mass spectrometry (GC-MS). The method provided excellent reproducibility for a wide range of salivary compounds, including alcohols, aldehydes, ketones, carboxylic acids, esters, amines, amides, lactones, and hydrocarbons. Furthermore, substantial overlap of salivary VOCs and the previously reported skin VOCs in the same subject group was found in this study by using pattern recognition analyses. Sensitivity, precision, and reproducibility of the method suggest that this technique has potential in physiological, metabolomic, pharmacokinetic, forensic, and toxicological studies of small organic compounds where a large number of human saliva samples are involved.","author":[{"dropping-particle":"","family":"Soini","given":"H A","non-dropping-particle":"","parse-names":false,"suffix":""},{"dropping-particle":"","family":"Klouckova","given":"I","non-dropping-particle":"","parse-names":false,"suffix":""},{"dropping-particle":"","family":"Wiesler","given":"D","non-dropping-particle":"","parse-names":false,"suffix":""},{"dropping-particle":"","family":"Oberzaucher","given":"E","non-dropping-particle":"","parse-names":false,"suffix":""},{"dropping-particle":"","family":"Grammer","given":"K","non-dropping-particle":"","parse-names":false,"suffix":""},{"dropping-particle":"","family":"Dixon","given":"S J","non-dropping-particle":"","parse-names":false,"suffix":""},{"dropping-particle":"","family":"Xu","given":"Y","non-dropping-particle":"","parse-names":false,"suffix":""},{"dropping-particle":"","family":"Brereton","given":"R G","non-dropping-particle":"","parse-names":false,"suffix":""},{"dropping-particle":"","family":"Penn","given":"D J","non-dropping-particle":"","parse-names":false,"suffix":""},{"dropping-particle":"V","family":"Novotny","given":"M","non-dropping-particle":"","parse-names":false,"suffix":""}],"container-title":"Journal of Chemical Ecology","id":"ITEM-2","issue":"9","issued":{"date-parts":[["2010"]]},"note":"Soini, Helena A. Klouckova, Iveta Wiesler, Donald Oberzaucher, Elisabeth Grammer, Karl Dixon, Sarah J. Xu, Yun Brereton, Richard G. Penn, Dustin J. Novotny, Milos V.\noberzaucher, elisabeth/A-5702-2011; Grammer, Karl/A-5012-2011\noberzaucher, elisabeth/0000-0003-0083-3160; Grammer, Karl/0000-0001-7801-6131; Xu, Yun/0000-0003-3228-5111","page":"1035-1042","title":"Analysis of Volatile Organic Compounds in Human Saliva by a Static Sorptive Extraction Method and Gas Chromatography-Mass Spectrometry","type":"article-journal","volume":"36"},"uris":["http://www.mendeley.com/documents/?uuid=3cd5c2fe-c561-414a-9082-9e6e8a44de98"]}],"mendeley":{"formattedCitation":"[37, 38]","plainTextFormattedCitation":"[37, 38]","previouslyFormattedCitation":"[37, 38]"},"properties":{"noteIndex":0},"schema":"https://github.com/citation-style-language/schema/raw/master/csl-citation.json"}</w:instrText>
      </w:r>
      <w:r w:rsidR="00F0121F">
        <w:rPr>
          <w:rFonts w:ascii="Times New Roman" w:hAnsi="Times New Roman" w:cs="Times New Roman"/>
          <w:lang w:val="en-GB"/>
        </w:rPr>
        <w:fldChar w:fldCharType="separate"/>
      </w:r>
      <w:r w:rsidR="00F0121F" w:rsidRPr="00F0121F">
        <w:rPr>
          <w:rFonts w:ascii="Times New Roman" w:hAnsi="Times New Roman" w:cs="Times New Roman"/>
          <w:noProof/>
          <w:lang w:val="en-GB"/>
        </w:rPr>
        <w:t>[37, 38]</w:t>
      </w:r>
      <w:r w:rsidR="00F0121F">
        <w:rPr>
          <w:rFonts w:ascii="Times New Roman" w:hAnsi="Times New Roman" w:cs="Times New Roman"/>
          <w:lang w:val="en-GB"/>
        </w:rPr>
        <w:fldChar w:fldCharType="end"/>
      </w:r>
      <w:r w:rsidR="00563942">
        <w:rPr>
          <w:rFonts w:ascii="Times New Roman" w:hAnsi="Times New Roman" w:cs="Times New Roman"/>
          <w:lang w:val="en-GB"/>
        </w:rPr>
        <w:t>,</w:t>
      </w:r>
      <w:r w:rsidRPr="00C33195">
        <w:rPr>
          <w:rFonts w:ascii="Times New Roman" w:hAnsi="Times New Roman" w:cs="Times New Roman"/>
          <w:lang w:val="en-GB"/>
        </w:rPr>
        <w:t xml:space="preserve"> a variegated group of carbon-based chemicals classified on the basis of their retention time and boiling point (ranging from 50 °C to 260 °C) </w:t>
      </w:r>
      <w:r w:rsidR="00F0121F">
        <w:rPr>
          <w:rFonts w:ascii="Times New Roman" w:hAnsi="Times New Roman" w:cs="Times New Roman"/>
          <w:lang w:val="en-GB"/>
        </w:rPr>
        <w:fldChar w:fldCharType="begin" w:fldLock="1"/>
      </w:r>
      <w:r w:rsidR="00E56978">
        <w:rPr>
          <w:rFonts w:ascii="Times New Roman" w:hAnsi="Times New Roman" w:cs="Times New Roman"/>
          <w:lang w:val="en-GB"/>
        </w:rPr>
        <w:instrText>ADDIN CSL_CITATION {"citationItems":[{"id":"ITEM-1","itemData":{"DOI":"10.1111/j.1600-0668.1994.t01-2-00007.x","ISSN":"0905-6947","abstract":"Abstract A review is presented of investigations of volatile organic compound (VOC) concentrations in indoor air of buildings of different classifications (dwellings, offices, schools, hospitals) and categories (established, new and complaint buildings). Measured concentrations obtained from the published literature and from research in progress overseas were pooled so that VOC concentration profiles could be derived for each building classification/category. Mean concentrations of individual compounds in established buildings were found to be generally below 50 ?g/m3, with most below 5 ?g/m3. Concentrations in new buildings were much greater, often by an order of magnitude or more, and appeared to arise from construction materials and building contents. The nature of these sources and approaches to reduce indoor air concentrations by limiting source VOC emissions is discussed. Total VOC (TVOC) concentrations were substantially higher than concentrations of any individual VOCs in all situations, reflecting the large number of compounds present, but interpretation of such measurements was limited by the lack of a common definition for TVOC relevant to occupant exposure.","author":[{"dropping-particle":"","family":"Brown","given":"S K","non-dropping-particle":"","parse-names":false,"suffix":""},{"dropping-particle":"","family":"Sim","given":"M R","non-dropping-particle":"","parse-names":false,"suffix":""},{"dropping-particle":"","family":"Abramson","given":"M J","non-dropping-particle":"","parse-names":false,"suffix":""},{"dropping-particle":"","family":"Gray","given":"C N","non-dropping-particle":"","parse-names":false,"suffix":""}],"container-title":"Indoor Air","id":"ITEM-1","issue":"2","issued":{"date-parts":[["1994","5","10"]]},"page":"123-134","title":"Concentrations of Volatile Organic Compounds in Indoor Air – A Review","type":"article-journal","volume":"4"},"uris":["http://www.mendeley.com/documents/?uuid=cbf98d2d-8486-453e-9265-eca20cf77bdb"]}],"mendeley":{"formattedCitation":"[39]","plainTextFormattedCitation":"[39]","previouslyFormattedCitation":"[39]"},"properties":{"noteIndex":0},"schema":"https://github.com/citation-style-language/schema/raw/master/csl-citation.json"}</w:instrText>
      </w:r>
      <w:r w:rsidR="00F0121F">
        <w:rPr>
          <w:rFonts w:ascii="Times New Roman" w:hAnsi="Times New Roman" w:cs="Times New Roman"/>
          <w:lang w:val="en-GB"/>
        </w:rPr>
        <w:fldChar w:fldCharType="separate"/>
      </w:r>
      <w:r w:rsidR="00F0121F" w:rsidRPr="00F0121F">
        <w:rPr>
          <w:rFonts w:ascii="Times New Roman" w:hAnsi="Times New Roman" w:cs="Times New Roman"/>
          <w:noProof/>
          <w:lang w:val="en-GB"/>
        </w:rPr>
        <w:t>[39]</w:t>
      </w:r>
      <w:r w:rsidR="00F0121F">
        <w:rPr>
          <w:rFonts w:ascii="Times New Roman" w:hAnsi="Times New Roman" w:cs="Times New Roman"/>
          <w:lang w:val="en-GB"/>
        </w:rPr>
        <w:fldChar w:fldCharType="end"/>
      </w:r>
      <w:r w:rsidRPr="00C33195">
        <w:rPr>
          <w:rFonts w:ascii="Times New Roman" w:hAnsi="Times New Roman" w:cs="Times New Roman"/>
          <w:lang w:val="en-GB"/>
        </w:rPr>
        <w:t xml:space="preserve">, and that may be collected from exhaled breath or sampled in the HS of biological fluids (saliva, urine, faeces, and sweat) as products of metabolic processes </w:t>
      </w:r>
      <w:r w:rsidR="00E56978">
        <w:rPr>
          <w:rFonts w:ascii="Times New Roman" w:hAnsi="Times New Roman" w:cs="Times New Roman"/>
          <w:lang w:val="en-GB"/>
        </w:rPr>
        <w:fldChar w:fldCharType="begin" w:fldLock="1"/>
      </w:r>
      <w:r w:rsidR="00F67A0F">
        <w:rPr>
          <w:rFonts w:ascii="Times New Roman" w:hAnsi="Times New Roman" w:cs="Times New Roman"/>
          <w:lang w:val="en-GB"/>
        </w:rPr>
        <w:instrText>ADDIN CSL_CITATION {"citationItems":[{"id":"ITEM-1","itemData":{"DOI":"10.1088/1752-7155/8/1/014001","ISSN":"1752-7155","abstract":"A compendium of all the volatile organic compounds (VOCs) emanating from the human body (the volatolome) is for the first time reported. 1840 VOCs have been assigned from breath (872), saliva (359), blood (154), milk (256), skin secretions (532) urine (279), and faeces (381) in apparently healthy individuals. Compounds were assigned CAS registry numbers and named according to a common convention where possible. The compounds have been grouped into tables according to their chemical class or functionality to permit easy comparison. Some clear differences are observed, for instance, a lack of esters in urine with a high number in faeces. Careful use of the database is needed. The numbers may not be a true reflection of the actual VOCs present from each bodily excretion. The lack of a compound could be due to the techniques used or reflect the intensity of effort e.g. there are few publications on VOCs from blood compared to a large number on VOCs in breath. The large number of volatiles reported from skin is partly due to the methodologies used, e.g. collecting excretions on glass beads and then heating to desorb VOCs. All compounds have been included as reported (unless there was a clear discrepancy between name and chemical structure), but there may be some mistaken assignations arising from the original publications, particularly for isomers. It is the authors' intention that this database will not only be a useful database of VOCs listed in the literature, but will stimulate further study of VOCs from healthy individuals. Establishing a list of volatiles emanating from healthy individuals and increased understanding of VOC metabolic pathways is an important step for differentiating between diseases using VOCs.","author":[{"dropping-particle":"","family":"Lacy Costello","given":"B","non-dropping-particle":"de","parse-names":false,"suffix":""},{"dropping-particle":"","family":"Amann","given":"A","non-dropping-particle":"","parse-names":false,"suffix":""},{"dropping-particle":"","family":"Al-Kateb","given":"H","non-dropping-particle":"","parse-names":false,"suffix":""},{"dropping-particle":"","family":"Flynn","given":"C","non-dropping-particle":"","parse-names":false,"suffix":""},{"dropping-particle":"","family":"Filipiak","given":"W","non-dropping-particle":"","parse-names":false,"suffix":""},{"dropping-particle":"","family":"Khalid","given":"T","non-dropping-particle":"","parse-names":false,"suffix":""},{"dropping-particle":"","family":"Osborne","given":"D","non-dropping-particle":"","parse-names":false,"suffix":""},{"dropping-particle":"","family":"Ratcliffe","given":"N M","non-dropping-particle":"","parse-names":false,"suffix":""}],"container-title":"J Breath Res","edition":"2014/01/15","id":"ITEM-1","issue":"1","issued":{"date-parts":[["2014"]]},"language":"eng","note":"1752-7163\nde Lacy Costello, B\nAmann, A\nAl-Kateb, H\nFlynn, C\nFilipiak, W\nKhalid, T\nOsborne, D\nRatcliffe, N M\nJournal Article\nResearch Support, Non-U.S. Gov't\nReview\nEngland\nJ Breath Res. 2014 Mar;8(1):014001. doi: 10.1088/1752-7155/8/1/014001. Epub 2014 Jan 13.","page":"14001","publisher-place":"Institute of Biosensor Technology, University of the West of England, Bristol BS16 1QY, UK.","title":"A review of the volatiles from the healthy human body","type":"article-journal","volume":"8"},"uris":["http://www.mendeley.com/documents/?uuid=15b377af-dcbd-43b8-ba2c-c1e19035f759"]},{"id":"ITEM-2","itemData":{"DOI":"10.1088/1752-7155/8/3/034001","ISSN":"1752-7155","abstract":"Breath analysis is a young field of research with its roots in antiquity. Antoine Lavoisier discovered carbon dioxide in exhaled breath during the period 1777-1783, Wilhelm (Vilem) Petters discovered acetone in breath in 1857 and Johannes Muller reported the first quantitative measurements of acetone in 1898. A recent review reported 1765 volatile compounds appearing in exhaled breath, skin emanations, urine, saliva, human breast milk, blood and feces. For a large number of compounds, real-time analysis of exhaled breath or skin emanations has been performed, e.g., during exertion of effort on a stationary bicycle or during sleep. Volatile compounds in exhaled breath, which record historical exposure, are called the 'exposome'. Changes in biogenic volatile organic compound concentrations can be used to mirror metabolic or (patho)physiological processes in the whole body or blood concentrations of drugs (e.g. propofol) in clinical settings-even during artificial ventilation or during surgery. Also compounds released by bacterial strains like Pseudomonas aeruginosa or Streptococcus pneumonia could be very interesting. Methyl methacrylate (CAS 80-62-6), for example, was observed in the headspace of Streptococcus pneumonia in concentrations up to 1420 ppb. Fecal volatiles have been implicated in differentiating certain infectious bowel diseases such as Clostridium difficile, Campylobacter, Salmonella and Cholera. They have also been used to differentiate other non-infectious conditions such as irritable bowel syndrome and inflammatory bowel disease. In addition, alterations in urine volatiles have been used to detect urinary tract infections, bladder, prostate and other cancers. Peroxidation of lipids and other biomolecules by reactive oxygen species produce volatile compounds like ethane and 1-pentane. Noninvasive detection and therapeutic monitoring of oxidative stress would be highly desirable in autoimmunological, neurological, inflammatory diseases and cancer, but also during surgery and in intensive care units. The investigation of cell cultures opens up new possibilities for elucidation of the biochemical background of volatile compounds. In future studies, combined investigations of a particular compound with regard to human matrices such as breath, urine, saliva and cell culture investigations will lead to novel scientific progress in the field.","author":[{"dropping-particle":"","family":"Amann","given":"A","non-dropping-particle":"","parse-names":false,"suffix":""},{"dropping-particle":"","family":"Costello Bde","given":"L","non-dropping-particle":"","parse-names":false,"suffix":""},{"dropping-particle":"","family":"Miekisch","given":"W","non-dropping-particle":"","parse-names":false,"suffix":""},{"dropping-particle":"","family":"Schubert","given":"J","non-dropping-particle":"","parse-names":false,"suffix":""},{"dropping-particle":"","family":"Buszewski","given":"B","non-dropping-particle":"","parse-names":false,"suffix":""},{"dropping-particle":"","family":"Pleil","given":"J","non-dropping-particle":"","parse-names":false,"suffix":""},{"dropping-particle":"","family":"Ratcliffe","given":"N","non-dropping-particle":"","parse-names":false,"suffix":""},{"dropping-particle":"","family":"Risby","given":"T","non-dropping-particle":"","parse-names":false,"suffix":""}],"container-title":"J Breath Res","edition":"2014/06/20","id":"ITEM-2","issue":"3","issued":{"date-parts":[["2014"]]},"language":"eng","note":"1752-7163\nAmann, Anton\nCostello, Ben de Lacy\nMiekisch, Wolfram\nSchubert, Jochen\nBuszewski, Boguslaw\nPleil, Joachim\nRatcliffe, Norman\nRisby, Terence\nJournal Article\nResearch Support, Non-U.S. Gov't\nReview\nEngland\nJ Breath Res. 2014 Sep;8(3):034001. doi: 10.1088/1752-7155/8/3/034001. Epub 2014 Jun 19.","page":"34001","publisher-place":"Univ-Clinic for Anesthesia and Intensive Care, Innsbruck Medical University, Anichstr, 35, A-6020 Innsbruck, Austria. Breath Research Institute of the University of Innsbruck, Rathausplatz 4, A-6850 Dornbirn, Austria.","title":"The human volatilome: volatile organic compounds (VOCs) in exhaled breath, skin emanations, urine, feces and saliva","type":"article-journal","volume":"8"},"uris":["http://www.mendeley.com/documents/?uuid=b0bb5d31-94da-4ea9-8e0b-dd9e37ae483d"]}],"mendeley":{"formattedCitation":"[40, 41]","plainTextFormattedCitation":"[40, 41]","previouslyFormattedCitation":"[40, 41]"},"properties":{"noteIndex":0},"schema":"https://github.com/citation-style-language/schema/raw/master/csl-citation.json"}</w:instrText>
      </w:r>
      <w:r w:rsidR="00E56978">
        <w:rPr>
          <w:rFonts w:ascii="Times New Roman" w:hAnsi="Times New Roman" w:cs="Times New Roman"/>
          <w:lang w:val="en-GB"/>
        </w:rPr>
        <w:fldChar w:fldCharType="separate"/>
      </w:r>
      <w:r w:rsidR="00E56978" w:rsidRPr="00E56978">
        <w:rPr>
          <w:rFonts w:ascii="Times New Roman" w:hAnsi="Times New Roman" w:cs="Times New Roman"/>
          <w:noProof/>
          <w:lang w:val="en-GB"/>
        </w:rPr>
        <w:t>[40, 41]</w:t>
      </w:r>
      <w:r w:rsidR="00E56978">
        <w:rPr>
          <w:rFonts w:ascii="Times New Roman" w:hAnsi="Times New Roman" w:cs="Times New Roman"/>
          <w:lang w:val="en-GB"/>
        </w:rPr>
        <w:fldChar w:fldCharType="end"/>
      </w:r>
      <w:r w:rsidRPr="00C33195">
        <w:rPr>
          <w:rFonts w:ascii="Times New Roman" w:hAnsi="Times New Roman" w:cs="Times New Roman"/>
          <w:lang w:val="en-GB"/>
        </w:rPr>
        <w:t xml:space="preserve">. VOCs can be exogenous (inhaled from the external environment) or endogenous, i.e. produced in human metabolic pathways, or symbiotic bacterial strains, or compounds released by pathogenic microbes. Thus, the human </w:t>
      </w:r>
      <w:proofErr w:type="spellStart"/>
      <w:r w:rsidRPr="00C33195">
        <w:rPr>
          <w:rFonts w:ascii="Times New Roman" w:hAnsi="Times New Roman" w:cs="Times New Roman"/>
          <w:lang w:val="en-GB"/>
        </w:rPr>
        <w:t>volatilome</w:t>
      </w:r>
      <w:proofErr w:type="spellEnd"/>
      <w:r w:rsidRPr="00C33195">
        <w:rPr>
          <w:rFonts w:ascii="Times New Roman" w:hAnsi="Times New Roman" w:cs="Times New Roman"/>
          <w:lang w:val="en-GB"/>
        </w:rPr>
        <w:t xml:space="preserve"> can be correlated with a variety of pathologies, including cancer, asthma, cystic fibrosis, diabetes, tuberculosis, chronic obstructive pulmonary disease, heart allograft rejection, and irritable bowel syndrome </w:t>
      </w:r>
      <w:r w:rsidR="00F67A0F">
        <w:rPr>
          <w:rFonts w:ascii="Times New Roman" w:hAnsi="Times New Roman" w:cs="Times New Roman"/>
          <w:lang w:val="en-GB"/>
        </w:rPr>
        <w:fldChar w:fldCharType="begin" w:fldLock="1"/>
      </w:r>
      <w:r w:rsidR="00F67A0F">
        <w:rPr>
          <w:rFonts w:ascii="Times New Roman" w:hAnsi="Times New Roman" w:cs="Times New Roman"/>
          <w:lang w:val="en-GB"/>
        </w:rPr>
        <w:instrText>ADDIN CSL_CITATION {"citationItems":[{"id":"ITEM-1","itemData":{"DOI":"https://doi.org/10.1016/B978-0-44-462613-4.00021-0","ISBN":"978-0-444-62613-4","abstract":"Abstract Monitoring volatile disease biomarkers has attracted considerable attention since documented biomarkers may be sampled in a non-invasive manner as they emanate from the body or body fluids. Scientists have looked at various body fluids such as breath, urine, blood, and skin emanations. In particular, the use of urine for the investigation of biomarkers has several advantages. Urine samples can be easily collected and stored for a longer period compared to other body fluids. Higher levels of volatile organic compounds, VOCs, are detected in urine than in other bodily fluids. Furthermore, biochemical materials in urine contain rich information about individual physiological conditions. While some of disease-associated VOCs in urine have been used in clinics, many of those reported have not been consistently demonstrated. Here, we review a number of studies that have identified volatile disease biomarkers in urine, and discuss challenges and potential approaches that may provide a better chance of identifying reliable biomarkers. Keywords Disease biomarkers, Urine, Volatile organic compounds, VOCs","author":[{"dropping-particle":"","family":"Kwak","given":"Jae","non-dropping-particle":"","parse-names":false,"suffix":""},{"dropping-particle":"","family":"Preti","given":"George","non-dropping-particle":"","parse-names":false,"suffix":""}],"container-title":"Volatile Biomarkers","id":"ITEM-1","issued":{"date-parts":[["2013"]]},"page":"394-404","publisher":"Elsevier","publisher-place":"Boston","title":"Chapter 21 - Challenges in the Investigation of Volatile Disease Biomarkers in Urine","type":"chapter"},"uris":["http://www.mendeley.com/documents/?uuid=22dcb82e-651b-4418-9fcb-dc80ff2ac410"]},{"id":"ITEM-2","itemData":{"DOI":"10.1002/ffj.3219","ISSN":"0882-5734","abstract":"ABSTRACT The use of body odours, emitted in the form of volatile organic compounds (VOCs), has become the focus of scientific research in recent years. Diseases such as cancer, metabolic disorders, infections and some other diseases can change the components of daily VOCs, often leading to the production of disease?specific VOCs that might be used as diagnostic biomarkers if detected early enough. We summarize here scientific publications (2003?2013) related to the study of VOCs in human diseases. Copyright ? 2014 John Wiley &amp; Sons, Ltd.","author":[{"dropping-particle":"","family":"Buljubasic","given":"Fanis","non-dropping-particle":"","parse-names":false,"suffix":""},{"dropping-particle":"","family":"Buchbauer","given":"Gerhard","non-dropping-particle":"","parse-names":false,"suffix":""}],"container-title":"Flavour and Fragrance Journal","id":"ITEM-2","issue":"1","issued":{"date-parts":[["2014","4","24"]]},"page":"5-25","title":"The scent of human diseases: a review on specific volatile organic compounds as diagnostic biomarkers","type":"article-journal","volume":"30"},"uris":["http://www.mendeley.com/documents/?uuid=beccf2d1-aa20-45d7-9962-0ae2b66e1108"]}],"mendeley":{"formattedCitation":"[42, 43]","plainTextFormattedCitation":"[42, 43]","previouslyFormattedCitation":"[42, 43]"},"properties":{"noteIndex":0},"schema":"https://github.com/citation-style-language/schema/raw/master/csl-citation.json"}</w:instrText>
      </w:r>
      <w:r w:rsidR="00F67A0F">
        <w:rPr>
          <w:rFonts w:ascii="Times New Roman" w:hAnsi="Times New Roman" w:cs="Times New Roman"/>
          <w:lang w:val="en-GB"/>
        </w:rPr>
        <w:fldChar w:fldCharType="separate"/>
      </w:r>
      <w:r w:rsidR="00F67A0F" w:rsidRPr="00F67A0F">
        <w:rPr>
          <w:rFonts w:ascii="Times New Roman" w:hAnsi="Times New Roman" w:cs="Times New Roman"/>
          <w:noProof/>
          <w:lang w:val="en-GB"/>
        </w:rPr>
        <w:t>[42, 43]</w:t>
      </w:r>
      <w:r w:rsidR="00F67A0F">
        <w:rPr>
          <w:rFonts w:ascii="Times New Roman" w:hAnsi="Times New Roman" w:cs="Times New Roman"/>
          <w:lang w:val="en-GB"/>
        </w:rPr>
        <w:fldChar w:fldCharType="end"/>
      </w:r>
      <w:r w:rsidRPr="00C33195">
        <w:rPr>
          <w:rFonts w:ascii="Times New Roman" w:hAnsi="Times New Roman" w:cs="Times New Roman"/>
          <w:lang w:val="en-GB"/>
        </w:rPr>
        <w:t xml:space="preserve">. Bacteria may be distinguished by means of their individual VOCs profiles </w:t>
      </w:r>
      <w:r w:rsidR="00F67A0F">
        <w:rPr>
          <w:rFonts w:ascii="Times New Roman" w:hAnsi="Times New Roman" w:cs="Times New Roman"/>
          <w:lang w:val="en-GB"/>
        </w:rPr>
        <w:fldChar w:fldCharType="begin" w:fldLock="1"/>
      </w:r>
      <w:r w:rsidR="007C7ADA">
        <w:rPr>
          <w:rFonts w:ascii="Times New Roman" w:hAnsi="Times New Roman" w:cs="Times New Roman"/>
          <w:lang w:val="en-GB"/>
        </w:rPr>
        <w:instrText>ADDIN CSL_CITATION {"citationItems":[{"id":"ITEM-1","itemData":{"DOI":"10.1007/s10096-012-1654-2","ISSN":"0934-9723","abstract":"Approximately 50 % of all clinically proven infections in critically ill patients are caused by Gram-positive bacteria. The timely and appropriate treatment of these infections is vital in order to avoid negative outcomes. Hence, fast and reliable methods are needed for the early detection and identification of microorganisms. Recently, direct mass spectrometry-based analysis of volatile organic compounds emitted by microorganisms has been employed to study Gram-negative bacteria. Here, we report a feasibility study of ion molecule reaction mass spectrometry (IMR-MS) for in vitro growth detection and species differentiation of selected Gram-positive bacteria that are frequently isolated in blood culture samples, namely, Enterococcus faecalis, Enterococcus faecium, Staphylococcus aureus, and Staphylococcus epidermidis. Ion molecule reaction mass spectrometry was used to analyze the headspace above cultures containing Gram-positive bacteria incubated at 37 degrees C starting with 10(2) colony-forming units (CFU)/ml. Measurements to determine the presence of volatile organic compounds were performed 4, 8, and 24 h after incubation, respectively. The detection of microbial growth was accomplished already after 8 h in cultures containing E. faecalis. After 24 h of incubation, characteristic mass spectra were obtained for all species. Processing these mass spectra by hierarchic clustering and principal component analysis (PCA) enabled us to differentiate between bacterial species. IMR-MS in conjunction with a cumulative end-point model provides the means for rapid growth detection and differentiation of Gram-positive bacteria on the species level, typically within an analysis time of less than 3 min per sample.","author":[{"dropping-particle":"","family":"Dolch","given":"M E","non-dropping-particle":"","parse-names":false,"suffix":""},{"dropping-particle":"","family":"Hornuss","given":"C","non-dropping-particle":"","parse-names":false,"suffix":""},{"dropping-particle":"","family":"Klocke","given":"C","non-dropping-particle":"","parse-names":false,"suffix":""},{"dropping-particle":"","family":"Praun","given":"S","non-dropping-particle":"","parse-names":false,"suffix":""},{"dropping-particle":"","family":"Villinger","given":"J","non-dropping-particle":"","parse-names":false,"suffix":""},{"dropping-particle":"","family":"Denzer","given":"W","non-dropping-particle":"","parse-names":false,"suffix":""},{"dropping-particle":"","family":"Schelling","given":"G","non-dropping-particle":"","parse-names":false,"suffix":""},{"dropping-particle":"","family":"Schubert","given":"S","non-dropping-particle":"","parse-names":false,"suffix":""}],"container-title":"Eur J Clin Microbiol Infect Dis","edition":"2012/07/12","id":"ITEM-1","issue":"11","issued":{"date-parts":[["2012"]]},"language":"eng","note":"1435-4373\nDolch, M E\nHornuss, C\nKlocke, C\nPraun, S\nVillinger, J\nDenzer, W\nSchelling, G\nSchubert, S\nEvaluation Studies\nJournal Article\nResearch Support, Non-U.S. Gov't\nGermany\nEur J Clin Microbiol Infect Dis. 2012 Nov;31(11):3007-13. doi: 10.1007/s10096-012-1654-2. Epub 2012 Jul 11.","page":"3007-3013","publisher-place":"Department of Anesthesiology, University Hospital Grosshadern, Ludwig-Maximilians-University of Munich, 81366, Munich, Germany. Michael.Dolch@med.uni-muenchen.de","title":"Volatile organic compound analysis by ion molecule reaction mass spectrometry for Gram-positive bacteria differentiation","type":"article-journal","volume":"31"},"uris":["http://www.mendeley.com/documents/?uuid=1dbae3d6-a569-4a4e-a098-d3503952ee79"]},{"id":"ITEM-2","itemData":{"DOI":"https://doi.org/10.1016/j.mimet.2005.09.003","ISSN":"0167-7012","abstract":"To achieve faster bacteremia diagnosis, selected ion flow tube mass spectrometry (SIFT-MS) measured metabolic gases in the headspaces of BacT/ALERT® blood culture bottles. Pseudomonas aeruginosa, Streptococcus pneumoniae, Escherichia coli, Staphylococcus aureus and Neisseria meningitidis growth and trace gas patterns were detected from 10 colony forming units after 6 h.","author":[{"dropping-particle":"","family":"Allardyce","given":"Randall A","non-dropping-particle":"","parse-names":false,"suffix":""},{"dropping-particle":"","family":"Langford","given":"Vaughan S","non-dropping-particle":"","parse-names":false,"suffix":""},{"dropping-particle":"","family":"Hill","given":"Alex L","non-dropping-particle":"","parse-names":false,"suffix":""},{"dropping-particle":"","family":"Murdoch","given":"David R","non-dropping-particle":"","parse-names":false,"suffix":""}],"container-title":"Journal of Microbiological Methods","id":"ITEM-2","issue":"2","issued":{"date-parts":[["2006"]]},"page":"361-365","title":"Detection of volatile metabolites produced by bacterial growth in blood culture media by selected ion flow tube mass spectrometry (SIFT-MS)","type":"article-journal","volume":"65"},"uris":["http://www.mendeley.com/documents/?uuid=a84c5983-701e-45ec-8ce2-350be636c087"]},{"id":"ITEM-3","itemData":{"DOI":"10.4155/fsoa-2015-0014","abstract":"Lay abstract: Metabolic profiling involves determination of changes in metabolite levels caused by diseases and can help in their diagnosis. The pain, discomfort and chance of injury associated with painful diagnostic methods, make them unsuitable in terms of patient compliance. Metabolic profiling of body fluids like urine, breath, saliva, sweat and feces, which can be collected in a painless manner, could be used for painless diagnosis. This review article is about such studies, which have exhibited painless diagnostic potential for diseases and disorders. Their applications are evident in cancer, metabolic disorders, infections, neurodegenerative disorders, rheumatic diseases and lung diseases.","author":[{"dropping-particle":"","family":"Mal","given":"Mainak","non-dropping-particle":"","parse-names":false,"suffix":""}],"container-title":"Future Science OA","id":"ITEM-3","issue":"2","issued":{"date-parts":[["2016","5","16"]]},"title":"Noninvasive metabolic profiling for painless diagnosis of human diseases and disorders","type":"article-journal","volume":"2"},"uris":["http://www.mendeley.com/documents/?uuid=c9c55cde-069d-4cf2-94f3-a0b780d1c13c"]}],"mendeley":{"formattedCitation":"[44–46]","plainTextFormattedCitation":"[44–46]","previouslyFormattedCitation":"[44–46]"},"properties":{"noteIndex":0},"schema":"https://github.com/citation-style-language/schema/raw/master/csl-citation.json"}</w:instrText>
      </w:r>
      <w:r w:rsidR="00F67A0F">
        <w:rPr>
          <w:rFonts w:ascii="Times New Roman" w:hAnsi="Times New Roman" w:cs="Times New Roman"/>
          <w:lang w:val="en-GB"/>
        </w:rPr>
        <w:fldChar w:fldCharType="separate"/>
      </w:r>
      <w:r w:rsidR="00F67A0F" w:rsidRPr="00F67A0F">
        <w:rPr>
          <w:rFonts w:ascii="Times New Roman" w:hAnsi="Times New Roman" w:cs="Times New Roman"/>
          <w:noProof/>
          <w:lang w:val="en-GB"/>
        </w:rPr>
        <w:t>[44–46]</w:t>
      </w:r>
      <w:r w:rsidR="00F67A0F">
        <w:rPr>
          <w:rFonts w:ascii="Times New Roman" w:hAnsi="Times New Roman" w:cs="Times New Roman"/>
          <w:lang w:val="en-GB"/>
        </w:rPr>
        <w:fldChar w:fldCharType="end"/>
      </w:r>
      <w:r w:rsidRPr="00C33195">
        <w:rPr>
          <w:rFonts w:ascii="Times New Roman" w:hAnsi="Times New Roman" w:cs="Times New Roman"/>
          <w:lang w:val="en-GB"/>
        </w:rPr>
        <w:t xml:space="preserve">. Thus, different patterns of VOCs production may indicate variations in the human microbiota, eventually related to a specific disease processes. Al </w:t>
      </w:r>
      <w:proofErr w:type="spellStart"/>
      <w:r w:rsidRPr="00C33195">
        <w:rPr>
          <w:rFonts w:ascii="Times New Roman" w:hAnsi="Times New Roman" w:cs="Times New Roman"/>
          <w:lang w:val="en-GB"/>
        </w:rPr>
        <w:t>Kateb</w:t>
      </w:r>
      <w:proofErr w:type="spellEnd"/>
      <w:r w:rsidRPr="00C33195">
        <w:rPr>
          <w:rFonts w:ascii="Times New Roman" w:hAnsi="Times New Roman" w:cs="Times New Roman"/>
          <w:lang w:val="en-GB"/>
        </w:rPr>
        <w:t xml:space="preserve"> et al. reported the most </w:t>
      </w:r>
      <w:r w:rsidRPr="00C33195">
        <w:rPr>
          <w:rFonts w:ascii="Times New Roman" w:hAnsi="Times New Roman" w:cs="Times New Roman"/>
          <w:lang w:val="en-GB"/>
        </w:rPr>
        <w:lastRenderedPageBreak/>
        <w:t xml:space="preserve">comprehensive characterization of VOCs in saliva, identifying 317 compounds over the 166 already present in the literature </w:t>
      </w:r>
      <w:r w:rsidR="007C7ADA">
        <w:rPr>
          <w:rFonts w:ascii="Times New Roman" w:hAnsi="Times New Roman" w:cs="Times New Roman"/>
          <w:lang w:val="en-GB"/>
        </w:rPr>
        <w:fldChar w:fldCharType="begin" w:fldLock="1"/>
      </w:r>
      <w:r w:rsidR="007C7ADA">
        <w:rPr>
          <w:rFonts w:ascii="Times New Roman" w:hAnsi="Times New Roman" w:cs="Times New Roman"/>
          <w:lang w:val="en-GB"/>
        </w:rPr>
        <w:instrText>ADDIN CSL_CITATION {"citationItems":[{"id":"ITEM-1","itemData":{"DOI":"10.1088/1752-7155/7/3/036004","ISSN":"1752-7155","abstract":"Analysis of volatile organic compounds (VOCs) from saliva, to aid disease diagnoses, has received little attention. This work aims to address the paucity of information on saliva volatiles and includes a database of newly identified compounds whilst incorporating a review of the literature. The volatile constituents in the headspace of whole saliva obtained from ten healthy individuals were examined in a longitudinal study over a period of ten days using headspace-trap gas chromatography-mass spectrometry (HS-trap/GC-MS). A total of 317 compounds (268 identified) were found and compared across subjects and between samples with 34 VOCs being present in all 100 samples. The average number of compounds per subject ranged from 121 to 150 over a 10 day period and was fairly consistent for a particular individual (s.d. ranged from 3-15). However, the number of compounds present in an individual on all ten days was substantially lower ranging between 65 and 109, showing that there is significant daily variation in salivary composition. A core group of ubiquitous VOCs were found with the remaining VOCs showing significant intra and inter individual variability. Saliva VOCs have been found to be readily analysed using the HS-trap technique and studies on the VOCs from healthy individuals should be of utility for comparison with VOCs analysed from samples from diseased groups.","author":[{"dropping-particle":"","family":"Al-Kateb","given":"H","non-dropping-particle":"","parse-names":false,"suffix":""},{"dropping-particle":"","family":"Lacy Costello","given":"B","non-dropping-particle":"de","parse-names":false,"suffix":""},{"dropping-particle":"","family":"Ratcliffe","given":"N","non-dropping-particle":"","parse-names":false,"suffix":""}],"container-title":"J Breath Res","edition":"2013/07/23","id":"ITEM-1","issue":"3","issued":{"date-parts":[["2013"]]},"language":"eng","note":"1752-7163\nAl-Kateb, Huda\nde Lacy Costello, Benjamin\nRatcliffe, Norman\nJournal Article\nResearch Support, Non-U.S. Gov't\nEngland\nJ Breath Res. 2013 Sep;7(3):036004. doi: 10.1088/1752-7155/7/3/036004. Epub 2013 Jul 18.","page":"36004","publisher-place":"University of the West of England, Institute of Biosensor Technology, Frenchay Campus, Coldharbour Lane, Bristol, BS16 1QY, UK. Huda.Al-Kateb@uwe.ac.uk","title":"An investigation of volatile organic compounds from the saliva of healthy individuals using headspace-trap/GC-MS","type":"article-journal","volume":"7"},"uris":["http://www.mendeley.com/documents/?uuid=516eca28-449f-4faf-953f-d7adbb2c1945"]}],"mendeley":{"formattedCitation":"[37]","plainTextFormattedCitation":"[37]","previouslyFormattedCitation":"[37]"},"properties":{"noteIndex":0},"schema":"https://github.com/citation-style-language/schema/raw/master/csl-citation.json"}</w:instrText>
      </w:r>
      <w:r w:rsidR="007C7ADA">
        <w:rPr>
          <w:rFonts w:ascii="Times New Roman" w:hAnsi="Times New Roman" w:cs="Times New Roman"/>
          <w:lang w:val="en-GB"/>
        </w:rPr>
        <w:fldChar w:fldCharType="separate"/>
      </w:r>
      <w:r w:rsidR="007C7ADA" w:rsidRPr="007C7ADA">
        <w:rPr>
          <w:rFonts w:ascii="Times New Roman" w:hAnsi="Times New Roman" w:cs="Times New Roman"/>
          <w:noProof/>
          <w:lang w:val="en-GB"/>
        </w:rPr>
        <w:t>[37]</w:t>
      </w:r>
      <w:r w:rsidR="007C7ADA">
        <w:rPr>
          <w:rFonts w:ascii="Times New Roman" w:hAnsi="Times New Roman" w:cs="Times New Roman"/>
          <w:lang w:val="en-GB"/>
        </w:rPr>
        <w:fldChar w:fldCharType="end"/>
      </w:r>
      <w:r w:rsidRPr="00C33195">
        <w:rPr>
          <w:rFonts w:ascii="Times New Roman" w:hAnsi="Times New Roman" w:cs="Times New Roman"/>
          <w:lang w:val="en-GB"/>
        </w:rPr>
        <w:t>.</w:t>
      </w:r>
    </w:p>
    <w:p w14:paraId="381E900E" w14:textId="77777777" w:rsidR="000B00BD" w:rsidRPr="00C33195" w:rsidRDefault="000B00BD" w:rsidP="00875587">
      <w:pPr>
        <w:spacing w:line="360" w:lineRule="auto"/>
        <w:jc w:val="both"/>
        <w:rPr>
          <w:rFonts w:ascii="Times New Roman" w:hAnsi="Times New Roman" w:cs="Times New Roman"/>
          <w:highlight w:val="yellow"/>
          <w:lang w:val="en-GB"/>
        </w:rPr>
      </w:pPr>
    </w:p>
    <w:p w14:paraId="07894660" w14:textId="5A568372" w:rsidR="00094670" w:rsidRPr="00C33195" w:rsidRDefault="00094670" w:rsidP="00094670">
      <w:pPr>
        <w:spacing w:line="360" w:lineRule="auto"/>
        <w:jc w:val="both"/>
        <w:rPr>
          <w:rFonts w:ascii="Times New Roman" w:hAnsi="Times New Roman" w:cs="Times New Roman"/>
          <w:lang w:val="en-GB"/>
        </w:rPr>
      </w:pPr>
      <w:r w:rsidRPr="00C33195">
        <w:rPr>
          <w:rFonts w:ascii="Times New Roman" w:hAnsi="Times New Roman" w:cs="Times New Roman"/>
          <w:i/>
          <w:iCs/>
          <w:lang w:val="en-GB"/>
        </w:rPr>
        <w:t>Effect of saliva volume</w:t>
      </w:r>
      <w:r w:rsidR="0041452E">
        <w:rPr>
          <w:rFonts w:ascii="Times New Roman" w:hAnsi="Times New Roman" w:cs="Times New Roman"/>
          <w:lang w:val="en-GB"/>
        </w:rPr>
        <w:t>.</w:t>
      </w:r>
      <w:r w:rsidRPr="00C33195">
        <w:rPr>
          <w:rFonts w:ascii="Times New Roman" w:hAnsi="Times New Roman" w:cs="Times New Roman"/>
          <w:lang w:val="en-GB"/>
        </w:rPr>
        <w:t xml:space="preserve"> The average volume recovery of saliva for a healthy subject after </w:t>
      </w:r>
      <w:proofErr w:type="spellStart"/>
      <w:r w:rsidRPr="00C33195">
        <w:rPr>
          <w:rFonts w:ascii="Times New Roman" w:hAnsi="Times New Roman" w:cs="Times New Roman"/>
          <w:lang w:val="en-GB"/>
        </w:rPr>
        <w:t>Salivette</w:t>
      </w:r>
      <w:proofErr w:type="spellEnd"/>
      <w:r w:rsidRPr="00C33195">
        <w:rPr>
          <w:rFonts w:ascii="Times New Roman" w:hAnsi="Times New Roman" w:cs="Times New Roman"/>
          <w:lang w:val="en-GB"/>
        </w:rPr>
        <w:t xml:space="preserve"> centrifugation is almost 1 </w:t>
      </w:r>
      <w:proofErr w:type="spellStart"/>
      <w:r w:rsidRPr="00C33195">
        <w:rPr>
          <w:rFonts w:ascii="Times New Roman" w:hAnsi="Times New Roman" w:cs="Times New Roman"/>
          <w:lang w:val="en-GB"/>
        </w:rPr>
        <w:t>mL.</w:t>
      </w:r>
      <w:proofErr w:type="spellEnd"/>
      <w:r w:rsidRPr="00C33195">
        <w:rPr>
          <w:rFonts w:ascii="Times New Roman" w:hAnsi="Times New Roman" w:cs="Times New Roman"/>
          <w:lang w:val="en-GB"/>
        </w:rPr>
        <w:t xml:space="preserve"> To reduce the eventual matrix effect at first we diluted the sample with deionized water before the HS analysis testing several ratio of water to saliva.  This procedure was unnecessary considering that the results were not statistically different if compared with the analysis of whole, undiluted saliva. The number and abundances of VOCs detected increased, instead, by increase the saliva mass (data not shown for brevity), reaching a limit of VOCs </w:t>
      </w:r>
      <w:r w:rsidRPr="00BC3563">
        <w:rPr>
          <w:rFonts w:ascii="Times New Roman" w:hAnsi="Times New Roman" w:cs="Times New Roman"/>
          <w:lang w:val="en-GB"/>
        </w:rPr>
        <w:t xml:space="preserve">identified for </w:t>
      </w:r>
      <w:r w:rsidR="00B57738" w:rsidRPr="00BC3563">
        <w:rPr>
          <w:rFonts w:ascii="Times New Roman" w:hAnsi="Times New Roman" w:cs="Times New Roman"/>
          <w:lang w:val="en-GB"/>
        </w:rPr>
        <w:t xml:space="preserve">500 </w:t>
      </w:r>
      <w:r w:rsidRPr="00BC3563">
        <w:rPr>
          <w:rFonts w:ascii="Times New Roman" w:hAnsi="Times New Roman" w:cs="Times New Roman"/>
          <w:lang w:val="en-GB"/>
        </w:rPr>
        <w:t xml:space="preserve">µL of sample, as a result of </w:t>
      </w:r>
      <w:r w:rsidR="008B1EB9" w:rsidRPr="00BC3563">
        <w:rPr>
          <w:rFonts w:ascii="Times New Roman" w:hAnsi="Times New Roman" w:cs="Times New Roman"/>
          <w:lang w:val="en-GB"/>
        </w:rPr>
        <w:t>fibre</w:t>
      </w:r>
      <w:r w:rsidRPr="00BC3563">
        <w:rPr>
          <w:rFonts w:ascii="Times New Roman" w:hAnsi="Times New Roman" w:cs="Times New Roman"/>
          <w:lang w:val="en-GB"/>
        </w:rPr>
        <w:t xml:space="preserve"> overload.</w:t>
      </w:r>
    </w:p>
    <w:p w14:paraId="385D89D2" w14:textId="77777777" w:rsidR="00094670" w:rsidRPr="00C33195" w:rsidRDefault="00094670" w:rsidP="00094670">
      <w:pPr>
        <w:spacing w:line="360" w:lineRule="auto"/>
        <w:jc w:val="both"/>
        <w:rPr>
          <w:rFonts w:ascii="Times New Roman" w:hAnsi="Times New Roman" w:cs="Times New Roman"/>
          <w:lang w:val="en-GB"/>
        </w:rPr>
      </w:pPr>
    </w:p>
    <w:p w14:paraId="777D18EC" w14:textId="77777777" w:rsidR="00094670" w:rsidRPr="00C33195" w:rsidRDefault="00094670" w:rsidP="00094670">
      <w:pPr>
        <w:spacing w:line="360" w:lineRule="auto"/>
        <w:jc w:val="both"/>
        <w:rPr>
          <w:rFonts w:ascii="Times New Roman" w:hAnsi="Times New Roman" w:cs="Times New Roman"/>
          <w:lang w:val="en-GB"/>
        </w:rPr>
      </w:pPr>
      <w:r w:rsidRPr="00C33195">
        <w:rPr>
          <w:rFonts w:ascii="Times New Roman" w:hAnsi="Times New Roman" w:cs="Times New Roman"/>
          <w:i/>
          <w:iCs/>
          <w:lang w:val="en-GB"/>
        </w:rPr>
        <w:t>Effects of extraction and incubation time</w:t>
      </w:r>
      <w:r w:rsidRPr="00C33195">
        <w:rPr>
          <w:rFonts w:ascii="Times New Roman" w:hAnsi="Times New Roman" w:cs="Times New Roman"/>
          <w:lang w:val="en-GB"/>
        </w:rPr>
        <w:t xml:space="preserve">. As saliva contains several VOCs in a wide range of concentrations, the effects of extraction and incubation time on the analytical performances of the method were evaluated. We found that both the number of VOCs and their abundances increased with the extraction temperature up to 50°C. Over this limit, a significant decrease in the features of the chromatograms </w:t>
      </w:r>
      <w:r w:rsidR="0041452E" w:rsidRPr="00C33195">
        <w:rPr>
          <w:rFonts w:ascii="Times New Roman" w:hAnsi="Times New Roman" w:cs="Times New Roman"/>
          <w:lang w:val="en-GB"/>
        </w:rPr>
        <w:t>occurred</w:t>
      </w:r>
      <w:r w:rsidRPr="00C33195">
        <w:rPr>
          <w:rFonts w:ascii="Times New Roman" w:hAnsi="Times New Roman" w:cs="Times New Roman"/>
          <w:lang w:val="en-GB"/>
        </w:rPr>
        <w:t xml:space="preserve">. Six incubation times were tested (1, 2, 5, 7, 10 and 15 min), finding an increase in the signal of most of the analytes up to 10 min. After 10 min, the signal of </w:t>
      </w:r>
      <w:r w:rsidR="003672CB">
        <w:rPr>
          <w:rFonts w:ascii="Times New Roman" w:hAnsi="Times New Roman" w:cs="Times New Roman"/>
          <w:lang w:val="en-GB"/>
        </w:rPr>
        <w:t>all</w:t>
      </w:r>
      <w:r w:rsidRPr="00C33195">
        <w:rPr>
          <w:rFonts w:ascii="Times New Roman" w:hAnsi="Times New Roman" w:cs="Times New Roman"/>
          <w:lang w:val="en-GB"/>
        </w:rPr>
        <w:t xml:space="preserve"> the studied compounds reached a constant plateau </w:t>
      </w:r>
      <w:r w:rsidR="003672CB">
        <w:rPr>
          <w:rFonts w:ascii="Times New Roman" w:hAnsi="Times New Roman" w:cs="Times New Roman"/>
          <w:lang w:val="en-GB"/>
        </w:rPr>
        <w:t>except for e</w:t>
      </w:r>
      <w:r w:rsidR="003672CB" w:rsidRPr="003672CB">
        <w:rPr>
          <w:rFonts w:ascii="Times New Roman" w:hAnsi="Times New Roman" w:cs="Times New Roman"/>
          <w:lang w:val="en-GB"/>
        </w:rPr>
        <w:t>thyl acetate</w:t>
      </w:r>
      <w:r w:rsidR="003672CB">
        <w:rPr>
          <w:rFonts w:ascii="Times New Roman" w:hAnsi="Times New Roman" w:cs="Times New Roman"/>
          <w:lang w:val="en-GB"/>
        </w:rPr>
        <w:t xml:space="preserve">, </w:t>
      </w:r>
      <w:r w:rsidR="003672CB" w:rsidRPr="003672CB">
        <w:rPr>
          <w:rFonts w:ascii="Times New Roman" w:hAnsi="Times New Roman" w:cs="Times New Roman"/>
          <w:lang w:val="en-GB"/>
        </w:rPr>
        <w:t>2-</w:t>
      </w:r>
      <w:r w:rsidR="003672CB">
        <w:rPr>
          <w:rFonts w:ascii="Times New Roman" w:hAnsi="Times New Roman" w:cs="Times New Roman"/>
          <w:lang w:val="en-GB"/>
        </w:rPr>
        <w:t>p</w:t>
      </w:r>
      <w:r w:rsidR="003672CB" w:rsidRPr="003672CB">
        <w:rPr>
          <w:rFonts w:ascii="Times New Roman" w:hAnsi="Times New Roman" w:cs="Times New Roman"/>
          <w:lang w:val="en-GB"/>
        </w:rPr>
        <w:t>entanone</w:t>
      </w:r>
      <w:r w:rsidR="003672CB">
        <w:rPr>
          <w:rFonts w:ascii="Times New Roman" w:hAnsi="Times New Roman" w:cs="Times New Roman"/>
          <w:lang w:val="en-GB"/>
        </w:rPr>
        <w:t xml:space="preserve"> and </w:t>
      </w:r>
      <w:r w:rsidR="003672CB" w:rsidRPr="003672CB">
        <w:rPr>
          <w:rFonts w:ascii="Times New Roman" w:hAnsi="Times New Roman" w:cs="Times New Roman"/>
          <w:lang w:val="en-GB"/>
        </w:rPr>
        <w:t>4-</w:t>
      </w:r>
      <w:r w:rsidR="003672CB" w:rsidRPr="00BC3563">
        <w:rPr>
          <w:rFonts w:ascii="Times New Roman" w:hAnsi="Times New Roman" w:cs="Times New Roman"/>
          <w:lang w:val="en-GB"/>
        </w:rPr>
        <w:t xml:space="preserve">heptanon, for which </w:t>
      </w:r>
      <w:r w:rsidRPr="00BC3563">
        <w:rPr>
          <w:rFonts w:ascii="Times New Roman" w:hAnsi="Times New Roman" w:cs="Times New Roman"/>
          <w:lang w:val="en-GB"/>
        </w:rPr>
        <w:t>the signal started to decrease. Thus 10 min incubation time was chosen.</w:t>
      </w:r>
      <w:r w:rsidRPr="00C33195">
        <w:rPr>
          <w:rFonts w:ascii="Times New Roman" w:hAnsi="Times New Roman" w:cs="Times New Roman"/>
          <w:lang w:val="en-GB"/>
        </w:rPr>
        <w:t xml:space="preserve"> </w:t>
      </w:r>
    </w:p>
    <w:p w14:paraId="15321B8F" w14:textId="77777777" w:rsidR="00094670" w:rsidRPr="00C33195" w:rsidRDefault="00094670" w:rsidP="00875587">
      <w:pPr>
        <w:spacing w:line="360" w:lineRule="auto"/>
        <w:jc w:val="both"/>
        <w:rPr>
          <w:rFonts w:ascii="Times New Roman" w:hAnsi="Times New Roman" w:cs="Times New Roman"/>
          <w:highlight w:val="yellow"/>
          <w:lang w:val="en-GB"/>
        </w:rPr>
      </w:pPr>
    </w:p>
    <w:p w14:paraId="3E58004F" w14:textId="77777777" w:rsidR="00364F53" w:rsidRPr="00C33195" w:rsidRDefault="008F452A" w:rsidP="00875587">
      <w:pPr>
        <w:spacing w:line="360" w:lineRule="auto"/>
        <w:jc w:val="both"/>
        <w:rPr>
          <w:rFonts w:ascii="Times New Roman" w:hAnsi="Times New Roman" w:cs="Times New Roman"/>
          <w:i/>
          <w:iCs/>
          <w:lang w:val="en-GB"/>
        </w:rPr>
      </w:pPr>
      <w:r w:rsidRPr="00C33195">
        <w:rPr>
          <w:rFonts w:ascii="Times New Roman" w:hAnsi="Times New Roman" w:cs="Times New Roman"/>
          <w:i/>
          <w:iCs/>
          <w:lang w:val="en-GB"/>
        </w:rPr>
        <w:t>Figures of merit</w:t>
      </w:r>
      <w:r w:rsidR="0041452E">
        <w:rPr>
          <w:rFonts w:ascii="Times New Roman" w:hAnsi="Times New Roman" w:cs="Times New Roman"/>
          <w:lang w:val="en-GB"/>
        </w:rPr>
        <w:t xml:space="preserve">. </w:t>
      </w:r>
      <w:r w:rsidR="00E26DD0" w:rsidRPr="00C33195">
        <w:rPr>
          <w:rFonts w:ascii="Times New Roman" w:hAnsi="Times New Roman" w:cs="Times New Roman"/>
          <w:lang w:val="en-GB"/>
        </w:rPr>
        <w:t xml:space="preserve">In the optimized conditions </w:t>
      </w:r>
      <w:r w:rsidR="00845E49" w:rsidRPr="00C33195">
        <w:rPr>
          <w:rFonts w:ascii="Times New Roman" w:hAnsi="Times New Roman" w:cs="Times New Roman"/>
          <w:lang w:val="en-GB"/>
        </w:rPr>
        <w:t xml:space="preserve">20 volatile compounds were extracted and identified in saliva using </w:t>
      </w:r>
      <w:r w:rsidR="00845E49" w:rsidRPr="00C33195">
        <w:rPr>
          <w:rFonts w:ascii="Times New Roman" w:hAnsi="Times New Roman" w:cs="Times New Roman"/>
          <w:noProof/>
          <w:lang w:val="en-GB"/>
        </w:rPr>
        <w:t>CAR/PDMS</w:t>
      </w:r>
      <w:r w:rsidR="00845E49" w:rsidRPr="00C33195">
        <w:rPr>
          <w:rFonts w:ascii="Times New Roman" w:hAnsi="Times New Roman" w:cs="Times New Roman"/>
          <w:lang w:val="en-GB"/>
        </w:rPr>
        <w:t xml:space="preserve"> </w:t>
      </w:r>
      <w:proofErr w:type="spellStart"/>
      <w:r w:rsidR="00845E49" w:rsidRPr="00C33195">
        <w:rPr>
          <w:rFonts w:ascii="Times New Roman" w:hAnsi="Times New Roman" w:cs="Times New Roman"/>
          <w:lang w:val="en-GB"/>
        </w:rPr>
        <w:t>fiber</w:t>
      </w:r>
      <w:proofErr w:type="spellEnd"/>
      <w:r w:rsidR="00845E49" w:rsidRPr="00C33195">
        <w:rPr>
          <w:rFonts w:ascii="Times New Roman" w:hAnsi="Times New Roman" w:cs="Times New Roman"/>
          <w:lang w:val="en-GB"/>
        </w:rPr>
        <w:t xml:space="preserve"> (Table 1). The linear range, determination coefficients, limits of quantification (LOQs) and limits of detection (LODs) for each compound obtained using the developed m</w:t>
      </w:r>
      <w:r w:rsidR="00364F53" w:rsidRPr="00C33195">
        <w:rPr>
          <w:rFonts w:ascii="Times New Roman" w:hAnsi="Times New Roman" w:cs="Times New Roman"/>
          <w:lang w:val="en-GB"/>
        </w:rPr>
        <w:t>ethod are presented in Table 2.</w:t>
      </w:r>
    </w:p>
    <w:p w14:paraId="5110BBDA" w14:textId="77777777" w:rsidR="00F473DA" w:rsidRPr="00C33195" w:rsidRDefault="00F473DA" w:rsidP="00875587">
      <w:pPr>
        <w:spacing w:line="360" w:lineRule="auto"/>
        <w:jc w:val="both"/>
        <w:rPr>
          <w:rFonts w:ascii="Times New Roman" w:hAnsi="Times New Roman" w:cs="Times New Roman"/>
          <w:lang w:val="en-GB"/>
        </w:rPr>
      </w:pPr>
    </w:p>
    <w:p w14:paraId="0A037C48" w14:textId="77777777" w:rsidR="00BC3563" w:rsidRDefault="00BC3563">
      <w:pPr>
        <w:rPr>
          <w:rFonts w:ascii="Times New Roman" w:hAnsi="Times New Roman" w:cs="Times New Roman"/>
          <w:b/>
          <w:sz w:val="22"/>
          <w:szCs w:val="22"/>
          <w:lang w:val="en-GB"/>
        </w:rPr>
      </w:pPr>
      <w:r>
        <w:rPr>
          <w:rFonts w:ascii="Times New Roman" w:hAnsi="Times New Roman" w:cs="Times New Roman"/>
          <w:b/>
          <w:sz w:val="22"/>
          <w:szCs w:val="22"/>
          <w:lang w:val="en-GB"/>
        </w:rPr>
        <w:br w:type="page"/>
      </w:r>
    </w:p>
    <w:p w14:paraId="42C380B7" w14:textId="77777777" w:rsidR="00F473DA" w:rsidRPr="00C33195" w:rsidRDefault="00F473DA" w:rsidP="00F473DA">
      <w:pPr>
        <w:spacing w:line="360" w:lineRule="auto"/>
        <w:jc w:val="center"/>
        <w:rPr>
          <w:rFonts w:ascii="Times New Roman" w:hAnsi="Times New Roman" w:cs="Times New Roman"/>
          <w:sz w:val="22"/>
          <w:szCs w:val="22"/>
          <w:lang w:val="en-GB"/>
        </w:rPr>
      </w:pPr>
      <w:r w:rsidRPr="00C33195">
        <w:rPr>
          <w:rFonts w:ascii="Times New Roman" w:hAnsi="Times New Roman" w:cs="Times New Roman"/>
          <w:b/>
          <w:sz w:val="22"/>
          <w:szCs w:val="22"/>
          <w:lang w:val="en-GB"/>
        </w:rPr>
        <w:lastRenderedPageBreak/>
        <w:t>Table 2</w:t>
      </w:r>
      <w:r w:rsidRPr="00C33195">
        <w:rPr>
          <w:rFonts w:ascii="Times New Roman" w:hAnsi="Times New Roman" w:cs="Times New Roman"/>
          <w:sz w:val="22"/>
          <w:szCs w:val="22"/>
          <w:lang w:val="en-GB"/>
        </w:rPr>
        <w:t xml:space="preserve"> </w:t>
      </w:r>
      <w:r w:rsidR="00E65993">
        <w:rPr>
          <w:rFonts w:ascii="Times New Roman" w:hAnsi="Times New Roman" w:cs="Times New Roman"/>
          <w:sz w:val="22"/>
          <w:szCs w:val="22"/>
          <w:lang w:val="en-GB"/>
        </w:rPr>
        <w:t xml:space="preserve"> </w:t>
      </w:r>
      <w:r w:rsidRPr="00C33195">
        <w:rPr>
          <w:rFonts w:ascii="Times New Roman" w:hAnsi="Times New Roman" w:cs="Times New Roman"/>
          <w:sz w:val="22"/>
          <w:szCs w:val="22"/>
          <w:lang w:val="en-GB"/>
        </w:rPr>
        <w:t>Main analytical figures of merit.</w:t>
      </w:r>
    </w:p>
    <w:tbl>
      <w:tblPr>
        <w:tblW w:w="0" w:type="auto"/>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741"/>
        <w:gridCol w:w="2039"/>
        <w:gridCol w:w="1905"/>
        <w:gridCol w:w="1153"/>
        <w:gridCol w:w="1165"/>
      </w:tblGrid>
      <w:tr w:rsidR="00364F53" w:rsidRPr="00C33195" w14:paraId="7343C6C2" w14:textId="77777777" w:rsidTr="00E65993">
        <w:trPr>
          <w:trHeight w:val="300"/>
          <w:jc w:val="center"/>
        </w:trPr>
        <w:tc>
          <w:tcPr>
            <w:tcW w:w="0" w:type="auto"/>
            <w:tcBorders>
              <w:top w:val="single" w:sz="4" w:space="0" w:color="auto"/>
              <w:bottom w:val="single" w:sz="4" w:space="0" w:color="auto"/>
            </w:tcBorders>
            <w:shd w:val="clear" w:color="auto" w:fill="auto"/>
            <w:noWrap/>
            <w:vAlign w:val="center"/>
            <w:hideMark/>
          </w:tcPr>
          <w:p w14:paraId="612DCCE9" w14:textId="77777777" w:rsidR="00364F53" w:rsidRPr="00C33195" w:rsidRDefault="00364F53" w:rsidP="003672CB">
            <w:pPr>
              <w:spacing w:line="276" w:lineRule="auto"/>
              <w:jc w:val="center"/>
              <w:rPr>
                <w:rFonts w:ascii="Times New Roman" w:eastAsia="Times New Roman" w:hAnsi="Times New Roman" w:cs="Times New Roman"/>
                <w:b/>
                <w:color w:val="000000"/>
                <w:sz w:val="22"/>
                <w:szCs w:val="22"/>
                <w:lang w:val="en-GB"/>
              </w:rPr>
            </w:pPr>
            <w:r w:rsidRPr="00C33195">
              <w:rPr>
                <w:rFonts w:ascii="Times New Roman" w:eastAsia="Times New Roman" w:hAnsi="Times New Roman" w:cs="Times New Roman"/>
                <w:b/>
                <w:color w:val="000000"/>
                <w:sz w:val="22"/>
                <w:szCs w:val="22"/>
                <w:lang w:val="en-GB"/>
              </w:rPr>
              <w:t>Compound</w:t>
            </w:r>
          </w:p>
        </w:tc>
        <w:tc>
          <w:tcPr>
            <w:tcW w:w="0" w:type="auto"/>
            <w:tcBorders>
              <w:top w:val="single" w:sz="4" w:space="0" w:color="auto"/>
              <w:bottom w:val="single" w:sz="4" w:space="0" w:color="auto"/>
            </w:tcBorders>
            <w:shd w:val="clear" w:color="auto" w:fill="auto"/>
            <w:noWrap/>
            <w:vAlign w:val="center"/>
            <w:hideMark/>
          </w:tcPr>
          <w:p w14:paraId="351AFE15" w14:textId="77777777" w:rsidR="00364F53" w:rsidRPr="003672CB" w:rsidRDefault="00364F53" w:rsidP="003672CB">
            <w:pPr>
              <w:spacing w:line="276" w:lineRule="auto"/>
              <w:jc w:val="center"/>
              <w:rPr>
                <w:rFonts w:ascii="Times New Roman" w:eastAsia="Times New Roman" w:hAnsi="Times New Roman" w:cs="Times New Roman"/>
                <w:b/>
                <w:color w:val="000000" w:themeColor="text1"/>
                <w:sz w:val="22"/>
                <w:szCs w:val="22"/>
                <w:lang w:val="en-GB"/>
              </w:rPr>
            </w:pPr>
            <w:r w:rsidRPr="003672CB">
              <w:rPr>
                <w:rFonts w:ascii="Times New Roman" w:eastAsia="Times New Roman" w:hAnsi="Times New Roman" w:cs="Times New Roman"/>
                <w:b/>
                <w:color w:val="000000" w:themeColor="text1"/>
                <w:sz w:val="22"/>
                <w:szCs w:val="22"/>
                <w:lang w:val="en-GB"/>
              </w:rPr>
              <w:t>Calibration curve</w:t>
            </w:r>
          </w:p>
        </w:tc>
        <w:tc>
          <w:tcPr>
            <w:tcW w:w="0" w:type="auto"/>
            <w:tcBorders>
              <w:top w:val="single" w:sz="4" w:space="0" w:color="auto"/>
              <w:bottom w:val="single" w:sz="4" w:space="0" w:color="auto"/>
            </w:tcBorders>
            <w:shd w:val="clear" w:color="auto" w:fill="auto"/>
            <w:noWrap/>
            <w:vAlign w:val="center"/>
            <w:hideMark/>
          </w:tcPr>
          <w:p w14:paraId="679233A2" w14:textId="77777777" w:rsidR="00364F53" w:rsidRPr="00C33195" w:rsidRDefault="00364F53" w:rsidP="003672CB">
            <w:pPr>
              <w:spacing w:line="276" w:lineRule="auto"/>
              <w:jc w:val="center"/>
              <w:rPr>
                <w:rFonts w:ascii="Times New Roman" w:eastAsia="Times New Roman" w:hAnsi="Times New Roman" w:cs="Times New Roman"/>
                <w:b/>
                <w:color w:val="000000"/>
                <w:sz w:val="22"/>
                <w:szCs w:val="22"/>
                <w:lang w:val="en-GB"/>
              </w:rPr>
            </w:pPr>
            <w:r w:rsidRPr="00C33195">
              <w:rPr>
                <w:rFonts w:ascii="Times New Roman" w:eastAsia="Times New Roman" w:hAnsi="Times New Roman" w:cs="Times New Roman"/>
                <w:b/>
                <w:color w:val="000000"/>
                <w:sz w:val="22"/>
                <w:szCs w:val="22"/>
                <w:lang w:val="en-GB"/>
              </w:rPr>
              <w:t>Linear range (µM)</w:t>
            </w:r>
          </w:p>
        </w:tc>
        <w:tc>
          <w:tcPr>
            <w:tcW w:w="0" w:type="auto"/>
            <w:tcBorders>
              <w:top w:val="single" w:sz="4" w:space="0" w:color="auto"/>
              <w:bottom w:val="single" w:sz="4" w:space="0" w:color="auto"/>
            </w:tcBorders>
            <w:shd w:val="clear" w:color="auto" w:fill="auto"/>
            <w:noWrap/>
            <w:vAlign w:val="center"/>
            <w:hideMark/>
          </w:tcPr>
          <w:p w14:paraId="6ED3BD0B" w14:textId="77777777" w:rsidR="00364F53" w:rsidRPr="00C33195" w:rsidRDefault="00364F53" w:rsidP="003672CB">
            <w:pPr>
              <w:spacing w:line="276" w:lineRule="auto"/>
              <w:jc w:val="center"/>
              <w:rPr>
                <w:rFonts w:ascii="Times New Roman" w:eastAsia="Times New Roman" w:hAnsi="Times New Roman" w:cs="Times New Roman"/>
                <w:b/>
                <w:color w:val="000000"/>
                <w:sz w:val="22"/>
                <w:szCs w:val="22"/>
                <w:lang w:val="en-GB"/>
              </w:rPr>
            </w:pPr>
            <w:r w:rsidRPr="00C33195">
              <w:rPr>
                <w:rFonts w:ascii="Times New Roman" w:eastAsia="Times New Roman" w:hAnsi="Times New Roman" w:cs="Times New Roman"/>
                <w:b/>
                <w:color w:val="000000"/>
                <w:sz w:val="22"/>
                <w:szCs w:val="22"/>
                <w:lang w:val="en-GB"/>
              </w:rPr>
              <w:t>LOD (µM)</w:t>
            </w:r>
          </w:p>
        </w:tc>
        <w:tc>
          <w:tcPr>
            <w:tcW w:w="0" w:type="auto"/>
            <w:tcBorders>
              <w:top w:val="single" w:sz="4" w:space="0" w:color="auto"/>
              <w:bottom w:val="single" w:sz="4" w:space="0" w:color="auto"/>
            </w:tcBorders>
            <w:shd w:val="clear" w:color="auto" w:fill="auto"/>
            <w:noWrap/>
            <w:vAlign w:val="center"/>
            <w:hideMark/>
          </w:tcPr>
          <w:p w14:paraId="4C083E1D" w14:textId="77777777" w:rsidR="00364F53" w:rsidRPr="00C33195" w:rsidRDefault="00364F53" w:rsidP="003672CB">
            <w:pPr>
              <w:spacing w:line="276" w:lineRule="auto"/>
              <w:jc w:val="center"/>
              <w:rPr>
                <w:rFonts w:ascii="Times New Roman" w:eastAsia="Times New Roman" w:hAnsi="Times New Roman" w:cs="Times New Roman"/>
                <w:b/>
                <w:color w:val="000000"/>
                <w:sz w:val="22"/>
                <w:szCs w:val="22"/>
                <w:lang w:val="en-GB"/>
              </w:rPr>
            </w:pPr>
            <w:r w:rsidRPr="00C33195">
              <w:rPr>
                <w:rFonts w:ascii="Times New Roman" w:eastAsia="Times New Roman" w:hAnsi="Times New Roman" w:cs="Times New Roman"/>
                <w:b/>
                <w:color w:val="000000"/>
                <w:sz w:val="22"/>
                <w:szCs w:val="22"/>
                <w:lang w:val="en-GB"/>
              </w:rPr>
              <w:t>LOQ (µM)</w:t>
            </w:r>
          </w:p>
        </w:tc>
      </w:tr>
      <w:tr w:rsidR="00364F53" w:rsidRPr="00C33195" w14:paraId="767F89AA" w14:textId="77777777" w:rsidTr="00E65993">
        <w:trPr>
          <w:trHeight w:val="300"/>
          <w:jc w:val="center"/>
        </w:trPr>
        <w:tc>
          <w:tcPr>
            <w:tcW w:w="0" w:type="auto"/>
            <w:tcBorders>
              <w:top w:val="single" w:sz="4" w:space="0" w:color="auto"/>
            </w:tcBorders>
            <w:shd w:val="clear" w:color="auto" w:fill="auto"/>
            <w:noWrap/>
            <w:vAlign w:val="center"/>
            <w:hideMark/>
          </w:tcPr>
          <w:p w14:paraId="0A2CF3B8"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Acetaldehyde</w:t>
            </w:r>
          </w:p>
        </w:tc>
        <w:tc>
          <w:tcPr>
            <w:tcW w:w="0" w:type="auto"/>
            <w:tcBorders>
              <w:top w:val="single" w:sz="4" w:space="0" w:color="auto"/>
            </w:tcBorders>
            <w:shd w:val="clear" w:color="auto" w:fill="auto"/>
            <w:noWrap/>
            <w:vAlign w:val="center"/>
            <w:hideMark/>
          </w:tcPr>
          <w:p w14:paraId="798E9B67" w14:textId="77777777" w:rsidR="00364F53" w:rsidRPr="003672CB" w:rsidRDefault="00364F53" w:rsidP="003672CB">
            <w:pPr>
              <w:spacing w:line="276" w:lineRule="auto"/>
              <w:jc w:val="center"/>
              <w:rPr>
                <w:rFonts w:ascii="Times New Roman" w:eastAsia="Times New Roman" w:hAnsi="Times New Roman" w:cs="Times New Roman"/>
                <w:color w:val="000000" w:themeColor="text1"/>
                <w:sz w:val="22"/>
                <w:szCs w:val="22"/>
                <w:lang w:val="en-GB"/>
              </w:rPr>
            </w:pPr>
            <w:r w:rsidRPr="003672CB">
              <w:rPr>
                <w:rFonts w:ascii="Times New Roman" w:eastAsia="Times New Roman" w:hAnsi="Times New Roman" w:cs="Times New Roman"/>
                <w:color w:val="000000" w:themeColor="text1"/>
                <w:sz w:val="22"/>
                <w:szCs w:val="22"/>
                <w:lang w:val="en-GB"/>
              </w:rPr>
              <w:t>y = 0.0101x + 0.0082</w:t>
            </w:r>
          </w:p>
        </w:tc>
        <w:tc>
          <w:tcPr>
            <w:tcW w:w="0" w:type="auto"/>
            <w:tcBorders>
              <w:top w:val="single" w:sz="4" w:space="0" w:color="auto"/>
            </w:tcBorders>
            <w:shd w:val="clear" w:color="auto" w:fill="auto"/>
            <w:noWrap/>
            <w:vAlign w:val="center"/>
            <w:hideMark/>
          </w:tcPr>
          <w:p w14:paraId="6EECBC25"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3-64</w:t>
            </w:r>
          </w:p>
        </w:tc>
        <w:tc>
          <w:tcPr>
            <w:tcW w:w="0" w:type="auto"/>
            <w:tcBorders>
              <w:top w:val="single" w:sz="4" w:space="0" w:color="auto"/>
            </w:tcBorders>
            <w:shd w:val="clear" w:color="auto" w:fill="auto"/>
            <w:noWrap/>
            <w:vAlign w:val="center"/>
            <w:hideMark/>
          </w:tcPr>
          <w:p w14:paraId="0AFACFDB"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1.05</w:t>
            </w:r>
          </w:p>
        </w:tc>
        <w:tc>
          <w:tcPr>
            <w:tcW w:w="0" w:type="auto"/>
            <w:tcBorders>
              <w:top w:val="single" w:sz="4" w:space="0" w:color="auto"/>
            </w:tcBorders>
            <w:shd w:val="clear" w:color="auto" w:fill="auto"/>
            <w:noWrap/>
            <w:vAlign w:val="center"/>
            <w:hideMark/>
          </w:tcPr>
          <w:p w14:paraId="5304B423"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3.5</w:t>
            </w:r>
          </w:p>
        </w:tc>
      </w:tr>
      <w:tr w:rsidR="00364F53" w:rsidRPr="00C33195" w14:paraId="5B0FC483" w14:textId="77777777" w:rsidTr="00E65993">
        <w:trPr>
          <w:trHeight w:val="300"/>
          <w:jc w:val="center"/>
        </w:trPr>
        <w:tc>
          <w:tcPr>
            <w:tcW w:w="0" w:type="auto"/>
            <w:shd w:val="clear" w:color="auto" w:fill="auto"/>
            <w:noWrap/>
            <w:vAlign w:val="center"/>
          </w:tcPr>
          <w:p w14:paraId="15D12EA1"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tcPr>
          <w:p w14:paraId="14F6914F" w14:textId="77777777" w:rsidR="00364F53" w:rsidRPr="003672CB" w:rsidRDefault="003672CB" w:rsidP="003672CB">
            <w:pPr>
              <w:spacing w:line="276" w:lineRule="auto"/>
              <w:jc w:val="center"/>
              <w:rPr>
                <w:rFonts w:ascii="Times New Roman" w:eastAsia="Times New Roman" w:hAnsi="Times New Roman" w:cs="Times New Roman"/>
                <w:color w:val="000000" w:themeColor="text1"/>
                <w:sz w:val="22"/>
                <w:szCs w:val="22"/>
                <w:lang w:val="en-GB"/>
              </w:rPr>
            </w:pPr>
            <w:r>
              <w:rPr>
                <w:rFonts w:ascii="Times New Roman" w:eastAsia="Times New Roman" w:hAnsi="Times New Roman" w:cs="Times New Roman"/>
                <w:color w:val="000000" w:themeColor="text1"/>
                <w:sz w:val="22"/>
                <w:szCs w:val="22"/>
                <w:lang w:val="en-GB"/>
              </w:rPr>
              <w:t>R² = 0.994</w:t>
            </w:r>
          </w:p>
        </w:tc>
        <w:tc>
          <w:tcPr>
            <w:tcW w:w="0" w:type="auto"/>
            <w:shd w:val="clear" w:color="auto" w:fill="auto"/>
            <w:noWrap/>
            <w:vAlign w:val="center"/>
          </w:tcPr>
          <w:p w14:paraId="52314DBA"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tcPr>
          <w:p w14:paraId="487FC418"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tcPr>
          <w:p w14:paraId="6892994B"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r>
      <w:tr w:rsidR="00364F53" w:rsidRPr="00C33195" w14:paraId="780A489D" w14:textId="77777777" w:rsidTr="00E65993">
        <w:trPr>
          <w:trHeight w:val="300"/>
          <w:jc w:val="center"/>
        </w:trPr>
        <w:tc>
          <w:tcPr>
            <w:tcW w:w="0" w:type="auto"/>
            <w:shd w:val="clear" w:color="auto" w:fill="auto"/>
            <w:noWrap/>
            <w:vAlign w:val="center"/>
          </w:tcPr>
          <w:p w14:paraId="06F2AF82"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roofErr w:type="spellStart"/>
            <w:r w:rsidRPr="00C33195">
              <w:rPr>
                <w:rFonts w:ascii="Times New Roman" w:eastAsia="Times New Roman" w:hAnsi="Times New Roman" w:cs="Times New Roman"/>
                <w:color w:val="000000"/>
                <w:sz w:val="22"/>
                <w:szCs w:val="22"/>
                <w:lang w:val="en-GB"/>
              </w:rPr>
              <w:t>Propanal</w:t>
            </w:r>
            <w:proofErr w:type="spellEnd"/>
          </w:p>
        </w:tc>
        <w:tc>
          <w:tcPr>
            <w:tcW w:w="0" w:type="auto"/>
            <w:shd w:val="clear" w:color="auto" w:fill="auto"/>
            <w:noWrap/>
            <w:vAlign w:val="center"/>
          </w:tcPr>
          <w:p w14:paraId="2743C081" w14:textId="77777777" w:rsidR="00364F53" w:rsidRPr="003672CB" w:rsidRDefault="00364F53" w:rsidP="003672CB">
            <w:pPr>
              <w:spacing w:line="276" w:lineRule="auto"/>
              <w:jc w:val="center"/>
              <w:rPr>
                <w:rFonts w:ascii="Times New Roman" w:eastAsia="Times New Roman" w:hAnsi="Times New Roman" w:cs="Times New Roman"/>
                <w:color w:val="000000" w:themeColor="text1"/>
                <w:sz w:val="22"/>
                <w:szCs w:val="22"/>
                <w:lang w:val="en-GB"/>
              </w:rPr>
            </w:pPr>
            <w:r w:rsidRPr="003672CB">
              <w:rPr>
                <w:rFonts w:ascii="Times New Roman" w:eastAsia="Times New Roman" w:hAnsi="Times New Roman" w:cs="Times New Roman"/>
                <w:color w:val="000000" w:themeColor="text1"/>
                <w:sz w:val="22"/>
                <w:szCs w:val="22"/>
                <w:lang w:val="en-GB"/>
              </w:rPr>
              <w:t>y = 0.1201x - 0.0295</w:t>
            </w:r>
          </w:p>
        </w:tc>
        <w:tc>
          <w:tcPr>
            <w:tcW w:w="0" w:type="auto"/>
            <w:shd w:val="clear" w:color="auto" w:fill="auto"/>
            <w:noWrap/>
            <w:vAlign w:val="center"/>
          </w:tcPr>
          <w:p w14:paraId="6D3CEA21"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3-60</w:t>
            </w:r>
          </w:p>
        </w:tc>
        <w:tc>
          <w:tcPr>
            <w:tcW w:w="0" w:type="auto"/>
            <w:shd w:val="clear" w:color="auto" w:fill="auto"/>
            <w:noWrap/>
            <w:vAlign w:val="center"/>
          </w:tcPr>
          <w:p w14:paraId="54EEE8F3"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0.03</w:t>
            </w:r>
          </w:p>
        </w:tc>
        <w:tc>
          <w:tcPr>
            <w:tcW w:w="0" w:type="auto"/>
            <w:shd w:val="clear" w:color="auto" w:fill="auto"/>
            <w:noWrap/>
            <w:vAlign w:val="center"/>
          </w:tcPr>
          <w:p w14:paraId="6C6BA0F2"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0.1</w:t>
            </w:r>
          </w:p>
        </w:tc>
      </w:tr>
      <w:tr w:rsidR="00364F53" w:rsidRPr="00C33195" w14:paraId="32364183" w14:textId="77777777" w:rsidTr="00E65993">
        <w:trPr>
          <w:trHeight w:val="300"/>
          <w:jc w:val="center"/>
        </w:trPr>
        <w:tc>
          <w:tcPr>
            <w:tcW w:w="0" w:type="auto"/>
            <w:shd w:val="clear" w:color="auto" w:fill="auto"/>
            <w:noWrap/>
            <w:vAlign w:val="center"/>
            <w:hideMark/>
          </w:tcPr>
          <w:p w14:paraId="3D90B409"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735780A1" w14:textId="77777777" w:rsidR="00364F53" w:rsidRPr="003672CB" w:rsidRDefault="003672CB" w:rsidP="003672CB">
            <w:pPr>
              <w:spacing w:line="276" w:lineRule="auto"/>
              <w:jc w:val="center"/>
              <w:rPr>
                <w:rFonts w:ascii="Times New Roman" w:eastAsia="Times New Roman" w:hAnsi="Times New Roman" w:cs="Times New Roman"/>
                <w:color w:val="000000" w:themeColor="text1"/>
                <w:sz w:val="22"/>
                <w:szCs w:val="22"/>
                <w:lang w:val="en-GB"/>
              </w:rPr>
            </w:pPr>
            <w:r>
              <w:rPr>
                <w:rFonts w:ascii="Times New Roman" w:eastAsia="Times New Roman" w:hAnsi="Times New Roman" w:cs="Times New Roman"/>
                <w:color w:val="000000" w:themeColor="text1"/>
                <w:sz w:val="22"/>
                <w:szCs w:val="22"/>
                <w:lang w:val="en-GB"/>
              </w:rPr>
              <w:t>R² = 0.996</w:t>
            </w:r>
          </w:p>
        </w:tc>
        <w:tc>
          <w:tcPr>
            <w:tcW w:w="0" w:type="auto"/>
            <w:shd w:val="clear" w:color="auto" w:fill="auto"/>
            <w:noWrap/>
            <w:vAlign w:val="center"/>
            <w:hideMark/>
          </w:tcPr>
          <w:p w14:paraId="7EEE85A3"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1F89C6D0"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039CD223"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r>
      <w:tr w:rsidR="00364F53" w:rsidRPr="00C33195" w14:paraId="183D1B01" w14:textId="77777777" w:rsidTr="00E65993">
        <w:trPr>
          <w:trHeight w:val="300"/>
          <w:jc w:val="center"/>
        </w:trPr>
        <w:tc>
          <w:tcPr>
            <w:tcW w:w="0" w:type="auto"/>
            <w:shd w:val="clear" w:color="auto" w:fill="auto"/>
            <w:noWrap/>
            <w:vAlign w:val="center"/>
            <w:hideMark/>
          </w:tcPr>
          <w:p w14:paraId="667C0C4A"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Ethanol</w:t>
            </w:r>
          </w:p>
        </w:tc>
        <w:tc>
          <w:tcPr>
            <w:tcW w:w="0" w:type="auto"/>
            <w:shd w:val="clear" w:color="auto" w:fill="auto"/>
            <w:noWrap/>
            <w:vAlign w:val="center"/>
            <w:hideMark/>
          </w:tcPr>
          <w:p w14:paraId="3FF05A95" w14:textId="77777777" w:rsidR="00364F53" w:rsidRPr="003672CB" w:rsidRDefault="00364F53" w:rsidP="003672CB">
            <w:pPr>
              <w:spacing w:line="276" w:lineRule="auto"/>
              <w:jc w:val="center"/>
              <w:rPr>
                <w:rFonts w:ascii="Times New Roman" w:eastAsia="Times New Roman" w:hAnsi="Times New Roman" w:cs="Times New Roman"/>
                <w:color w:val="000000" w:themeColor="text1"/>
                <w:sz w:val="22"/>
                <w:szCs w:val="22"/>
                <w:lang w:val="en-GB"/>
              </w:rPr>
            </w:pPr>
            <w:r w:rsidRPr="003672CB">
              <w:rPr>
                <w:rFonts w:ascii="Times New Roman" w:eastAsia="Times New Roman" w:hAnsi="Times New Roman" w:cs="Times New Roman"/>
                <w:color w:val="000000" w:themeColor="text1"/>
                <w:sz w:val="22"/>
                <w:szCs w:val="22"/>
                <w:lang w:val="en-GB"/>
              </w:rPr>
              <w:t>y = 0.0024x + 0.0039</w:t>
            </w:r>
          </w:p>
        </w:tc>
        <w:tc>
          <w:tcPr>
            <w:tcW w:w="0" w:type="auto"/>
            <w:shd w:val="clear" w:color="auto" w:fill="auto"/>
            <w:noWrap/>
            <w:vAlign w:val="center"/>
            <w:hideMark/>
          </w:tcPr>
          <w:p w14:paraId="02CFEEF5"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8-185</w:t>
            </w:r>
          </w:p>
        </w:tc>
        <w:tc>
          <w:tcPr>
            <w:tcW w:w="0" w:type="auto"/>
            <w:shd w:val="clear" w:color="auto" w:fill="auto"/>
            <w:noWrap/>
            <w:vAlign w:val="center"/>
            <w:hideMark/>
          </w:tcPr>
          <w:p w14:paraId="7E0EE4E6"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0.7</w:t>
            </w:r>
          </w:p>
        </w:tc>
        <w:tc>
          <w:tcPr>
            <w:tcW w:w="0" w:type="auto"/>
            <w:shd w:val="clear" w:color="auto" w:fill="auto"/>
            <w:noWrap/>
            <w:vAlign w:val="center"/>
            <w:hideMark/>
          </w:tcPr>
          <w:p w14:paraId="1C7038BB"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2.2</w:t>
            </w:r>
          </w:p>
        </w:tc>
      </w:tr>
      <w:tr w:rsidR="00364F53" w:rsidRPr="00C33195" w14:paraId="6D286F78" w14:textId="77777777" w:rsidTr="00E65993">
        <w:trPr>
          <w:trHeight w:val="300"/>
          <w:jc w:val="center"/>
        </w:trPr>
        <w:tc>
          <w:tcPr>
            <w:tcW w:w="0" w:type="auto"/>
            <w:shd w:val="clear" w:color="auto" w:fill="auto"/>
            <w:noWrap/>
            <w:vAlign w:val="center"/>
            <w:hideMark/>
          </w:tcPr>
          <w:p w14:paraId="7B41AA42"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212DAF53" w14:textId="77777777" w:rsidR="00364F53" w:rsidRPr="003672CB" w:rsidRDefault="003672CB" w:rsidP="003672CB">
            <w:pPr>
              <w:spacing w:line="276" w:lineRule="auto"/>
              <w:jc w:val="center"/>
              <w:rPr>
                <w:rFonts w:ascii="Times New Roman" w:eastAsia="Times New Roman" w:hAnsi="Times New Roman" w:cs="Times New Roman"/>
                <w:color w:val="000000" w:themeColor="text1"/>
                <w:sz w:val="22"/>
                <w:szCs w:val="22"/>
                <w:lang w:val="en-GB"/>
              </w:rPr>
            </w:pPr>
            <w:r>
              <w:rPr>
                <w:rFonts w:ascii="Times New Roman" w:eastAsia="Times New Roman" w:hAnsi="Times New Roman" w:cs="Times New Roman"/>
                <w:color w:val="000000" w:themeColor="text1"/>
                <w:sz w:val="22"/>
                <w:szCs w:val="22"/>
                <w:lang w:val="en-GB"/>
              </w:rPr>
              <w:t>R² = 0.999</w:t>
            </w:r>
          </w:p>
        </w:tc>
        <w:tc>
          <w:tcPr>
            <w:tcW w:w="0" w:type="auto"/>
            <w:shd w:val="clear" w:color="auto" w:fill="auto"/>
            <w:noWrap/>
            <w:vAlign w:val="center"/>
            <w:hideMark/>
          </w:tcPr>
          <w:p w14:paraId="70ABB4AD"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063F5387"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46740D20"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r>
      <w:tr w:rsidR="00364F53" w:rsidRPr="00C33195" w14:paraId="335F2C73" w14:textId="77777777" w:rsidTr="00E65993">
        <w:trPr>
          <w:trHeight w:val="300"/>
          <w:jc w:val="center"/>
        </w:trPr>
        <w:tc>
          <w:tcPr>
            <w:tcW w:w="0" w:type="auto"/>
            <w:shd w:val="clear" w:color="auto" w:fill="auto"/>
            <w:noWrap/>
            <w:vAlign w:val="center"/>
            <w:hideMark/>
          </w:tcPr>
          <w:p w14:paraId="43494F8C"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Acetone</w:t>
            </w:r>
          </w:p>
        </w:tc>
        <w:tc>
          <w:tcPr>
            <w:tcW w:w="0" w:type="auto"/>
            <w:shd w:val="clear" w:color="auto" w:fill="auto"/>
            <w:noWrap/>
            <w:vAlign w:val="center"/>
            <w:hideMark/>
          </w:tcPr>
          <w:p w14:paraId="6E7D788F" w14:textId="77777777" w:rsidR="00364F53" w:rsidRPr="003672CB" w:rsidRDefault="00364F53" w:rsidP="003672CB">
            <w:pPr>
              <w:spacing w:line="276" w:lineRule="auto"/>
              <w:jc w:val="center"/>
              <w:rPr>
                <w:rFonts w:ascii="Times New Roman" w:eastAsia="Times New Roman" w:hAnsi="Times New Roman" w:cs="Times New Roman"/>
                <w:color w:val="000000" w:themeColor="text1"/>
                <w:sz w:val="22"/>
                <w:szCs w:val="22"/>
                <w:lang w:val="en-GB"/>
              </w:rPr>
            </w:pPr>
            <w:r w:rsidRPr="003672CB">
              <w:rPr>
                <w:rFonts w:ascii="Times New Roman" w:eastAsia="Times New Roman" w:hAnsi="Times New Roman" w:cs="Times New Roman"/>
                <w:color w:val="000000" w:themeColor="text1"/>
                <w:sz w:val="22"/>
                <w:szCs w:val="22"/>
                <w:lang w:val="en-GB"/>
              </w:rPr>
              <w:t>y = 0.1631x - 0.0664</w:t>
            </w:r>
          </w:p>
        </w:tc>
        <w:tc>
          <w:tcPr>
            <w:tcW w:w="0" w:type="auto"/>
            <w:shd w:val="clear" w:color="auto" w:fill="auto"/>
            <w:noWrap/>
            <w:vAlign w:val="center"/>
            <w:hideMark/>
          </w:tcPr>
          <w:p w14:paraId="5E8709D2"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8-35</w:t>
            </w:r>
          </w:p>
        </w:tc>
        <w:tc>
          <w:tcPr>
            <w:tcW w:w="0" w:type="auto"/>
            <w:shd w:val="clear" w:color="auto" w:fill="auto"/>
            <w:noWrap/>
            <w:vAlign w:val="center"/>
            <w:hideMark/>
          </w:tcPr>
          <w:p w14:paraId="7D90B180"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0.03</w:t>
            </w:r>
          </w:p>
        </w:tc>
        <w:tc>
          <w:tcPr>
            <w:tcW w:w="0" w:type="auto"/>
            <w:shd w:val="clear" w:color="auto" w:fill="auto"/>
            <w:noWrap/>
            <w:vAlign w:val="center"/>
            <w:hideMark/>
          </w:tcPr>
          <w:p w14:paraId="32F67123"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0.12</w:t>
            </w:r>
          </w:p>
        </w:tc>
      </w:tr>
      <w:tr w:rsidR="00364F53" w:rsidRPr="00C33195" w14:paraId="64DF0131" w14:textId="77777777" w:rsidTr="00E65993">
        <w:trPr>
          <w:trHeight w:val="300"/>
          <w:jc w:val="center"/>
        </w:trPr>
        <w:tc>
          <w:tcPr>
            <w:tcW w:w="0" w:type="auto"/>
            <w:shd w:val="clear" w:color="auto" w:fill="auto"/>
            <w:noWrap/>
            <w:vAlign w:val="center"/>
            <w:hideMark/>
          </w:tcPr>
          <w:p w14:paraId="6538FE5C"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5682ED4E" w14:textId="77777777" w:rsidR="00364F53" w:rsidRPr="003672CB" w:rsidRDefault="00364F53" w:rsidP="003672CB">
            <w:pPr>
              <w:spacing w:line="276" w:lineRule="auto"/>
              <w:jc w:val="center"/>
              <w:rPr>
                <w:rFonts w:ascii="Times New Roman" w:eastAsia="Times New Roman" w:hAnsi="Times New Roman" w:cs="Times New Roman"/>
                <w:color w:val="000000" w:themeColor="text1"/>
                <w:sz w:val="22"/>
                <w:szCs w:val="22"/>
                <w:lang w:val="en-GB"/>
              </w:rPr>
            </w:pPr>
            <w:r w:rsidRPr="003672CB">
              <w:rPr>
                <w:rFonts w:ascii="Times New Roman" w:eastAsia="Times New Roman" w:hAnsi="Times New Roman" w:cs="Times New Roman"/>
                <w:color w:val="000000" w:themeColor="text1"/>
                <w:sz w:val="22"/>
                <w:szCs w:val="22"/>
                <w:lang w:val="en-GB"/>
              </w:rPr>
              <w:t>R² = 0.996</w:t>
            </w:r>
          </w:p>
        </w:tc>
        <w:tc>
          <w:tcPr>
            <w:tcW w:w="0" w:type="auto"/>
            <w:shd w:val="clear" w:color="auto" w:fill="auto"/>
            <w:noWrap/>
            <w:vAlign w:val="center"/>
            <w:hideMark/>
          </w:tcPr>
          <w:p w14:paraId="77D6BA06"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03AB7F94"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654A0CEE"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r>
      <w:tr w:rsidR="00364F53" w:rsidRPr="00C33195" w14:paraId="106C03A6" w14:textId="77777777" w:rsidTr="00E65993">
        <w:trPr>
          <w:trHeight w:val="300"/>
          <w:jc w:val="center"/>
        </w:trPr>
        <w:tc>
          <w:tcPr>
            <w:tcW w:w="0" w:type="auto"/>
            <w:shd w:val="clear" w:color="auto" w:fill="auto"/>
            <w:noWrap/>
            <w:vAlign w:val="center"/>
            <w:hideMark/>
          </w:tcPr>
          <w:p w14:paraId="5A3DA2DF"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Methyl acetate</w:t>
            </w:r>
          </w:p>
        </w:tc>
        <w:tc>
          <w:tcPr>
            <w:tcW w:w="0" w:type="auto"/>
            <w:shd w:val="clear" w:color="auto" w:fill="auto"/>
            <w:noWrap/>
            <w:vAlign w:val="center"/>
            <w:hideMark/>
          </w:tcPr>
          <w:p w14:paraId="099E1856" w14:textId="77777777" w:rsidR="00364F53" w:rsidRPr="003672CB" w:rsidRDefault="00364F53" w:rsidP="003672CB">
            <w:pPr>
              <w:spacing w:line="276" w:lineRule="auto"/>
              <w:jc w:val="center"/>
              <w:rPr>
                <w:rFonts w:ascii="Times New Roman" w:eastAsia="Times New Roman" w:hAnsi="Times New Roman" w:cs="Times New Roman"/>
                <w:color w:val="000000" w:themeColor="text1"/>
                <w:sz w:val="22"/>
                <w:szCs w:val="22"/>
                <w:lang w:val="en-GB"/>
              </w:rPr>
            </w:pPr>
            <w:r w:rsidRPr="003672CB">
              <w:rPr>
                <w:rFonts w:ascii="Times New Roman" w:eastAsia="Times New Roman" w:hAnsi="Times New Roman" w:cs="Times New Roman"/>
                <w:color w:val="000000" w:themeColor="text1"/>
                <w:sz w:val="22"/>
                <w:szCs w:val="22"/>
                <w:lang w:val="en-GB"/>
              </w:rPr>
              <w:t>y = 7.9772x + 0.1076</w:t>
            </w:r>
          </w:p>
        </w:tc>
        <w:tc>
          <w:tcPr>
            <w:tcW w:w="0" w:type="auto"/>
            <w:shd w:val="clear" w:color="auto" w:fill="auto"/>
            <w:noWrap/>
            <w:vAlign w:val="center"/>
            <w:hideMark/>
          </w:tcPr>
          <w:p w14:paraId="11184E1F"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0.3-6</w:t>
            </w:r>
          </w:p>
        </w:tc>
        <w:tc>
          <w:tcPr>
            <w:tcW w:w="0" w:type="auto"/>
            <w:shd w:val="clear" w:color="auto" w:fill="auto"/>
            <w:noWrap/>
            <w:vAlign w:val="center"/>
            <w:hideMark/>
          </w:tcPr>
          <w:p w14:paraId="6C79BB8C"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0.008</w:t>
            </w:r>
          </w:p>
        </w:tc>
        <w:tc>
          <w:tcPr>
            <w:tcW w:w="0" w:type="auto"/>
            <w:shd w:val="clear" w:color="auto" w:fill="auto"/>
            <w:noWrap/>
            <w:vAlign w:val="center"/>
            <w:hideMark/>
          </w:tcPr>
          <w:p w14:paraId="151CE438"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0.025</w:t>
            </w:r>
          </w:p>
        </w:tc>
      </w:tr>
      <w:tr w:rsidR="00364F53" w:rsidRPr="00C33195" w14:paraId="126534A8" w14:textId="77777777" w:rsidTr="00E65993">
        <w:trPr>
          <w:trHeight w:val="300"/>
          <w:jc w:val="center"/>
        </w:trPr>
        <w:tc>
          <w:tcPr>
            <w:tcW w:w="0" w:type="auto"/>
            <w:shd w:val="clear" w:color="auto" w:fill="auto"/>
            <w:noWrap/>
            <w:vAlign w:val="center"/>
            <w:hideMark/>
          </w:tcPr>
          <w:p w14:paraId="1AD4BFD6"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6ED047FC" w14:textId="77777777" w:rsidR="00364F53" w:rsidRPr="003672CB" w:rsidRDefault="003672CB" w:rsidP="003672CB">
            <w:pPr>
              <w:spacing w:line="276" w:lineRule="auto"/>
              <w:jc w:val="center"/>
              <w:rPr>
                <w:rFonts w:ascii="Times New Roman" w:eastAsia="Times New Roman" w:hAnsi="Times New Roman" w:cs="Times New Roman"/>
                <w:color w:val="000000" w:themeColor="text1"/>
                <w:sz w:val="22"/>
                <w:szCs w:val="22"/>
                <w:lang w:val="en-GB"/>
              </w:rPr>
            </w:pPr>
            <w:r>
              <w:rPr>
                <w:rFonts w:ascii="Times New Roman" w:eastAsia="Times New Roman" w:hAnsi="Times New Roman" w:cs="Times New Roman"/>
                <w:color w:val="000000" w:themeColor="text1"/>
                <w:sz w:val="22"/>
                <w:szCs w:val="22"/>
                <w:lang w:val="en-GB"/>
              </w:rPr>
              <w:t>R² = 0.999</w:t>
            </w:r>
          </w:p>
        </w:tc>
        <w:tc>
          <w:tcPr>
            <w:tcW w:w="0" w:type="auto"/>
            <w:shd w:val="clear" w:color="auto" w:fill="auto"/>
            <w:noWrap/>
            <w:vAlign w:val="center"/>
            <w:hideMark/>
          </w:tcPr>
          <w:p w14:paraId="4766872E"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435CDAA2"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5C3C5A68"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r>
      <w:tr w:rsidR="00364F53" w:rsidRPr="00C33195" w14:paraId="6D362801" w14:textId="77777777" w:rsidTr="00E65993">
        <w:trPr>
          <w:trHeight w:val="300"/>
          <w:jc w:val="center"/>
        </w:trPr>
        <w:tc>
          <w:tcPr>
            <w:tcW w:w="0" w:type="auto"/>
            <w:shd w:val="clear" w:color="auto" w:fill="auto"/>
            <w:noWrap/>
            <w:vAlign w:val="center"/>
            <w:hideMark/>
          </w:tcPr>
          <w:p w14:paraId="4FA1C196"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Ethyl acetate</w:t>
            </w:r>
          </w:p>
        </w:tc>
        <w:tc>
          <w:tcPr>
            <w:tcW w:w="0" w:type="auto"/>
            <w:shd w:val="clear" w:color="auto" w:fill="auto"/>
            <w:noWrap/>
            <w:vAlign w:val="center"/>
            <w:hideMark/>
          </w:tcPr>
          <w:p w14:paraId="0B8C65F2" w14:textId="77777777" w:rsidR="00364F53" w:rsidRPr="003672CB" w:rsidRDefault="00364F53" w:rsidP="003672CB">
            <w:pPr>
              <w:spacing w:line="276" w:lineRule="auto"/>
              <w:jc w:val="center"/>
              <w:rPr>
                <w:rFonts w:ascii="Times New Roman" w:eastAsia="Times New Roman" w:hAnsi="Times New Roman" w:cs="Times New Roman"/>
                <w:color w:val="000000" w:themeColor="text1"/>
                <w:sz w:val="22"/>
                <w:szCs w:val="22"/>
                <w:lang w:val="en-GB"/>
              </w:rPr>
            </w:pPr>
            <w:r w:rsidRPr="003672CB">
              <w:rPr>
                <w:rFonts w:ascii="Times New Roman" w:eastAsia="Times New Roman" w:hAnsi="Times New Roman" w:cs="Times New Roman"/>
                <w:color w:val="000000" w:themeColor="text1"/>
                <w:sz w:val="22"/>
                <w:szCs w:val="22"/>
                <w:lang w:val="en-GB"/>
              </w:rPr>
              <w:t>y = 1.6596x - 0.8851</w:t>
            </w:r>
          </w:p>
        </w:tc>
        <w:tc>
          <w:tcPr>
            <w:tcW w:w="0" w:type="auto"/>
            <w:shd w:val="clear" w:color="auto" w:fill="auto"/>
            <w:noWrap/>
            <w:vAlign w:val="center"/>
            <w:hideMark/>
          </w:tcPr>
          <w:p w14:paraId="242FAF36"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3-60</w:t>
            </w:r>
          </w:p>
        </w:tc>
        <w:tc>
          <w:tcPr>
            <w:tcW w:w="0" w:type="auto"/>
            <w:shd w:val="clear" w:color="auto" w:fill="auto"/>
            <w:noWrap/>
            <w:vAlign w:val="center"/>
            <w:hideMark/>
          </w:tcPr>
          <w:p w14:paraId="54616A3B"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0.018</w:t>
            </w:r>
          </w:p>
        </w:tc>
        <w:tc>
          <w:tcPr>
            <w:tcW w:w="0" w:type="auto"/>
            <w:shd w:val="clear" w:color="auto" w:fill="auto"/>
            <w:noWrap/>
            <w:vAlign w:val="center"/>
            <w:hideMark/>
          </w:tcPr>
          <w:p w14:paraId="38353B71"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0.06</w:t>
            </w:r>
          </w:p>
        </w:tc>
      </w:tr>
      <w:tr w:rsidR="00364F53" w:rsidRPr="00C33195" w14:paraId="199B1F4A" w14:textId="77777777" w:rsidTr="00E65993">
        <w:trPr>
          <w:trHeight w:val="300"/>
          <w:jc w:val="center"/>
        </w:trPr>
        <w:tc>
          <w:tcPr>
            <w:tcW w:w="0" w:type="auto"/>
            <w:shd w:val="clear" w:color="auto" w:fill="auto"/>
            <w:noWrap/>
            <w:vAlign w:val="center"/>
            <w:hideMark/>
          </w:tcPr>
          <w:p w14:paraId="51A992EB"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71761237" w14:textId="77777777" w:rsidR="00364F53" w:rsidRPr="003672CB" w:rsidRDefault="003672CB" w:rsidP="003672CB">
            <w:pPr>
              <w:spacing w:line="276" w:lineRule="auto"/>
              <w:jc w:val="center"/>
              <w:rPr>
                <w:rFonts w:ascii="Times New Roman" w:eastAsia="Times New Roman" w:hAnsi="Times New Roman" w:cs="Times New Roman"/>
                <w:color w:val="000000" w:themeColor="text1"/>
                <w:sz w:val="22"/>
                <w:szCs w:val="22"/>
                <w:lang w:val="en-GB"/>
              </w:rPr>
            </w:pPr>
            <w:r>
              <w:rPr>
                <w:rFonts w:ascii="Times New Roman" w:eastAsia="Times New Roman" w:hAnsi="Times New Roman" w:cs="Times New Roman"/>
                <w:color w:val="000000" w:themeColor="text1"/>
                <w:sz w:val="22"/>
                <w:szCs w:val="22"/>
                <w:lang w:val="en-GB"/>
              </w:rPr>
              <w:t>R² = 0.999</w:t>
            </w:r>
          </w:p>
        </w:tc>
        <w:tc>
          <w:tcPr>
            <w:tcW w:w="0" w:type="auto"/>
            <w:shd w:val="clear" w:color="auto" w:fill="auto"/>
            <w:noWrap/>
            <w:vAlign w:val="center"/>
            <w:hideMark/>
          </w:tcPr>
          <w:p w14:paraId="59A5C7CF"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47EF258B"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3C801B11"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r>
      <w:tr w:rsidR="00364F53" w:rsidRPr="00C33195" w14:paraId="17ED1920" w14:textId="77777777" w:rsidTr="00E65993">
        <w:trPr>
          <w:trHeight w:val="300"/>
          <w:jc w:val="center"/>
        </w:trPr>
        <w:tc>
          <w:tcPr>
            <w:tcW w:w="0" w:type="auto"/>
            <w:shd w:val="clear" w:color="auto" w:fill="auto"/>
            <w:noWrap/>
            <w:vAlign w:val="center"/>
            <w:hideMark/>
          </w:tcPr>
          <w:p w14:paraId="6F0C11A0"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2-Butanone</w:t>
            </w:r>
          </w:p>
        </w:tc>
        <w:tc>
          <w:tcPr>
            <w:tcW w:w="0" w:type="auto"/>
            <w:shd w:val="clear" w:color="auto" w:fill="auto"/>
            <w:noWrap/>
            <w:vAlign w:val="center"/>
            <w:hideMark/>
          </w:tcPr>
          <w:p w14:paraId="3D0D2CB9" w14:textId="77777777" w:rsidR="00364F53" w:rsidRPr="003672CB" w:rsidRDefault="00364F53" w:rsidP="003672CB">
            <w:pPr>
              <w:spacing w:line="276" w:lineRule="auto"/>
              <w:jc w:val="center"/>
              <w:rPr>
                <w:rFonts w:ascii="Times New Roman" w:eastAsia="Times New Roman" w:hAnsi="Times New Roman" w:cs="Times New Roman"/>
                <w:color w:val="000000" w:themeColor="text1"/>
                <w:sz w:val="22"/>
                <w:szCs w:val="22"/>
                <w:lang w:val="en-GB"/>
              </w:rPr>
            </w:pPr>
            <w:r w:rsidRPr="003672CB">
              <w:rPr>
                <w:rFonts w:ascii="Times New Roman" w:eastAsia="Times New Roman" w:hAnsi="Times New Roman" w:cs="Times New Roman"/>
                <w:color w:val="000000" w:themeColor="text1"/>
                <w:sz w:val="22"/>
                <w:szCs w:val="22"/>
                <w:lang w:val="en-GB"/>
              </w:rPr>
              <w:t>y = 0.8645x + 0.227</w:t>
            </w:r>
          </w:p>
        </w:tc>
        <w:tc>
          <w:tcPr>
            <w:tcW w:w="0" w:type="auto"/>
            <w:shd w:val="clear" w:color="auto" w:fill="auto"/>
            <w:noWrap/>
            <w:vAlign w:val="center"/>
            <w:hideMark/>
          </w:tcPr>
          <w:p w14:paraId="3D7989F4"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3-65</w:t>
            </w:r>
          </w:p>
        </w:tc>
        <w:tc>
          <w:tcPr>
            <w:tcW w:w="0" w:type="auto"/>
            <w:shd w:val="clear" w:color="auto" w:fill="auto"/>
            <w:noWrap/>
            <w:vAlign w:val="center"/>
            <w:hideMark/>
          </w:tcPr>
          <w:p w14:paraId="7AAE19D2"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0.02</w:t>
            </w:r>
          </w:p>
        </w:tc>
        <w:tc>
          <w:tcPr>
            <w:tcW w:w="0" w:type="auto"/>
            <w:shd w:val="clear" w:color="auto" w:fill="auto"/>
            <w:noWrap/>
            <w:vAlign w:val="center"/>
            <w:hideMark/>
          </w:tcPr>
          <w:p w14:paraId="042198BC"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0.07</w:t>
            </w:r>
          </w:p>
        </w:tc>
      </w:tr>
      <w:tr w:rsidR="00364F53" w:rsidRPr="00C33195" w14:paraId="71EB0DA3" w14:textId="77777777" w:rsidTr="00E65993">
        <w:trPr>
          <w:trHeight w:val="300"/>
          <w:jc w:val="center"/>
        </w:trPr>
        <w:tc>
          <w:tcPr>
            <w:tcW w:w="0" w:type="auto"/>
            <w:shd w:val="clear" w:color="auto" w:fill="auto"/>
            <w:noWrap/>
            <w:vAlign w:val="center"/>
            <w:hideMark/>
          </w:tcPr>
          <w:p w14:paraId="7DE99645"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0536D75F" w14:textId="77777777" w:rsidR="00364F53" w:rsidRPr="003672CB" w:rsidRDefault="003672CB" w:rsidP="003672CB">
            <w:pPr>
              <w:spacing w:line="276" w:lineRule="auto"/>
              <w:jc w:val="center"/>
              <w:rPr>
                <w:rFonts w:ascii="Times New Roman" w:eastAsia="Times New Roman" w:hAnsi="Times New Roman" w:cs="Times New Roman"/>
                <w:color w:val="000000" w:themeColor="text1"/>
                <w:sz w:val="22"/>
                <w:szCs w:val="22"/>
                <w:lang w:val="en-GB"/>
              </w:rPr>
            </w:pPr>
            <w:r>
              <w:rPr>
                <w:rFonts w:ascii="Times New Roman" w:eastAsia="Times New Roman" w:hAnsi="Times New Roman" w:cs="Times New Roman"/>
                <w:color w:val="000000" w:themeColor="text1"/>
                <w:sz w:val="22"/>
                <w:szCs w:val="22"/>
                <w:lang w:val="en-GB"/>
              </w:rPr>
              <w:t>R² = 0.999</w:t>
            </w:r>
          </w:p>
        </w:tc>
        <w:tc>
          <w:tcPr>
            <w:tcW w:w="0" w:type="auto"/>
            <w:shd w:val="clear" w:color="auto" w:fill="auto"/>
            <w:noWrap/>
            <w:vAlign w:val="center"/>
            <w:hideMark/>
          </w:tcPr>
          <w:p w14:paraId="23F10632"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708765DB"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155B7D85"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r>
      <w:tr w:rsidR="00364F53" w:rsidRPr="00C33195" w14:paraId="69178BF0" w14:textId="77777777" w:rsidTr="00E65993">
        <w:trPr>
          <w:trHeight w:val="300"/>
          <w:jc w:val="center"/>
        </w:trPr>
        <w:tc>
          <w:tcPr>
            <w:tcW w:w="0" w:type="auto"/>
            <w:shd w:val="clear" w:color="auto" w:fill="auto"/>
            <w:noWrap/>
            <w:vAlign w:val="center"/>
            <w:hideMark/>
          </w:tcPr>
          <w:p w14:paraId="61771A80"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Methanol</w:t>
            </w:r>
          </w:p>
        </w:tc>
        <w:tc>
          <w:tcPr>
            <w:tcW w:w="0" w:type="auto"/>
            <w:shd w:val="clear" w:color="auto" w:fill="auto"/>
            <w:noWrap/>
            <w:vAlign w:val="center"/>
            <w:hideMark/>
          </w:tcPr>
          <w:p w14:paraId="31409D1B" w14:textId="77777777" w:rsidR="00364F53" w:rsidRPr="003672CB" w:rsidRDefault="00364F53" w:rsidP="003672CB">
            <w:pPr>
              <w:spacing w:line="276" w:lineRule="auto"/>
              <w:jc w:val="center"/>
              <w:rPr>
                <w:rFonts w:ascii="Times New Roman" w:eastAsia="Times New Roman" w:hAnsi="Times New Roman" w:cs="Times New Roman"/>
                <w:color w:val="000000" w:themeColor="text1"/>
                <w:sz w:val="22"/>
                <w:szCs w:val="22"/>
                <w:lang w:val="en-GB"/>
              </w:rPr>
            </w:pPr>
            <w:r w:rsidRPr="003672CB">
              <w:rPr>
                <w:rFonts w:ascii="Times New Roman" w:eastAsia="Times New Roman" w:hAnsi="Times New Roman" w:cs="Times New Roman"/>
                <w:color w:val="000000" w:themeColor="text1"/>
                <w:sz w:val="22"/>
                <w:szCs w:val="22"/>
                <w:lang w:val="en-GB"/>
              </w:rPr>
              <w:t>y = 0.0002x + 0.003</w:t>
            </w:r>
          </w:p>
        </w:tc>
        <w:tc>
          <w:tcPr>
            <w:tcW w:w="0" w:type="auto"/>
            <w:shd w:val="clear" w:color="auto" w:fill="auto"/>
            <w:noWrap/>
            <w:vAlign w:val="center"/>
            <w:hideMark/>
          </w:tcPr>
          <w:p w14:paraId="16D7F146"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6-130</w:t>
            </w:r>
          </w:p>
        </w:tc>
        <w:tc>
          <w:tcPr>
            <w:tcW w:w="0" w:type="auto"/>
            <w:shd w:val="clear" w:color="auto" w:fill="auto"/>
            <w:noWrap/>
            <w:vAlign w:val="center"/>
            <w:hideMark/>
          </w:tcPr>
          <w:p w14:paraId="754FC372"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7</w:t>
            </w:r>
          </w:p>
        </w:tc>
        <w:tc>
          <w:tcPr>
            <w:tcW w:w="0" w:type="auto"/>
            <w:shd w:val="clear" w:color="auto" w:fill="auto"/>
            <w:noWrap/>
            <w:vAlign w:val="center"/>
            <w:hideMark/>
          </w:tcPr>
          <w:p w14:paraId="1009F563"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25</w:t>
            </w:r>
          </w:p>
        </w:tc>
      </w:tr>
      <w:tr w:rsidR="00364F53" w:rsidRPr="00C33195" w14:paraId="25F2403E" w14:textId="77777777" w:rsidTr="00E65993">
        <w:trPr>
          <w:trHeight w:val="300"/>
          <w:jc w:val="center"/>
        </w:trPr>
        <w:tc>
          <w:tcPr>
            <w:tcW w:w="0" w:type="auto"/>
            <w:shd w:val="clear" w:color="auto" w:fill="auto"/>
            <w:noWrap/>
            <w:vAlign w:val="center"/>
            <w:hideMark/>
          </w:tcPr>
          <w:p w14:paraId="47606023"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5754F269" w14:textId="77777777" w:rsidR="00364F53" w:rsidRPr="003672CB" w:rsidRDefault="003672CB" w:rsidP="003672CB">
            <w:pPr>
              <w:spacing w:line="276" w:lineRule="auto"/>
              <w:jc w:val="center"/>
              <w:rPr>
                <w:rFonts w:ascii="Times New Roman" w:eastAsia="Times New Roman" w:hAnsi="Times New Roman" w:cs="Times New Roman"/>
                <w:color w:val="000000" w:themeColor="text1"/>
                <w:sz w:val="22"/>
                <w:szCs w:val="22"/>
                <w:lang w:val="en-GB"/>
              </w:rPr>
            </w:pPr>
            <w:r>
              <w:rPr>
                <w:rFonts w:ascii="Times New Roman" w:eastAsia="Times New Roman" w:hAnsi="Times New Roman" w:cs="Times New Roman"/>
                <w:color w:val="000000" w:themeColor="text1"/>
                <w:sz w:val="22"/>
                <w:szCs w:val="22"/>
                <w:lang w:val="en-GB"/>
              </w:rPr>
              <w:t>R² = 0.998</w:t>
            </w:r>
          </w:p>
        </w:tc>
        <w:tc>
          <w:tcPr>
            <w:tcW w:w="0" w:type="auto"/>
            <w:shd w:val="clear" w:color="auto" w:fill="auto"/>
            <w:noWrap/>
            <w:vAlign w:val="center"/>
            <w:hideMark/>
          </w:tcPr>
          <w:p w14:paraId="70E47BDC"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08709F56"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639D55D2"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r>
      <w:tr w:rsidR="00364F53" w:rsidRPr="00C33195" w14:paraId="29593180" w14:textId="77777777" w:rsidTr="00E65993">
        <w:trPr>
          <w:trHeight w:val="300"/>
          <w:jc w:val="center"/>
        </w:trPr>
        <w:tc>
          <w:tcPr>
            <w:tcW w:w="0" w:type="auto"/>
            <w:shd w:val="clear" w:color="auto" w:fill="auto"/>
            <w:noWrap/>
            <w:vAlign w:val="center"/>
            <w:hideMark/>
          </w:tcPr>
          <w:p w14:paraId="59975407"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2-Propanol</w:t>
            </w:r>
          </w:p>
        </w:tc>
        <w:tc>
          <w:tcPr>
            <w:tcW w:w="0" w:type="auto"/>
            <w:shd w:val="clear" w:color="auto" w:fill="auto"/>
            <w:noWrap/>
            <w:vAlign w:val="center"/>
            <w:hideMark/>
          </w:tcPr>
          <w:p w14:paraId="1D7F71A7" w14:textId="77777777" w:rsidR="00364F53" w:rsidRPr="003672CB" w:rsidRDefault="00364F53" w:rsidP="003672CB">
            <w:pPr>
              <w:spacing w:line="276" w:lineRule="auto"/>
              <w:jc w:val="center"/>
              <w:rPr>
                <w:rFonts w:ascii="Times New Roman" w:eastAsia="Times New Roman" w:hAnsi="Times New Roman" w:cs="Times New Roman"/>
                <w:color w:val="000000" w:themeColor="text1"/>
                <w:sz w:val="22"/>
                <w:szCs w:val="22"/>
                <w:lang w:val="en-GB"/>
              </w:rPr>
            </w:pPr>
            <w:r w:rsidRPr="003672CB">
              <w:rPr>
                <w:rFonts w:ascii="Times New Roman" w:eastAsia="Times New Roman" w:hAnsi="Times New Roman" w:cs="Times New Roman"/>
                <w:color w:val="000000" w:themeColor="text1"/>
                <w:sz w:val="22"/>
                <w:szCs w:val="22"/>
                <w:lang w:val="en-GB"/>
              </w:rPr>
              <w:t>y = 0.0246x + 0.0645</w:t>
            </w:r>
          </w:p>
        </w:tc>
        <w:tc>
          <w:tcPr>
            <w:tcW w:w="0" w:type="auto"/>
            <w:shd w:val="clear" w:color="auto" w:fill="auto"/>
            <w:noWrap/>
            <w:vAlign w:val="center"/>
            <w:hideMark/>
          </w:tcPr>
          <w:p w14:paraId="3D37D6BB"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3-15</w:t>
            </w:r>
          </w:p>
        </w:tc>
        <w:tc>
          <w:tcPr>
            <w:tcW w:w="0" w:type="auto"/>
            <w:shd w:val="clear" w:color="auto" w:fill="auto"/>
            <w:noWrap/>
            <w:vAlign w:val="center"/>
            <w:hideMark/>
          </w:tcPr>
          <w:p w14:paraId="22358D37"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0.4</w:t>
            </w:r>
          </w:p>
        </w:tc>
        <w:tc>
          <w:tcPr>
            <w:tcW w:w="0" w:type="auto"/>
            <w:shd w:val="clear" w:color="auto" w:fill="auto"/>
            <w:noWrap/>
            <w:vAlign w:val="center"/>
            <w:hideMark/>
          </w:tcPr>
          <w:p w14:paraId="7B77432E"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1.2</w:t>
            </w:r>
          </w:p>
        </w:tc>
      </w:tr>
      <w:tr w:rsidR="00364F53" w:rsidRPr="00C33195" w14:paraId="7A85ACA0" w14:textId="77777777" w:rsidTr="00E65993">
        <w:trPr>
          <w:trHeight w:val="300"/>
          <w:jc w:val="center"/>
        </w:trPr>
        <w:tc>
          <w:tcPr>
            <w:tcW w:w="0" w:type="auto"/>
            <w:shd w:val="clear" w:color="auto" w:fill="auto"/>
            <w:noWrap/>
            <w:vAlign w:val="center"/>
            <w:hideMark/>
          </w:tcPr>
          <w:p w14:paraId="5DCCC3A8"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137ADACD" w14:textId="77777777" w:rsidR="00364F53" w:rsidRPr="003672CB" w:rsidRDefault="003672CB" w:rsidP="003672CB">
            <w:pPr>
              <w:spacing w:line="276" w:lineRule="auto"/>
              <w:jc w:val="center"/>
              <w:rPr>
                <w:rFonts w:ascii="Times New Roman" w:eastAsia="Times New Roman" w:hAnsi="Times New Roman" w:cs="Times New Roman"/>
                <w:color w:val="000000" w:themeColor="text1"/>
                <w:sz w:val="22"/>
                <w:szCs w:val="22"/>
                <w:lang w:val="en-GB"/>
              </w:rPr>
            </w:pPr>
            <w:r>
              <w:rPr>
                <w:rFonts w:ascii="Times New Roman" w:eastAsia="Times New Roman" w:hAnsi="Times New Roman" w:cs="Times New Roman"/>
                <w:color w:val="000000" w:themeColor="text1"/>
                <w:sz w:val="22"/>
                <w:szCs w:val="22"/>
                <w:lang w:val="en-GB"/>
              </w:rPr>
              <w:t>R² = 0.994</w:t>
            </w:r>
          </w:p>
        </w:tc>
        <w:tc>
          <w:tcPr>
            <w:tcW w:w="0" w:type="auto"/>
            <w:shd w:val="clear" w:color="auto" w:fill="auto"/>
            <w:noWrap/>
            <w:vAlign w:val="center"/>
            <w:hideMark/>
          </w:tcPr>
          <w:p w14:paraId="6B28AAFC"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12346E73"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007DF0A5"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r>
      <w:tr w:rsidR="00364F53" w:rsidRPr="00C33195" w14:paraId="5F807BD5" w14:textId="77777777" w:rsidTr="00E65993">
        <w:trPr>
          <w:trHeight w:val="300"/>
          <w:jc w:val="center"/>
        </w:trPr>
        <w:tc>
          <w:tcPr>
            <w:tcW w:w="0" w:type="auto"/>
            <w:shd w:val="clear" w:color="auto" w:fill="auto"/>
            <w:noWrap/>
            <w:vAlign w:val="center"/>
            <w:hideMark/>
          </w:tcPr>
          <w:p w14:paraId="753C694A"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2-Pentanone</w:t>
            </w:r>
          </w:p>
        </w:tc>
        <w:tc>
          <w:tcPr>
            <w:tcW w:w="0" w:type="auto"/>
            <w:shd w:val="clear" w:color="auto" w:fill="auto"/>
            <w:noWrap/>
            <w:vAlign w:val="center"/>
            <w:hideMark/>
          </w:tcPr>
          <w:p w14:paraId="29A0284E" w14:textId="77777777" w:rsidR="00364F53" w:rsidRPr="003672CB" w:rsidRDefault="00364F53" w:rsidP="003672CB">
            <w:pPr>
              <w:spacing w:line="276" w:lineRule="auto"/>
              <w:jc w:val="center"/>
              <w:rPr>
                <w:rFonts w:ascii="Times New Roman" w:eastAsia="Times New Roman" w:hAnsi="Times New Roman" w:cs="Times New Roman"/>
                <w:color w:val="000000" w:themeColor="text1"/>
                <w:sz w:val="22"/>
                <w:szCs w:val="22"/>
                <w:lang w:val="en-GB"/>
              </w:rPr>
            </w:pPr>
            <w:r w:rsidRPr="003672CB">
              <w:rPr>
                <w:rFonts w:ascii="Times New Roman" w:eastAsia="Times New Roman" w:hAnsi="Times New Roman" w:cs="Times New Roman"/>
                <w:color w:val="000000" w:themeColor="text1"/>
                <w:sz w:val="22"/>
                <w:szCs w:val="22"/>
                <w:lang w:val="en-GB"/>
              </w:rPr>
              <w:t>y = 0.2018x - 0.0758</w:t>
            </w:r>
          </w:p>
        </w:tc>
        <w:tc>
          <w:tcPr>
            <w:tcW w:w="0" w:type="auto"/>
            <w:shd w:val="clear" w:color="auto" w:fill="auto"/>
            <w:noWrap/>
            <w:vAlign w:val="center"/>
            <w:hideMark/>
          </w:tcPr>
          <w:p w14:paraId="00370BE3"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3-15</w:t>
            </w:r>
          </w:p>
        </w:tc>
        <w:tc>
          <w:tcPr>
            <w:tcW w:w="0" w:type="auto"/>
            <w:shd w:val="clear" w:color="auto" w:fill="auto"/>
            <w:noWrap/>
            <w:vAlign w:val="center"/>
            <w:hideMark/>
          </w:tcPr>
          <w:p w14:paraId="5ACFA4E2"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0.02</w:t>
            </w:r>
          </w:p>
        </w:tc>
        <w:tc>
          <w:tcPr>
            <w:tcW w:w="0" w:type="auto"/>
            <w:shd w:val="clear" w:color="auto" w:fill="auto"/>
            <w:noWrap/>
            <w:vAlign w:val="center"/>
            <w:hideMark/>
          </w:tcPr>
          <w:p w14:paraId="6AF54C64"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0.07</w:t>
            </w:r>
          </w:p>
        </w:tc>
      </w:tr>
      <w:tr w:rsidR="00364F53" w:rsidRPr="00C33195" w14:paraId="75ECF25E" w14:textId="77777777" w:rsidTr="00E65993">
        <w:trPr>
          <w:trHeight w:val="300"/>
          <w:jc w:val="center"/>
        </w:trPr>
        <w:tc>
          <w:tcPr>
            <w:tcW w:w="0" w:type="auto"/>
            <w:shd w:val="clear" w:color="auto" w:fill="auto"/>
            <w:noWrap/>
            <w:vAlign w:val="center"/>
            <w:hideMark/>
          </w:tcPr>
          <w:p w14:paraId="5F1B7C9C"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3C884B88" w14:textId="77777777" w:rsidR="00364F53" w:rsidRPr="003672CB" w:rsidRDefault="003672CB" w:rsidP="003672CB">
            <w:pPr>
              <w:spacing w:line="276" w:lineRule="auto"/>
              <w:jc w:val="center"/>
              <w:rPr>
                <w:rFonts w:ascii="Times New Roman" w:eastAsia="Times New Roman" w:hAnsi="Times New Roman" w:cs="Times New Roman"/>
                <w:color w:val="000000" w:themeColor="text1"/>
                <w:sz w:val="22"/>
                <w:szCs w:val="22"/>
                <w:lang w:val="en-GB"/>
              </w:rPr>
            </w:pPr>
            <w:r>
              <w:rPr>
                <w:rFonts w:ascii="Times New Roman" w:eastAsia="Times New Roman" w:hAnsi="Times New Roman" w:cs="Times New Roman"/>
                <w:color w:val="000000" w:themeColor="text1"/>
                <w:sz w:val="22"/>
                <w:szCs w:val="22"/>
                <w:lang w:val="en-GB"/>
              </w:rPr>
              <w:t>R² = 0.993</w:t>
            </w:r>
          </w:p>
        </w:tc>
        <w:tc>
          <w:tcPr>
            <w:tcW w:w="0" w:type="auto"/>
            <w:shd w:val="clear" w:color="auto" w:fill="auto"/>
            <w:noWrap/>
            <w:vAlign w:val="center"/>
            <w:hideMark/>
          </w:tcPr>
          <w:p w14:paraId="53C67899"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000D5768"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1ADEF1BF"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r>
      <w:tr w:rsidR="00364F53" w:rsidRPr="00C33195" w14:paraId="50034352" w14:textId="77777777" w:rsidTr="00E65993">
        <w:trPr>
          <w:trHeight w:val="300"/>
          <w:jc w:val="center"/>
        </w:trPr>
        <w:tc>
          <w:tcPr>
            <w:tcW w:w="0" w:type="auto"/>
            <w:shd w:val="clear" w:color="auto" w:fill="auto"/>
            <w:noWrap/>
            <w:vAlign w:val="center"/>
            <w:hideMark/>
          </w:tcPr>
          <w:p w14:paraId="1E1B00A7"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2-3-Butandione</w:t>
            </w:r>
          </w:p>
        </w:tc>
        <w:tc>
          <w:tcPr>
            <w:tcW w:w="0" w:type="auto"/>
            <w:shd w:val="clear" w:color="auto" w:fill="auto"/>
            <w:noWrap/>
            <w:vAlign w:val="center"/>
            <w:hideMark/>
          </w:tcPr>
          <w:p w14:paraId="0CF4CDEE" w14:textId="77777777" w:rsidR="00364F53" w:rsidRPr="003672CB" w:rsidRDefault="00364F53" w:rsidP="003672CB">
            <w:pPr>
              <w:spacing w:line="276" w:lineRule="auto"/>
              <w:jc w:val="center"/>
              <w:rPr>
                <w:rFonts w:ascii="Times New Roman" w:eastAsia="Times New Roman" w:hAnsi="Times New Roman" w:cs="Times New Roman"/>
                <w:color w:val="000000" w:themeColor="text1"/>
                <w:sz w:val="22"/>
                <w:szCs w:val="22"/>
                <w:lang w:val="en-GB"/>
              </w:rPr>
            </w:pPr>
            <w:r w:rsidRPr="003672CB">
              <w:rPr>
                <w:rFonts w:ascii="Times New Roman" w:eastAsia="Times New Roman" w:hAnsi="Times New Roman" w:cs="Times New Roman"/>
                <w:color w:val="000000" w:themeColor="text1"/>
                <w:sz w:val="22"/>
                <w:szCs w:val="22"/>
                <w:lang w:val="en-GB"/>
              </w:rPr>
              <w:t>y = 0.3358x - 0.1355</w:t>
            </w:r>
          </w:p>
        </w:tc>
        <w:tc>
          <w:tcPr>
            <w:tcW w:w="0" w:type="auto"/>
            <w:shd w:val="clear" w:color="auto" w:fill="auto"/>
            <w:noWrap/>
            <w:vAlign w:val="center"/>
            <w:hideMark/>
          </w:tcPr>
          <w:p w14:paraId="268CCCF9"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3-65</w:t>
            </w:r>
          </w:p>
        </w:tc>
        <w:tc>
          <w:tcPr>
            <w:tcW w:w="0" w:type="auto"/>
            <w:shd w:val="clear" w:color="auto" w:fill="auto"/>
            <w:noWrap/>
            <w:vAlign w:val="center"/>
            <w:hideMark/>
          </w:tcPr>
          <w:p w14:paraId="02A03810"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0.01</w:t>
            </w:r>
          </w:p>
        </w:tc>
        <w:tc>
          <w:tcPr>
            <w:tcW w:w="0" w:type="auto"/>
            <w:shd w:val="clear" w:color="auto" w:fill="auto"/>
            <w:noWrap/>
            <w:vAlign w:val="center"/>
            <w:hideMark/>
          </w:tcPr>
          <w:p w14:paraId="57937BDA"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0.025</w:t>
            </w:r>
          </w:p>
        </w:tc>
      </w:tr>
      <w:tr w:rsidR="00364F53" w:rsidRPr="00C33195" w14:paraId="3242C8EA" w14:textId="77777777" w:rsidTr="00E65993">
        <w:trPr>
          <w:trHeight w:val="300"/>
          <w:jc w:val="center"/>
        </w:trPr>
        <w:tc>
          <w:tcPr>
            <w:tcW w:w="0" w:type="auto"/>
            <w:shd w:val="clear" w:color="auto" w:fill="auto"/>
            <w:noWrap/>
            <w:vAlign w:val="center"/>
            <w:hideMark/>
          </w:tcPr>
          <w:p w14:paraId="283A8B90"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6908E6EE" w14:textId="77777777" w:rsidR="00364F53" w:rsidRPr="003672CB" w:rsidRDefault="003672CB" w:rsidP="003672CB">
            <w:pPr>
              <w:spacing w:line="276" w:lineRule="auto"/>
              <w:jc w:val="center"/>
              <w:rPr>
                <w:rFonts w:ascii="Times New Roman" w:eastAsia="Times New Roman" w:hAnsi="Times New Roman" w:cs="Times New Roman"/>
                <w:color w:val="000000" w:themeColor="text1"/>
                <w:sz w:val="22"/>
                <w:szCs w:val="22"/>
                <w:lang w:val="en-GB"/>
              </w:rPr>
            </w:pPr>
            <w:r>
              <w:rPr>
                <w:rFonts w:ascii="Times New Roman" w:eastAsia="Times New Roman" w:hAnsi="Times New Roman" w:cs="Times New Roman"/>
                <w:color w:val="000000" w:themeColor="text1"/>
                <w:sz w:val="22"/>
                <w:szCs w:val="22"/>
                <w:lang w:val="en-GB"/>
              </w:rPr>
              <w:t>R² = 0.995</w:t>
            </w:r>
          </w:p>
        </w:tc>
        <w:tc>
          <w:tcPr>
            <w:tcW w:w="0" w:type="auto"/>
            <w:shd w:val="clear" w:color="auto" w:fill="auto"/>
            <w:noWrap/>
            <w:vAlign w:val="center"/>
            <w:hideMark/>
          </w:tcPr>
          <w:p w14:paraId="15902D94"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57313692"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16075489"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r>
      <w:tr w:rsidR="00364F53" w:rsidRPr="00C33195" w14:paraId="64EAB952" w14:textId="77777777" w:rsidTr="00E65993">
        <w:trPr>
          <w:trHeight w:val="300"/>
          <w:jc w:val="center"/>
        </w:trPr>
        <w:tc>
          <w:tcPr>
            <w:tcW w:w="0" w:type="auto"/>
            <w:shd w:val="clear" w:color="auto" w:fill="auto"/>
            <w:noWrap/>
            <w:vAlign w:val="center"/>
            <w:hideMark/>
          </w:tcPr>
          <w:p w14:paraId="472274E0"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2-Butanol</w:t>
            </w:r>
          </w:p>
        </w:tc>
        <w:tc>
          <w:tcPr>
            <w:tcW w:w="0" w:type="auto"/>
            <w:shd w:val="clear" w:color="auto" w:fill="auto"/>
            <w:noWrap/>
            <w:vAlign w:val="center"/>
            <w:hideMark/>
          </w:tcPr>
          <w:p w14:paraId="0FEA943D" w14:textId="77777777" w:rsidR="00364F53" w:rsidRPr="003672CB" w:rsidRDefault="00364F53" w:rsidP="003672CB">
            <w:pPr>
              <w:spacing w:line="276" w:lineRule="auto"/>
              <w:jc w:val="center"/>
              <w:rPr>
                <w:rFonts w:ascii="Times New Roman" w:eastAsia="Times New Roman" w:hAnsi="Times New Roman" w:cs="Times New Roman"/>
                <w:color w:val="000000" w:themeColor="text1"/>
                <w:sz w:val="22"/>
                <w:szCs w:val="22"/>
                <w:lang w:val="en-GB"/>
              </w:rPr>
            </w:pPr>
            <w:r w:rsidRPr="003672CB">
              <w:rPr>
                <w:rFonts w:ascii="Times New Roman" w:eastAsia="Times New Roman" w:hAnsi="Times New Roman" w:cs="Times New Roman"/>
                <w:color w:val="000000" w:themeColor="text1"/>
                <w:sz w:val="22"/>
                <w:szCs w:val="22"/>
                <w:lang w:val="en-GB"/>
              </w:rPr>
              <w:t>y = 0.1756x + 0.0344</w:t>
            </w:r>
          </w:p>
        </w:tc>
        <w:tc>
          <w:tcPr>
            <w:tcW w:w="0" w:type="auto"/>
            <w:shd w:val="clear" w:color="auto" w:fill="auto"/>
            <w:noWrap/>
            <w:vAlign w:val="center"/>
            <w:hideMark/>
          </w:tcPr>
          <w:p w14:paraId="354599FD"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3-15</w:t>
            </w:r>
          </w:p>
        </w:tc>
        <w:tc>
          <w:tcPr>
            <w:tcW w:w="0" w:type="auto"/>
            <w:shd w:val="clear" w:color="auto" w:fill="auto"/>
            <w:noWrap/>
            <w:vAlign w:val="center"/>
            <w:hideMark/>
          </w:tcPr>
          <w:p w14:paraId="4A3150BB"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0.0088</w:t>
            </w:r>
          </w:p>
        </w:tc>
        <w:tc>
          <w:tcPr>
            <w:tcW w:w="0" w:type="auto"/>
            <w:shd w:val="clear" w:color="auto" w:fill="auto"/>
            <w:noWrap/>
            <w:vAlign w:val="center"/>
            <w:hideMark/>
          </w:tcPr>
          <w:p w14:paraId="60F2FD42"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0.029</w:t>
            </w:r>
          </w:p>
        </w:tc>
      </w:tr>
      <w:tr w:rsidR="00364F53" w:rsidRPr="00C33195" w14:paraId="25E188CF" w14:textId="77777777" w:rsidTr="00E65993">
        <w:trPr>
          <w:trHeight w:val="300"/>
          <w:jc w:val="center"/>
        </w:trPr>
        <w:tc>
          <w:tcPr>
            <w:tcW w:w="0" w:type="auto"/>
            <w:shd w:val="clear" w:color="auto" w:fill="auto"/>
            <w:noWrap/>
            <w:vAlign w:val="center"/>
            <w:hideMark/>
          </w:tcPr>
          <w:p w14:paraId="1BD471A8"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4018FEF7" w14:textId="77777777" w:rsidR="00364F53" w:rsidRPr="003672CB" w:rsidRDefault="003672CB" w:rsidP="003672CB">
            <w:pPr>
              <w:spacing w:line="276" w:lineRule="auto"/>
              <w:jc w:val="center"/>
              <w:rPr>
                <w:rFonts w:ascii="Times New Roman" w:eastAsia="Times New Roman" w:hAnsi="Times New Roman" w:cs="Times New Roman"/>
                <w:color w:val="000000" w:themeColor="text1"/>
                <w:sz w:val="22"/>
                <w:szCs w:val="22"/>
                <w:lang w:val="en-GB"/>
              </w:rPr>
            </w:pPr>
            <w:r>
              <w:rPr>
                <w:rFonts w:ascii="Times New Roman" w:eastAsia="Times New Roman" w:hAnsi="Times New Roman" w:cs="Times New Roman"/>
                <w:color w:val="000000" w:themeColor="text1"/>
                <w:sz w:val="22"/>
                <w:szCs w:val="22"/>
                <w:lang w:val="en-GB"/>
              </w:rPr>
              <w:t>R² = 0.999</w:t>
            </w:r>
          </w:p>
        </w:tc>
        <w:tc>
          <w:tcPr>
            <w:tcW w:w="0" w:type="auto"/>
            <w:shd w:val="clear" w:color="auto" w:fill="auto"/>
            <w:noWrap/>
            <w:vAlign w:val="center"/>
            <w:hideMark/>
          </w:tcPr>
          <w:p w14:paraId="19FA27C5"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2CD46278"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6AD26E62"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r>
      <w:tr w:rsidR="00364F53" w:rsidRPr="00C33195" w14:paraId="713B1D96" w14:textId="77777777" w:rsidTr="00E65993">
        <w:trPr>
          <w:trHeight w:val="300"/>
          <w:jc w:val="center"/>
        </w:trPr>
        <w:tc>
          <w:tcPr>
            <w:tcW w:w="0" w:type="auto"/>
            <w:shd w:val="clear" w:color="auto" w:fill="auto"/>
            <w:noWrap/>
            <w:vAlign w:val="center"/>
            <w:hideMark/>
          </w:tcPr>
          <w:p w14:paraId="584A338E"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1-Propanol</w:t>
            </w:r>
          </w:p>
        </w:tc>
        <w:tc>
          <w:tcPr>
            <w:tcW w:w="0" w:type="auto"/>
            <w:shd w:val="clear" w:color="auto" w:fill="auto"/>
            <w:noWrap/>
            <w:vAlign w:val="center"/>
            <w:hideMark/>
          </w:tcPr>
          <w:p w14:paraId="31A8BDEE" w14:textId="77777777" w:rsidR="00364F53" w:rsidRPr="003672CB" w:rsidRDefault="00364F53" w:rsidP="003672CB">
            <w:pPr>
              <w:spacing w:line="276" w:lineRule="auto"/>
              <w:jc w:val="center"/>
              <w:rPr>
                <w:rFonts w:ascii="Times New Roman" w:eastAsia="Times New Roman" w:hAnsi="Times New Roman" w:cs="Times New Roman"/>
                <w:color w:val="000000" w:themeColor="text1"/>
                <w:sz w:val="22"/>
                <w:szCs w:val="22"/>
                <w:lang w:val="en-GB"/>
              </w:rPr>
            </w:pPr>
            <w:r w:rsidRPr="003672CB">
              <w:rPr>
                <w:rFonts w:ascii="Times New Roman" w:eastAsia="Times New Roman" w:hAnsi="Times New Roman" w:cs="Times New Roman"/>
                <w:color w:val="000000" w:themeColor="text1"/>
                <w:sz w:val="22"/>
                <w:szCs w:val="22"/>
                <w:lang w:val="en-GB"/>
              </w:rPr>
              <w:t>y = 0.045x + 0.013</w:t>
            </w:r>
          </w:p>
        </w:tc>
        <w:tc>
          <w:tcPr>
            <w:tcW w:w="0" w:type="auto"/>
            <w:shd w:val="clear" w:color="auto" w:fill="auto"/>
            <w:noWrap/>
            <w:vAlign w:val="center"/>
            <w:hideMark/>
          </w:tcPr>
          <w:p w14:paraId="318B2A27"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3-15</w:t>
            </w:r>
          </w:p>
        </w:tc>
        <w:tc>
          <w:tcPr>
            <w:tcW w:w="0" w:type="auto"/>
            <w:shd w:val="clear" w:color="auto" w:fill="auto"/>
            <w:noWrap/>
            <w:vAlign w:val="center"/>
            <w:hideMark/>
          </w:tcPr>
          <w:p w14:paraId="42DCFA14"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0.085</w:t>
            </w:r>
          </w:p>
        </w:tc>
        <w:tc>
          <w:tcPr>
            <w:tcW w:w="0" w:type="auto"/>
            <w:shd w:val="clear" w:color="auto" w:fill="auto"/>
            <w:noWrap/>
            <w:vAlign w:val="center"/>
            <w:hideMark/>
          </w:tcPr>
          <w:p w14:paraId="327297ED"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0.28</w:t>
            </w:r>
          </w:p>
        </w:tc>
      </w:tr>
      <w:tr w:rsidR="00364F53" w:rsidRPr="00C33195" w14:paraId="379976D3" w14:textId="77777777" w:rsidTr="00E65993">
        <w:trPr>
          <w:trHeight w:val="300"/>
          <w:jc w:val="center"/>
        </w:trPr>
        <w:tc>
          <w:tcPr>
            <w:tcW w:w="0" w:type="auto"/>
            <w:shd w:val="clear" w:color="auto" w:fill="auto"/>
            <w:noWrap/>
            <w:vAlign w:val="center"/>
            <w:hideMark/>
          </w:tcPr>
          <w:p w14:paraId="03EAF011"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6708774B" w14:textId="77777777" w:rsidR="00364F53" w:rsidRPr="003672CB" w:rsidRDefault="003672CB" w:rsidP="003672CB">
            <w:pPr>
              <w:spacing w:line="276" w:lineRule="auto"/>
              <w:jc w:val="center"/>
              <w:rPr>
                <w:rFonts w:ascii="Times New Roman" w:eastAsia="Times New Roman" w:hAnsi="Times New Roman" w:cs="Times New Roman"/>
                <w:color w:val="000000" w:themeColor="text1"/>
                <w:sz w:val="22"/>
                <w:szCs w:val="22"/>
                <w:lang w:val="en-GB"/>
              </w:rPr>
            </w:pPr>
            <w:r>
              <w:rPr>
                <w:rFonts w:ascii="Times New Roman" w:eastAsia="Times New Roman" w:hAnsi="Times New Roman" w:cs="Times New Roman"/>
                <w:color w:val="000000" w:themeColor="text1"/>
                <w:sz w:val="22"/>
                <w:szCs w:val="22"/>
                <w:lang w:val="en-GB"/>
              </w:rPr>
              <w:t>R² = 0.999</w:t>
            </w:r>
          </w:p>
        </w:tc>
        <w:tc>
          <w:tcPr>
            <w:tcW w:w="0" w:type="auto"/>
            <w:shd w:val="clear" w:color="auto" w:fill="auto"/>
            <w:noWrap/>
            <w:vAlign w:val="center"/>
            <w:hideMark/>
          </w:tcPr>
          <w:p w14:paraId="4AD55E26"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7689B2D7"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1B9ED68C"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r>
      <w:tr w:rsidR="00364F53" w:rsidRPr="00C33195" w14:paraId="61DB9244" w14:textId="77777777" w:rsidTr="00E65993">
        <w:trPr>
          <w:trHeight w:val="300"/>
          <w:jc w:val="center"/>
        </w:trPr>
        <w:tc>
          <w:tcPr>
            <w:tcW w:w="0" w:type="auto"/>
            <w:shd w:val="clear" w:color="auto" w:fill="auto"/>
            <w:noWrap/>
            <w:vAlign w:val="center"/>
            <w:hideMark/>
          </w:tcPr>
          <w:p w14:paraId="15705ED0"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4-Heptanon</w:t>
            </w:r>
          </w:p>
        </w:tc>
        <w:tc>
          <w:tcPr>
            <w:tcW w:w="0" w:type="auto"/>
            <w:shd w:val="clear" w:color="auto" w:fill="auto"/>
            <w:noWrap/>
            <w:vAlign w:val="center"/>
            <w:hideMark/>
          </w:tcPr>
          <w:p w14:paraId="12F20318" w14:textId="77777777" w:rsidR="00364F53" w:rsidRPr="003672CB" w:rsidRDefault="00364F53" w:rsidP="003672CB">
            <w:pPr>
              <w:spacing w:line="276" w:lineRule="auto"/>
              <w:jc w:val="center"/>
              <w:rPr>
                <w:rFonts w:ascii="Times New Roman" w:eastAsia="Times New Roman" w:hAnsi="Times New Roman" w:cs="Times New Roman"/>
                <w:color w:val="000000" w:themeColor="text1"/>
                <w:sz w:val="22"/>
                <w:szCs w:val="22"/>
                <w:lang w:val="en-GB"/>
              </w:rPr>
            </w:pPr>
            <w:r w:rsidRPr="003672CB">
              <w:rPr>
                <w:rFonts w:ascii="Times New Roman" w:eastAsia="Times New Roman" w:hAnsi="Times New Roman" w:cs="Times New Roman"/>
                <w:color w:val="000000" w:themeColor="text1"/>
                <w:sz w:val="22"/>
                <w:szCs w:val="22"/>
                <w:lang w:val="en-GB"/>
              </w:rPr>
              <w:t>y = 2.648x - 0.033</w:t>
            </w:r>
          </w:p>
        </w:tc>
        <w:tc>
          <w:tcPr>
            <w:tcW w:w="0" w:type="auto"/>
            <w:shd w:val="clear" w:color="auto" w:fill="auto"/>
            <w:noWrap/>
            <w:vAlign w:val="center"/>
            <w:hideMark/>
          </w:tcPr>
          <w:p w14:paraId="696D65AA"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1.7-7</w:t>
            </w:r>
          </w:p>
        </w:tc>
        <w:tc>
          <w:tcPr>
            <w:tcW w:w="0" w:type="auto"/>
            <w:shd w:val="clear" w:color="auto" w:fill="auto"/>
            <w:noWrap/>
            <w:vAlign w:val="center"/>
            <w:hideMark/>
          </w:tcPr>
          <w:p w14:paraId="24E22292"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0.025</w:t>
            </w:r>
          </w:p>
        </w:tc>
        <w:tc>
          <w:tcPr>
            <w:tcW w:w="0" w:type="auto"/>
            <w:shd w:val="clear" w:color="auto" w:fill="auto"/>
            <w:noWrap/>
            <w:vAlign w:val="center"/>
            <w:hideMark/>
          </w:tcPr>
          <w:p w14:paraId="1254FF87"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0.083</w:t>
            </w:r>
          </w:p>
        </w:tc>
      </w:tr>
      <w:tr w:rsidR="00364F53" w:rsidRPr="00C33195" w14:paraId="0568CFC8" w14:textId="77777777" w:rsidTr="00E65993">
        <w:trPr>
          <w:trHeight w:val="300"/>
          <w:jc w:val="center"/>
        </w:trPr>
        <w:tc>
          <w:tcPr>
            <w:tcW w:w="0" w:type="auto"/>
            <w:shd w:val="clear" w:color="auto" w:fill="auto"/>
            <w:noWrap/>
            <w:vAlign w:val="center"/>
            <w:hideMark/>
          </w:tcPr>
          <w:p w14:paraId="3F872BB2"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3FA42235" w14:textId="77777777" w:rsidR="00364F53" w:rsidRPr="003672CB" w:rsidRDefault="003672CB" w:rsidP="003672CB">
            <w:pPr>
              <w:spacing w:line="276" w:lineRule="auto"/>
              <w:jc w:val="center"/>
              <w:rPr>
                <w:rFonts w:ascii="Times New Roman" w:eastAsia="Times New Roman" w:hAnsi="Times New Roman" w:cs="Times New Roman"/>
                <w:color w:val="000000" w:themeColor="text1"/>
                <w:sz w:val="22"/>
                <w:szCs w:val="22"/>
                <w:lang w:val="en-GB"/>
              </w:rPr>
            </w:pPr>
            <w:r>
              <w:rPr>
                <w:rFonts w:ascii="Times New Roman" w:eastAsia="Times New Roman" w:hAnsi="Times New Roman" w:cs="Times New Roman"/>
                <w:color w:val="000000" w:themeColor="text1"/>
                <w:sz w:val="22"/>
                <w:szCs w:val="22"/>
                <w:lang w:val="en-GB"/>
              </w:rPr>
              <w:t>R² = 0.992</w:t>
            </w:r>
          </w:p>
        </w:tc>
        <w:tc>
          <w:tcPr>
            <w:tcW w:w="0" w:type="auto"/>
            <w:shd w:val="clear" w:color="auto" w:fill="auto"/>
            <w:noWrap/>
            <w:vAlign w:val="center"/>
            <w:hideMark/>
          </w:tcPr>
          <w:p w14:paraId="16C11D3A"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098B08F9"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35E3F633"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r>
      <w:tr w:rsidR="00364F53" w:rsidRPr="00C33195" w14:paraId="0554D3A1" w14:textId="77777777" w:rsidTr="00E65993">
        <w:trPr>
          <w:trHeight w:val="300"/>
          <w:jc w:val="center"/>
        </w:trPr>
        <w:tc>
          <w:tcPr>
            <w:tcW w:w="0" w:type="auto"/>
            <w:shd w:val="clear" w:color="auto" w:fill="auto"/>
            <w:noWrap/>
            <w:vAlign w:val="center"/>
            <w:hideMark/>
          </w:tcPr>
          <w:p w14:paraId="20F7E98D"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1-Butanol</w:t>
            </w:r>
          </w:p>
        </w:tc>
        <w:tc>
          <w:tcPr>
            <w:tcW w:w="0" w:type="auto"/>
            <w:shd w:val="clear" w:color="auto" w:fill="auto"/>
            <w:noWrap/>
            <w:vAlign w:val="center"/>
            <w:hideMark/>
          </w:tcPr>
          <w:p w14:paraId="61C77B0C" w14:textId="77777777" w:rsidR="00364F53" w:rsidRPr="003672CB" w:rsidRDefault="00364F53" w:rsidP="003672CB">
            <w:pPr>
              <w:spacing w:line="276" w:lineRule="auto"/>
              <w:jc w:val="center"/>
              <w:rPr>
                <w:rFonts w:ascii="Times New Roman" w:eastAsia="Times New Roman" w:hAnsi="Times New Roman" w:cs="Times New Roman"/>
                <w:color w:val="000000" w:themeColor="text1"/>
                <w:sz w:val="22"/>
                <w:szCs w:val="22"/>
                <w:lang w:val="en-GB"/>
              </w:rPr>
            </w:pPr>
            <w:r w:rsidRPr="003672CB">
              <w:rPr>
                <w:rFonts w:ascii="Times New Roman" w:eastAsia="Times New Roman" w:hAnsi="Times New Roman" w:cs="Times New Roman"/>
                <w:color w:val="000000" w:themeColor="text1"/>
                <w:sz w:val="22"/>
                <w:szCs w:val="22"/>
                <w:lang w:val="en-GB"/>
              </w:rPr>
              <w:t>y = 0.1207x - 0.0018</w:t>
            </w:r>
          </w:p>
        </w:tc>
        <w:tc>
          <w:tcPr>
            <w:tcW w:w="0" w:type="auto"/>
            <w:shd w:val="clear" w:color="auto" w:fill="auto"/>
            <w:noWrap/>
            <w:vAlign w:val="center"/>
            <w:hideMark/>
          </w:tcPr>
          <w:p w14:paraId="3CC8575F"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3-15</w:t>
            </w:r>
          </w:p>
        </w:tc>
        <w:tc>
          <w:tcPr>
            <w:tcW w:w="0" w:type="auto"/>
            <w:shd w:val="clear" w:color="auto" w:fill="auto"/>
            <w:noWrap/>
            <w:vAlign w:val="center"/>
            <w:hideMark/>
          </w:tcPr>
          <w:p w14:paraId="6CCCB372"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0.052</w:t>
            </w:r>
          </w:p>
        </w:tc>
        <w:tc>
          <w:tcPr>
            <w:tcW w:w="0" w:type="auto"/>
            <w:shd w:val="clear" w:color="auto" w:fill="auto"/>
            <w:noWrap/>
            <w:vAlign w:val="center"/>
            <w:hideMark/>
          </w:tcPr>
          <w:p w14:paraId="040D17C0"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0.17</w:t>
            </w:r>
          </w:p>
        </w:tc>
      </w:tr>
      <w:tr w:rsidR="00364F53" w:rsidRPr="00C33195" w14:paraId="3F06E0D3" w14:textId="77777777" w:rsidTr="00E65993">
        <w:trPr>
          <w:trHeight w:val="300"/>
          <w:jc w:val="center"/>
        </w:trPr>
        <w:tc>
          <w:tcPr>
            <w:tcW w:w="0" w:type="auto"/>
            <w:shd w:val="clear" w:color="auto" w:fill="auto"/>
            <w:noWrap/>
            <w:vAlign w:val="center"/>
            <w:hideMark/>
          </w:tcPr>
          <w:p w14:paraId="224787C7"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2D30B14A" w14:textId="77777777" w:rsidR="00364F53" w:rsidRPr="003672CB" w:rsidRDefault="003672CB" w:rsidP="003672CB">
            <w:pPr>
              <w:spacing w:line="276" w:lineRule="auto"/>
              <w:jc w:val="center"/>
              <w:rPr>
                <w:rFonts w:ascii="Times New Roman" w:eastAsia="Times New Roman" w:hAnsi="Times New Roman" w:cs="Times New Roman"/>
                <w:color w:val="000000" w:themeColor="text1"/>
                <w:sz w:val="22"/>
                <w:szCs w:val="22"/>
                <w:lang w:val="en-GB"/>
              </w:rPr>
            </w:pPr>
            <w:r>
              <w:rPr>
                <w:rFonts w:ascii="Times New Roman" w:eastAsia="Times New Roman" w:hAnsi="Times New Roman" w:cs="Times New Roman"/>
                <w:color w:val="000000" w:themeColor="text1"/>
                <w:sz w:val="22"/>
                <w:szCs w:val="22"/>
                <w:lang w:val="en-GB"/>
              </w:rPr>
              <w:t>R² = 0.999</w:t>
            </w:r>
          </w:p>
        </w:tc>
        <w:tc>
          <w:tcPr>
            <w:tcW w:w="0" w:type="auto"/>
            <w:shd w:val="clear" w:color="auto" w:fill="auto"/>
            <w:noWrap/>
            <w:vAlign w:val="center"/>
            <w:hideMark/>
          </w:tcPr>
          <w:p w14:paraId="400E2F1C"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7B322D18"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4EF8EF73"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r>
      <w:tr w:rsidR="00364F53" w:rsidRPr="00C33195" w14:paraId="32280F9D" w14:textId="77777777" w:rsidTr="00E65993">
        <w:trPr>
          <w:trHeight w:val="300"/>
          <w:jc w:val="center"/>
        </w:trPr>
        <w:tc>
          <w:tcPr>
            <w:tcW w:w="0" w:type="auto"/>
            <w:shd w:val="clear" w:color="auto" w:fill="auto"/>
            <w:noWrap/>
            <w:vAlign w:val="center"/>
            <w:hideMark/>
          </w:tcPr>
          <w:p w14:paraId="05EBD486"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Heptanal</w:t>
            </w:r>
          </w:p>
        </w:tc>
        <w:tc>
          <w:tcPr>
            <w:tcW w:w="0" w:type="auto"/>
            <w:shd w:val="clear" w:color="auto" w:fill="auto"/>
            <w:noWrap/>
            <w:vAlign w:val="center"/>
            <w:hideMark/>
          </w:tcPr>
          <w:p w14:paraId="4344D24D" w14:textId="77777777" w:rsidR="00364F53" w:rsidRPr="003672CB" w:rsidRDefault="00364F53" w:rsidP="003672CB">
            <w:pPr>
              <w:spacing w:line="276" w:lineRule="auto"/>
              <w:jc w:val="center"/>
              <w:rPr>
                <w:rFonts w:ascii="Times New Roman" w:eastAsia="Times New Roman" w:hAnsi="Times New Roman" w:cs="Times New Roman"/>
                <w:color w:val="000000" w:themeColor="text1"/>
                <w:sz w:val="22"/>
                <w:szCs w:val="22"/>
                <w:lang w:val="en-GB"/>
              </w:rPr>
            </w:pPr>
            <w:r w:rsidRPr="003672CB">
              <w:rPr>
                <w:rFonts w:ascii="Times New Roman" w:eastAsia="Times New Roman" w:hAnsi="Times New Roman" w:cs="Times New Roman"/>
                <w:color w:val="000000" w:themeColor="text1"/>
                <w:sz w:val="22"/>
                <w:szCs w:val="22"/>
                <w:lang w:val="en-GB"/>
              </w:rPr>
              <w:t>y = 0.2323x - 0.1521</w:t>
            </w:r>
          </w:p>
        </w:tc>
        <w:tc>
          <w:tcPr>
            <w:tcW w:w="0" w:type="auto"/>
            <w:shd w:val="clear" w:color="auto" w:fill="auto"/>
            <w:noWrap/>
            <w:vAlign w:val="center"/>
            <w:hideMark/>
          </w:tcPr>
          <w:p w14:paraId="4244A199"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1.7-7</w:t>
            </w:r>
          </w:p>
        </w:tc>
        <w:tc>
          <w:tcPr>
            <w:tcW w:w="0" w:type="auto"/>
            <w:shd w:val="clear" w:color="auto" w:fill="auto"/>
            <w:noWrap/>
            <w:vAlign w:val="center"/>
            <w:hideMark/>
          </w:tcPr>
          <w:p w14:paraId="5DF84B50"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0.008</w:t>
            </w:r>
          </w:p>
        </w:tc>
        <w:tc>
          <w:tcPr>
            <w:tcW w:w="0" w:type="auto"/>
            <w:shd w:val="clear" w:color="auto" w:fill="auto"/>
            <w:noWrap/>
            <w:vAlign w:val="center"/>
            <w:hideMark/>
          </w:tcPr>
          <w:p w14:paraId="196E2903"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0.025</w:t>
            </w:r>
          </w:p>
        </w:tc>
      </w:tr>
      <w:tr w:rsidR="00364F53" w:rsidRPr="00C33195" w14:paraId="2190BDDC" w14:textId="77777777" w:rsidTr="00E65993">
        <w:trPr>
          <w:trHeight w:val="300"/>
          <w:jc w:val="center"/>
        </w:trPr>
        <w:tc>
          <w:tcPr>
            <w:tcW w:w="0" w:type="auto"/>
            <w:shd w:val="clear" w:color="auto" w:fill="auto"/>
            <w:noWrap/>
            <w:vAlign w:val="center"/>
            <w:hideMark/>
          </w:tcPr>
          <w:p w14:paraId="45EBC45D"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00D904D2" w14:textId="77777777" w:rsidR="00364F53" w:rsidRPr="003672CB" w:rsidRDefault="003672CB" w:rsidP="003672CB">
            <w:pPr>
              <w:spacing w:line="276" w:lineRule="auto"/>
              <w:jc w:val="center"/>
              <w:rPr>
                <w:rFonts w:ascii="Times New Roman" w:eastAsia="Times New Roman" w:hAnsi="Times New Roman" w:cs="Times New Roman"/>
                <w:color w:val="000000" w:themeColor="text1"/>
                <w:sz w:val="22"/>
                <w:szCs w:val="22"/>
                <w:lang w:val="en-GB"/>
              </w:rPr>
            </w:pPr>
            <w:r>
              <w:rPr>
                <w:rFonts w:ascii="Times New Roman" w:eastAsia="Times New Roman" w:hAnsi="Times New Roman" w:cs="Times New Roman"/>
                <w:color w:val="000000" w:themeColor="text1"/>
                <w:sz w:val="22"/>
                <w:szCs w:val="22"/>
                <w:lang w:val="en-GB"/>
              </w:rPr>
              <w:t>R² = 0.966</w:t>
            </w:r>
          </w:p>
        </w:tc>
        <w:tc>
          <w:tcPr>
            <w:tcW w:w="0" w:type="auto"/>
            <w:shd w:val="clear" w:color="auto" w:fill="auto"/>
            <w:noWrap/>
            <w:vAlign w:val="center"/>
            <w:hideMark/>
          </w:tcPr>
          <w:p w14:paraId="209AA862"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683A8500"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280D4EB2"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r>
      <w:tr w:rsidR="00364F53" w:rsidRPr="00C33195" w14:paraId="4B45CB90" w14:textId="77777777" w:rsidTr="00E65993">
        <w:trPr>
          <w:trHeight w:val="300"/>
          <w:jc w:val="center"/>
        </w:trPr>
        <w:tc>
          <w:tcPr>
            <w:tcW w:w="0" w:type="auto"/>
            <w:shd w:val="clear" w:color="auto" w:fill="auto"/>
            <w:noWrap/>
            <w:vAlign w:val="center"/>
            <w:hideMark/>
          </w:tcPr>
          <w:p w14:paraId="48D0676E"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3-OH-2-Butanone</w:t>
            </w:r>
          </w:p>
        </w:tc>
        <w:tc>
          <w:tcPr>
            <w:tcW w:w="0" w:type="auto"/>
            <w:shd w:val="clear" w:color="auto" w:fill="auto"/>
            <w:noWrap/>
            <w:vAlign w:val="center"/>
            <w:hideMark/>
          </w:tcPr>
          <w:p w14:paraId="7E1CBDE0" w14:textId="77777777" w:rsidR="00364F53" w:rsidRPr="003672CB" w:rsidRDefault="00364F53" w:rsidP="003672CB">
            <w:pPr>
              <w:spacing w:line="276" w:lineRule="auto"/>
              <w:jc w:val="center"/>
              <w:rPr>
                <w:rFonts w:ascii="Times New Roman" w:eastAsia="Times New Roman" w:hAnsi="Times New Roman" w:cs="Times New Roman"/>
                <w:color w:val="000000" w:themeColor="text1"/>
                <w:sz w:val="22"/>
                <w:szCs w:val="22"/>
                <w:lang w:val="en-GB"/>
              </w:rPr>
            </w:pPr>
            <w:r w:rsidRPr="003672CB">
              <w:rPr>
                <w:rFonts w:ascii="Times New Roman" w:eastAsia="Times New Roman" w:hAnsi="Times New Roman" w:cs="Times New Roman"/>
                <w:color w:val="000000" w:themeColor="text1"/>
                <w:sz w:val="22"/>
                <w:szCs w:val="22"/>
                <w:lang w:val="en-GB"/>
              </w:rPr>
              <w:t>y = 0.0036x + 0.0016</w:t>
            </w:r>
          </w:p>
        </w:tc>
        <w:tc>
          <w:tcPr>
            <w:tcW w:w="0" w:type="auto"/>
            <w:shd w:val="clear" w:color="auto" w:fill="auto"/>
            <w:noWrap/>
            <w:vAlign w:val="center"/>
            <w:hideMark/>
          </w:tcPr>
          <w:p w14:paraId="2FAD2F31"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1.7-7</w:t>
            </w:r>
          </w:p>
        </w:tc>
        <w:tc>
          <w:tcPr>
            <w:tcW w:w="0" w:type="auto"/>
            <w:shd w:val="clear" w:color="auto" w:fill="auto"/>
            <w:noWrap/>
            <w:vAlign w:val="center"/>
            <w:hideMark/>
          </w:tcPr>
          <w:p w14:paraId="21F8252C"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0.18</w:t>
            </w:r>
          </w:p>
        </w:tc>
        <w:tc>
          <w:tcPr>
            <w:tcW w:w="0" w:type="auto"/>
            <w:shd w:val="clear" w:color="auto" w:fill="auto"/>
            <w:noWrap/>
            <w:vAlign w:val="center"/>
            <w:hideMark/>
          </w:tcPr>
          <w:p w14:paraId="47B6CF91"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0.6</w:t>
            </w:r>
          </w:p>
        </w:tc>
      </w:tr>
      <w:tr w:rsidR="00364F53" w:rsidRPr="00C33195" w14:paraId="05B34C7B" w14:textId="77777777" w:rsidTr="00E65993">
        <w:trPr>
          <w:trHeight w:val="300"/>
          <w:jc w:val="center"/>
        </w:trPr>
        <w:tc>
          <w:tcPr>
            <w:tcW w:w="0" w:type="auto"/>
            <w:shd w:val="clear" w:color="auto" w:fill="auto"/>
            <w:noWrap/>
            <w:vAlign w:val="center"/>
            <w:hideMark/>
          </w:tcPr>
          <w:p w14:paraId="4F9F1DA4"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2640FD9D" w14:textId="77777777" w:rsidR="00364F53" w:rsidRPr="003672CB" w:rsidRDefault="003672CB" w:rsidP="003672CB">
            <w:pPr>
              <w:spacing w:line="276" w:lineRule="auto"/>
              <w:jc w:val="center"/>
              <w:rPr>
                <w:rFonts w:ascii="Times New Roman" w:eastAsia="Times New Roman" w:hAnsi="Times New Roman" w:cs="Times New Roman"/>
                <w:color w:val="000000" w:themeColor="text1"/>
                <w:sz w:val="22"/>
                <w:szCs w:val="22"/>
                <w:lang w:val="en-GB"/>
              </w:rPr>
            </w:pPr>
            <w:r>
              <w:rPr>
                <w:rFonts w:ascii="Times New Roman" w:eastAsia="Times New Roman" w:hAnsi="Times New Roman" w:cs="Times New Roman"/>
                <w:color w:val="000000" w:themeColor="text1"/>
                <w:sz w:val="22"/>
                <w:szCs w:val="22"/>
                <w:lang w:val="en-GB"/>
              </w:rPr>
              <w:t>R² = 0.974</w:t>
            </w:r>
          </w:p>
        </w:tc>
        <w:tc>
          <w:tcPr>
            <w:tcW w:w="0" w:type="auto"/>
            <w:shd w:val="clear" w:color="auto" w:fill="auto"/>
            <w:noWrap/>
            <w:vAlign w:val="center"/>
            <w:hideMark/>
          </w:tcPr>
          <w:p w14:paraId="264E2C21"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1FFFBB64"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30C4B728"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r>
      <w:tr w:rsidR="00364F53" w:rsidRPr="00C33195" w14:paraId="36F94E50" w14:textId="77777777" w:rsidTr="00E65993">
        <w:trPr>
          <w:trHeight w:val="300"/>
          <w:jc w:val="center"/>
        </w:trPr>
        <w:tc>
          <w:tcPr>
            <w:tcW w:w="0" w:type="auto"/>
            <w:shd w:val="clear" w:color="auto" w:fill="auto"/>
            <w:noWrap/>
            <w:vAlign w:val="center"/>
            <w:hideMark/>
          </w:tcPr>
          <w:p w14:paraId="4A89C115"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Acetic acid</w:t>
            </w:r>
          </w:p>
        </w:tc>
        <w:tc>
          <w:tcPr>
            <w:tcW w:w="0" w:type="auto"/>
            <w:shd w:val="clear" w:color="auto" w:fill="auto"/>
            <w:noWrap/>
            <w:vAlign w:val="center"/>
            <w:hideMark/>
          </w:tcPr>
          <w:p w14:paraId="21C11786" w14:textId="77777777" w:rsidR="00364F53" w:rsidRPr="003672CB" w:rsidRDefault="00364F53" w:rsidP="003672CB">
            <w:pPr>
              <w:spacing w:line="276" w:lineRule="auto"/>
              <w:jc w:val="center"/>
              <w:rPr>
                <w:rFonts w:ascii="Times New Roman" w:eastAsia="Times New Roman" w:hAnsi="Times New Roman" w:cs="Times New Roman"/>
                <w:color w:val="000000" w:themeColor="text1"/>
                <w:sz w:val="22"/>
                <w:szCs w:val="22"/>
                <w:lang w:val="en-GB"/>
              </w:rPr>
            </w:pPr>
            <w:r w:rsidRPr="003672CB">
              <w:rPr>
                <w:rFonts w:ascii="Times New Roman" w:eastAsia="Times New Roman" w:hAnsi="Times New Roman" w:cs="Times New Roman"/>
                <w:color w:val="000000" w:themeColor="text1"/>
                <w:sz w:val="22"/>
                <w:szCs w:val="22"/>
                <w:lang w:val="en-GB"/>
              </w:rPr>
              <w:t>y = 0.0003x + 0.0045</w:t>
            </w:r>
          </w:p>
        </w:tc>
        <w:tc>
          <w:tcPr>
            <w:tcW w:w="0" w:type="auto"/>
            <w:shd w:val="clear" w:color="auto" w:fill="auto"/>
            <w:noWrap/>
            <w:vAlign w:val="center"/>
            <w:hideMark/>
          </w:tcPr>
          <w:p w14:paraId="07B041CE"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5-25</w:t>
            </w:r>
          </w:p>
        </w:tc>
        <w:tc>
          <w:tcPr>
            <w:tcW w:w="0" w:type="auto"/>
            <w:shd w:val="clear" w:color="auto" w:fill="auto"/>
            <w:noWrap/>
            <w:vAlign w:val="center"/>
            <w:hideMark/>
          </w:tcPr>
          <w:p w14:paraId="0FD93250"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14</w:t>
            </w:r>
          </w:p>
        </w:tc>
        <w:tc>
          <w:tcPr>
            <w:tcW w:w="0" w:type="auto"/>
            <w:shd w:val="clear" w:color="auto" w:fill="auto"/>
            <w:noWrap/>
            <w:vAlign w:val="center"/>
            <w:hideMark/>
          </w:tcPr>
          <w:p w14:paraId="1A6BDC90"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46</w:t>
            </w:r>
          </w:p>
        </w:tc>
      </w:tr>
      <w:tr w:rsidR="00364F53" w:rsidRPr="00C33195" w14:paraId="16E0EDA7" w14:textId="77777777" w:rsidTr="00E65993">
        <w:trPr>
          <w:trHeight w:val="300"/>
          <w:jc w:val="center"/>
        </w:trPr>
        <w:tc>
          <w:tcPr>
            <w:tcW w:w="0" w:type="auto"/>
            <w:shd w:val="clear" w:color="auto" w:fill="auto"/>
            <w:noWrap/>
            <w:vAlign w:val="center"/>
            <w:hideMark/>
          </w:tcPr>
          <w:p w14:paraId="153E3047"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0DCEC5C6" w14:textId="77777777" w:rsidR="00364F53" w:rsidRPr="003672CB" w:rsidRDefault="003672CB" w:rsidP="003672CB">
            <w:pPr>
              <w:spacing w:line="276" w:lineRule="auto"/>
              <w:jc w:val="center"/>
              <w:rPr>
                <w:rFonts w:ascii="Times New Roman" w:eastAsia="Times New Roman" w:hAnsi="Times New Roman" w:cs="Times New Roman"/>
                <w:color w:val="000000" w:themeColor="text1"/>
                <w:sz w:val="22"/>
                <w:szCs w:val="22"/>
                <w:lang w:val="en-GB"/>
              </w:rPr>
            </w:pPr>
            <w:r>
              <w:rPr>
                <w:rFonts w:ascii="Times New Roman" w:eastAsia="Times New Roman" w:hAnsi="Times New Roman" w:cs="Times New Roman"/>
                <w:color w:val="000000" w:themeColor="text1"/>
                <w:sz w:val="22"/>
                <w:szCs w:val="22"/>
                <w:lang w:val="en-GB"/>
              </w:rPr>
              <w:t>R² = 0.997</w:t>
            </w:r>
          </w:p>
        </w:tc>
        <w:tc>
          <w:tcPr>
            <w:tcW w:w="0" w:type="auto"/>
            <w:shd w:val="clear" w:color="auto" w:fill="auto"/>
            <w:noWrap/>
            <w:vAlign w:val="center"/>
            <w:hideMark/>
          </w:tcPr>
          <w:p w14:paraId="5085F653"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3E47AD3D"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5ECDC3E4"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r>
      <w:tr w:rsidR="00364F53" w:rsidRPr="00C33195" w14:paraId="618E9103" w14:textId="77777777" w:rsidTr="00E65993">
        <w:trPr>
          <w:trHeight w:val="300"/>
          <w:jc w:val="center"/>
        </w:trPr>
        <w:tc>
          <w:tcPr>
            <w:tcW w:w="0" w:type="auto"/>
            <w:shd w:val="clear" w:color="auto" w:fill="auto"/>
            <w:noWrap/>
            <w:vAlign w:val="center"/>
            <w:hideMark/>
          </w:tcPr>
          <w:p w14:paraId="4E09E1C1"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Propionic acid</w:t>
            </w:r>
          </w:p>
        </w:tc>
        <w:tc>
          <w:tcPr>
            <w:tcW w:w="0" w:type="auto"/>
            <w:shd w:val="clear" w:color="auto" w:fill="auto"/>
            <w:noWrap/>
            <w:vAlign w:val="center"/>
            <w:hideMark/>
          </w:tcPr>
          <w:p w14:paraId="6C268AE4" w14:textId="77777777" w:rsidR="00364F53" w:rsidRPr="003672CB" w:rsidRDefault="00364F53" w:rsidP="003672CB">
            <w:pPr>
              <w:spacing w:line="276" w:lineRule="auto"/>
              <w:jc w:val="center"/>
              <w:rPr>
                <w:rFonts w:ascii="Times New Roman" w:eastAsia="Times New Roman" w:hAnsi="Times New Roman" w:cs="Times New Roman"/>
                <w:color w:val="000000" w:themeColor="text1"/>
                <w:sz w:val="22"/>
                <w:szCs w:val="22"/>
                <w:lang w:val="en-GB"/>
              </w:rPr>
            </w:pPr>
            <w:r w:rsidRPr="003672CB">
              <w:rPr>
                <w:rFonts w:ascii="Times New Roman" w:eastAsia="Times New Roman" w:hAnsi="Times New Roman" w:cs="Times New Roman"/>
                <w:color w:val="000000" w:themeColor="text1"/>
                <w:sz w:val="22"/>
                <w:szCs w:val="22"/>
                <w:lang w:val="en-GB"/>
              </w:rPr>
              <w:t>y = 0.0003x + 0.001</w:t>
            </w:r>
          </w:p>
        </w:tc>
        <w:tc>
          <w:tcPr>
            <w:tcW w:w="0" w:type="auto"/>
            <w:shd w:val="clear" w:color="auto" w:fill="auto"/>
            <w:noWrap/>
            <w:vAlign w:val="center"/>
            <w:hideMark/>
          </w:tcPr>
          <w:p w14:paraId="1DAB4E9B"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3-15</w:t>
            </w:r>
          </w:p>
        </w:tc>
        <w:tc>
          <w:tcPr>
            <w:tcW w:w="0" w:type="auto"/>
            <w:shd w:val="clear" w:color="auto" w:fill="auto"/>
            <w:noWrap/>
            <w:vAlign w:val="center"/>
            <w:hideMark/>
          </w:tcPr>
          <w:p w14:paraId="4FF35ADD"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1.3</w:t>
            </w:r>
          </w:p>
        </w:tc>
        <w:tc>
          <w:tcPr>
            <w:tcW w:w="0" w:type="auto"/>
            <w:shd w:val="clear" w:color="auto" w:fill="auto"/>
            <w:noWrap/>
            <w:vAlign w:val="center"/>
            <w:hideMark/>
          </w:tcPr>
          <w:p w14:paraId="45F19FDC"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4.3</w:t>
            </w:r>
          </w:p>
        </w:tc>
      </w:tr>
      <w:tr w:rsidR="00364F53" w:rsidRPr="00C33195" w14:paraId="0B6C4B5A" w14:textId="77777777" w:rsidTr="00E65993">
        <w:trPr>
          <w:trHeight w:val="300"/>
          <w:jc w:val="center"/>
        </w:trPr>
        <w:tc>
          <w:tcPr>
            <w:tcW w:w="0" w:type="auto"/>
            <w:shd w:val="clear" w:color="auto" w:fill="auto"/>
            <w:noWrap/>
            <w:vAlign w:val="center"/>
            <w:hideMark/>
          </w:tcPr>
          <w:p w14:paraId="355E14FB"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7557A271" w14:textId="77777777" w:rsidR="00364F53" w:rsidRPr="003672CB" w:rsidRDefault="003672CB" w:rsidP="003672CB">
            <w:pPr>
              <w:spacing w:line="276" w:lineRule="auto"/>
              <w:jc w:val="center"/>
              <w:rPr>
                <w:rFonts w:ascii="Times New Roman" w:eastAsia="Times New Roman" w:hAnsi="Times New Roman" w:cs="Times New Roman"/>
                <w:color w:val="000000" w:themeColor="text1"/>
                <w:sz w:val="22"/>
                <w:szCs w:val="22"/>
                <w:lang w:val="en-GB"/>
              </w:rPr>
            </w:pPr>
            <w:r>
              <w:rPr>
                <w:rFonts w:ascii="Times New Roman" w:eastAsia="Times New Roman" w:hAnsi="Times New Roman" w:cs="Times New Roman"/>
                <w:color w:val="000000" w:themeColor="text1"/>
                <w:sz w:val="22"/>
                <w:szCs w:val="22"/>
                <w:lang w:val="en-GB"/>
              </w:rPr>
              <w:t>R² = 0.998</w:t>
            </w:r>
          </w:p>
        </w:tc>
        <w:tc>
          <w:tcPr>
            <w:tcW w:w="0" w:type="auto"/>
            <w:shd w:val="clear" w:color="auto" w:fill="auto"/>
            <w:noWrap/>
            <w:vAlign w:val="center"/>
            <w:hideMark/>
          </w:tcPr>
          <w:p w14:paraId="3DFFD145"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1A0C269A"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5F318FF3"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r>
      <w:tr w:rsidR="00364F53" w:rsidRPr="00C33195" w14:paraId="10A573E2" w14:textId="77777777" w:rsidTr="00E65993">
        <w:trPr>
          <w:trHeight w:val="300"/>
          <w:jc w:val="center"/>
        </w:trPr>
        <w:tc>
          <w:tcPr>
            <w:tcW w:w="0" w:type="auto"/>
            <w:shd w:val="clear" w:color="auto" w:fill="auto"/>
            <w:noWrap/>
            <w:vAlign w:val="center"/>
            <w:hideMark/>
          </w:tcPr>
          <w:p w14:paraId="549368A7"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Butanoic acid</w:t>
            </w:r>
          </w:p>
        </w:tc>
        <w:tc>
          <w:tcPr>
            <w:tcW w:w="0" w:type="auto"/>
            <w:shd w:val="clear" w:color="auto" w:fill="auto"/>
            <w:noWrap/>
            <w:vAlign w:val="center"/>
            <w:hideMark/>
          </w:tcPr>
          <w:p w14:paraId="3622A7E9" w14:textId="77777777" w:rsidR="00364F53" w:rsidRPr="003672CB" w:rsidRDefault="00364F53" w:rsidP="003672CB">
            <w:pPr>
              <w:spacing w:line="276" w:lineRule="auto"/>
              <w:jc w:val="center"/>
              <w:rPr>
                <w:rFonts w:ascii="Times New Roman" w:eastAsia="Times New Roman" w:hAnsi="Times New Roman" w:cs="Times New Roman"/>
                <w:color w:val="000000" w:themeColor="text1"/>
                <w:sz w:val="22"/>
                <w:szCs w:val="22"/>
                <w:lang w:val="en-GB"/>
              </w:rPr>
            </w:pPr>
            <w:r w:rsidRPr="003672CB">
              <w:rPr>
                <w:rFonts w:ascii="Times New Roman" w:eastAsia="Times New Roman" w:hAnsi="Times New Roman" w:cs="Times New Roman"/>
                <w:color w:val="000000" w:themeColor="text1"/>
                <w:sz w:val="22"/>
                <w:szCs w:val="22"/>
                <w:lang w:val="en-GB"/>
              </w:rPr>
              <w:t>y = 0.0019x + 0.0097</w:t>
            </w:r>
          </w:p>
        </w:tc>
        <w:tc>
          <w:tcPr>
            <w:tcW w:w="0" w:type="auto"/>
            <w:shd w:val="clear" w:color="auto" w:fill="auto"/>
            <w:noWrap/>
            <w:vAlign w:val="center"/>
            <w:hideMark/>
          </w:tcPr>
          <w:p w14:paraId="6A9055EE"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3-15</w:t>
            </w:r>
          </w:p>
        </w:tc>
        <w:tc>
          <w:tcPr>
            <w:tcW w:w="0" w:type="auto"/>
            <w:shd w:val="clear" w:color="auto" w:fill="auto"/>
            <w:noWrap/>
            <w:vAlign w:val="center"/>
            <w:hideMark/>
          </w:tcPr>
          <w:p w14:paraId="3E3D85D2"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0.3</w:t>
            </w:r>
          </w:p>
        </w:tc>
        <w:tc>
          <w:tcPr>
            <w:tcW w:w="0" w:type="auto"/>
            <w:shd w:val="clear" w:color="auto" w:fill="auto"/>
            <w:noWrap/>
            <w:vAlign w:val="center"/>
            <w:hideMark/>
          </w:tcPr>
          <w:p w14:paraId="59439484"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0.9</w:t>
            </w:r>
          </w:p>
        </w:tc>
      </w:tr>
      <w:tr w:rsidR="00364F53" w:rsidRPr="00C33195" w14:paraId="3863061C" w14:textId="77777777" w:rsidTr="00E65993">
        <w:trPr>
          <w:trHeight w:val="300"/>
          <w:jc w:val="center"/>
        </w:trPr>
        <w:tc>
          <w:tcPr>
            <w:tcW w:w="0" w:type="auto"/>
            <w:shd w:val="clear" w:color="auto" w:fill="auto"/>
            <w:noWrap/>
            <w:vAlign w:val="center"/>
            <w:hideMark/>
          </w:tcPr>
          <w:p w14:paraId="365B561B"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69031BB4" w14:textId="77777777" w:rsidR="00364F53" w:rsidRPr="003672CB" w:rsidRDefault="003672CB" w:rsidP="003672CB">
            <w:pPr>
              <w:spacing w:line="276" w:lineRule="auto"/>
              <w:jc w:val="center"/>
              <w:rPr>
                <w:rFonts w:ascii="Times New Roman" w:eastAsia="Times New Roman" w:hAnsi="Times New Roman" w:cs="Times New Roman"/>
                <w:color w:val="000000" w:themeColor="text1"/>
                <w:sz w:val="22"/>
                <w:szCs w:val="22"/>
                <w:lang w:val="en-GB"/>
              </w:rPr>
            </w:pPr>
            <w:r>
              <w:rPr>
                <w:rFonts w:ascii="Times New Roman" w:eastAsia="Times New Roman" w:hAnsi="Times New Roman" w:cs="Times New Roman"/>
                <w:color w:val="000000" w:themeColor="text1"/>
                <w:sz w:val="22"/>
                <w:szCs w:val="22"/>
                <w:lang w:val="en-GB"/>
              </w:rPr>
              <w:t>R² = 0.999</w:t>
            </w:r>
          </w:p>
        </w:tc>
        <w:tc>
          <w:tcPr>
            <w:tcW w:w="0" w:type="auto"/>
            <w:shd w:val="clear" w:color="auto" w:fill="auto"/>
            <w:noWrap/>
            <w:vAlign w:val="center"/>
            <w:hideMark/>
          </w:tcPr>
          <w:p w14:paraId="374AB6B0"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484F3FCD"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c>
          <w:tcPr>
            <w:tcW w:w="0" w:type="auto"/>
            <w:shd w:val="clear" w:color="auto" w:fill="auto"/>
            <w:noWrap/>
            <w:vAlign w:val="center"/>
            <w:hideMark/>
          </w:tcPr>
          <w:p w14:paraId="234F685A" w14:textId="77777777" w:rsidR="00364F53" w:rsidRPr="00C33195" w:rsidRDefault="00364F53" w:rsidP="003672CB">
            <w:pPr>
              <w:spacing w:line="276" w:lineRule="auto"/>
              <w:jc w:val="center"/>
              <w:rPr>
                <w:rFonts w:ascii="Times New Roman" w:eastAsia="Times New Roman" w:hAnsi="Times New Roman" w:cs="Times New Roman"/>
                <w:color w:val="000000"/>
                <w:sz w:val="22"/>
                <w:szCs w:val="22"/>
                <w:lang w:val="en-GB"/>
              </w:rPr>
            </w:pPr>
          </w:p>
        </w:tc>
      </w:tr>
    </w:tbl>
    <w:p w14:paraId="49EE299A" w14:textId="77777777" w:rsidR="00364F53" w:rsidRPr="00C33195" w:rsidRDefault="00364F53" w:rsidP="00875587">
      <w:pPr>
        <w:spacing w:line="360" w:lineRule="auto"/>
        <w:jc w:val="both"/>
        <w:rPr>
          <w:rFonts w:ascii="Times New Roman" w:hAnsi="Times New Roman" w:cs="Times New Roman"/>
          <w:lang w:val="en-GB"/>
        </w:rPr>
      </w:pPr>
    </w:p>
    <w:p w14:paraId="50BED315" w14:textId="77777777" w:rsidR="00845E49" w:rsidRPr="00C33195" w:rsidRDefault="00845E49"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 xml:space="preserve">All of the compounds showed good linearity </w:t>
      </w:r>
      <w:r w:rsidR="00B131EB" w:rsidRPr="00C33195">
        <w:rPr>
          <w:rFonts w:ascii="Times New Roman" w:hAnsi="Times New Roman" w:cs="Times New Roman"/>
          <w:lang w:val="en-GB"/>
        </w:rPr>
        <w:t>after normalization with the internal standard (</w:t>
      </w:r>
      <w:r w:rsidR="00B131EB" w:rsidRPr="00C33195">
        <w:rPr>
          <w:rFonts w:ascii="Times New Roman" w:hAnsi="Times New Roman" w:cs="Times New Roman"/>
          <w:vertAlign w:val="superscript"/>
          <w:lang w:val="en-GB"/>
        </w:rPr>
        <w:t>13</w:t>
      </w:r>
      <w:r w:rsidR="00B131EB" w:rsidRPr="00C33195">
        <w:rPr>
          <w:rFonts w:ascii="Times New Roman" w:hAnsi="Times New Roman" w:cs="Times New Roman"/>
          <w:lang w:val="en-GB"/>
        </w:rPr>
        <w:t>C Butanoic acid for SCFAs, ethanol-d</w:t>
      </w:r>
      <w:r w:rsidR="00B131EB" w:rsidRPr="00C33195">
        <w:rPr>
          <w:rFonts w:ascii="Times New Roman" w:hAnsi="Times New Roman" w:cs="Times New Roman"/>
          <w:vertAlign w:val="subscript"/>
          <w:lang w:val="en-GB"/>
        </w:rPr>
        <w:t>3</w:t>
      </w:r>
      <w:r w:rsidR="00B131EB" w:rsidRPr="00C33195">
        <w:rPr>
          <w:rFonts w:ascii="Times New Roman" w:hAnsi="Times New Roman" w:cs="Times New Roman"/>
          <w:lang w:val="en-GB"/>
        </w:rPr>
        <w:t xml:space="preserve"> for the other) </w:t>
      </w:r>
      <w:r w:rsidRPr="00C33195">
        <w:rPr>
          <w:rFonts w:ascii="Times New Roman" w:hAnsi="Times New Roman" w:cs="Times New Roman"/>
          <w:lang w:val="en-GB"/>
        </w:rPr>
        <w:t xml:space="preserve">with determination coefficients </w:t>
      </w:r>
      <w:r w:rsidR="00B85AF0" w:rsidRPr="00C33195">
        <w:rPr>
          <w:rFonts w:ascii="Times New Roman" w:hAnsi="Times New Roman" w:cs="Times New Roman"/>
          <w:lang w:val="en-GB"/>
        </w:rPr>
        <w:t xml:space="preserve">between </w:t>
      </w:r>
      <w:r w:rsidR="005416FA" w:rsidRPr="00C33195">
        <w:rPr>
          <w:rFonts w:ascii="Times New Roman" w:hAnsi="Times New Roman" w:cs="Times New Roman"/>
          <w:lang w:val="en-GB"/>
        </w:rPr>
        <w:t>0.992</w:t>
      </w:r>
      <w:r w:rsidR="00B85AF0" w:rsidRPr="00C33195">
        <w:rPr>
          <w:rFonts w:ascii="Times New Roman" w:hAnsi="Times New Roman" w:cs="Times New Roman"/>
          <w:lang w:val="en-GB"/>
        </w:rPr>
        <w:t xml:space="preserve"> and</w:t>
      </w:r>
      <w:r w:rsidR="005416FA" w:rsidRPr="00C33195">
        <w:rPr>
          <w:rFonts w:ascii="Times New Roman" w:hAnsi="Times New Roman" w:cs="Times New Roman"/>
          <w:lang w:val="en-GB"/>
        </w:rPr>
        <w:t xml:space="preserve"> 0.999 (except in the worst case</w:t>
      </w:r>
      <w:r w:rsidR="0041452E">
        <w:rPr>
          <w:rFonts w:ascii="Times New Roman" w:hAnsi="Times New Roman" w:cs="Times New Roman"/>
          <w:lang w:val="en-GB"/>
        </w:rPr>
        <w:t>s</w:t>
      </w:r>
      <w:r w:rsidR="005416FA" w:rsidRPr="00C33195">
        <w:rPr>
          <w:rFonts w:ascii="Times New Roman" w:hAnsi="Times New Roman" w:cs="Times New Roman"/>
          <w:lang w:val="en-GB"/>
        </w:rPr>
        <w:t xml:space="preserve"> of heptanal, </w:t>
      </w:r>
      <w:r w:rsidR="00AB2A7A" w:rsidRPr="00C33195">
        <w:rPr>
          <w:rFonts w:ascii="Times New Roman" w:hAnsi="Times New Roman" w:cs="Times New Roman"/>
          <w:lang w:val="en-GB"/>
        </w:rPr>
        <w:t>R</w:t>
      </w:r>
      <w:r w:rsidR="00AB2A7A" w:rsidRPr="00C33195">
        <w:rPr>
          <w:rFonts w:ascii="Times New Roman" w:hAnsi="Times New Roman" w:cs="Times New Roman"/>
          <w:vertAlign w:val="superscript"/>
          <w:lang w:val="en-GB"/>
        </w:rPr>
        <w:t>2</w:t>
      </w:r>
      <w:r w:rsidR="00AB2A7A" w:rsidRPr="00C33195">
        <w:rPr>
          <w:rFonts w:ascii="Times New Roman" w:hAnsi="Times New Roman" w:cs="Times New Roman"/>
          <w:lang w:val="en-GB"/>
        </w:rPr>
        <w:t xml:space="preserve"> </w:t>
      </w:r>
      <w:r w:rsidR="005416FA" w:rsidRPr="00C33195">
        <w:rPr>
          <w:rFonts w:ascii="Times New Roman" w:hAnsi="Times New Roman" w:cs="Times New Roman"/>
          <w:lang w:val="en-GB"/>
        </w:rPr>
        <w:t>0.966</w:t>
      </w:r>
      <w:r w:rsidR="0041452E">
        <w:rPr>
          <w:rFonts w:ascii="Times New Roman" w:hAnsi="Times New Roman" w:cs="Times New Roman"/>
          <w:lang w:val="en-GB"/>
        </w:rPr>
        <w:t xml:space="preserve">, and </w:t>
      </w:r>
      <w:r w:rsidR="0041452E" w:rsidRPr="0041452E">
        <w:rPr>
          <w:rFonts w:ascii="Times New Roman" w:hAnsi="Times New Roman" w:cs="Times New Roman"/>
          <w:lang w:val="en-GB"/>
        </w:rPr>
        <w:t>3-OH-2-Butanone</w:t>
      </w:r>
      <w:r w:rsidR="0041452E">
        <w:rPr>
          <w:rFonts w:ascii="Times New Roman" w:hAnsi="Times New Roman" w:cs="Times New Roman"/>
          <w:lang w:val="en-GB"/>
        </w:rPr>
        <w:t>, R</w:t>
      </w:r>
      <w:r w:rsidR="0041452E" w:rsidRPr="0041452E">
        <w:rPr>
          <w:rFonts w:ascii="Times New Roman" w:hAnsi="Times New Roman" w:cs="Times New Roman"/>
          <w:vertAlign w:val="superscript"/>
          <w:lang w:val="en-GB"/>
        </w:rPr>
        <w:t>2</w:t>
      </w:r>
      <w:r w:rsidR="0041452E">
        <w:rPr>
          <w:rFonts w:ascii="Times New Roman" w:hAnsi="Times New Roman" w:cs="Times New Roman"/>
          <w:lang w:val="en-GB"/>
        </w:rPr>
        <w:t xml:space="preserve"> 0.974</w:t>
      </w:r>
      <w:r w:rsidR="005416FA" w:rsidRPr="00C33195">
        <w:rPr>
          <w:rFonts w:ascii="Times New Roman" w:hAnsi="Times New Roman" w:cs="Times New Roman"/>
          <w:lang w:val="en-GB"/>
        </w:rPr>
        <w:t>)</w:t>
      </w:r>
      <w:r w:rsidRPr="00C33195">
        <w:rPr>
          <w:rFonts w:ascii="Times New Roman" w:hAnsi="Times New Roman" w:cs="Times New Roman"/>
          <w:lang w:val="en-GB"/>
        </w:rPr>
        <w:t>.</w:t>
      </w:r>
    </w:p>
    <w:p w14:paraId="43B4BA2D" w14:textId="77777777" w:rsidR="002F31D9" w:rsidRPr="00C33195" w:rsidRDefault="00AB2A7A"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lastRenderedPageBreak/>
        <w:t xml:space="preserve">LODs have been calculated as </w:t>
      </w:r>
      <w:r w:rsidRPr="00C33195">
        <w:rPr>
          <w:rFonts w:ascii="Times New Roman" w:hAnsi="Times New Roman" w:cs="Times New Roman"/>
          <w:i/>
          <w:lang w:val="en-GB"/>
        </w:rPr>
        <w:t>3.9s</w:t>
      </w:r>
      <w:r w:rsidRPr="00C33195">
        <w:rPr>
          <w:rFonts w:ascii="Times New Roman" w:hAnsi="Times New Roman" w:cs="Times New Roman"/>
          <w:i/>
          <w:vertAlign w:val="subscript"/>
          <w:lang w:val="en-GB"/>
        </w:rPr>
        <w:t>y,b</w:t>
      </w:r>
      <w:r w:rsidRPr="00C33195">
        <w:rPr>
          <w:rFonts w:ascii="Times New Roman" w:hAnsi="Times New Roman" w:cs="Times New Roman"/>
          <w:i/>
          <w:lang w:val="en-GB"/>
        </w:rPr>
        <w:t>/b</w:t>
      </w:r>
      <w:r w:rsidRPr="00C33195">
        <w:rPr>
          <w:rFonts w:ascii="Times New Roman" w:hAnsi="Times New Roman" w:cs="Times New Roman"/>
          <w:lang w:val="en-GB"/>
        </w:rPr>
        <w:t xml:space="preserve"> where </w:t>
      </w:r>
      <w:proofErr w:type="spellStart"/>
      <w:r w:rsidRPr="00C33195">
        <w:rPr>
          <w:rFonts w:ascii="Times New Roman" w:hAnsi="Times New Roman" w:cs="Times New Roman"/>
          <w:i/>
          <w:lang w:val="en-GB"/>
        </w:rPr>
        <w:t>s</w:t>
      </w:r>
      <w:r w:rsidRPr="00C33195">
        <w:rPr>
          <w:rFonts w:ascii="Times New Roman" w:hAnsi="Times New Roman" w:cs="Times New Roman"/>
          <w:i/>
          <w:vertAlign w:val="subscript"/>
          <w:lang w:val="en-GB"/>
        </w:rPr>
        <w:t>y,b</w:t>
      </w:r>
      <w:proofErr w:type="spellEnd"/>
      <w:r w:rsidRPr="00C33195">
        <w:rPr>
          <w:rFonts w:ascii="Times New Roman" w:hAnsi="Times New Roman" w:cs="Times New Roman"/>
          <w:lang w:val="en-GB"/>
        </w:rPr>
        <w:t xml:space="preserve"> is the standard deviation of the blank signals and </w:t>
      </w:r>
      <w:r w:rsidRPr="00C33195">
        <w:rPr>
          <w:rFonts w:ascii="Times New Roman" w:hAnsi="Times New Roman" w:cs="Times New Roman"/>
          <w:i/>
          <w:lang w:val="en-GB"/>
        </w:rPr>
        <w:t>b</w:t>
      </w:r>
      <w:r w:rsidRPr="00C33195">
        <w:rPr>
          <w:rFonts w:ascii="Times New Roman" w:hAnsi="Times New Roman" w:cs="Times New Roman"/>
          <w:lang w:val="en-GB"/>
        </w:rPr>
        <w:t xml:space="preserve"> the slope of the calibration curve</w:t>
      </w:r>
      <w:r w:rsidR="00E8041A" w:rsidRPr="00C33195">
        <w:rPr>
          <w:rFonts w:ascii="Times New Roman" w:hAnsi="Times New Roman" w:cs="Times New Roman"/>
          <w:lang w:val="en-GB"/>
        </w:rPr>
        <w:t xml:space="preserve">. LOQs have been </w:t>
      </w:r>
      <w:r w:rsidR="00251A49">
        <w:rPr>
          <w:rFonts w:ascii="Times New Roman" w:hAnsi="Times New Roman" w:cs="Times New Roman"/>
          <w:lang w:val="en-GB"/>
        </w:rPr>
        <w:t xml:space="preserve">obtained </w:t>
      </w:r>
      <w:r w:rsidR="00E8041A" w:rsidRPr="00C33195">
        <w:rPr>
          <w:rFonts w:ascii="Times New Roman" w:hAnsi="Times New Roman" w:cs="Times New Roman"/>
          <w:lang w:val="en-GB"/>
        </w:rPr>
        <w:t>by multiplying the LODs for 3.3.</w:t>
      </w:r>
      <w:r w:rsidRPr="00C33195">
        <w:rPr>
          <w:rFonts w:ascii="Times New Roman" w:hAnsi="Times New Roman" w:cs="Times New Roman"/>
          <w:lang w:val="en-GB"/>
        </w:rPr>
        <w:t xml:space="preserve"> </w:t>
      </w:r>
      <w:r w:rsidR="00845E49" w:rsidRPr="00C33195">
        <w:rPr>
          <w:rFonts w:ascii="Times New Roman" w:hAnsi="Times New Roman" w:cs="Times New Roman"/>
          <w:lang w:val="en-GB"/>
        </w:rPr>
        <w:t>For the vast majority of the analysed compounds, the LO</w:t>
      </w:r>
      <w:r w:rsidRPr="00C33195">
        <w:rPr>
          <w:rFonts w:ascii="Times New Roman" w:hAnsi="Times New Roman" w:cs="Times New Roman"/>
          <w:lang w:val="en-GB"/>
        </w:rPr>
        <w:t>D</w:t>
      </w:r>
      <w:r w:rsidR="00845E49" w:rsidRPr="00C33195">
        <w:rPr>
          <w:rFonts w:ascii="Times New Roman" w:hAnsi="Times New Roman" w:cs="Times New Roman"/>
          <w:lang w:val="en-GB"/>
        </w:rPr>
        <w:t xml:space="preserve">s varied between </w:t>
      </w:r>
      <w:r w:rsidRPr="00C33195">
        <w:rPr>
          <w:rFonts w:ascii="Times New Roman" w:hAnsi="Times New Roman" w:cs="Times New Roman"/>
          <w:lang w:val="en-GB"/>
        </w:rPr>
        <w:t xml:space="preserve">8 </w:t>
      </w:r>
      <w:proofErr w:type="spellStart"/>
      <w:r w:rsidRPr="00C33195">
        <w:rPr>
          <w:rFonts w:ascii="Times New Roman" w:hAnsi="Times New Roman" w:cs="Times New Roman"/>
          <w:lang w:val="en-GB"/>
        </w:rPr>
        <w:t>nM</w:t>
      </w:r>
      <w:proofErr w:type="spellEnd"/>
      <w:r w:rsidRPr="00C33195">
        <w:rPr>
          <w:rFonts w:ascii="Times New Roman" w:hAnsi="Times New Roman" w:cs="Times New Roman"/>
          <w:lang w:val="en-GB"/>
        </w:rPr>
        <w:t xml:space="preserve"> and 14 </w:t>
      </w:r>
      <w:r w:rsidR="005416FA" w:rsidRPr="00C33195">
        <w:rPr>
          <w:rFonts w:ascii="Times New Roman" w:hAnsi="Times New Roman" w:cs="Times New Roman"/>
          <w:lang w:val="en-GB"/>
        </w:rPr>
        <w:t>µM</w:t>
      </w:r>
      <w:r w:rsidR="002F31D9" w:rsidRPr="00C33195">
        <w:rPr>
          <w:rFonts w:ascii="Times New Roman" w:hAnsi="Times New Roman" w:cs="Times New Roman"/>
          <w:lang w:val="en-GB"/>
        </w:rPr>
        <w:t>.</w:t>
      </w:r>
    </w:p>
    <w:p w14:paraId="07571942" w14:textId="77777777" w:rsidR="00CF7B74" w:rsidRPr="00C33195" w:rsidRDefault="00845E49"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The coefficient of variation (CV%) of measurements performed on the same and different vial was always below 5%, highlighting that our procedure allows a reliable determination of VOCs in saliva samples.</w:t>
      </w:r>
      <w:r w:rsidR="00F473DA" w:rsidRPr="00C33195">
        <w:rPr>
          <w:rFonts w:ascii="Times New Roman" w:hAnsi="Times New Roman" w:cs="Times New Roman"/>
          <w:lang w:val="en-GB"/>
        </w:rPr>
        <w:t xml:space="preserve"> </w:t>
      </w:r>
    </w:p>
    <w:p w14:paraId="3370A257" w14:textId="77777777" w:rsidR="00661127" w:rsidRPr="00C33195" w:rsidRDefault="00820331" w:rsidP="00820331">
      <w:pPr>
        <w:spacing w:line="360" w:lineRule="auto"/>
        <w:jc w:val="both"/>
        <w:rPr>
          <w:rFonts w:ascii="Times New Roman" w:hAnsi="Times New Roman" w:cs="Times New Roman"/>
          <w:lang w:val="en-GB"/>
        </w:rPr>
      </w:pPr>
      <w:r w:rsidRPr="00C33195">
        <w:rPr>
          <w:rFonts w:ascii="Times New Roman" w:hAnsi="Times New Roman" w:cs="Times New Roman"/>
          <w:lang w:val="en-GB"/>
        </w:rPr>
        <w:t xml:space="preserve">Figure </w:t>
      </w:r>
      <w:r w:rsidR="00A82901" w:rsidRPr="00C33195">
        <w:rPr>
          <w:rFonts w:ascii="Times New Roman" w:hAnsi="Times New Roman" w:cs="Times New Roman"/>
          <w:lang w:val="en-GB"/>
        </w:rPr>
        <w:t>1</w:t>
      </w:r>
      <w:r w:rsidRPr="00C33195">
        <w:rPr>
          <w:rFonts w:ascii="Times New Roman" w:hAnsi="Times New Roman" w:cs="Times New Roman"/>
          <w:lang w:val="en-GB"/>
        </w:rPr>
        <w:t xml:space="preserve"> </w:t>
      </w:r>
      <w:r w:rsidR="00136AB8" w:rsidRPr="00C33195">
        <w:rPr>
          <w:rFonts w:ascii="Times New Roman" w:hAnsi="Times New Roman" w:cs="Times New Roman"/>
          <w:lang w:val="en-GB"/>
        </w:rPr>
        <w:t>shows</w:t>
      </w:r>
      <w:r w:rsidRPr="00C33195">
        <w:rPr>
          <w:rFonts w:ascii="Times New Roman" w:hAnsi="Times New Roman" w:cs="Times New Roman"/>
          <w:lang w:val="en-GB"/>
        </w:rPr>
        <w:t xml:space="preserve"> </w:t>
      </w:r>
      <w:r w:rsidR="00136AB8" w:rsidRPr="00C33195">
        <w:rPr>
          <w:rFonts w:ascii="Times New Roman" w:hAnsi="Times New Roman" w:cs="Times New Roman"/>
          <w:lang w:val="en-GB"/>
        </w:rPr>
        <w:t>representative HS-GC</w:t>
      </w:r>
      <w:r w:rsidR="00251A49">
        <w:rPr>
          <w:rFonts w:ascii="Times New Roman" w:hAnsi="Times New Roman" w:cs="Times New Roman"/>
          <w:lang w:val="en-GB"/>
        </w:rPr>
        <w:t>-</w:t>
      </w:r>
      <w:r w:rsidR="00136AB8" w:rsidRPr="00C33195">
        <w:rPr>
          <w:rFonts w:ascii="Times New Roman" w:hAnsi="Times New Roman" w:cs="Times New Roman"/>
          <w:lang w:val="en-GB"/>
        </w:rPr>
        <w:t>MS</w:t>
      </w:r>
      <w:r w:rsidRPr="00C33195">
        <w:rPr>
          <w:rFonts w:ascii="Times New Roman" w:hAnsi="Times New Roman" w:cs="Times New Roman"/>
          <w:lang w:val="en-GB"/>
        </w:rPr>
        <w:t xml:space="preserve"> chromatogram</w:t>
      </w:r>
      <w:r w:rsidR="00136AB8" w:rsidRPr="00C33195">
        <w:rPr>
          <w:rFonts w:ascii="Times New Roman" w:hAnsi="Times New Roman" w:cs="Times New Roman"/>
          <w:lang w:val="en-GB"/>
        </w:rPr>
        <w:t>s</w:t>
      </w:r>
      <w:r w:rsidRPr="00C33195">
        <w:rPr>
          <w:rFonts w:ascii="Times New Roman" w:hAnsi="Times New Roman" w:cs="Times New Roman"/>
          <w:lang w:val="en-GB"/>
        </w:rPr>
        <w:t xml:space="preserve"> </w:t>
      </w:r>
      <w:r w:rsidR="00136AB8" w:rsidRPr="00C33195">
        <w:rPr>
          <w:rFonts w:ascii="Times New Roman" w:hAnsi="Times New Roman" w:cs="Times New Roman"/>
          <w:lang w:val="en-GB"/>
        </w:rPr>
        <w:t xml:space="preserve">of human saliva </w:t>
      </w:r>
      <w:r w:rsidRPr="00C33195">
        <w:rPr>
          <w:rFonts w:ascii="Times New Roman" w:hAnsi="Times New Roman" w:cs="Times New Roman"/>
          <w:lang w:val="en-GB"/>
        </w:rPr>
        <w:t xml:space="preserve">obtained </w:t>
      </w:r>
      <w:r w:rsidR="00136AB8" w:rsidRPr="00C33195">
        <w:rPr>
          <w:rFonts w:ascii="Times New Roman" w:hAnsi="Times New Roman" w:cs="Times New Roman"/>
          <w:lang w:val="en-GB"/>
        </w:rPr>
        <w:t>in</w:t>
      </w:r>
      <w:r w:rsidRPr="00C33195">
        <w:rPr>
          <w:rFonts w:ascii="Times New Roman" w:hAnsi="Times New Roman" w:cs="Times New Roman"/>
          <w:lang w:val="en-GB"/>
        </w:rPr>
        <w:t xml:space="preserve"> the optimized conditions.</w:t>
      </w:r>
      <w:r w:rsidR="00661127" w:rsidRPr="00C33195">
        <w:rPr>
          <w:rFonts w:ascii="Times New Roman" w:hAnsi="Times New Roman" w:cs="Times New Roman"/>
          <w:lang w:val="en-GB"/>
        </w:rPr>
        <w:t xml:space="preserve">  The chromatograms reported correspond to the saliva sampled in the first and in the last day of the experiment, i.e. before and after rifaximin treatment (see experimental part).</w:t>
      </w:r>
    </w:p>
    <w:p w14:paraId="0310A147" w14:textId="77777777" w:rsidR="00820331" w:rsidRPr="00C33195" w:rsidRDefault="00661127" w:rsidP="00820331">
      <w:pPr>
        <w:spacing w:line="360" w:lineRule="auto"/>
        <w:jc w:val="both"/>
        <w:rPr>
          <w:rFonts w:ascii="Times New Roman" w:hAnsi="Times New Roman" w:cs="Times New Roman"/>
          <w:lang w:val="en-GB"/>
        </w:rPr>
      </w:pPr>
      <w:r w:rsidRPr="00C33195">
        <w:rPr>
          <w:rFonts w:ascii="Times New Roman" w:hAnsi="Times New Roman" w:cs="Times New Roman"/>
          <w:lang w:val="en-GB"/>
        </w:rPr>
        <w:t xml:space="preserve">  </w:t>
      </w:r>
    </w:p>
    <w:p w14:paraId="3007C0B7" w14:textId="77777777" w:rsidR="00820331" w:rsidRPr="00C33195" w:rsidRDefault="00820331" w:rsidP="00820331">
      <w:pPr>
        <w:spacing w:line="360" w:lineRule="auto"/>
        <w:jc w:val="both"/>
        <w:rPr>
          <w:rFonts w:ascii="Times New Roman" w:hAnsi="Times New Roman" w:cs="Times New Roman"/>
          <w:i/>
          <w:lang w:val="en-GB"/>
        </w:rPr>
      </w:pPr>
      <w:r w:rsidRPr="00C33195">
        <w:rPr>
          <w:rFonts w:ascii="Times New Roman" w:hAnsi="Times New Roman" w:cs="Times New Roman"/>
          <w:b/>
          <w:noProof/>
          <w:lang w:val="it-IT"/>
        </w:rPr>
        <w:drawing>
          <wp:inline distT="0" distB="0" distL="0" distR="0" wp14:anchorId="47F9180D" wp14:editId="3A1C7A39">
            <wp:extent cx="6116320" cy="4672496"/>
            <wp:effectExtent l="0" t="0" r="0" b="0"/>
            <wp:docPr id="1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pic:cNvPicPr>
                      <a:picLocks noChangeAspect="1"/>
                    </pic:cNvPicPr>
                  </pic:nvPicPr>
                  <pic:blipFill>
                    <a:blip r:embed="rId10"/>
                    <a:stretch>
                      <a:fillRect/>
                    </a:stretch>
                  </pic:blipFill>
                  <pic:spPr>
                    <a:xfrm>
                      <a:off x="0" y="0"/>
                      <a:ext cx="6116320" cy="4672496"/>
                    </a:xfrm>
                    <a:prstGeom prst="rect">
                      <a:avLst/>
                    </a:prstGeom>
                  </pic:spPr>
                </pic:pic>
              </a:graphicData>
            </a:graphic>
          </wp:inline>
        </w:drawing>
      </w:r>
    </w:p>
    <w:p w14:paraId="3478EE7F" w14:textId="77777777" w:rsidR="00661127" w:rsidRPr="00C33195" w:rsidRDefault="00E57EE7" w:rsidP="00661127">
      <w:pPr>
        <w:spacing w:line="360" w:lineRule="auto"/>
        <w:jc w:val="both"/>
        <w:rPr>
          <w:rFonts w:ascii="Times New Roman" w:hAnsi="Times New Roman" w:cs="Times New Roman"/>
          <w:lang w:val="en-GB"/>
        </w:rPr>
      </w:pPr>
      <w:r w:rsidRPr="00C33195">
        <w:rPr>
          <w:rFonts w:ascii="Times New Roman" w:hAnsi="Times New Roman" w:cs="Times New Roman"/>
          <w:b/>
          <w:sz w:val="22"/>
          <w:szCs w:val="22"/>
          <w:lang w:val="en-GB"/>
        </w:rPr>
        <w:t>Fig.</w:t>
      </w:r>
      <w:r w:rsidR="00820331" w:rsidRPr="00C33195">
        <w:rPr>
          <w:rFonts w:ascii="Times New Roman" w:hAnsi="Times New Roman" w:cs="Times New Roman"/>
          <w:b/>
          <w:sz w:val="22"/>
          <w:szCs w:val="22"/>
          <w:lang w:val="en-GB"/>
        </w:rPr>
        <w:t xml:space="preserve"> </w:t>
      </w:r>
      <w:r w:rsidR="00A82901" w:rsidRPr="00C33195">
        <w:rPr>
          <w:rFonts w:ascii="Times New Roman" w:hAnsi="Times New Roman" w:cs="Times New Roman"/>
          <w:b/>
          <w:sz w:val="22"/>
          <w:szCs w:val="22"/>
          <w:lang w:val="en-GB"/>
        </w:rPr>
        <w:t>1</w:t>
      </w:r>
      <w:r w:rsidR="00820331" w:rsidRPr="00C33195">
        <w:rPr>
          <w:rFonts w:ascii="Times New Roman" w:hAnsi="Times New Roman" w:cs="Times New Roman"/>
          <w:b/>
          <w:sz w:val="22"/>
          <w:szCs w:val="22"/>
          <w:lang w:val="en-GB"/>
        </w:rPr>
        <w:t xml:space="preserve"> </w:t>
      </w:r>
      <w:r w:rsidR="00661127" w:rsidRPr="00C33195">
        <w:rPr>
          <w:rFonts w:ascii="Times New Roman" w:hAnsi="Times New Roman" w:cs="Times New Roman"/>
          <w:lang w:val="en-GB"/>
        </w:rPr>
        <w:t>Representative HS-GCMS chromatograms of human saliva obtained in the optimized conditions.  The chromatograms reported correspond to the saliva sampled in the first and in the last day of the experiment, i.e. before and after rifaximin treatment (see experimental part).</w:t>
      </w:r>
    </w:p>
    <w:p w14:paraId="1E624998" w14:textId="77777777" w:rsidR="008F452A" w:rsidRPr="00C33195" w:rsidRDefault="008F452A" w:rsidP="00661127">
      <w:pPr>
        <w:spacing w:line="360" w:lineRule="auto"/>
        <w:jc w:val="center"/>
        <w:rPr>
          <w:rFonts w:ascii="Times New Roman" w:hAnsi="Times New Roman" w:cs="Times New Roman"/>
          <w:lang w:val="en-GB"/>
        </w:rPr>
      </w:pPr>
    </w:p>
    <w:p w14:paraId="73A230F3" w14:textId="6240A9B1" w:rsidR="008849A9" w:rsidRDefault="008F452A" w:rsidP="007C7ADA">
      <w:pPr>
        <w:spacing w:line="360" w:lineRule="auto"/>
        <w:jc w:val="both"/>
        <w:rPr>
          <w:rFonts w:ascii="Times New Roman" w:hAnsi="Times New Roman" w:cs="Times New Roman"/>
          <w:iCs/>
          <w:lang w:val="en-GB"/>
        </w:rPr>
      </w:pPr>
      <w:r w:rsidRPr="00562B00">
        <w:rPr>
          <w:rFonts w:ascii="Times New Roman" w:hAnsi="Times New Roman" w:cs="Times New Roman"/>
          <w:i/>
          <w:iCs/>
          <w:highlight w:val="yellow"/>
          <w:lang w:val="en-GB"/>
        </w:rPr>
        <w:t>Recovery</w:t>
      </w:r>
      <w:r w:rsidR="007C7ADA">
        <w:rPr>
          <w:rFonts w:ascii="Times New Roman" w:hAnsi="Times New Roman" w:cs="Times New Roman"/>
          <w:i/>
          <w:iCs/>
          <w:lang w:val="en-GB"/>
        </w:rPr>
        <w:t xml:space="preserve"> DA RIFARE</w:t>
      </w:r>
      <w:r w:rsidR="00251A49">
        <w:rPr>
          <w:rFonts w:ascii="Times New Roman" w:hAnsi="Times New Roman" w:cs="Times New Roman"/>
          <w:lang w:val="en-GB"/>
        </w:rPr>
        <w:t xml:space="preserve">. </w:t>
      </w:r>
    </w:p>
    <w:p w14:paraId="6EA34774" w14:textId="77777777" w:rsidR="00562B00" w:rsidRPr="00562B00" w:rsidRDefault="00562B00" w:rsidP="00875587">
      <w:pPr>
        <w:spacing w:line="360" w:lineRule="auto"/>
        <w:jc w:val="both"/>
        <w:rPr>
          <w:rFonts w:ascii="Times New Roman" w:hAnsi="Times New Roman" w:cs="Times New Roman"/>
          <w:iCs/>
          <w:lang w:val="en-GB"/>
        </w:rPr>
      </w:pPr>
    </w:p>
    <w:p w14:paraId="303CD16A" w14:textId="7798AD2C" w:rsidR="00845E49" w:rsidRPr="00C33195" w:rsidRDefault="00845E49" w:rsidP="00875587">
      <w:pPr>
        <w:spacing w:line="360" w:lineRule="auto"/>
        <w:jc w:val="both"/>
        <w:rPr>
          <w:rFonts w:ascii="Times New Roman" w:hAnsi="Times New Roman" w:cs="Times New Roman"/>
          <w:b/>
          <w:lang w:val="en-GB"/>
        </w:rPr>
      </w:pPr>
      <w:r w:rsidRPr="00C33195">
        <w:rPr>
          <w:rFonts w:ascii="Times New Roman" w:hAnsi="Times New Roman" w:cs="Times New Roman"/>
          <w:b/>
          <w:lang w:val="en-GB"/>
        </w:rPr>
        <w:lastRenderedPageBreak/>
        <w:t>Ap</w:t>
      </w:r>
      <w:r w:rsidR="000B00BD" w:rsidRPr="00C33195">
        <w:rPr>
          <w:rFonts w:ascii="Times New Roman" w:hAnsi="Times New Roman" w:cs="Times New Roman"/>
          <w:b/>
          <w:lang w:val="en-GB"/>
        </w:rPr>
        <w:t>plication to VOCs monitoring during antibiotic treatment</w:t>
      </w:r>
    </w:p>
    <w:p w14:paraId="283AA228" w14:textId="063EDE2D" w:rsidR="000B00BD" w:rsidRPr="00C33195" w:rsidRDefault="000B00BD"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 xml:space="preserve">The employment of saliva to probe the microbiota status is a novel, challenging task from the analytical point of view, and it would turn saliva into a rapid, non-invasive diagnosis instrument. Saliva can be sampled </w:t>
      </w:r>
      <w:r w:rsidR="007C7ADA" w:rsidRPr="00C33195">
        <w:rPr>
          <w:rFonts w:ascii="Times New Roman" w:hAnsi="Times New Roman" w:cs="Times New Roman"/>
          <w:lang w:val="en-GB"/>
        </w:rPr>
        <w:t>easily,</w:t>
      </w:r>
      <w:r w:rsidRPr="00C33195">
        <w:rPr>
          <w:rFonts w:ascii="Times New Roman" w:hAnsi="Times New Roman" w:cs="Times New Roman"/>
          <w:lang w:val="en-GB"/>
        </w:rPr>
        <w:t xml:space="preserve"> and its handling is faster and less complex than faeces sample treatment. With respect to the analysis of VOCs in exhaled breath samples, saliva sampling and storage is easier, while breath is characterized by the absence of standard sampling and analysis protocols. Saliva is also relatively free from confounding factors generally involved in metabolic profiling, such as </w:t>
      </w:r>
      <w:r w:rsidR="00285FC9" w:rsidRPr="00C33195">
        <w:rPr>
          <w:rFonts w:ascii="Times New Roman" w:hAnsi="Times New Roman" w:cs="Times New Roman"/>
          <w:lang w:val="en-GB"/>
        </w:rPr>
        <w:t>haemoglobin</w:t>
      </w:r>
      <w:r w:rsidRPr="00C33195">
        <w:rPr>
          <w:rFonts w:ascii="Times New Roman" w:hAnsi="Times New Roman" w:cs="Times New Roman"/>
          <w:lang w:val="en-GB"/>
        </w:rPr>
        <w:t xml:space="preserve"> level, blood pressure, gender and BMI thus making it an ideal bio-matrix for attaining reliable diagnostic results</w:t>
      </w:r>
      <w:r w:rsidR="007C7ADA">
        <w:rPr>
          <w:rFonts w:ascii="Times New Roman" w:hAnsi="Times New Roman" w:cs="Times New Roman"/>
          <w:lang w:val="en-GB"/>
        </w:rPr>
        <w:t xml:space="preserve"> </w:t>
      </w:r>
      <w:r w:rsidR="007C7ADA">
        <w:rPr>
          <w:rFonts w:ascii="Times New Roman" w:hAnsi="Times New Roman" w:cs="Times New Roman"/>
          <w:b/>
          <w:lang w:val="en-GB"/>
        </w:rPr>
        <w:fldChar w:fldCharType="begin" w:fldLock="1"/>
      </w:r>
      <w:r w:rsidR="00AC2E47">
        <w:rPr>
          <w:rFonts w:ascii="Times New Roman" w:hAnsi="Times New Roman" w:cs="Times New Roman"/>
          <w:b/>
          <w:lang w:val="en-GB"/>
        </w:rPr>
        <w:instrText>ADDIN CSL_CITATION {"citationItems":[{"id":"ITEM-1","itemData":{"DOI":"10.4155/fsoa-2015-0014","abstract":"Lay abstract: Metabolic profiling involves determination of changes in metabolite levels caused by diseases and can help in their diagnosis. The pain, discomfort and chance of injury associated with painful diagnostic methods, make them unsuitable in terms of patient compliance. Metabolic profiling of body fluids like urine, breath, saliva, sweat and feces, which can be collected in a painless manner, could be used for painless diagnosis. This review article is about such studies, which have exhibited painless diagnostic potential for diseases and disorders. Their applications are evident in cancer, metabolic disorders, infections, neurodegenerative disorders, rheumatic diseases and lung diseases.","author":[{"dropping-particle":"","family":"Mal","given":"Mainak","non-dropping-particle":"","parse-names":false,"suffix":""}],"container-title":"Future Science OA","id":"ITEM-1","issue":"2","issued":{"date-parts":[["2016","5","16"]]},"title":"Noninvasive metabolic profiling for painless diagnosis of human diseases and disorders","type":"article-journal","volume":"2"},"uris":["http://www.mendeley.com/documents/?uuid=c9c55cde-069d-4cf2-94f3-a0b780d1c13c"]}],"mendeley":{"formattedCitation":"[46]","plainTextFormattedCitation":"[46]","previouslyFormattedCitation":"[46]"},"properties":{"noteIndex":0},"schema":"https://github.com/citation-style-language/schema/raw/master/csl-citation.json"}</w:instrText>
      </w:r>
      <w:r w:rsidR="007C7ADA">
        <w:rPr>
          <w:rFonts w:ascii="Times New Roman" w:hAnsi="Times New Roman" w:cs="Times New Roman"/>
          <w:b/>
          <w:lang w:val="en-GB"/>
        </w:rPr>
        <w:fldChar w:fldCharType="separate"/>
      </w:r>
      <w:r w:rsidR="007C7ADA" w:rsidRPr="007C7ADA">
        <w:rPr>
          <w:rFonts w:ascii="Times New Roman" w:hAnsi="Times New Roman" w:cs="Times New Roman"/>
          <w:noProof/>
          <w:lang w:val="en-GB"/>
        </w:rPr>
        <w:t>[46]</w:t>
      </w:r>
      <w:r w:rsidR="007C7ADA">
        <w:rPr>
          <w:rFonts w:ascii="Times New Roman" w:hAnsi="Times New Roman" w:cs="Times New Roman"/>
          <w:b/>
          <w:lang w:val="en-GB"/>
        </w:rPr>
        <w:fldChar w:fldCharType="end"/>
      </w:r>
      <w:r w:rsidRPr="00C33195">
        <w:rPr>
          <w:rFonts w:ascii="Times New Roman" w:hAnsi="Times New Roman" w:cs="Times New Roman"/>
          <w:lang w:val="en-GB"/>
        </w:rPr>
        <w:t>.</w:t>
      </w:r>
    </w:p>
    <w:p w14:paraId="6C6B996B" w14:textId="629D9260" w:rsidR="000B00BD" w:rsidRPr="00C33195" w:rsidRDefault="000B00BD"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 xml:space="preserve">The good correlation recently found between the volatile metabolites in breath with gut </w:t>
      </w:r>
      <w:proofErr w:type="spellStart"/>
      <w:r w:rsidR="00285FC9" w:rsidRPr="00C33195">
        <w:rPr>
          <w:rFonts w:ascii="Times New Roman" w:hAnsi="Times New Roman" w:cs="Times New Roman"/>
          <w:lang w:val="en-GB"/>
        </w:rPr>
        <w:t>microbioma</w:t>
      </w:r>
      <w:proofErr w:type="spellEnd"/>
      <w:r w:rsidRPr="00C33195">
        <w:rPr>
          <w:rFonts w:ascii="Times New Roman" w:hAnsi="Times New Roman" w:cs="Times New Roman"/>
          <w:lang w:val="en-GB"/>
        </w:rPr>
        <w:t xml:space="preserve"> in Crohn’s disease</w:t>
      </w:r>
      <w:r w:rsidR="00AC2E47">
        <w:rPr>
          <w:rFonts w:ascii="Times New Roman" w:hAnsi="Times New Roman" w:cs="Times New Roman"/>
          <w:lang w:val="en-GB"/>
        </w:rPr>
        <w:t xml:space="preserve"> </w:t>
      </w:r>
      <w:r w:rsidR="00AC2E47">
        <w:rPr>
          <w:rFonts w:ascii="Times New Roman" w:hAnsi="Times New Roman" w:cs="Times New Roman"/>
          <w:lang w:val="en-GB"/>
        </w:rPr>
        <w:fldChar w:fldCharType="begin" w:fldLock="1"/>
      </w:r>
      <w:r w:rsidR="00AC2E47">
        <w:rPr>
          <w:rFonts w:ascii="Times New Roman" w:hAnsi="Times New Roman" w:cs="Times New Roman"/>
          <w:lang w:val="en-GB"/>
        </w:rPr>
        <w:instrText>ADDIN CSL_CITATION {"citationItems":[{"id":"ITEM-1","itemData":{"DOI":"https://doi.org/10.1016/j.aca.2018.03.046","ISSN":"0003-2670","abstract":"Microbiota composition and its metabolic capacity are very important for host health. Evidence suggests that gut microbiome is involved in the metabolites production by host-microbiome interaction. These metabolites can be absorbed in blood and excreted in exhaled air. Although, profiles of gut microbiota and exhaled metabolites were associated with gastrointestinal diseases, a direct link between them has not yet been investigated. The aim of the study was to investigate the relation between volatiles in breath and gut microbiome in active and quiescent Crohn's disease (CD) via a multivariate statistical approach. Canonical correlation analysis (CCA) was used to assess the relation between exhaled metabolites and faecal bacterial species. From 68 CD patients, 184 repeated faecal and breath samples were collected (92 active and 92 quiescent disease). The microbiota composition was assessed by the pyrosequencing of the 16 S rRNA V1-V3 gene region and breath metabolites by gas chromatography mass spectrometry. In active disease, CCA analysis identified 18 metabolites significantly correlated with 19 faecal bacterial taxa (R = 0.91 p-value 3.5*10-4). In quiescent disease 17 volatile metabolites were correlated with 17 bacterial taxa (R = 0.96 p-value 2.8*10-4). Nine metabolites and three bacteria taxa overlapped in active and inactive CD. This is the first study that shows a significant relation between gut microbiome and exhaled metabolites, and was found to differ between active and quiescent CD, indicating various underlying mechanisms. Unravelling this link is essential to increase our understanding on the functional effects of the microbiome and may provide new leads for microbiome-targeted intervention.","author":[{"dropping-particle":"","family":"Smolinska","given":"Agnieszka","non-dropping-particle":"","parse-names":false,"suffix":""},{"dropping-particle":"","family":"Tedjo","given":"Danyta I","non-dropping-particle":"","parse-names":false,"suffix":""},{"dropping-particle":"","family":"Blanchet","given":"Lionel","non-dropping-particle":"","parse-names":false,"suffix":""},{"dropping-particle":"","family":"Bodelier","given":"Alexander","non-dropping-particle":"","parse-names":false,"suffix":""},{"dropping-particle":"","family":"Pierik","given":"Marieke J","non-dropping-particle":"","parse-names":false,"suffix":""},{"dropping-particle":"","family":"Masclee","given":"Ad A M","non-dropping-particle":"","parse-names":false,"suffix":""},{"dropping-particle":"","family":"Dallinga","given":"Jan","non-dropping-particle":"","parse-names":false,"suffix":""},{"dropping-particle":"","family":"Savelkoul","given":"Paul H M","non-dropping-particle":"","parse-names":false,"suffix":""},{"dropping-particle":"","family":"Jonkers","given":"Daisy M A E","non-dropping-particle":"","parse-names":false,"suffix":""},{"dropping-particle":"","family":"Penders","given":"John","non-dropping-particle":"","parse-names":false,"suffix":""},{"dropping-particle":"","family":"Schooten","given":"Frederik-Jan","non-dropping-particle":"van","parse-names":false,"suffix":""}],"container-title":"Analytica Chimica Acta","id":"ITEM-1","issued":{"date-parts":[["2018"]]},"title":"Volatile metabolites in breath strongly correlate with gut microbiome in CD patients","type":"article-journal"},"uris":["http://www.mendeley.com/documents/?uuid=13aab984-e52b-4136-b8fe-34c3b8df05b3"]}],"mendeley":{"formattedCitation":"[47]","plainTextFormattedCitation":"[47]","previouslyFormattedCitation":"[47]"},"properties":{"noteIndex":0},"schema":"https://github.com/citation-style-language/schema/raw/master/csl-citation.json"}</w:instrText>
      </w:r>
      <w:r w:rsidR="00AC2E47">
        <w:rPr>
          <w:rFonts w:ascii="Times New Roman" w:hAnsi="Times New Roman" w:cs="Times New Roman"/>
          <w:lang w:val="en-GB"/>
        </w:rPr>
        <w:fldChar w:fldCharType="separate"/>
      </w:r>
      <w:r w:rsidR="00AC2E47" w:rsidRPr="00AC2E47">
        <w:rPr>
          <w:rFonts w:ascii="Times New Roman" w:hAnsi="Times New Roman" w:cs="Times New Roman"/>
          <w:noProof/>
          <w:lang w:val="en-GB"/>
        </w:rPr>
        <w:t>[47]</w:t>
      </w:r>
      <w:r w:rsidR="00AC2E47">
        <w:rPr>
          <w:rFonts w:ascii="Times New Roman" w:hAnsi="Times New Roman" w:cs="Times New Roman"/>
          <w:lang w:val="en-GB"/>
        </w:rPr>
        <w:fldChar w:fldCharType="end"/>
      </w:r>
      <w:r w:rsidRPr="00C33195">
        <w:rPr>
          <w:rFonts w:ascii="Times New Roman" w:hAnsi="Times New Roman" w:cs="Times New Roman"/>
          <w:lang w:val="en-GB"/>
        </w:rPr>
        <w:t xml:space="preserve"> would suggest that saliva, as well, may have biomarkers related to microbiota composition.</w:t>
      </w:r>
    </w:p>
    <w:p w14:paraId="76E9833F" w14:textId="27B1F9AA" w:rsidR="000B00BD" w:rsidRPr="00C33195" w:rsidRDefault="000B00BD" w:rsidP="00875587">
      <w:pPr>
        <w:tabs>
          <w:tab w:val="left" w:pos="8293"/>
        </w:tabs>
        <w:spacing w:line="360" w:lineRule="auto"/>
        <w:jc w:val="both"/>
        <w:rPr>
          <w:rFonts w:ascii="Times New Roman" w:hAnsi="Times New Roman" w:cs="Times New Roman"/>
          <w:lang w:val="en-GB"/>
        </w:rPr>
      </w:pPr>
      <w:r w:rsidRPr="00C33195">
        <w:rPr>
          <w:rFonts w:ascii="Times New Roman" w:hAnsi="Times New Roman" w:cs="Times New Roman"/>
          <w:lang w:val="en-GB"/>
        </w:rPr>
        <w:t xml:space="preserve">Metabolites of saliva may be, indeed, important indicators of general health status and disease </w:t>
      </w:r>
      <w:r w:rsidR="00AC2E47">
        <w:rPr>
          <w:rFonts w:ascii="Times New Roman" w:hAnsi="Times New Roman" w:cs="Times New Roman"/>
          <w:lang w:val="en-GB"/>
        </w:rPr>
        <w:fldChar w:fldCharType="begin" w:fldLock="1"/>
      </w:r>
      <w:r w:rsidR="00AC2E47">
        <w:rPr>
          <w:rFonts w:ascii="Times New Roman" w:hAnsi="Times New Roman" w:cs="Times New Roman"/>
          <w:lang w:val="en-GB"/>
        </w:rPr>
        <w:instrText>ADDIN CSL_CITATION {"citationItems":[{"id":"ITEM-1","itemData":{"DOI":"10.1007/s12010-012-9891-5","ISSN":"0273-2289","abstract":"Metabolomics is the systematic study of the unique chemical fingerprints of low molecular weight endogenous metabolites or metabolite profiles in a biological sample. Metabolites that are important indicators of physiological or pathological states can provide information for the identification of early and differential markers for disease and help to understand its occurrence and progression. Analysis of these key biomarkers has become an important role to monitor the state of biological organisms and is a widely used diagnostic tool for disease. Metabolomic analyses are propelling the field of medical diagnostics forward at unprecedented rates because of its ability to reliably identify metabolites that are at the metabolic level in concentration. These advancements have benefited biomarker research to the point where saliva is now recognized as an excellent diagnostic medium for the detection of disease. Saliva contains a large array of metabolites, many of which can be informative for the detection of diseases. Salivary diagnostics offer an easy, inexpensive, safe, and noninvasive approach for disease detection. Discovery of salivary biomarkers that could be used to scrutinize health and disease surveillance has addressed its diagnostic value for clinical applications. Availability of emerging metabolomic techniques gives optimism that saliva can eventually be placed as a biomedium for clinical diagnostics. Comprehensive salivary metabolome will be an important resource for researchers who are studying metabolite chemistry, especially in the fields of salivary diagnostics, and will be helpful for analyzing and hence identifying corresponding disease-related salivary biomarkers. This review presents an overview of the value of saliva as a credible diagnostic tool, the discovery of salivary biomarkers, and the development of salivary diagnostics now and in the future. In particular, proof of principle has been demonstrated for salivary biomarker research.","author":[{"dropping-particle":"","family":"Zhang","given":"A H","non-dropping-particle":"","parse-names":false,"suffix":""},{"dropping-particle":"","family":"Sun","given":"H","non-dropping-particle":"","parse-names":false,"suffix":""},{"dropping-particle":"","family":"Wang","given":"X J","non-dropping-particle":"","parse-names":false,"suffix":""}],"container-title":"Applied Biochemistry and Biotechnology","id":"ITEM-1","issue":"6","issued":{"date-parts":[["2012"]]},"note":"Zhang, Aihua Sun, Hui Wang, Xijun","page":"1718-1727","title":"Saliva Metabolomics Opens Door to Biomarker Discovery, Disease Diagnosis, and Treatment","type":"article-journal","volume":"168"},"uris":["http://www.mendeley.com/documents/?uuid=e8dedc5f-9666-4586-a705-0b5f65bfdfe6"]}],"mendeley":{"formattedCitation":"[48]","plainTextFormattedCitation":"[48]","previouslyFormattedCitation":"[48]"},"properties":{"noteIndex":0},"schema":"https://github.com/citation-style-language/schema/raw/master/csl-citation.json"}</w:instrText>
      </w:r>
      <w:r w:rsidR="00AC2E47">
        <w:rPr>
          <w:rFonts w:ascii="Times New Roman" w:hAnsi="Times New Roman" w:cs="Times New Roman"/>
          <w:lang w:val="en-GB"/>
        </w:rPr>
        <w:fldChar w:fldCharType="separate"/>
      </w:r>
      <w:r w:rsidR="00AC2E47" w:rsidRPr="00AC2E47">
        <w:rPr>
          <w:rFonts w:ascii="Times New Roman" w:hAnsi="Times New Roman" w:cs="Times New Roman"/>
          <w:noProof/>
          <w:lang w:val="en-GB"/>
        </w:rPr>
        <w:t>[48]</w:t>
      </w:r>
      <w:r w:rsidR="00AC2E47">
        <w:rPr>
          <w:rFonts w:ascii="Times New Roman" w:hAnsi="Times New Roman" w:cs="Times New Roman"/>
          <w:lang w:val="en-GB"/>
        </w:rPr>
        <w:fldChar w:fldCharType="end"/>
      </w:r>
      <w:r w:rsidRPr="00C33195">
        <w:rPr>
          <w:rFonts w:ascii="Times New Roman" w:hAnsi="Times New Roman" w:cs="Times New Roman"/>
          <w:lang w:val="en-GB"/>
        </w:rPr>
        <w:t>. The salivary metabolites were studied in</w:t>
      </w:r>
      <w:r w:rsidRPr="00C33195">
        <w:rPr>
          <w:lang w:val="en-GB"/>
        </w:rPr>
        <w:t xml:space="preserve"> </w:t>
      </w:r>
      <w:r w:rsidRPr="00C33195">
        <w:rPr>
          <w:rFonts w:ascii="Times New Roman" w:hAnsi="Times New Roman" w:cs="Times New Roman"/>
          <w:lang w:val="en-GB"/>
        </w:rPr>
        <w:t xml:space="preserve">type I diabetic children studied by NMR </w:t>
      </w:r>
      <w:r w:rsidR="00AC2E47">
        <w:rPr>
          <w:rFonts w:ascii="Times New Roman" w:hAnsi="Times New Roman" w:cs="Times New Roman"/>
          <w:lang w:val="en-GB"/>
        </w:rPr>
        <w:fldChar w:fldCharType="begin" w:fldLock="1"/>
      </w:r>
      <w:r w:rsidR="00AC2E47">
        <w:rPr>
          <w:rFonts w:ascii="Times New Roman" w:hAnsi="Times New Roman" w:cs="Times New Roman"/>
          <w:lang w:val="en-GB"/>
        </w:rPr>
        <w:instrText>ADDIN CSL_CITATION {"citationItems":[{"id":"ITEM-1","itemData":{"DOI":"10.1021/acs.jproteome.6b00007","ISSN":"1535-3893","abstract":"Metabolomics is an important tool for the evaluation of the human condition, in both health or disease. This study analyzed the salivary components of type I diabetic children (DM1) under six years of age, to assess oral health related to diabetes control, as well as metabolite profiling using NMR. Partial least squared discriminant analysis (PLS-DA) was used to compare healthy (HG) and uncontrolled DM1 subjects that demonstrated a separation between the groups with classificatory performance of ACC = 0.80, R-2 = 0.92, Q(2): = 0.02 and for DM1 children with glycemia &gt;200 mg/dL of ACC = 0.74, R-2 = 0.91, Q(2) = 0.06. The metabolites that mostly contributed to the distinction between the groups in the loading factor were acetate, n-acetyl-sugar, lactate, and sugar. The univariate analysis showed a decreased salivary concentration of succinic acid and increased levels of lactate, acetate, and sucrose in uncontrolled and DM1 children with glycemia &gt;200 mg/dL. The present study demonstrates that the salivary profile of DM1 differs from that of HG children. It appears that diabetes status control has an important effect on the salivary composition.","author":[{"dropping-particle":"","family":"Oliveira","given":"L R P","non-dropping-particle":"de","parse-names":false,"suffix":""},{"dropping-particle":"","family":"Martins","given":"C","non-dropping-particle":"","parse-names":false,"suffix":""},{"dropping-particle":"","family":"Fidalgo","given":"T K S","non-dropping-particle":"","parse-names":false,"suffix":""},{"dropping-particle":"","family":"Freitas-Fernandes","given":"L B","non-dropping-particle":"","parse-names":false,"suffix":""},{"dropping-particle":"","family":"Torres","given":"R D","non-dropping-particle":"","parse-names":false,"suffix":""},{"dropping-particle":"","family":"Soares","given":"A L","non-dropping-particle":"","parse-names":false,"suffix":""},{"dropping-particle":"","family":"Almeida","given":"F C L","non-dropping-particle":"","parse-names":false,"suffix":""},{"dropping-particle":"","family":"Valente","given":"A P","non-dropping-particle":"","parse-names":false,"suffix":""},{"dropping-particle":"","family":"Souza","given":"I P R","non-dropping-particle":"de","parse-names":false,"suffix":""}],"container-title":"Journal of Proteome Research","id":"ITEM-1","issue":"8","issued":{"date-parts":[["2016"]]},"note":"Piedade de Oliveira, Livia Roberta Martins, Carla Silva Fidalgo, Tatiana Kelly Freitas-Fernandes, Liana Bastos Torres, Rafaela de Oliveira Soares, Aline Laignier Almeida, Fabio C. L. Valente, Ana Paula Ribeiro de Souza, Ivete Pomarico\nFidalgo, Tatiana/0000-0003-1340-9967; Valente, Ana Paula/0000-0001-7219-1123\n1535-3907","page":"2491-2499","title":"Salivary Metabolite Fingerprint of Type 1 Diabetes in Young Children","type":"article-journal","volume":"15"},"uris":["http://www.mendeley.com/documents/?uuid=90de2e51-d7af-4ba1-9b8a-fd08c25eac9e"]}],"mendeley":{"formattedCitation":"[49]","plainTextFormattedCitation":"[49]","previouslyFormattedCitation":"[49]"},"properties":{"noteIndex":0},"schema":"https://github.com/citation-style-language/schema/raw/master/csl-citation.json"}</w:instrText>
      </w:r>
      <w:r w:rsidR="00AC2E47">
        <w:rPr>
          <w:rFonts w:ascii="Times New Roman" w:hAnsi="Times New Roman" w:cs="Times New Roman"/>
          <w:lang w:val="en-GB"/>
        </w:rPr>
        <w:fldChar w:fldCharType="separate"/>
      </w:r>
      <w:r w:rsidR="00AC2E47" w:rsidRPr="00AC2E47">
        <w:rPr>
          <w:rFonts w:ascii="Times New Roman" w:hAnsi="Times New Roman" w:cs="Times New Roman"/>
          <w:noProof/>
          <w:lang w:val="en-GB"/>
        </w:rPr>
        <w:t>[49]</w:t>
      </w:r>
      <w:r w:rsidR="00AC2E47">
        <w:rPr>
          <w:rFonts w:ascii="Times New Roman" w:hAnsi="Times New Roman" w:cs="Times New Roman"/>
          <w:lang w:val="en-GB"/>
        </w:rPr>
        <w:fldChar w:fldCharType="end"/>
      </w:r>
      <w:r w:rsidR="00D2512A">
        <w:rPr>
          <w:rFonts w:ascii="Times New Roman" w:hAnsi="Times New Roman" w:cs="Times New Roman"/>
          <w:lang w:val="en-GB"/>
        </w:rPr>
        <w:t xml:space="preserve"> </w:t>
      </w:r>
      <w:r w:rsidRPr="00C33195">
        <w:rPr>
          <w:rFonts w:ascii="Times New Roman" w:hAnsi="Times New Roman" w:cs="Times New Roman"/>
          <w:lang w:val="en-GB"/>
        </w:rPr>
        <w:t xml:space="preserve">and in Alzheimer's disease (AD) patients </w:t>
      </w:r>
      <w:r w:rsidR="00AC2E47">
        <w:rPr>
          <w:rFonts w:ascii="Times New Roman" w:hAnsi="Times New Roman" w:cs="Times New Roman"/>
          <w:lang w:val="en-GB"/>
        </w:rPr>
        <w:fldChar w:fldCharType="begin" w:fldLock="1"/>
      </w:r>
      <w:r w:rsidR="00884652">
        <w:rPr>
          <w:rFonts w:ascii="Times New Roman" w:hAnsi="Times New Roman" w:cs="Times New Roman"/>
          <w:lang w:val="en-GB"/>
        </w:rPr>
        <w:instrText>ADDIN CSL_CITATION {"citationItems":[{"id":"ITEM-1","itemData":{"DOI":"10.3233/jad-161226","ISSN":"1387-2877","abstract":"Using H-1 NMR metabolomics, we biochemically profiled saliva samples collected from healthy-controls (n = 12), mild cognitive impairment (MCI) sufferers (n = 8), and Alzheimer's disease (AD) patients (n = 9). We accurately identified significant concentration changes in 22 metabolites in the saliva of MCI and AD patients compared to controls. This pilot study demonstrates the potential for using metabolomics and saliva for the early diagnosis of AD. Given the ease and convenience of collecting saliva, the development of accurate and sensitive salivary biomarkers would be ideal for screening those at greatest risk of developing AD.","author":[{"dropping-particle":"","family":"Yilmaz","given":"A","non-dropping-particle":"","parse-names":false,"suffix":""},{"dropping-particle":"","family":"Geddes","given":"T","non-dropping-particle":"","parse-names":false,"suffix":""},{"dropping-particle":"","family":"Han","given":"B","non-dropping-particle":"","parse-names":false,"suffix":""},{"dropping-particle":"","family":"Bahado-Singh","given":"R O","non-dropping-particle":"","parse-names":false,"suffix":""},{"dropping-particle":"","family":"Wilson","given":"G D","non-dropping-particle":"","parse-names":false,"suffix":""},{"dropping-particle":"","family":"Imam","given":"K","non-dropping-particle":"","parse-names":false,"suffix":""},{"dropping-particle":"","family":"Maddens","given":"M","non-dropping-particle":"","parse-names":false,"suffix":""},{"dropping-particle":"","family":"Graham","given":"S F","non-dropping-particle":"","parse-names":false,"suffix":""}],"container-title":"Journal of Alzheimers Disease","id":"ITEM-1","issue":"2","issued":{"date-parts":[["2017"]]},"note":"Yilmaz, Ali Geddes, Tim Han, BeomSoo Bahado-Singh, Ray O. Wilson, George D. Imam, Khaled Maddens, Michael Graham, Stewart F.\n1875-8908","page":"355-359","title":"Diagnostic Biomarkers of Alzheimer's Disease as Identified in Saliva using H-1 NMR-Based Metabolomics","type":"article-journal","volume":"58"},"uris":["http://www.mendeley.com/documents/?uuid=0ebbb467-dbaf-44bd-9215-c47ac54bb7d7"]}],"mendeley":{"formattedCitation":"[50]","plainTextFormattedCitation":"[50]","previouslyFormattedCitation":"[50]"},"properties":{"noteIndex":0},"schema":"https://github.com/citation-style-language/schema/raw/master/csl-citation.json"}</w:instrText>
      </w:r>
      <w:r w:rsidR="00AC2E47">
        <w:rPr>
          <w:rFonts w:ascii="Times New Roman" w:hAnsi="Times New Roman" w:cs="Times New Roman"/>
          <w:lang w:val="en-GB"/>
        </w:rPr>
        <w:fldChar w:fldCharType="separate"/>
      </w:r>
      <w:r w:rsidR="00AC2E47" w:rsidRPr="00AC2E47">
        <w:rPr>
          <w:rFonts w:ascii="Times New Roman" w:hAnsi="Times New Roman" w:cs="Times New Roman"/>
          <w:noProof/>
          <w:lang w:val="en-GB"/>
        </w:rPr>
        <w:t>[50]</w:t>
      </w:r>
      <w:r w:rsidR="00AC2E47">
        <w:rPr>
          <w:rFonts w:ascii="Times New Roman" w:hAnsi="Times New Roman" w:cs="Times New Roman"/>
          <w:lang w:val="en-GB"/>
        </w:rPr>
        <w:fldChar w:fldCharType="end"/>
      </w:r>
      <w:r w:rsidRPr="00C33195">
        <w:rPr>
          <w:rFonts w:ascii="Times New Roman" w:hAnsi="Times New Roman" w:cs="Times New Roman"/>
          <w:lang w:val="en-GB"/>
        </w:rPr>
        <w:t xml:space="preserve">. NMR and GC mass spectrometry techniques allowed to find a significant discrimination between individuals following different diet </w:t>
      </w:r>
      <w:r w:rsidR="00884652">
        <w:rPr>
          <w:rFonts w:ascii="Times New Roman" w:hAnsi="Times New Roman" w:cs="Times New Roman"/>
          <w:lang w:val="en-GB"/>
        </w:rPr>
        <w:fldChar w:fldCharType="begin" w:fldLock="1"/>
      </w:r>
      <w:r w:rsidR="00884652">
        <w:rPr>
          <w:rFonts w:ascii="Times New Roman" w:hAnsi="Times New Roman" w:cs="Times New Roman"/>
          <w:lang w:val="en-GB"/>
        </w:rPr>
        <w:instrText>ADDIN CSL_CITATION {"citationItems":[{"id":"ITEM-1","itemData":{"DOI":"10.1016/j.ijfoodmicro.2016.07.025","ISSN":"0168-1605","abstract":"Celiac disease (CD) is an inflammatory autoimmune disorder resulting from the combination of genetic predisposition and gluten ingestion. A life-long gluten free diet (GFD) is the only therapeutic approach. Dysbiosis, which can precede the CD pathogenesis and/or persist when subjects are on GFD, is reviewed and discussed. Salivary microbiota and metabolome differed between healthy and celiac children treated under GFD (T-CD) for at least two years. The type of GFD (African-vs Italian-style) modified the microbiota and metabolome of Saharawi T-CD children. Different studies showed bacterial dysbiosis at duodenal and/or fecal level of patients with active untreated CD (U-CD) and T-CD compared to healthy subjects. The ratio of protective anti-inflammatory bacteria such as Lactobacillus-Bifidobacterium to potentially harmful Bacteroides-Enterobacteriaceae was the lowest in U-CD and T-CD children. In agreement with dysbiosis, serum, fecal and urinary metabolome from U-CD and T-CD patients showed altered levels of free amino acids and volatile organic compounds. However, consensus across studies defining specific bacteria and metabolites in U-CD or T-CD patients is still lacking. Future research efforts are required to determine the relationships between CD and oral and intestinal microbiotas to improve the composition of GFD for restoring the gut dysbiosis as a preventative or therapeutic approach for CD. (C) 2016 Elsevier B.V. All rights reserved.","author":[{"dropping-particle":"","family":"Angelis","given":"M","non-dropping-particle":"De","parse-names":false,"suffix":""},{"dropping-particle":"","family":"Vannini","given":"L","non-dropping-particle":"","parse-names":false,"suffix":""},{"dropping-particle":"","family":"Cagno","given":"R","non-dropping-particle":"Di","parse-names":false,"suffix":""},{"dropping-particle":"","family":"Cavallo","given":"N","non-dropping-particle":"","parse-names":false,"suffix":""},{"dropping-particle":"","family":"Minervini","given":"F","non-dropping-particle":"","parse-names":false,"suffix":""},{"dropping-particle":"","family":"Francavilla","given":"R","non-dropping-particle":"","parse-names":false,"suffix":""},{"dropping-particle":"","family":"Ercolini","given":"D","non-dropping-particle":"","parse-names":false,"suffix":""},{"dropping-particle":"","family":"Gobbetti","given":"M","non-dropping-particle":"","parse-names":false,"suffix":""}],"container-title":"International Journal of Food Microbiology","id":"ITEM-1","issued":{"date-parts":[["2016"]]},"note":"De Angelis, Maria Vannini, Lucia Di Cagno, Raffaella Cavallo, Noemi Minervini, Fabio Francavilla, Ruggiero Ercolini, Danilo Gobbetti, Marco\n6th Sourdough and Cereal Fermentation Symposium\nSep 30-oct 02, 2015\nNantes, FRANCE\nVet Med, Food Sci &amp;amp; Engn Nantes Atlantic Natl Coll, INRA Nantes\nDe Angelis, Maria/0000-0002-2010-884X\n1879-3460\nSi","page":"125-132","title":"Salivary and fecal microbiota and metabolome of celiac children under gluten-free diet","type":"article-journal","volume":"239"},"uris":["http://www.mendeley.com/documents/?uuid=21b2c6e6-9d11-434d-a29f-87389290be77"]},{"id":"ITEM-2","itemData":{"DOI":"10.1371/journal.pone.0112373","ISSN":"1932-6203","abstract":"The salivary microbiota has been linked to both oral and non-oral diseases. Scant knowledge is available on the effect of environmental factors such as long-term dietary choices on the salivary microbiota and metabolome. This study analyzed the microbial diversity and metabolomic profiles of the saliva of 161 healthy individuals who followed an omnivore or ovo-lacto-vegetarian or vegan diet. A large core microbiota was identified, including 12 bacterial genera, found in &gt;98% of the individuals. The subjects could be stratified into three \"salivary types'' that differed on the basis of the relative abundance of the core genera Prevotella, Streptococcus/Gemella and Fusobacterium/Neisseria. Statistical analysis indicated no effect of dietary habit on the salivary microbiota. Phylogenetic beta-diversity analysis consistently showed no differences between omnivore, ovo-lacto-vegetarian and vegan individuals. Metabolomic profiling of saliva using H-1-NMR and GC-MS/SPME identified diet-related biomarkers that enabled a significant discrimination between the 3 groups of individuals on the basis of their diet. Formate, urea, uridine and 5-methyl-3-hexanone could discriminate samples from omnivores, whereas 1-propanol, hexanoic acid and proline were characteristic of non-omnivore diets. Although the salivary metabolome can be discriminating for diet, the microbiota has a remarkable inter-individual stability and did not vary with dietary habits. Microbial homeostasis might be perturbed with sub-standard oral hygiene or other environmental factors, but there is no current indication that a choice of an omnivore, ovo-lacto-vegetarian or vegan diet can lead to a specific composition of the oral microbiota with consequences on the oral homeostasis.","author":[{"dropping-particle":"","family":"Filippis","given":"F","non-dropping-particle":"De","parse-names":false,"suffix":""},{"dropping-particle":"","family":"Vannini","given":"L","non-dropping-particle":"","parse-names":false,"suffix":""},{"dropping-particle":"","family":"Storia","given":"A","non-dropping-particle":"La","parse-names":false,"suffix":""},{"dropping-particle":"","family":"Laghi","given":"L","non-dropping-particle":"","parse-names":false,"suffix":""},{"dropping-particle":"","family":"Piombino","given":"P","non-dropping-particle":"","parse-names":false,"suffix":""},{"dropping-particle":"","family":"Stellato","given":"G","non-dropping-particle":"","parse-names":false,"suffix":""},{"dropping-particle":"","family":"Serrazanetti","given":"D I","non-dropping-particle":"","parse-names":false,"suffix":""},{"dropping-particle":"","family":"Gozzi","given":"G","non-dropping-particle":"","parse-names":false,"suffix":""},{"dropping-particle":"","family":"Turroni","given":"S","non-dropping-particle":"","parse-names":false,"suffix":""},{"dropping-particle":"","family":"Ferrocino","given":"I","non-dropping-particle":"","parse-names":false,"suffix":""},{"dropping-particle":"","family":"Lazzi","given":"C","non-dropping-particle":"","parse-names":false,"suffix":""},{"dropping-particle":"","family":"Cagno","given":"R","non-dropping-particle":"Di","parse-names":false,"suffix":""},{"dropping-particle":"","family":"Gobbetti","given":"M","non-dropping-particle":"","parse-names":false,"suffix":""},{"dropping-particle":"","family":"Ercolini","given":"D","non-dropping-particle":"","parse-names":false,"suffix":""}],"container-title":"Plos One","id":"ITEM-2","issue":"11","issued":{"date-parts":[["2014"]]},"note":"De Filippis, Francesca Vannini, Lucia La Storia, Antonietta Laghi, Luca Piombino, Paola Stellato, Giuseppina Serrazanetti, Diana I. Gozzi, Giorgia Turroni, Silvia Ferrocino, Ilario Lazzi, Camilla Di Cagno, Raffaella Gobbetti, Marco Ercolini, Danilo\nLaghi, Luca/R-5278-2016; Serrazanetti, Diana Isabella/K-2606-2016; De Filippis, Francesca/K-3816-2016; Ferrocino, Ilario/K-7234-2016\nLaghi, Luca/0000-0003-1593-7376; Serrazanetti, Diana Isabella/0000-0002-6796-4053; De Filippis, Francesca/0000-0002-3474-2884; Di Cagno, Raffaella/0000-0002-9431-4427; Ercolini, Danilo/0000-0003-3061-9560; FERROCINO, ILARIO/0000-0002-1657-0054; Gobbetti, Marco/0000-0003-0869-2737; GOZZI, Giorgia/0000-0001-6015-6144; La Storia, Antonietta/0000-0002-8318-9376","title":"The Same Microbiota and a Potentially Discriminant Metabolome in the Saliva of Omnivore, Ovo-Lacto-Vegetarian and Vegan Individuals","type":"article-journal","volume":"9"},"uris":["http://www.mendeley.com/documents/?uuid=1aa0708c-c811-493d-b05a-9bd5c08c1122"]}],"mendeley":{"formattedCitation":"[51, 52]","plainTextFormattedCitation":"[51, 52]","previouslyFormattedCitation":"[51, 52]"},"properties":{"noteIndex":0},"schema":"https://github.com/citation-style-language/schema/raw/master/csl-citation.json"}</w:instrText>
      </w:r>
      <w:r w:rsidR="00884652">
        <w:rPr>
          <w:rFonts w:ascii="Times New Roman" w:hAnsi="Times New Roman" w:cs="Times New Roman"/>
          <w:lang w:val="en-GB"/>
        </w:rPr>
        <w:fldChar w:fldCharType="separate"/>
      </w:r>
      <w:r w:rsidR="00884652" w:rsidRPr="00884652">
        <w:rPr>
          <w:rFonts w:ascii="Times New Roman" w:hAnsi="Times New Roman" w:cs="Times New Roman"/>
          <w:noProof/>
          <w:lang w:val="en-GB"/>
        </w:rPr>
        <w:t>[51, 52]</w:t>
      </w:r>
      <w:r w:rsidR="00884652">
        <w:rPr>
          <w:rFonts w:ascii="Times New Roman" w:hAnsi="Times New Roman" w:cs="Times New Roman"/>
          <w:lang w:val="en-GB"/>
        </w:rPr>
        <w:fldChar w:fldCharType="end"/>
      </w:r>
      <w:r w:rsidR="00D2512A">
        <w:rPr>
          <w:rFonts w:ascii="Times New Roman" w:hAnsi="Times New Roman" w:cs="Times New Roman"/>
          <w:lang w:val="en-GB"/>
        </w:rPr>
        <w:t xml:space="preserve"> </w:t>
      </w:r>
      <w:r w:rsidRPr="00C33195">
        <w:rPr>
          <w:rFonts w:ascii="Times New Roman" w:hAnsi="Times New Roman" w:cs="Times New Roman"/>
          <w:lang w:val="en-GB"/>
        </w:rPr>
        <w:t xml:space="preserve">and between smokers and non-smokers </w:t>
      </w:r>
      <w:r w:rsidR="00884652">
        <w:rPr>
          <w:rFonts w:ascii="Times New Roman" w:hAnsi="Times New Roman" w:cs="Times New Roman"/>
          <w:lang w:val="en-GB"/>
        </w:rPr>
        <w:fldChar w:fldCharType="begin" w:fldLock="1"/>
      </w:r>
      <w:r w:rsidR="00884652">
        <w:rPr>
          <w:rFonts w:ascii="Times New Roman" w:hAnsi="Times New Roman" w:cs="Times New Roman"/>
          <w:lang w:val="en-GB"/>
        </w:rPr>
        <w:instrText>ADDIN CSL_CITATION {"citationItems":[{"id":"ITEM-1","itemData":{"DOI":"10.1021/pr401099r","ISSN":"1535-3893","abstract":"A GC-TOF-MS method was developed and validated for a metabolic fingerprinting in saliva of smokers and nonsmokers. We validated the method by spiking 37 different metabolites and 6 internal standards to saliva between 0.1 mu M and 2 mM. Intraday coefficients of variation (CVs) (accuracies) were on average, 11.9% (85.8%), 8.2% (88.9%), and 10.0% (106.7%) for the spiked levels 25, 50, and 200 mu M, respectively (N = 5). Interday CVs (accuracies) were 12.4% (97%), 18.8% (95.5%), and 17.2% (105.9%) for the respective levels of 25, 50, and 200 mu M (N= 5). The method was applied to saliva of smokers and nonsmokers, obtained from a 24 h diet-controlled clinical study, in order to identify biomarkers of endogenous origin, which could be linked to smoking related diseases. Automated peak picking, integration, and statistical analysis were conducted by the software tools MZmine, Metaboanalyst, and PSPP. We could identify 13 significantly altered metabolites in smokers (p &lt; 0.05) by matching them against MS libraries and authentic standard compounds. Most of the identified metabolites, including tyramine, adenosine, and glucose-6-phosphate, could be linked to smoking-related perturbations and may be associated with established detrimental effects of smoking.","author":[{"dropping-particle":"","family":"Mueller","given":"D C","non-dropping-particle":"","parse-names":false,"suffix":""},{"dropping-particle":"","family":"Piller","given":"M","non-dropping-particle":"","parse-names":false,"suffix":""},{"dropping-particle":"","family":"Niessner","given":"R","non-dropping-particle":"","parse-names":false,"suffix":""},{"dropping-particle":"","family":"Scherer","given":"M","non-dropping-particle":"","parse-names":false,"suffix":""},{"dropping-particle":"","family":"Scherer","given":"G","non-dropping-particle":"","parse-names":false,"suffix":""}],"container-title":"Journal of Proteome Research","id":"ITEM-1","issue":"3","issued":{"date-parts":[["2014"]]},"note":"Mueller, Daniel C. Piller, Markus Niessner, Reinhard Scherer, Max Scherer, Gerhard\nNiessner, Reinhard/0000-0002-3781-0248\n1535-3907","page":"1602-1613","title":"Untargeted Metabolomic Profiling in Saliva of Smokers and Nonsmokers by a Validated GC-TOF-MS Method","type":"article-journal","volume":"13"},"uris":["http://www.mendeley.com/documents/?uuid=30e45d4e-8852-41eb-a470-c3c2d80f3040"]}],"mendeley":{"formattedCitation":"[53]","plainTextFormattedCitation":"[53]","previouslyFormattedCitation":"[53]"},"properties":{"noteIndex":0},"schema":"https://github.com/citation-style-language/schema/raw/master/csl-citation.json"}</w:instrText>
      </w:r>
      <w:r w:rsidR="00884652">
        <w:rPr>
          <w:rFonts w:ascii="Times New Roman" w:hAnsi="Times New Roman" w:cs="Times New Roman"/>
          <w:lang w:val="en-GB"/>
        </w:rPr>
        <w:fldChar w:fldCharType="separate"/>
      </w:r>
      <w:r w:rsidR="00884652" w:rsidRPr="00884652">
        <w:rPr>
          <w:rFonts w:ascii="Times New Roman" w:hAnsi="Times New Roman" w:cs="Times New Roman"/>
          <w:noProof/>
          <w:lang w:val="en-GB"/>
        </w:rPr>
        <w:t>[53]</w:t>
      </w:r>
      <w:r w:rsidR="00884652">
        <w:rPr>
          <w:rFonts w:ascii="Times New Roman" w:hAnsi="Times New Roman" w:cs="Times New Roman"/>
          <w:lang w:val="en-GB"/>
        </w:rPr>
        <w:fldChar w:fldCharType="end"/>
      </w:r>
      <w:r w:rsidRPr="00C33195">
        <w:rPr>
          <w:rFonts w:ascii="Times New Roman" w:hAnsi="Times New Roman" w:cs="Times New Roman"/>
          <w:lang w:val="en-GB"/>
        </w:rPr>
        <w:t>. Saliva in AD patients was also studied by faster ultra-performance LC-MS</w:t>
      </w:r>
      <w:r w:rsidR="00884652">
        <w:rPr>
          <w:rFonts w:ascii="Times New Roman" w:hAnsi="Times New Roman" w:cs="Times New Roman"/>
          <w:lang w:val="en-GB"/>
        </w:rPr>
        <w:t xml:space="preserve"> </w:t>
      </w:r>
      <w:r w:rsidR="00884652">
        <w:rPr>
          <w:rFonts w:ascii="Times New Roman" w:hAnsi="Times New Roman" w:cs="Times New Roman"/>
          <w:lang w:val="en-GB"/>
        </w:rPr>
        <w:fldChar w:fldCharType="begin" w:fldLock="1"/>
      </w:r>
      <w:r w:rsidR="00884652">
        <w:rPr>
          <w:rFonts w:ascii="Times New Roman" w:hAnsi="Times New Roman" w:cs="Times New Roman"/>
          <w:lang w:val="en-GB"/>
        </w:rPr>
        <w:instrText>ADDIN CSL_CITATION {"citationItems":[{"id":"ITEM-1","itemData":{"DOI":"10.1039/c5ra19094k","ISSN":"2046-2069","abstract":"Early diagnosis of Alzheimer's disease (AD) is an attractive strategy to increase the survival rate of patients. Metabolomics has a great potential for identifying useful biomarkers for early diagnosis, and prognosis. In this work, faster ultra-performance liquid chromatography (FUPLC) mass spectrometry (MS) coupled with multivariate statistical method were employed to find the metabolic changes of the salivary metabolome from AD patients. Saliva samples were obtained from patients with AD (n = 256) and age-matched healthy controls (n = 218). The metabolic differences among AD and control subjects were identified based on principal component analysis (PCA). Sphinganine-1-phosphate, ornithine, phenyllactic acid, inosine, 3-dehydrocarnitine, and hypoxanthine in the AD subjects were significantly different from the control subjects. To demonstrate the utility of salivary biomarkers for the early diagnosis of AD, 3 metabolites (AUC &gt; 0.8) comprising sphinganine-1-phosphate, ornithine, and phenyllactic acid were selected as candidate biomarkers. The major contributor to the predictive model was sphinganine-1-phosphate, which was upregulated in AD, yielded satisfactory accuracy (AUC = 0.998), sensitivity (99.4%) and specificity (98.2%), indicating potential diagnosis in the AD. Our data provided highlights the potential advantages of the application of salivary metabolomics in clinical setting for the diagnosis of AD.","author":[{"dropping-particle":"","family":"Liang","given":"Q","non-dropping-particle":"","parse-names":false,"suffix":""},{"dropping-particle":"","family":"Liu","given":"H","non-dropping-particle":"","parse-names":false,"suffix":""},{"dropping-particle":"","family":"Zhang","given":"T Y","non-dropping-particle":"","parse-names":false,"suffix":""},{"dropping-particle":"","family":"Jiang","given":"Y","non-dropping-particle":"","parse-names":false,"suffix":""},{"dropping-particle":"","family":"Xing","given":"H T","non-dropping-particle":"","parse-names":false,"suffix":""},{"dropping-particle":"","family":"Zhang","given":"A H","non-dropping-particle":"","parse-names":false,"suffix":""}],"container-title":"Rsc Advances","id":"ITEM-1","issue":"116","issued":{"date-parts":[["2015"]]},"note":"Liang, Qun Liu, Han Zhang, Tianyu Jiang, Yan Xing, Haitao Zhang, Ai-hua","page":"96074-96079","title":"Metabolomics-based screening of salivary biomarkers for early diagnosis of Alzheimer's disease","type":"article-journal","volume":"5"},"uris":["http://www.mendeley.com/documents/?uuid=13b510d6-9d24-404c-bcf1-91ce931a5b1b"]},{"id":"ITEM-2","itemData":{"DOI":"10.1039/c6ra16802g","ISSN":"2046-2069","abstract":"Mild cognitive impairment (MCI) confers an increased risk of developing Alzheimer's disease (AD). There is high interest in the discovery of early diagnostic biomarkers that could predict MCI to AD progression, for which saliva metabolomics exhibits a great potential. In this work, the nontargeted metabolomic approach based on fast ultra-high performance liquid chromatography coupled with time-of-flight mass spectrometry (FUPLC-MS) was developed to examine metabolic differences in saliva samples from MCI subjects and age-matched AD subjects; multivariate analyses were used to define the differences between MCI and AD groups; and receiver operating characteristic analysis was used to evaluate the diagnostic power of the candidate biomarkers. Metabolic differences among AD and MCI subjects were identified by principal component analysis. Of note, ten metabolites in the saliva of AD subjects were significantly different from MCI subjects. According to the predictive model, five metabolites were selected as the candidate biomarkers for predicting conversion of MCI to AD. The major contributors were cytidine (P = 0.0003) and sphinganine-1-phosphate (P = 0.0009). The results demonstrated that saliva metabolite profiling may contribute to making early diagnosis and understanding the pathogenic mechanism of AD and MCI.","author":[{"dropping-particle":"","family":"Liang","given":"Q","non-dropping-particle":"","parse-names":false,"suffix":""},{"dropping-particle":"","family":"Liu","given":"H","non-dropping-particle":"","parse-names":false,"suffix":""},{"dropping-particle":"","family":"Li","given":"X","non-dropping-particle":"","parse-names":false,"suffix":""},{"dropping-particle":"","family":"Zhang","given":"A H","non-dropping-particle":"","parse-names":false,"suffix":""}],"container-title":"Rsc Advances","id":"ITEM-2","issue":"79","issued":{"date-parts":[["2016"]]},"note":"Liang, Qun Liu, Han Li, Xue Zhang, Ai-Hua","page":"75499-75504","title":"High-throughput metabolomics analysis discovers salivary biomarkers for predicting mild cognitive impairment and Alzheimer's disease","type":"article-journal","volume":"6"},"uris":["http://www.mendeley.com/documents/?uuid=6f2930c0-1300-470a-b72c-711c15b61721"]}],"mendeley":{"formattedCitation":"[54, 55]","plainTextFormattedCitation":"[54, 55]","previouslyFormattedCitation":"[54, 55]"},"properties":{"noteIndex":0},"schema":"https://github.com/citation-style-language/schema/raw/master/csl-citation.json"}</w:instrText>
      </w:r>
      <w:r w:rsidR="00884652">
        <w:rPr>
          <w:rFonts w:ascii="Times New Roman" w:hAnsi="Times New Roman" w:cs="Times New Roman"/>
          <w:lang w:val="en-GB"/>
        </w:rPr>
        <w:fldChar w:fldCharType="separate"/>
      </w:r>
      <w:r w:rsidR="00884652" w:rsidRPr="00884652">
        <w:rPr>
          <w:rFonts w:ascii="Times New Roman" w:hAnsi="Times New Roman" w:cs="Times New Roman"/>
          <w:noProof/>
          <w:lang w:val="en-GB"/>
        </w:rPr>
        <w:t>[54, 55]</w:t>
      </w:r>
      <w:r w:rsidR="00884652">
        <w:rPr>
          <w:rFonts w:ascii="Times New Roman" w:hAnsi="Times New Roman" w:cs="Times New Roman"/>
          <w:lang w:val="en-GB"/>
        </w:rPr>
        <w:fldChar w:fldCharType="end"/>
      </w:r>
      <w:r w:rsidRPr="00C33195">
        <w:rPr>
          <w:rFonts w:ascii="Times New Roman" w:hAnsi="Times New Roman" w:cs="Times New Roman"/>
          <w:lang w:val="en-GB"/>
        </w:rPr>
        <w:t>.</w:t>
      </w:r>
    </w:p>
    <w:p w14:paraId="775CFEF2" w14:textId="77777777" w:rsidR="000B00BD" w:rsidRPr="00C33195" w:rsidRDefault="000B00BD"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All these studies would suggest that salivary metabolites might be a reliable “mirror” of gut metabolites, thus reflecting the gut microbiota composition and any gut dysbiosis. In none of these studies the dynamics of salivary VOCs were tentatively investigated in single subjects over time during, e.g., gut dysbiosis or intake of antibiotics, probiotics or supplements.</w:t>
      </w:r>
    </w:p>
    <w:p w14:paraId="45AD7BE1" w14:textId="77777777" w:rsidR="00845E49" w:rsidRPr="00C33195" w:rsidRDefault="00845E49"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To test the potentiality of our method for microbiota-related investigations, we applied it to the study of a single healthy subject which went into an antibiotic and subsequently a probiotics and prebiotics treatment.</w:t>
      </w:r>
      <w:r w:rsidR="00CD0483" w:rsidRPr="00C33195">
        <w:rPr>
          <w:rFonts w:ascii="Times New Roman" w:hAnsi="Times New Roman" w:cs="Times New Roman"/>
          <w:lang w:val="en-GB"/>
        </w:rPr>
        <w:t xml:space="preserve">  The analysis of saliva over time in the same subject is fundamental, at least in the proof of applicability of the methodology, in order to investigate the saliva sample variability </w:t>
      </w:r>
      <w:r w:rsidR="008811CD" w:rsidRPr="00C33195">
        <w:rPr>
          <w:rFonts w:ascii="Times New Roman" w:hAnsi="Times New Roman" w:cs="Times New Roman"/>
          <w:lang w:val="en-GB"/>
        </w:rPr>
        <w:t>range</w:t>
      </w:r>
      <w:r w:rsidR="00B925DA" w:rsidRPr="00C33195">
        <w:rPr>
          <w:rFonts w:ascii="Times New Roman" w:hAnsi="Times New Roman" w:cs="Times New Roman"/>
          <w:lang w:val="en-GB"/>
        </w:rPr>
        <w:t>, keeping controlled only one condition, i.e. the</w:t>
      </w:r>
      <w:r w:rsidR="00BB23D6" w:rsidRPr="00C33195">
        <w:rPr>
          <w:rFonts w:ascii="Times New Roman" w:hAnsi="Times New Roman" w:cs="Times New Roman"/>
          <w:lang w:val="en-GB"/>
        </w:rPr>
        <w:t xml:space="preserve"> saliva</w:t>
      </w:r>
      <w:r w:rsidR="00B925DA" w:rsidRPr="00C33195">
        <w:rPr>
          <w:rFonts w:ascii="Times New Roman" w:hAnsi="Times New Roman" w:cs="Times New Roman"/>
          <w:lang w:val="en-GB"/>
        </w:rPr>
        <w:t xml:space="preserve"> sampling in the morning after 8 h fasting</w:t>
      </w:r>
      <w:r w:rsidR="00B45025" w:rsidRPr="00C33195">
        <w:rPr>
          <w:rFonts w:ascii="Times New Roman" w:hAnsi="Times New Roman" w:cs="Times New Roman"/>
          <w:lang w:val="en-GB"/>
        </w:rPr>
        <w:t>, before any treatment</w:t>
      </w:r>
      <w:r w:rsidR="0040574A" w:rsidRPr="00C33195">
        <w:rPr>
          <w:rFonts w:ascii="Times New Roman" w:hAnsi="Times New Roman" w:cs="Times New Roman"/>
          <w:lang w:val="en-GB"/>
        </w:rPr>
        <w:t xml:space="preserve">.  </w:t>
      </w:r>
      <w:r w:rsidR="008811CD" w:rsidRPr="00C33195">
        <w:rPr>
          <w:rFonts w:ascii="Times New Roman" w:hAnsi="Times New Roman" w:cs="Times New Roman"/>
          <w:lang w:val="en-GB"/>
        </w:rPr>
        <w:t xml:space="preserve"> </w:t>
      </w:r>
      <w:r w:rsidR="000D10D5" w:rsidRPr="00C33195">
        <w:rPr>
          <w:rFonts w:ascii="Times New Roman" w:hAnsi="Times New Roman" w:cs="Times New Roman"/>
          <w:lang w:val="en-GB"/>
        </w:rPr>
        <w:t>Figure 3</w:t>
      </w:r>
      <w:r w:rsidR="00CF5220" w:rsidRPr="00C33195">
        <w:rPr>
          <w:rFonts w:ascii="Times New Roman" w:hAnsi="Times New Roman" w:cs="Times New Roman"/>
          <w:lang w:val="en-GB"/>
        </w:rPr>
        <w:t xml:space="preserve"> shows the representative trend of ethanol during the experiment.</w:t>
      </w:r>
    </w:p>
    <w:p w14:paraId="2B764B38" w14:textId="77777777" w:rsidR="0040574A" w:rsidRPr="00C33195" w:rsidRDefault="0040574A" w:rsidP="00875587">
      <w:pPr>
        <w:spacing w:line="360" w:lineRule="auto"/>
        <w:jc w:val="both"/>
        <w:rPr>
          <w:rFonts w:ascii="Times New Roman" w:hAnsi="Times New Roman" w:cs="Times New Roman"/>
          <w:lang w:val="en-GB"/>
        </w:rPr>
      </w:pPr>
    </w:p>
    <w:p w14:paraId="74306D12" w14:textId="77777777" w:rsidR="0040574A" w:rsidRPr="00C33195" w:rsidRDefault="003F7873" w:rsidP="00B925DA">
      <w:pPr>
        <w:spacing w:line="360" w:lineRule="auto"/>
        <w:jc w:val="center"/>
        <w:rPr>
          <w:rFonts w:ascii="Times New Roman" w:hAnsi="Times New Roman" w:cs="Times New Roman"/>
          <w:lang w:val="en-GB"/>
        </w:rPr>
      </w:pPr>
      <w:r w:rsidRPr="00C33195">
        <w:rPr>
          <w:rFonts w:ascii="Times New Roman" w:hAnsi="Times New Roman" w:cs="Times New Roman"/>
          <w:noProof/>
          <w:lang w:val="it-IT"/>
        </w:rPr>
        <w:lastRenderedPageBreak/>
        <w:drawing>
          <wp:inline distT="0" distB="0" distL="0" distR="0" wp14:anchorId="7BD91681" wp14:editId="52413F35">
            <wp:extent cx="5411706" cy="3437937"/>
            <wp:effectExtent l="0" t="0" r="0" b="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420711" cy="3443657"/>
                    </a:xfrm>
                    <a:prstGeom prst="rect">
                      <a:avLst/>
                    </a:prstGeom>
                  </pic:spPr>
                </pic:pic>
              </a:graphicData>
            </a:graphic>
          </wp:inline>
        </w:drawing>
      </w:r>
    </w:p>
    <w:p w14:paraId="00D5418E" w14:textId="21D12826" w:rsidR="00CF5220" w:rsidRPr="00C33195" w:rsidRDefault="008849A9" w:rsidP="00E57EE7">
      <w:pPr>
        <w:spacing w:line="360" w:lineRule="auto"/>
        <w:jc w:val="center"/>
        <w:rPr>
          <w:rFonts w:ascii="Times New Roman" w:hAnsi="Times New Roman" w:cs="Times New Roman"/>
          <w:sz w:val="22"/>
          <w:szCs w:val="22"/>
          <w:lang w:val="en-GB"/>
        </w:rPr>
      </w:pPr>
      <w:r w:rsidRPr="00C33195">
        <w:rPr>
          <w:rFonts w:ascii="Times New Roman" w:hAnsi="Times New Roman" w:cs="Times New Roman"/>
          <w:b/>
          <w:sz w:val="22"/>
          <w:szCs w:val="22"/>
          <w:lang w:val="en-GB"/>
        </w:rPr>
        <w:t>Fig.3</w:t>
      </w:r>
      <w:r w:rsidR="00E10877" w:rsidRPr="00C33195">
        <w:rPr>
          <w:rFonts w:ascii="Times New Roman" w:hAnsi="Times New Roman" w:cs="Times New Roman"/>
          <w:sz w:val="22"/>
          <w:szCs w:val="22"/>
          <w:lang w:val="en-GB"/>
        </w:rPr>
        <w:t xml:space="preserve">  </w:t>
      </w:r>
      <w:r w:rsidR="00CF5220" w:rsidRPr="00C33195">
        <w:rPr>
          <w:rFonts w:ascii="Times New Roman" w:hAnsi="Times New Roman" w:cs="Times New Roman"/>
          <w:sz w:val="22"/>
          <w:szCs w:val="22"/>
          <w:lang w:val="en-GB"/>
        </w:rPr>
        <w:t>Representative trend of ethanol during the experiment</w:t>
      </w:r>
      <w:r w:rsidR="00B45025" w:rsidRPr="00C33195">
        <w:rPr>
          <w:rFonts w:ascii="Times New Roman" w:hAnsi="Times New Roman" w:cs="Times New Roman"/>
          <w:sz w:val="22"/>
          <w:szCs w:val="22"/>
          <w:lang w:val="en-GB"/>
        </w:rPr>
        <w:t xml:space="preserve">. </w:t>
      </w:r>
      <w:r w:rsidR="004A0F61" w:rsidRPr="00C33195">
        <w:rPr>
          <w:rFonts w:ascii="Times New Roman" w:hAnsi="Times New Roman" w:cs="Times New Roman"/>
          <w:sz w:val="22"/>
          <w:szCs w:val="22"/>
          <w:lang w:val="en-GB"/>
        </w:rPr>
        <w:t xml:space="preserve">The orange bars </w:t>
      </w:r>
      <w:r w:rsidR="00E549B9" w:rsidRPr="00C33195">
        <w:rPr>
          <w:rFonts w:ascii="Times New Roman" w:hAnsi="Times New Roman" w:cs="Times New Roman"/>
          <w:sz w:val="22"/>
          <w:szCs w:val="22"/>
          <w:lang w:val="en-GB"/>
        </w:rPr>
        <w:t xml:space="preserve">indicate </w:t>
      </w:r>
      <w:r w:rsidR="00F965CB" w:rsidRPr="00C33195">
        <w:rPr>
          <w:rFonts w:ascii="Times New Roman" w:hAnsi="Times New Roman" w:cs="Times New Roman"/>
          <w:sz w:val="22"/>
          <w:szCs w:val="22"/>
          <w:lang w:val="en-GB"/>
        </w:rPr>
        <w:t xml:space="preserve">the estimated, qualitative amount in the gut based on its pharmacokinetics </w:t>
      </w:r>
      <w:r w:rsidR="00B27887">
        <w:rPr>
          <w:rFonts w:ascii="Times New Roman" w:hAnsi="Times New Roman" w:cs="Times New Roman"/>
          <w:sz w:val="22"/>
          <w:szCs w:val="22"/>
          <w:lang w:val="en-GB"/>
        </w:rPr>
        <w:fldChar w:fldCharType="begin" w:fldLock="1"/>
      </w:r>
      <w:r w:rsidR="00884652">
        <w:rPr>
          <w:rFonts w:ascii="Times New Roman" w:hAnsi="Times New Roman" w:cs="Times New Roman"/>
          <w:sz w:val="22"/>
          <w:szCs w:val="22"/>
          <w:lang w:val="en-GB"/>
        </w:rPr>
        <w:instrText>ADDIN CSL_CITATION {"citationItems":[{"id":"ITEM-1","itemData":{"DOI":"10.1128/AAC.01108-07","abstract":"Rifaximin is an oral antibiotic indicated for treatment of traveler&amp;#039;s diarrhea. Rifaximin pharmacokinetics were evaluated in individuals challenged with Shigella flexneri. Peak plasma rifaximin concentrations were low after nine consecutive doses, and no accumulation was observed. Rifaximin serum levels were minimal and similar to those previously reported in studies of healthy volunteers.","author":[{"dropping-particle":"","family":"Taylor","given":"David N","non-dropping-particle":"","parse-names":false,"suffix":""},{"dropping-particle":"","family":"McKenzie","given":"Robin","non-dropping-particle":"","parse-names":false,"suffix":""},{"dropping-particle":"","family":"Durbin","given":"Anna","non-dropping-particle":"","parse-names":false,"suffix":""},{"dropping-particle":"","family":"Carpenter","given":"Colleen","non-dropping-particle":"","parse-names":false,"suffix":""},{"dropping-particle":"","family":"Haake","given":"Robert","non-dropping-particle":"","parse-names":false,"suffix":""},{"dropping-particle":"","family":"Bourgeois","given":"A Louis","non-dropping-particle":"","parse-names":false,"suffix":""}],"container-title":"Antimicrobial Agents and Chemotherapy","id":"ITEM-1","issue":"3","issued":{"date-parts":[["2008","3","1"]]},"page":"1179 LP  - 1181","title":"Systemic Pharmacokinetics of Rifaximin in Volunteers with Shigellosis","type":"article-journal","volume":"52"},"uris":["http://www.mendeley.com/documents/?uuid=8827d1dc-a46f-4ed0-b2d6-5a893f46fbba"]}],"mendeley":{"formattedCitation":"[56]","plainTextFormattedCitation":"[56]","previouslyFormattedCitation":"[56]"},"properties":{"noteIndex":0},"schema":"https://github.com/citation-style-language/schema/raw/master/csl-citation.json"}</w:instrText>
      </w:r>
      <w:r w:rsidR="00B27887">
        <w:rPr>
          <w:rFonts w:ascii="Times New Roman" w:hAnsi="Times New Roman" w:cs="Times New Roman"/>
          <w:sz w:val="22"/>
          <w:szCs w:val="22"/>
          <w:lang w:val="en-GB"/>
        </w:rPr>
        <w:fldChar w:fldCharType="separate"/>
      </w:r>
      <w:r w:rsidR="00884652" w:rsidRPr="00884652">
        <w:rPr>
          <w:rFonts w:ascii="Times New Roman" w:hAnsi="Times New Roman" w:cs="Times New Roman"/>
          <w:noProof/>
          <w:sz w:val="22"/>
          <w:szCs w:val="22"/>
          <w:lang w:val="en-GB"/>
        </w:rPr>
        <w:t>[56]</w:t>
      </w:r>
      <w:r w:rsidR="00B27887">
        <w:rPr>
          <w:rFonts w:ascii="Times New Roman" w:hAnsi="Times New Roman" w:cs="Times New Roman"/>
          <w:sz w:val="22"/>
          <w:szCs w:val="22"/>
          <w:lang w:val="en-GB"/>
        </w:rPr>
        <w:fldChar w:fldCharType="end"/>
      </w:r>
      <w:r w:rsidR="00DE1D30" w:rsidRPr="00C33195">
        <w:rPr>
          <w:rFonts w:ascii="Times New Roman" w:hAnsi="Times New Roman" w:cs="Times New Roman"/>
          <w:sz w:val="22"/>
          <w:szCs w:val="22"/>
          <w:lang w:val="en-GB"/>
        </w:rPr>
        <w:t>.</w:t>
      </w:r>
      <w:r w:rsidR="00F965CB" w:rsidRPr="00C33195">
        <w:rPr>
          <w:rFonts w:ascii="Times New Roman" w:hAnsi="Times New Roman" w:cs="Times New Roman"/>
          <w:sz w:val="22"/>
          <w:szCs w:val="22"/>
          <w:lang w:val="en-GB"/>
        </w:rPr>
        <w:t xml:space="preserve"> </w:t>
      </w:r>
      <w:r w:rsidR="00E549B9" w:rsidRPr="00C33195">
        <w:rPr>
          <w:rFonts w:ascii="Times New Roman" w:hAnsi="Times New Roman" w:cs="Times New Roman"/>
          <w:sz w:val="22"/>
          <w:szCs w:val="22"/>
          <w:lang w:val="en-GB"/>
        </w:rPr>
        <w:t xml:space="preserve"> </w:t>
      </w:r>
      <w:r w:rsidR="00B45025" w:rsidRPr="00C33195">
        <w:rPr>
          <w:rFonts w:ascii="Times New Roman" w:hAnsi="Times New Roman" w:cs="Times New Roman"/>
          <w:sz w:val="22"/>
          <w:szCs w:val="22"/>
          <w:lang w:val="en-GB"/>
        </w:rPr>
        <w:t>The rifaximin dosage</w:t>
      </w:r>
      <w:r w:rsidR="00F9142F" w:rsidRPr="00C33195">
        <w:rPr>
          <w:rFonts w:ascii="Times New Roman" w:hAnsi="Times New Roman" w:cs="Times New Roman"/>
          <w:sz w:val="22"/>
          <w:szCs w:val="22"/>
          <w:lang w:val="en-GB"/>
        </w:rPr>
        <w:t xml:space="preserve"> taken the day before the sampling </w:t>
      </w:r>
      <w:r w:rsidR="00B45025" w:rsidRPr="00C33195">
        <w:rPr>
          <w:rFonts w:ascii="Times New Roman" w:hAnsi="Times New Roman" w:cs="Times New Roman"/>
          <w:sz w:val="22"/>
          <w:szCs w:val="22"/>
          <w:lang w:val="en-GB"/>
        </w:rPr>
        <w:t>is repor</w:t>
      </w:r>
      <w:r w:rsidR="00F9142F" w:rsidRPr="00C33195">
        <w:rPr>
          <w:rFonts w:ascii="Times New Roman" w:hAnsi="Times New Roman" w:cs="Times New Roman"/>
          <w:sz w:val="22"/>
          <w:szCs w:val="22"/>
          <w:lang w:val="en-GB"/>
        </w:rPr>
        <w:t>ted</w:t>
      </w:r>
      <w:r w:rsidR="00FF7DA2" w:rsidRPr="00C33195">
        <w:rPr>
          <w:rFonts w:ascii="Times New Roman" w:hAnsi="Times New Roman" w:cs="Times New Roman"/>
          <w:sz w:val="22"/>
          <w:szCs w:val="22"/>
          <w:lang w:val="en-GB"/>
        </w:rPr>
        <w:t xml:space="preserve">.  </w:t>
      </w:r>
    </w:p>
    <w:p w14:paraId="10409B5D" w14:textId="77777777" w:rsidR="000F5299" w:rsidRPr="00C33195" w:rsidRDefault="000F5299" w:rsidP="00875587">
      <w:pPr>
        <w:spacing w:line="360" w:lineRule="auto"/>
        <w:jc w:val="both"/>
        <w:rPr>
          <w:rFonts w:ascii="Times New Roman" w:hAnsi="Times New Roman" w:cs="Times New Roman"/>
          <w:lang w:val="en-GB"/>
        </w:rPr>
      </w:pPr>
    </w:p>
    <w:p w14:paraId="1994E9CC" w14:textId="77777777" w:rsidR="00BB69B6" w:rsidRPr="00C33195" w:rsidRDefault="00BB69B6"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 xml:space="preserve">Table 3 shows the </w:t>
      </w:r>
      <w:r w:rsidR="007905BA" w:rsidRPr="00C33195">
        <w:rPr>
          <w:rFonts w:ascii="Times New Roman" w:hAnsi="Times New Roman" w:cs="Times New Roman"/>
          <w:lang w:val="en-GB"/>
        </w:rPr>
        <w:t xml:space="preserve">results of quantitative analysis for the selected VOCs </w:t>
      </w:r>
      <w:r w:rsidRPr="00C33195">
        <w:rPr>
          <w:rFonts w:ascii="Times New Roman" w:hAnsi="Times New Roman" w:cs="Times New Roman"/>
          <w:lang w:val="en-GB"/>
        </w:rPr>
        <w:t xml:space="preserve">in </w:t>
      </w:r>
      <w:r w:rsidR="007905BA" w:rsidRPr="00C33195">
        <w:rPr>
          <w:rFonts w:ascii="Times New Roman" w:hAnsi="Times New Roman" w:cs="Times New Roman"/>
          <w:lang w:val="en-GB"/>
        </w:rPr>
        <w:t xml:space="preserve">14 </w:t>
      </w:r>
      <w:r w:rsidRPr="00C33195">
        <w:rPr>
          <w:rFonts w:ascii="Times New Roman" w:hAnsi="Times New Roman" w:cs="Times New Roman"/>
          <w:lang w:val="en-GB"/>
        </w:rPr>
        <w:t xml:space="preserve">saliva </w:t>
      </w:r>
      <w:r w:rsidR="007905BA" w:rsidRPr="00C33195">
        <w:rPr>
          <w:rFonts w:ascii="Times New Roman" w:hAnsi="Times New Roman" w:cs="Times New Roman"/>
          <w:lang w:val="en-GB"/>
        </w:rPr>
        <w:t xml:space="preserve">samples </w:t>
      </w:r>
      <w:r w:rsidR="000F5299" w:rsidRPr="00C33195">
        <w:rPr>
          <w:rFonts w:ascii="Times New Roman" w:hAnsi="Times New Roman" w:cs="Times New Roman"/>
          <w:lang w:val="en-GB"/>
        </w:rPr>
        <w:t>collected during the experiment</w:t>
      </w:r>
      <w:r w:rsidRPr="00C33195">
        <w:rPr>
          <w:rFonts w:ascii="Times New Roman" w:hAnsi="Times New Roman" w:cs="Times New Roman"/>
          <w:lang w:val="en-GB"/>
        </w:rPr>
        <w:t>.</w:t>
      </w:r>
    </w:p>
    <w:p w14:paraId="00DA0022" w14:textId="77777777" w:rsidR="00875587" w:rsidRPr="00C33195" w:rsidRDefault="00875587" w:rsidP="00875587">
      <w:pPr>
        <w:spacing w:line="360" w:lineRule="auto"/>
        <w:jc w:val="both"/>
        <w:rPr>
          <w:rFonts w:ascii="Times New Roman" w:hAnsi="Times New Roman" w:cs="Times New Roman"/>
          <w:b/>
          <w:sz w:val="22"/>
          <w:szCs w:val="22"/>
          <w:lang w:val="en-GB"/>
        </w:rPr>
      </w:pPr>
    </w:p>
    <w:p w14:paraId="4643B8FC" w14:textId="77777777" w:rsidR="00875587" w:rsidRPr="00C33195" w:rsidRDefault="008849A9" w:rsidP="00875587">
      <w:pPr>
        <w:spacing w:line="360" w:lineRule="auto"/>
        <w:jc w:val="both"/>
        <w:rPr>
          <w:rFonts w:ascii="Times New Roman" w:hAnsi="Times New Roman" w:cs="Times New Roman"/>
          <w:sz w:val="22"/>
          <w:szCs w:val="22"/>
          <w:lang w:val="en-GB"/>
        </w:rPr>
      </w:pPr>
      <w:r w:rsidRPr="00C33195">
        <w:rPr>
          <w:rFonts w:ascii="Times New Roman" w:hAnsi="Times New Roman" w:cs="Times New Roman"/>
          <w:b/>
          <w:sz w:val="22"/>
          <w:szCs w:val="22"/>
          <w:lang w:val="en-GB"/>
        </w:rPr>
        <w:t>Table 3</w:t>
      </w:r>
      <w:r w:rsidR="00875587" w:rsidRPr="00C33195">
        <w:rPr>
          <w:rFonts w:ascii="Times New Roman" w:hAnsi="Times New Roman" w:cs="Times New Roman"/>
          <w:b/>
          <w:sz w:val="22"/>
          <w:szCs w:val="22"/>
          <w:lang w:val="en-GB"/>
        </w:rPr>
        <w:t xml:space="preserve"> </w:t>
      </w:r>
      <w:r w:rsidRPr="00C33195">
        <w:rPr>
          <w:rFonts w:ascii="Times New Roman" w:hAnsi="Times New Roman" w:cs="Times New Roman"/>
          <w:b/>
          <w:sz w:val="22"/>
          <w:szCs w:val="22"/>
          <w:lang w:val="en-GB"/>
        </w:rPr>
        <w:t xml:space="preserve"> </w:t>
      </w:r>
      <w:r w:rsidR="00875587" w:rsidRPr="00C33195">
        <w:rPr>
          <w:rFonts w:ascii="Times New Roman" w:hAnsi="Times New Roman" w:cs="Times New Roman"/>
          <w:sz w:val="22"/>
          <w:szCs w:val="22"/>
          <w:lang w:val="en-GB"/>
        </w:rPr>
        <w:t xml:space="preserve">Minimum and maximum value, median, and mean concentration (µM) of the selected VOCs in the </w:t>
      </w:r>
      <w:proofErr w:type="spellStart"/>
      <w:r w:rsidR="00875587" w:rsidRPr="00C33195">
        <w:rPr>
          <w:rFonts w:ascii="Times New Roman" w:hAnsi="Times New Roman" w:cs="Times New Roman"/>
          <w:sz w:val="22"/>
          <w:szCs w:val="22"/>
          <w:lang w:val="en-GB"/>
        </w:rPr>
        <w:t>analyzed</w:t>
      </w:r>
      <w:proofErr w:type="spellEnd"/>
      <w:r w:rsidR="00875587" w:rsidRPr="00C33195">
        <w:rPr>
          <w:rFonts w:ascii="Times New Roman" w:hAnsi="Times New Roman" w:cs="Times New Roman"/>
          <w:sz w:val="22"/>
          <w:szCs w:val="22"/>
          <w:lang w:val="en-GB"/>
        </w:rPr>
        <w:t xml:space="preserve"> 14 saliva samples. </w:t>
      </w:r>
    </w:p>
    <w:tbl>
      <w:tblPr>
        <w:tblW w:w="8253" w:type="dxa"/>
        <w:tblInd w:w="55" w:type="dxa"/>
        <w:tblCellMar>
          <w:left w:w="70" w:type="dxa"/>
          <w:right w:w="70" w:type="dxa"/>
        </w:tblCellMar>
        <w:tblLook w:val="04A0" w:firstRow="1" w:lastRow="0" w:firstColumn="1" w:lastColumn="0" w:noHBand="0" w:noVBand="1"/>
      </w:tblPr>
      <w:tblGrid>
        <w:gridCol w:w="1753"/>
        <w:gridCol w:w="1300"/>
        <w:gridCol w:w="1300"/>
        <w:gridCol w:w="1300"/>
        <w:gridCol w:w="1300"/>
        <w:gridCol w:w="1300"/>
      </w:tblGrid>
      <w:tr w:rsidR="00BB69B6" w:rsidRPr="00C33195" w14:paraId="5969AE2E" w14:textId="77777777" w:rsidTr="00767AAF">
        <w:trPr>
          <w:trHeight w:val="300"/>
        </w:trPr>
        <w:tc>
          <w:tcPr>
            <w:tcW w:w="1753" w:type="dxa"/>
            <w:tcBorders>
              <w:top w:val="single" w:sz="4" w:space="0" w:color="auto"/>
              <w:left w:val="nil"/>
              <w:bottom w:val="single" w:sz="4" w:space="0" w:color="auto"/>
              <w:right w:val="nil"/>
            </w:tcBorders>
            <w:shd w:val="clear" w:color="auto" w:fill="auto"/>
            <w:noWrap/>
            <w:vAlign w:val="center"/>
            <w:hideMark/>
          </w:tcPr>
          <w:p w14:paraId="2F1C6637" w14:textId="77777777" w:rsidR="00BB69B6" w:rsidRPr="00C33195" w:rsidRDefault="00BB69B6" w:rsidP="008849A9">
            <w:pPr>
              <w:spacing w:line="276" w:lineRule="auto"/>
              <w:jc w:val="center"/>
              <w:rPr>
                <w:rFonts w:ascii="Times New Roman" w:eastAsia="Times New Roman" w:hAnsi="Times New Roman" w:cs="Times New Roman"/>
                <w:b/>
                <w:color w:val="000000"/>
                <w:sz w:val="22"/>
                <w:szCs w:val="22"/>
                <w:lang w:val="en-GB"/>
              </w:rPr>
            </w:pPr>
          </w:p>
        </w:tc>
        <w:tc>
          <w:tcPr>
            <w:tcW w:w="1300" w:type="dxa"/>
            <w:tcBorders>
              <w:top w:val="single" w:sz="4" w:space="0" w:color="auto"/>
              <w:left w:val="nil"/>
              <w:bottom w:val="single" w:sz="4" w:space="0" w:color="auto"/>
              <w:right w:val="nil"/>
            </w:tcBorders>
            <w:shd w:val="clear" w:color="auto" w:fill="auto"/>
            <w:noWrap/>
            <w:vAlign w:val="center"/>
            <w:hideMark/>
          </w:tcPr>
          <w:p w14:paraId="6F8A1E53" w14:textId="77777777" w:rsidR="00BB69B6" w:rsidRPr="00C33195" w:rsidRDefault="00BB69B6" w:rsidP="008849A9">
            <w:pPr>
              <w:spacing w:line="276" w:lineRule="auto"/>
              <w:jc w:val="center"/>
              <w:rPr>
                <w:rFonts w:ascii="Times New Roman" w:eastAsia="Times New Roman" w:hAnsi="Times New Roman" w:cs="Times New Roman"/>
                <w:b/>
                <w:color w:val="000000"/>
                <w:sz w:val="22"/>
                <w:szCs w:val="22"/>
                <w:lang w:val="en-GB"/>
              </w:rPr>
            </w:pPr>
            <w:r w:rsidRPr="00C33195">
              <w:rPr>
                <w:rFonts w:ascii="Times New Roman" w:eastAsia="Times New Roman" w:hAnsi="Times New Roman" w:cs="Times New Roman"/>
                <w:b/>
                <w:color w:val="000000"/>
                <w:sz w:val="22"/>
                <w:szCs w:val="22"/>
                <w:lang w:val="en-GB"/>
              </w:rPr>
              <w:t>Min</w:t>
            </w:r>
          </w:p>
        </w:tc>
        <w:tc>
          <w:tcPr>
            <w:tcW w:w="1300" w:type="dxa"/>
            <w:tcBorders>
              <w:top w:val="single" w:sz="4" w:space="0" w:color="auto"/>
              <w:left w:val="nil"/>
              <w:bottom w:val="single" w:sz="4" w:space="0" w:color="auto"/>
              <w:right w:val="nil"/>
            </w:tcBorders>
            <w:shd w:val="clear" w:color="auto" w:fill="auto"/>
            <w:noWrap/>
            <w:vAlign w:val="center"/>
            <w:hideMark/>
          </w:tcPr>
          <w:p w14:paraId="20BA47E5" w14:textId="77777777" w:rsidR="00BB69B6" w:rsidRPr="00C33195" w:rsidRDefault="00BB69B6" w:rsidP="008849A9">
            <w:pPr>
              <w:spacing w:line="276" w:lineRule="auto"/>
              <w:jc w:val="center"/>
              <w:rPr>
                <w:rFonts w:ascii="Times New Roman" w:eastAsia="Times New Roman" w:hAnsi="Times New Roman" w:cs="Times New Roman"/>
                <w:b/>
                <w:color w:val="000000"/>
                <w:sz w:val="22"/>
                <w:szCs w:val="22"/>
                <w:lang w:val="en-GB"/>
              </w:rPr>
            </w:pPr>
            <w:r w:rsidRPr="00C33195">
              <w:rPr>
                <w:rFonts w:ascii="Times New Roman" w:eastAsia="Times New Roman" w:hAnsi="Times New Roman" w:cs="Times New Roman"/>
                <w:b/>
                <w:color w:val="000000"/>
                <w:sz w:val="22"/>
                <w:szCs w:val="22"/>
                <w:lang w:val="en-GB"/>
              </w:rPr>
              <w:t>Max</w:t>
            </w:r>
          </w:p>
        </w:tc>
        <w:tc>
          <w:tcPr>
            <w:tcW w:w="1300" w:type="dxa"/>
            <w:tcBorders>
              <w:top w:val="single" w:sz="4" w:space="0" w:color="auto"/>
              <w:left w:val="nil"/>
              <w:bottom w:val="single" w:sz="4" w:space="0" w:color="auto"/>
              <w:right w:val="nil"/>
            </w:tcBorders>
            <w:shd w:val="clear" w:color="auto" w:fill="auto"/>
            <w:noWrap/>
            <w:vAlign w:val="center"/>
            <w:hideMark/>
          </w:tcPr>
          <w:p w14:paraId="2564EBD8" w14:textId="77777777" w:rsidR="00BB69B6" w:rsidRPr="00C33195" w:rsidRDefault="00BB69B6" w:rsidP="008849A9">
            <w:pPr>
              <w:spacing w:line="276" w:lineRule="auto"/>
              <w:jc w:val="center"/>
              <w:rPr>
                <w:rFonts w:ascii="Times New Roman" w:eastAsia="Times New Roman" w:hAnsi="Times New Roman" w:cs="Times New Roman"/>
                <w:b/>
                <w:color w:val="000000"/>
                <w:sz w:val="22"/>
                <w:szCs w:val="22"/>
                <w:lang w:val="en-GB"/>
              </w:rPr>
            </w:pPr>
            <w:r w:rsidRPr="00C33195">
              <w:rPr>
                <w:rFonts w:ascii="Times New Roman" w:eastAsia="Times New Roman" w:hAnsi="Times New Roman" w:cs="Times New Roman"/>
                <w:b/>
                <w:color w:val="000000"/>
                <w:sz w:val="22"/>
                <w:szCs w:val="22"/>
                <w:lang w:val="en-GB"/>
              </w:rPr>
              <w:t>Median</w:t>
            </w:r>
          </w:p>
        </w:tc>
        <w:tc>
          <w:tcPr>
            <w:tcW w:w="1300" w:type="dxa"/>
            <w:tcBorders>
              <w:top w:val="single" w:sz="4" w:space="0" w:color="auto"/>
              <w:left w:val="nil"/>
              <w:bottom w:val="single" w:sz="4" w:space="0" w:color="auto"/>
              <w:right w:val="nil"/>
            </w:tcBorders>
            <w:shd w:val="clear" w:color="auto" w:fill="auto"/>
            <w:noWrap/>
            <w:vAlign w:val="center"/>
            <w:hideMark/>
          </w:tcPr>
          <w:p w14:paraId="2BB8742B" w14:textId="77777777" w:rsidR="00BB69B6" w:rsidRPr="00C33195" w:rsidRDefault="00875587" w:rsidP="008849A9">
            <w:pPr>
              <w:spacing w:line="276" w:lineRule="auto"/>
              <w:jc w:val="center"/>
              <w:rPr>
                <w:rFonts w:ascii="Times New Roman" w:eastAsia="Times New Roman" w:hAnsi="Times New Roman" w:cs="Times New Roman"/>
                <w:b/>
                <w:color w:val="000000"/>
                <w:sz w:val="22"/>
                <w:szCs w:val="22"/>
                <w:lang w:val="en-GB"/>
              </w:rPr>
            </w:pPr>
            <w:r w:rsidRPr="00C33195">
              <w:rPr>
                <w:rFonts w:ascii="Times New Roman" w:eastAsia="Times New Roman" w:hAnsi="Times New Roman" w:cs="Times New Roman"/>
                <w:b/>
                <w:color w:val="000000"/>
                <w:sz w:val="22"/>
                <w:szCs w:val="22"/>
                <w:lang w:val="en-GB"/>
              </w:rPr>
              <w:t>Mean</w:t>
            </w:r>
          </w:p>
        </w:tc>
        <w:tc>
          <w:tcPr>
            <w:tcW w:w="1300" w:type="dxa"/>
            <w:tcBorders>
              <w:top w:val="single" w:sz="4" w:space="0" w:color="auto"/>
              <w:left w:val="nil"/>
              <w:bottom w:val="single" w:sz="4" w:space="0" w:color="auto"/>
              <w:right w:val="nil"/>
            </w:tcBorders>
            <w:shd w:val="clear" w:color="auto" w:fill="auto"/>
            <w:noWrap/>
            <w:vAlign w:val="center"/>
            <w:hideMark/>
          </w:tcPr>
          <w:p w14:paraId="5E4D6006" w14:textId="77777777" w:rsidR="00BB69B6" w:rsidRPr="00C33195" w:rsidRDefault="00BB69B6" w:rsidP="008849A9">
            <w:pPr>
              <w:spacing w:line="276" w:lineRule="auto"/>
              <w:jc w:val="center"/>
              <w:rPr>
                <w:rFonts w:ascii="Times New Roman" w:eastAsia="Times New Roman" w:hAnsi="Times New Roman" w:cs="Times New Roman"/>
                <w:b/>
                <w:color w:val="000000"/>
                <w:sz w:val="22"/>
                <w:szCs w:val="22"/>
                <w:lang w:val="en-GB"/>
              </w:rPr>
            </w:pPr>
            <w:r w:rsidRPr="00C33195">
              <w:rPr>
                <w:rFonts w:ascii="Times New Roman" w:eastAsia="Times New Roman" w:hAnsi="Times New Roman" w:cs="Times New Roman"/>
                <w:b/>
                <w:color w:val="000000"/>
                <w:sz w:val="22"/>
                <w:szCs w:val="22"/>
                <w:lang w:val="en-GB"/>
              </w:rPr>
              <w:t>SD</w:t>
            </w:r>
          </w:p>
        </w:tc>
      </w:tr>
      <w:tr w:rsidR="00BB69B6" w:rsidRPr="00C33195" w14:paraId="055AD37D" w14:textId="77777777" w:rsidTr="00767AAF">
        <w:trPr>
          <w:trHeight w:val="300"/>
        </w:trPr>
        <w:tc>
          <w:tcPr>
            <w:tcW w:w="1753" w:type="dxa"/>
            <w:tcBorders>
              <w:top w:val="single" w:sz="4" w:space="0" w:color="auto"/>
              <w:left w:val="nil"/>
              <w:bottom w:val="nil"/>
              <w:right w:val="nil"/>
            </w:tcBorders>
            <w:shd w:val="clear" w:color="auto" w:fill="auto"/>
            <w:noWrap/>
            <w:vAlign w:val="center"/>
            <w:hideMark/>
          </w:tcPr>
          <w:p w14:paraId="464BF90C" w14:textId="77777777" w:rsidR="00BB69B6" w:rsidRPr="00C33195" w:rsidRDefault="00BB69B6" w:rsidP="008849A9">
            <w:pPr>
              <w:spacing w:line="276" w:lineRule="auto"/>
              <w:jc w:val="center"/>
              <w:rPr>
                <w:rFonts w:ascii="Times New Roman" w:eastAsia="Times New Roman" w:hAnsi="Times New Roman" w:cs="Times New Roman"/>
                <w:bCs/>
                <w:color w:val="000000"/>
                <w:sz w:val="22"/>
                <w:szCs w:val="22"/>
                <w:lang w:val="en-GB"/>
              </w:rPr>
            </w:pPr>
            <w:r w:rsidRPr="00C33195">
              <w:rPr>
                <w:rFonts w:ascii="Times New Roman" w:eastAsia="Times New Roman" w:hAnsi="Times New Roman" w:cs="Times New Roman"/>
                <w:bCs/>
                <w:color w:val="000000"/>
                <w:sz w:val="22"/>
                <w:szCs w:val="22"/>
                <w:lang w:val="en-GB"/>
              </w:rPr>
              <w:t>Acetaldehyde</w:t>
            </w:r>
          </w:p>
        </w:tc>
        <w:tc>
          <w:tcPr>
            <w:tcW w:w="1300" w:type="dxa"/>
            <w:tcBorders>
              <w:top w:val="single" w:sz="4" w:space="0" w:color="auto"/>
              <w:left w:val="nil"/>
              <w:bottom w:val="nil"/>
              <w:right w:val="nil"/>
            </w:tcBorders>
            <w:shd w:val="clear" w:color="auto" w:fill="auto"/>
            <w:noWrap/>
            <w:vAlign w:val="center"/>
            <w:hideMark/>
          </w:tcPr>
          <w:p w14:paraId="6B9E0F22"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0.90</w:t>
            </w:r>
          </w:p>
        </w:tc>
        <w:tc>
          <w:tcPr>
            <w:tcW w:w="1300" w:type="dxa"/>
            <w:tcBorders>
              <w:top w:val="single" w:sz="4" w:space="0" w:color="auto"/>
              <w:left w:val="nil"/>
              <w:bottom w:val="nil"/>
              <w:right w:val="nil"/>
            </w:tcBorders>
            <w:shd w:val="clear" w:color="auto" w:fill="auto"/>
            <w:noWrap/>
            <w:vAlign w:val="center"/>
            <w:hideMark/>
          </w:tcPr>
          <w:p w14:paraId="29B77A06"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19.8</w:t>
            </w:r>
          </w:p>
        </w:tc>
        <w:tc>
          <w:tcPr>
            <w:tcW w:w="1300" w:type="dxa"/>
            <w:tcBorders>
              <w:top w:val="single" w:sz="4" w:space="0" w:color="auto"/>
              <w:left w:val="nil"/>
              <w:bottom w:val="nil"/>
              <w:right w:val="nil"/>
            </w:tcBorders>
            <w:shd w:val="clear" w:color="auto" w:fill="auto"/>
            <w:noWrap/>
            <w:vAlign w:val="center"/>
            <w:hideMark/>
          </w:tcPr>
          <w:p w14:paraId="7ED0F697"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5.9</w:t>
            </w:r>
          </w:p>
        </w:tc>
        <w:tc>
          <w:tcPr>
            <w:tcW w:w="1300" w:type="dxa"/>
            <w:tcBorders>
              <w:top w:val="single" w:sz="4" w:space="0" w:color="auto"/>
              <w:left w:val="nil"/>
              <w:bottom w:val="nil"/>
              <w:right w:val="nil"/>
            </w:tcBorders>
            <w:shd w:val="clear" w:color="auto" w:fill="auto"/>
            <w:noWrap/>
            <w:vAlign w:val="center"/>
            <w:hideMark/>
          </w:tcPr>
          <w:p w14:paraId="31910AD3"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7.5</w:t>
            </w:r>
          </w:p>
        </w:tc>
        <w:tc>
          <w:tcPr>
            <w:tcW w:w="1300" w:type="dxa"/>
            <w:tcBorders>
              <w:top w:val="single" w:sz="4" w:space="0" w:color="auto"/>
              <w:left w:val="nil"/>
              <w:bottom w:val="nil"/>
              <w:right w:val="nil"/>
            </w:tcBorders>
            <w:shd w:val="clear" w:color="auto" w:fill="auto"/>
            <w:noWrap/>
            <w:vAlign w:val="center"/>
            <w:hideMark/>
          </w:tcPr>
          <w:p w14:paraId="2458FFD2"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5.3</w:t>
            </w:r>
          </w:p>
        </w:tc>
      </w:tr>
      <w:tr w:rsidR="00BB69B6" w:rsidRPr="00C33195" w14:paraId="0F0D2DA5" w14:textId="77777777" w:rsidTr="00767AAF">
        <w:trPr>
          <w:trHeight w:val="300"/>
        </w:trPr>
        <w:tc>
          <w:tcPr>
            <w:tcW w:w="1753" w:type="dxa"/>
            <w:tcBorders>
              <w:top w:val="nil"/>
              <w:left w:val="nil"/>
              <w:bottom w:val="nil"/>
              <w:right w:val="nil"/>
            </w:tcBorders>
            <w:shd w:val="clear" w:color="auto" w:fill="auto"/>
            <w:noWrap/>
            <w:vAlign w:val="center"/>
            <w:hideMark/>
          </w:tcPr>
          <w:p w14:paraId="08701EBB"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proofErr w:type="spellStart"/>
            <w:r w:rsidRPr="00C33195">
              <w:rPr>
                <w:rFonts w:ascii="Times New Roman" w:eastAsia="Times New Roman" w:hAnsi="Times New Roman" w:cs="Times New Roman"/>
                <w:color w:val="000000"/>
                <w:sz w:val="22"/>
                <w:szCs w:val="22"/>
                <w:lang w:val="en-GB"/>
              </w:rPr>
              <w:t>Propanal</w:t>
            </w:r>
            <w:proofErr w:type="spellEnd"/>
          </w:p>
        </w:tc>
        <w:tc>
          <w:tcPr>
            <w:tcW w:w="1300" w:type="dxa"/>
            <w:tcBorders>
              <w:top w:val="nil"/>
              <w:left w:val="nil"/>
              <w:bottom w:val="nil"/>
              <w:right w:val="nil"/>
            </w:tcBorders>
            <w:shd w:val="clear" w:color="auto" w:fill="auto"/>
            <w:noWrap/>
            <w:vAlign w:val="center"/>
            <w:hideMark/>
          </w:tcPr>
          <w:p w14:paraId="5057A7E0"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0.00</w:t>
            </w:r>
          </w:p>
        </w:tc>
        <w:tc>
          <w:tcPr>
            <w:tcW w:w="1300" w:type="dxa"/>
            <w:tcBorders>
              <w:top w:val="nil"/>
              <w:left w:val="nil"/>
              <w:bottom w:val="nil"/>
              <w:right w:val="nil"/>
            </w:tcBorders>
            <w:shd w:val="clear" w:color="auto" w:fill="auto"/>
            <w:noWrap/>
            <w:vAlign w:val="center"/>
            <w:hideMark/>
          </w:tcPr>
          <w:p w14:paraId="4DD02234"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0.40</w:t>
            </w:r>
          </w:p>
        </w:tc>
        <w:tc>
          <w:tcPr>
            <w:tcW w:w="1300" w:type="dxa"/>
            <w:tcBorders>
              <w:top w:val="nil"/>
              <w:left w:val="nil"/>
              <w:bottom w:val="nil"/>
              <w:right w:val="nil"/>
            </w:tcBorders>
            <w:shd w:val="clear" w:color="auto" w:fill="auto"/>
            <w:noWrap/>
            <w:vAlign w:val="center"/>
            <w:hideMark/>
          </w:tcPr>
          <w:p w14:paraId="44BCF8F6"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0.15</w:t>
            </w:r>
          </w:p>
        </w:tc>
        <w:tc>
          <w:tcPr>
            <w:tcW w:w="1300" w:type="dxa"/>
            <w:tcBorders>
              <w:top w:val="nil"/>
              <w:left w:val="nil"/>
              <w:bottom w:val="nil"/>
              <w:right w:val="nil"/>
            </w:tcBorders>
            <w:shd w:val="clear" w:color="auto" w:fill="auto"/>
            <w:noWrap/>
            <w:vAlign w:val="center"/>
            <w:hideMark/>
          </w:tcPr>
          <w:p w14:paraId="20A7C791"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0.17</w:t>
            </w:r>
          </w:p>
        </w:tc>
        <w:tc>
          <w:tcPr>
            <w:tcW w:w="1300" w:type="dxa"/>
            <w:tcBorders>
              <w:top w:val="nil"/>
              <w:left w:val="nil"/>
              <w:bottom w:val="nil"/>
              <w:right w:val="nil"/>
            </w:tcBorders>
            <w:shd w:val="clear" w:color="auto" w:fill="auto"/>
            <w:noWrap/>
            <w:vAlign w:val="center"/>
            <w:hideMark/>
          </w:tcPr>
          <w:p w14:paraId="5F9FC31E"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0.1</w:t>
            </w:r>
          </w:p>
        </w:tc>
      </w:tr>
      <w:tr w:rsidR="00BB69B6" w:rsidRPr="00C33195" w14:paraId="15898124" w14:textId="77777777" w:rsidTr="00767AAF">
        <w:trPr>
          <w:trHeight w:val="300"/>
        </w:trPr>
        <w:tc>
          <w:tcPr>
            <w:tcW w:w="1753" w:type="dxa"/>
            <w:tcBorders>
              <w:top w:val="nil"/>
              <w:left w:val="nil"/>
              <w:bottom w:val="nil"/>
              <w:right w:val="nil"/>
            </w:tcBorders>
            <w:shd w:val="clear" w:color="auto" w:fill="auto"/>
            <w:noWrap/>
            <w:vAlign w:val="center"/>
            <w:hideMark/>
          </w:tcPr>
          <w:p w14:paraId="079CBAF5"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Ethanol</w:t>
            </w:r>
          </w:p>
        </w:tc>
        <w:tc>
          <w:tcPr>
            <w:tcW w:w="1300" w:type="dxa"/>
            <w:tcBorders>
              <w:top w:val="nil"/>
              <w:left w:val="nil"/>
              <w:bottom w:val="nil"/>
              <w:right w:val="nil"/>
            </w:tcBorders>
            <w:shd w:val="clear" w:color="auto" w:fill="auto"/>
            <w:noWrap/>
            <w:vAlign w:val="center"/>
            <w:hideMark/>
          </w:tcPr>
          <w:p w14:paraId="22BCFC55"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2.23</w:t>
            </w:r>
          </w:p>
        </w:tc>
        <w:tc>
          <w:tcPr>
            <w:tcW w:w="1300" w:type="dxa"/>
            <w:tcBorders>
              <w:top w:val="nil"/>
              <w:left w:val="nil"/>
              <w:bottom w:val="nil"/>
              <w:right w:val="nil"/>
            </w:tcBorders>
            <w:shd w:val="clear" w:color="auto" w:fill="auto"/>
            <w:noWrap/>
            <w:vAlign w:val="center"/>
            <w:hideMark/>
          </w:tcPr>
          <w:p w14:paraId="47290C9D"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113</w:t>
            </w:r>
          </w:p>
        </w:tc>
        <w:tc>
          <w:tcPr>
            <w:tcW w:w="1300" w:type="dxa"/>
            <w:tcBorders>
              <w:top w:val="nil"/>
              <w:left w:val="nil"/>
              <w:bottom w:val="nil"/>
              <w:right w:val="nil"/>
            </w:tcBorders>
            <w:shd w:val="clear" w:color="auto" w:fill="auto"/>
            <w:noWrap/>
            <w:vAlign w:val="center"/>
            <w:hideMark/>
          </w:tcPr>
          <w:p w14:paraId="0CD5C4AC"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30.3</w:t>
            </w:r>
          </w:p>
        </w:tc>
        <w:tc>
          <w:tcPr>
            <w:tcW w:w="1300" w:type="dxa"/>
            <w:tcBorders>
              <w:top w:val="nil"/>
              <w:left w:val="nil"/>
              <w:bottom w:val="nil"/>
              <w:right w:val="nil"/>
            </w:tcBorders>
            <w:shd w:val="clear" w:color="auto" w:fill="auto"/>
            <w:noWrap/>
            <w:vAlign w:val="center"/>
            <w:hideMark/>
          </w:tcPr>
          <w:p w14:paraId="7FE6A198"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42.3</w:t>
            </w:r>
          </w:p>
        </w:tc>
        <w:tc>
          <w:tcPr>
            <w:tcW w:w="1300" w:type="dxa"/>
            <w:tcBorders>
              <w:top w:val="nil"/>
              <w:left w:val="nil"/>
              <w:bottom w:val="nil"/>
              <w:right w:val="nil"/>
            </w:tcBorders>
            <w:shd w:val="clear" w:color="auto" w:fill="auto"/>
            <w:noWrap/>
            <w:vAlign w:val="center"/>
            <w:hideMark/>
          </w:tcPr>
          <w:p w14:paraId="4DD23D61"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30.7</w:t>
            </w:r>
          </w:p>
        </w:tc>
      </w:tr>
      <w:tr w:rsidR="00BB69B6" w:rsidRPr="00C33195" w14:paraId="7F823845" w14:textId="77777777" w:rsidTr="00767AAF">
        <w:trPr>
          <w:trHeight w:val="300"/>
        </w:trPr>
        <w:tc>
          <w:tcPr>
            <w:tcW w:w="1753" w:type="dxa"/>
            <w:tcBorders>
              <w:top w:val="nil"/>
              <w:left w:val="nil"/>
              <w:bottom w:val="nil"/>
              <w:right w:val="nil"/>
            </w:tcBorders>
            <w:shd w:val="clear" w:color="auto" w:fill="auto"/>
            <w:noWrap/>
            <w:vAlign w:val="center"/>
            <w:hideMark/>
          </w:tcPr>
          <w:p w14:paraId="572BFFD1"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Acetone</w:t>
            </w:r>
          </w:p>
        </w:tc>
        <w:tc>
          <w:tcPr>
            <w:tcW w:w="1300" w:type="dxa"/>
            <w:tcBorders>
              <w:top w:val="nil"/>
              <w:left w:val="nil"/>
              <w:bottom w:val="nil"/>
              <w:right w:val="nil"/>
            </w:tcBorders>
            <w:shd w:val="clear" w:color="auto" w:fill="auto"/>
            <w:noWrap/>
            <w:vAlign w:val="center"/>
            <w:hideMark/>
          </w:tcPr>
          <w:p w14:paraId="4E01E88A"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1.9</w:t>
            </w:r>
          </w:p>
        </w:tc>
        <w:tc>
          <w:tcPr>
            <w:tcW w:w="1300" w:type="dxa"/>
            <w:tcBorders>
              <w:top w:val="nil"/>
              <w:left w:val="nil"/>
              <w:bottom w:val="nil"/>
              <w:right w:val="nil"/>
            </w:tcBorders>
            <w:shd w:val="clear" w:color="auto" w:fill="auto"/>
            <w:noWrap/>
            <w:vAlign w:val="center"/>
            <w:hideMark/>
          </w:tcPr>
          <w:p w14:paraId="3A42DA63"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7.1</w:t>
            </w:r>
          </w:p>
        </w:tc>
        <w:tc>
          <w:tcPr>
            <w:tcW w:w="1300" w:type="dxa"/>
            <w:tcBorders>
              <w:top w:val="nil"/>
              <w:left w:val="nil"/>
              <w:bottom w:val="nil"/>
              <w:right w:val="nil"/>
            </w:tcBorders>
            <w:shd w:val="clear" w:color="auto" w:fill="auto"/>
            <w:noWrap/>
            <w:vAlign w:val="center"/>
            <w:hideMark/>
          </w:tcPr>
          <w:p w14:paraId="31C0E327"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3.4</w:t>
            </w:r>
          </w:p>
        </w:tc>
        <w:tc>
          <w:tcPr>
            <w:tcW w:w="1300" w:type="dxa"/>
            <w:tcBorders>
              <w:top w:val="nil"/>
              <w:left w:val="nil"/>
              <w:bottom w:val="nil"/>
              <w:right w:val="nil"/>
            </w:tcBorders>
            <w:shd w:val="clear" w:color="auto" w:fill="auto"/>
            <w:noWrap/>
            <w:vAlign w:val="center"/>
            <w:hideMark/>
          </w:tcPr>
          <w:p w14:paraId="4FD72B2E"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3.5</w:t>
            </w:r>
          </w:p>
        </w:tc>
        <w:tc>
          <w:tcPr>
            <w:tcW w:w="1300" w:type="dxa"/>
            <w:tcBorders>
              <w:top w:val="nil"/>
              <w:left w:val="nil"/>
              <w:bottom w:val="nil"/>
              <w:right w:val="nil"/>
            </w:tcBorders>
            <w:shd w:val="clear" w:color="auto" w:fill="auto"/>
            <w:noWrap/>
            <w:vAlign w:val="center"/>
            <w:hideMark/>
          </w:tcPr>
          <w:p w14:paraId="0CA05FA7"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1.3</w:t>
            </w:r>
          </w:p>
        </w:tc>
      </w:tr>
      <w:tr w:rsidR="00BB69B6" w:rsidRPr="00C33195" w14:paraId="3968F759" w14:textId="77777777" w:rsidTr="00767AAF">
        <w:trPr>
          <w:trHeight w:val="300"/>
        </w:trPr>
        <w:tc>
          <w:tcPr>
            <w:tcW w:w="1753" w:type="dxa"/>
            <w:tcBorders>
              <w:top w:val="nil"/>
              <w:left w:val="nil"/>
              <w:bottom w:val="nil"/>
              <w:right w:val="nil"/>
            </w:tcBorders>
            <w:shd w:val="clear" w:color="auto" w:fill="auto"/>
            <w:noWrap/>
            <w:vAlign w:val="center"/>
            <w:hideMark/>
          </w:tcPr>
          <w:p w14:paraId="41B5AE85"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Methyl acetate</w:t>
            </w:r>
          </w:p>
        </w:tc>
        <w:tc>
          <w:tcPr>
            <w:tcW w:w="1300" w:type="dxa"/>
            <w:tcBorders>
              <w:top w:val="nil"/>
              <w:left w:val="nil"/>
              <w:bottom w:val="nil"/>
              <w:right w:val="nil"/>
            </w:tcBorders>
            <w:shd w:val="clear" w:color="auto" w:fill="auto"/>
            <w:noWrap/>
            <w:vAlign w:val="center"/>
            <w:hideMark/>
          </w:tcPr>
          <w:p w14:paraId="71F4FD1B"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0.00</w:t>
            </w:r>
          </w:p>
        </w:tc>
        <w:tc>
          <w:tcPr>
            <w:tcW w:w="1300" w:type="dxa"/>
            <w:tcBorders>
              <w:top w:val="nil"/>
              <w:left w:val="nil"/>
              <w:bottom w:val="nil"/>
              <w:right w:val="nil"/>
            </w:tcBorders>
            <w:shd w:val="clear" w:color="auto" w:fill="auto"/>
            <w:noWrap/>
            <w:vAlign w:val="center"/>
            <w:hideMark/>
          </w:tcPr>
          <w:p w14:paraId="5E9ED803"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0.48</w:t>
            </w:r>
          </w:p>
        </w:tc>
        <w:tc>
          <w:tcPr>
            <w:tcW w:w="1300" w:type="dxa"/>
            <w:tcBorders>
              <w:top w:val="nil"/>
              <w:left w:val="nil"/>
              <w:bottom w:val="nil"/>
              <w:right w:val="nil"/>
            </w:tcBorders>
            <w:shd w:val="clear" w:color="auto" w:fill="auto"/>
            <w:noWrap/>
            <w:vAlign w:val="center"/>
            <w:hideMark/>
          </w:tcPr>
          <w:p w14:paraId="0ED1D7D0"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0.07</w:t>
            </w:r>
          </w:p>
        </w:tc>
        <w:tc>
          <w:tcPr>
            <w:tcW w:w="1300" w:type="dxa"/>
            <w:tcBorders>
              <w:top w:val="nil"/>
              <w:left w:val="nil"/>
              <w:bottom w:val="nil"/>
              <w:right w:val="nil"/>
            </w:tcBorders>
            <w:shd w:val="clear" w:color="auto" w:fill="auto"/>
            <w:noWrap/>
            <w:vAlign w:val="center"/>
            <w:hideMark/>
          </w:tcPr>
          <w:p w14:paraId="23510F8B"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0.11</w:t>
            </w:r>
          </w:p>
        </w:tc>
        <w:tc>
          <w:tcPr>
            <w:tcW w:w="1300" w:type="dxa"/>
            <w:tcBorders>
              <w:top w:val="nil"/>
              <w:left w:val="nil"/>
              <w:bottom w:val="nil"/>
              <w:right w:val="nil"/>
            </w:tcBorders>
            <w:shd w:val="clear" w:color="auto" w:fill="auto"/>
            <w:noWrap/>
            <w:vAlign w:val="center"/>
            <w:hideMark/>
          </w:tcPr>
          <w:p w14:paraId="77CE1E2F"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0.1</w:t>
            </w:r>
          </w:p>
        </w:tc>
      </w:tr>
      <w:tr w:rsidR="00BB69B6" w:rsidRPr="00C33195" w14:paraId="34769801" w14:textId="77777777" w:rsidTr="00767AAF">
        <w:trPr>
          <w:trHeight w:val="300"/>
        </w:trPr>
        <w:tc>
          <w:tcPr>
            <w:tcW w:w="1753" w:type="dxa"/>
            <w:tcBorders>
              <w:top w:val="nil"/>
              <w:left w:val="nil"/>
              <w:bottom w:val="nil"/>
              <w:right w:val="nil"/>
            </w:tcBorders>
            <w:shd w:val="clear" w:color="auto" w:fill="auto"/>
            <w:noWrap/>
            <w:vAlign w:val="center"/>
            <w:hideMark/>
          </w:tcPr>
          <w:p w14:paraId="0AE5D7FE"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Ethyl acetate</w:t>
            </w:r>
          </w:p>
        </w:tc>
        <w:tc>
          <w:tcPr>
            <w:tcW w:w="1300" w:type="dxa"/>
            <w:tcBorders>
              <w:top w:val="nil"/>
              <w:left w:val="nil"/>
              <w:bottom w:val="nil"/>
              <w:right w:val="nil"/>
            </w:tcBorders>
            <w:shd w:val="clear" w:color="auto" w:fill="auto"/>
            <w:noWrap/>
            <w:vAlign w:val="center"/>
            <w:hideMark/>
          </w:tcPr>
          <w:p w14:paraId="2E9BE9C4"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0.00</w:t>
            </w:r>
          </w:p>
        </w:tc>
        <w:tc>
          <w:tcPr>
            <w:tcW w:w="1300" w:type="dxa"/>
            <w:tcBorders>
              <w:top w:val="nil"/>
              <w:left w:val="nil"/>
              <w:bottom w:val="nil"/>
              <w:right w:val="nil"/>
            </w:tcBorders>
            <w:shd w:val="clear" w:color="auto" w:fill="auto"/>
            <w:noWrap/>
            <w:vAlign w:val="center"/>
            <w:hideMark/>
          </w:tcPr>
          <w:p w14:paraId="2E63CA6A"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0.64</w:t>
            </w:r>
          </w:p>
        </w:tc>
        <w:tc>
          <w:tcPr>
            <w:tcW w:w="1300" w:type="dxa"/>
            <w:tcBorders>
              <w:top w:val="nil"/>
              <w:left w:val="nil"/>
              <w:bottom w:val="nil"/>
              <w:right w:val="nil"/>
            </w:tcBorders>
            <w:shd w:val="clear" w:color="auto" w:fill="auto"/>
            <w:noWrap/>
            <w:vAlign w:val="center"/>
            <w:hideMark/>
          </w:tcPr>
          <w:p w14:paraId="4558FF8D"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0.14</w:t>
            </w:r>
          </w:p>
        </w:tc>
        <w:tc>
          <w:tcPr>
            <w:tcW w:w="1300" w:type="dxa"/>
            <w:tcBorders>
              <w:top w:val="nil"/>
              <w:left w:val="nil"/>
              <w:bottom w:val="nil"/>
              <w:right w:val="nil"/>
            </w:tcBorders>
            <w:shd w:val="clear" w:color="auto" w:fill="auto"/>
            <w:noWrap/>
            <w:vAlign w:val="center"/>
            <w:hideMark/>
          </w:tcPr>
          <w:p w14:paraId="0250A329"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0.19</w:t>
            </w:r>
          </w:p>
        </w:tc>
        <w:tc>
          <w:tcPr>
            <w:tcW w:w="1300" w:type="dxa"/>
            <w:tcBorders>
              <w:top w:val="nil"/>
              <w:left w:val="nil"/>
              <w:bottom w:val="nil"/>
              <w:right w:val="nil"/>
            </w:tcBorders>
            <w:shd w:val="clear" w:color="auto" w:fill="auto"/>
            <w:noWrap/>
            <w:vAlign w:val="center"/>
            <w:hideMark/>
          </w:tcPr>
          <w:p w14:paraId="6A9014B0"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0.2</w:t>
            </w:r>
          </w:p>
        </w:tc>
      </w:tr>
      <w:tr w:rsidR="00BB69B6" w:rsidRPr="00C33195" w14:paraId="3449C23C" w14:textId="77777777" w:rsidTr="00767AAF">
        <w:trPr>
          <w:trHeight w:val="300"/>
        </w:trPr>
        <w:tc>
          <w:tcPr>
            <w:tcW w:w="1753" w:type="dxa"/>
            <w:tcBorders>
              <w:top w:val="nil"/>
              <w:left w:val="nil"/>
              <w:bottom w:val="nil"/>
              <w:right w:val="nil"/>
            </w:tcBorders>
            <w:shd w:val="clear" w:color="auto" w:fill="auto"/>
            <w:noWrap/>
            <w:vAlign w:val="center"/>
            <w:hideMark/>
          </w:tcPr>
          <w:p w14:paraId="44B236B4"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2-Butanone</w:t>
            </w:r>
          </w:p>
        </w:tc>
        <w:tc>
          <w:tcPr>
            <w:tcW w:w="1300" w:type="dxa"/>
            <w:tcBorders>
              <w:top w:val="nil"/>
              <w:left w:val="nil"/>
              <w:bottom w:val="nil"/>
              <w:right w:val="nil"/>
            </w:tcBorders>
            <w:shd w:val="clear" w:color="auto" w:fill="auto"/>
            <w:noWrap/>
            <w:vAlign w:val="center"/>
            <w:hideMark/>
          </w:tcPr>
          <w:p w14:paraId="03E97727"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0.08</w:t>
            </w:r>
          </w:p>
        </w:tc>
        <w:tc>
          <w:tcPr>
            <w:tcW w:w="1300" w:type="dxa"/>
            <w:tcBorders>
              <w:top w:val="nil"/>
              <w:left w:val="nil"/>
              <w:bottom w:val="nil"/>
              <w:right w:val="nil"/>
            </w:tcBorders>
            <w:shd w:val="clear" w:color="auto" w:fill="auto"/>
            <w:noWrap/>
            <w:vAlign w:val="center"/>
            <w:hideMark/>
          </w:tcPr>
          <w:p w14:paraId="2E8CCBE4"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0.27</w:t>
            </w:r>
          </w:p>
        </w:tc>
        <w:tc>
          <w:tcPr>
            <w:tcW w:w="1300" w:type="dxa"/>
            <w:tcBorders>
              <w:top w:val="nil"/>
              <w:left w:val="nil"/>
              <w:bottom w:val="nil"/>
              <w:right w:val="nil"/>
            </w:tcBorders>
            <w:shd w:val="clear" w:color="auto" w:fill="auto"/>
            <w:noWrap/>
            <w:vAlign w:val="center"/>
            <w:hideMark/>
          </w:tcPr>
          <w:p w14:paraId="6A76B08F"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0.10</w:t>
            </w:r>
          </w:p>
        </w:tc>
        <w:tc>
          <w:tcPr>
            <w:tcW w:w="1300" w:type="dxa"/>
            <w:tcBorders>
              <w:top w:val="nil"/>
              <w:left w:val="nil"/>
              <w:bottom w:val="nil"/>
              <w:right w:val="nil"/>
            </w:tcBorders>
            <w:shd w:val="clear" w:color="auto" w:fill="auto"/>
            <w:noWrap/>
            <w:vAlign w:val="center"/>
            <w:hideMark/>
          </w:tcPr>
          <w:p w14:paraId="666049C5"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0.11</w:t>
            </w:r>
          </w:p>
        </w:tc>
        <w:tc>
          <w:tcPr>
            <w:tcW w:w="1300" w:type="dxa"/>
            <w:tcBorders>
              <w:top w:val="nil"/>
              <w:left w:val="nil"/>
              <w:bottom w:val="nil"/>
              <w:right w:val="nil"/>
            </w:tcBorders>
            <w:shd w:val="clear" w:color="auto" w:fill="auto"/>
            <w:noWrap/>
            <w:vAlign w:val="center"/>
            <w:hideMark/>
          </w:tcPr>
          <w:p w14:paraId="16FAF305"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w:t>
            </w:r>
          </w:p>
        </w:tc>
      </w:tr>
      <w:tr w:rsidR="00BB69B6" w:rsidRPr="00C33195" w14:paraId="280FD4D0" w14:textId="77777777" w:rsidTr="00767AAF">
        <w:trPr>
          <w:trHeight w:val="300"/>
        </w:trPr>
        <w:tc>
          <w:tcPr>
            <w:tcW w:w="1753" w:type="dxa"/>
            <w:tcBorders>
              <w:top w:val="nil"/>
              <w:left w:val="nil"/>
              <w:bottom w:val="nil"/>
              <w:right w:val="nil"/>
            </w:tcBorders>
            <w:shd w:val="clear" w:color="auto" w:fill="auto"/>
            <w:noWrap/>
            <w:vAlign w:val="center"/>
            <w:hideMark/>
          </w:tcPr>
          <w:p w14:paraId="0CAD5336"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Methanol</w:t>
            </w:r>
          </w:p>
        </w:tc>
        <w:tc>
          <w:tcPr>
            <w:tcW w:w="1300" w:type="dxa"/>
            <w:tcBorders>
              <w:top w:val="nil"/>
              <w:left w:val="nil"/>
              <w:bottom w:val="nil"/>
              <w:right w:val="nil"/>
            </w:tcBorders>
            <w:shd w:val="clear" w:color="auto" w:fill="auto"/>
            <w:noWrap/>
            <w:vAlign w:val="center"/>
            <w:hideMark/>
          </w:tcPr>
          <w:p w14:paraId="705E092B"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22.1</w:t>
            </w:r>
          </w:p>
        </w:tc>
        <w:tc>
          <w:tcPr>
            <w:tcW w:w="1300" w:type="dxa"/>
            <w:tcBorders>
              <w:top w:val="nil"/>
              <w:left w:val="nil"/>
              <w:bottom w:val="nil"/>
              <w:right w:val="nil"/>
            </w:tcBorders>
            <w:shd w:val="clear" w:color="auto" w:fill="auto"/>
            <w:noWrap/>
            <w:vAlign w:val="center"/>
            <w:hideMark/>
          </w:tcPr>
          <w:p w14:paraId="6292AC8E"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54.8</w:t>
            </w:r>
          </w:p>
        </w:tc>
        <w:tc>
          <w:tcPr>
            <w:tcW w:w="1300" w:type="dxa"/>
            <w:tcBorders>
              <w:top w:val="nil"/>
              <w:left w:val="nil"/>
              <w:bottom w:val="nil"/>
              <w:right w:val="nil"/>
            </w:tcBorders>
            <w:shd w:val="clear" w:color="auto" w:fill="auto"/>
            <w:noWrap/>
            <w:vAlign w:val="center"/>
            <w:hideMark/>
          </w:tcPr>
          <w:p w14:paraId="2FF2C031"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33.8</w:t>
            </w:r>
          </w:p>
        </w:tc>
        <w:tc>
          <w:tcPr>
            <w:tcW w:w="1300" w:type="dxa"/>
            <w:tcBorders>
              <w:top w:val="nil"/>
              <w:left w:val="nil"/>
              <w:bottom w:val="nil"/>
              <w:right w:val="nil"/>
            </w:tcBorders>
            <w:shd w:val="clear" w:color="auto" w:fill="auto"/>
            <w:noWrap/>
            <w:vAlign w:val="center"/>
            <w:hideMark/>
          </w:tcPr>
          <w:p w14:paraId="0EC3F444"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34.6</w:t>
            </w:r>
          </w:p>
        </w:tc>
        <w:tc>
          <w:tcPr>
            <w:tcW w:w="1300" w:type="dxa"/>
            <w:tcBorders>
              <w:top w:val="nil"/>
              <w:left w:val="nil"/>
              <w:bottom w:val="nil"/>
              <w:right w:val="nil"/>
            </w:tcBorders>
            <w:shd w:val="clear" w:color="auto" w:fill="auto"/>
            <w:noWrap/>
            <w:vAlign w:val="center"/>
            <w:hideMark/>
          </w:tcPr>
          <w:p w14:paraId="0E7E8DBA"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9.4</w:t>
            </w:r>
          </w:p>
        </w:tc>
      </w:tr>
      <w:tr w:rsidR="00BB69B6" w:rsidRPr="00C33195" w14:paraId="37E1D4A5" w14:textId="77777777" w:rsidTr="00767AAF">
        <w:trPr>
          <w:trHeight w:val="300"/>
        </w:trPr>
        <w:tc>
          <w:tcPr>
            <w:tcW w:w="1753" w:type="dxa"/>
            <w:tcBorders>
              <w:top w:val="nil"/>
              <w:left w:val="nil"/>
              <w:bottom w:val="nil"/>
              <w:right w:val="nil"/>
            </w:tcBorders>
            <w:shd w:val="clear" w:color="auto" w:fill="auto"/>
            <w:noWrap/>
            <w:vAlign w:val="center"/>
            <w:hideMark/>
          </w:tcPr>
          <w:p w14:paraId="02640AE7"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2-Propanol</w:t>
            </w:r>
          </w:p>
        </w:tc>
        <w:tc>
          <w:tcPr>
            <w:tcW w:w="1300" w:type="dxa"/>
            <w:tcBorders>
              <w:top w:val="nil"/>
              <w:left w:val="nil"/>
              <w:bottom w:val="nil"/>
              <w:right w:val="nil"/>
            </w:tcBorders>
            <w:shd w:val="clear" w:color="auto" w:fill="auto"/>
            <w:noWrap/>
            <w:vAlign w:val="center"/>
            <w:hideMark/>
          </w:tcPr>
          <w:p w14:paraId="53030381"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0.01</w:t>
            </w:r>
          </w:p>
        </w:tc>
        <w:tc>
          <w:tcPr>
            <w:tcW w:w="1300" w:type="dxa"/>
            <w:tcBorders>
              <w:top w:val="nil"/>
              <w:left w:val="nil"/>
              <w:bottom w:val="nil"/>
              <w:right w:val="nil"/>
            </w:tcBorders>
            <w:shd w:val="clear" w:color="auto" w:fill="auto"/>
            <w:noWrap/>
            <w:vAlign w:val="center"/>
            <w:hideMark/>
          </w:tcPr>
          <w:p w14:paraId="35AA3F90"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4.25</w:t>
            </w:r>
          </w:p>
        </w:tc>
        <w:tc>
          <w:tcPr>
            <w:tcW w:w="1300" w:type="dxa"/>
            <w:tcBorders>
              <w:top w:val="nil"/>
              <w:left w:val="nil"/>
              <w:bottom w:val="nil"/>
              <w:right w:val="nil"/>
            </w:tcBorders>
            <w:shd w:val="clear" w:color="auto" w:fill="auto"/>
            <w:noWrap/>
            <w:vAlign w:val="center"/>
            <w:hideMark/>
          </w:tcPr>
          <w:p w14:paraId="5F553DAB"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0.09</w:t>
            </w:r>
          </w:p>
        </w:tc>
        <w:tc>
          <w:tcPr>
            <w:tcW w:w="1300" w:type="dxa"/>
            <w:tcBorders>
              <w:top w:val="nil"/>
              <w:left w:val="nil"/>
              <w:bottom w:val="nil"/>
              <w:right w:val="nil"/>
            </w:tcBorders>
            <w:shd w:val="clear" w:color="auto" w:fill="auto"/>
            <w:noWrap/>
            <w:vAlign w:val="center"/>
            <w:hideMark/>
          </w:tcPr>
          <w:p w14:paraId="642BB876"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1.17</w:t>
            </w:r>
          </w:p>
        </w:tc>
        <w:tc>
          <w:tcPr>
            <w:tcW w:w="1300" w:type="dxa"/>
            <w:tcBorders>
              <w:top w:val="nil"/>
              <w:left w:val="nil"/>
              <w:bottom w:val="nil"/>
              <w:right w:val="nil"/>
            </w:tcBorders>
            <w:shd w:val="clear" w:color="auto" w:fill="auto"/>
            <w:noWrap/>
            <w:vAlign w:val="center"/>
            <w:hideMark/>
          </w:tcPr>
          <w:p w14:paraId="7C5083EB"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1.8</w:t>
            </w:r>
          </w:p>
        </w:tc>
      </w:tr>
      <w:tr w:rsidR="00BB69B6" w:rsidRPr="00C33195" w14:paraId="3FECE1F9" w14:textId="77777777" w:rsidTr="00767AAF">
        <w:trPr>
          <w:trHeight w:val="300"/>
        </w:trPr>
        <w:tc>
          <w:tcPr>
            <w:tcW w:w="1753" w:type="dxa"/>
            <w:tcBorders>
              <w:top w:val="nil"/>
              <w:left w:val="nil"/>
              <w:bottom w:val="nil"/>
              <w:right w:val="nil"/>
            </w:tcBorders>
            <w:shd w:val="clear" w:color="auto" w:fill="auto"/>
            <w:noWrap/>
            <w:vAlign w:val="center"/>
            <w:hideMark/>
          </w:tcPr>
          <w:p w14:paraId="6DA78499"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2-Pentanone</w:t>
            </w:r>
          </w:p>
        </w:tc>
        <w:tc>
          <w:tcPr>
            <w:tcW w:w="1300" w:type="dxa"/>
            <w:tcBorders>
              <w:top w:val="nil"/>
              <w:left w:val="nil"/>
              <w:bottom w:val="nil"/>
              <w:right w:val="nil"/>
            </w:tcBorders>
            <w:shd w:val="clear" w:color="auto" w:fill="auto"/>
            <w:noWrap/>
            <w:vAlign w:val="center"/>
            <w:hideMark/>
          </w:tcPr>
          <w:p w14:paraId="4E96C66F"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0.02</w:t>
            </w:r>
          </w:p>
        </w:tc>
        <w:tc>
          <w:tcPr>
            <w:tcW w:w="1300" w:type="dxa"/>
            <w:tcBorders>
              <w:top w:val="nil"/>
              <w:left w:val="nil"/>
              <w:bottom w:val="nil"/>
              <w:right w:val="nil"/>
            </w:tcBorders>
            <w:shd w:val="clear" w:color="auto" w:fill="auto"/>
            <w:noWrap/>
            <w:vAlign w:val="center"/>
            <w:hideMark/>
          </w:tcPr>
          <w:p w14:paraId="09477D0D"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0.11</w:t>
            </w:r>
          </w:p>
        </w:tc>
        <w:tc>
          <w:tcPr>
            <w:tcW w:w="1300" w:type="dxa"/>
            <w:tcBorders>
              <w:top w:val="nil"/>
              <w:left w:val="nil"/>
              <w:bottom w:val="nil"/>
              <w:right w:val="nil"/>
            </w:tcBorders>
            <w:shd w:val="clear" w:color="auto" w:fill="auto"/>
            <w:noWrap/>
            <w:vAlign w:val="center"/>
            <w:hideMark/>
          </w:tcPr>
          <w:p w14:paraId="1694FE58"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0.03</w:t>
            </w:r>
          </w:p>
        </w:tc>
        <w:tc>
          <w:tcPr>
            <w:tcW w:w="1300" w:type="dxa"/>
            <w:tcBorders>
              <w:top w:val="nil"/>
              <w:left w:val="nil"/>
              <w:bottom w:val="nil"/>
              <w:right w:val="nil"/>
            </w:tcBorders>
            <w:shd w:val="clear" w:color="auto" w:fill="auto"/>
            <w:noWrap/>
            <w:vAlign w:val="center"/>
            <w:hideMark/>
          </w:tcPr>
          <w:p w14:paraId="6CEE264C"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0.05</w:t>
            </w:r>
          </w:p>
        </w:tc>
        <w:tc>
          <w:tcPr>
            <w:tcW w:w="1300" w:type="dxa"/>
            <w:tcBorders>
              <w:top w:val="nil"/>
              <w:left w:val="nil"/>
              <w:bottom w:val="nil"/>
              <w:right w:val="nil"/>
            </w:tcBorders>
            <w:shd w:val="clear" w:color="auto" w:fill="auto"/>
            <w:noWrap/>
            <w:vAlign w:val="center"/>
            <w:hideMark/>
          </w:tcPr>
          <w:p w14:paraId="07401185"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w:t>
            </w:r>
          </w:p>
        </w:tc>
      </w:tr>
      <w:tr w:rsidR="00BB69B6" w:rsidRPr="00C33195" w14:paraId="2AFE6C9D" w14:textId="77777777" w:rsidTr="00767AAF">
        <w:trPr>
          <w:trHeight w:val="300"/>
        </w:trPr>
        <w:tc>
          <w:tcPr>
            <w:tcW w:w="1753" w:type="dxa"/>
            <w:tcBorders>
              <w:top w:val="nil"/>
              <w:left w:val="nil"/>
              <w:bottom w:val="nil"/>
              <w:right w:val="nil"/>
            </w:tcBorders>
            <w:shd w:val="clear" w:color="auto" w:fill="auto"/>
            <w:noWrap/>
            <w:vAlign w:val="center"/>
            <w:hideMark/>
          </w:tcPr>
          <w:p w14:paraId="7DA5F24F"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2-3-Butandione</w:t>
            </w:r>
          </w:p>
        </w:tc>
        <w:tc>
          <w:tcPr>
            <w:tcW w:w="1300" w:type="dxa"/>
            <w:tcBorders>
              <w:top w:val="nil"/>
              <w:left w:val="nil"/>
              <w:bottom w:val="nil"/>
              <w:right w:val="nil"/>
            </w:tcBorders>
            <w:shd w:val="clear" w:color="auto" w:fill="auto"/>
            <w:noWrap/>
            <w:vAlign w:val="center"/>
            <w:hideMark/>
          </w:tcPr>
          <w:p w14:paraId="624DAD45"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0.66</w:t>
            </w:r>
          </w:p>
        </w:tc>
        <w:tc>
          <w:tcPr>
            <w:tcW w:w="1300" w:type="dxa"/>
            <w:tcBorders>
              <w:top w:val="nil"/>
              <w:left w:val="nil"/>
              <w:bottom w:val="nil"/>
              <w:right w:val="nil"/>
            </w:tcBorders>
            <w:shd w:val="clear" w:color="auto" w:fill="auto"/>
            <w:noWrap/>
            <w:vAlign w:val="center"/>
            <w:hideMark/>
          </w:tcPr>
          <w:p w14:paraId="58FD118C"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4.4</w:t>
            </w:r>
          </w:p>
        </w:tc>
        <w:tc>
          <w:tcPr>
            <w:tcW w:w="1300" w:type="dxa"/>
            <w:tcBorders>
              <w:top w:val="nil"/>
              <w:left w:val="nil"/>
              <w:bottom w:val="nil"/>
              <w:right w:val="nil"/>
            </w:tcBorders>
            <w:shd w:val="clear" w:color="auto" w:fill="auto"/>
            <w:noWrap/>
            <w:vAlign w:val="center"/>
            <w:hideMark/>
          </w:tcPr>
          <w:p w14:paraId="7F970DC2"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1.2</w:t>
            </w:r>
          </w:p>
        </w:tc>
        <w:tc>
          <w:tcPr>
            <w:tcW w:w="1300" w:type="dxa"/>
            <w:tcBorders>
              <w:top w:val="nil"/>
              <w:left w:val="nil"/>
              <w:bottom w:val="nil"/>
              <w:right w:val="nil"/>
            </w:tcBorders>
            <w:shd w:val="clear" w:color="auto" w:fill="auto"/>
            <w:noWrap/>
            <w:vAlign w:val="center"/>
            <w:hideMark/>
          </w:tcPr>
          <w:p w14:paraId="60F7CCE0"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1.4</w:t>
            </w:r>
          </w:p>
        </w:tc>
        <w:tc>
          <w:tcPr>
            <w:tcW w:w="1300" w:type="dxa"/>
            <w:tcBorders>
              <w:top w:val="nil"/>
              <w:left w:val="nil"/>
              <w:bottom w:val="nil"/>
              <w:right w:val="nil"/>
            </w:tcBorders>
            <w:shd w:val="clear" w:color="auto" w:fill="auto"/>
            <w:noWrap/>
            <w:vAlign w:val="center"/>
            <w:hideMark/>
          </w:tcPr>
          <w:p w14:paraId="1D7BA1E4"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0.9</w:t>
            </w:r>
          </w:p>
        </w:tc>
      </w:tr>
      <w:tr w:rsidR="00BB69B6" w:rsidRPr="00C33195" w14:paraId="3F22A5EA" w14:textId="77777777" w:rsidTr="00767AAF">
        <w:trPr>
          <w:trHeight w:val="300"/>
        </w:trPr>
        <w:tc>
          <w:tcPr>
            <w:tcW w:w="1753" w:type="dxa"/>
            <w:tcBorders>
              <w:top w:val="nil"/>
              <w:left w:val="nil"/>
              <w:bottom w:val="nil"/>
              <w:right w:val="nil"/>
            </w:tcBorders>
            <w:shd w:val="clear" w:color="auto" w:fill="auto"/>
            <w:noWrap/>
            <w:vAlign w:val="center"/>
            <w:hideMark/>
          </w:tcPr>
          <w:p w14:paraId="7D999321"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2-Butanol</w:t>
            </w:r>
          </w:p>
        </w:tc>
        <w:tc>
          <w:tcPr>
            <w:tcW w:w="1300" w:type="dxa"/>
            <w:tcBorders>
              <w:top w:val="nil"/>
              <w:left w:val="nil"/>
              <w:bottom w:val="nil"/>
              <w:right w:val="nil"/>
            </w:tcBorders>
            <w:shd w:val="clear" w:color="auto" w:fill="auto"/>
            <w:noWrap/>
            <w:vAlign w:val="center"/>
            <w:hideMark/>
          </w:tcPr>
          <w:p w14:paraId="07AE5FDD"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0.00</w:t>
            </w:r>
          </w:p>
        </w:tc>
        <w:tc>
          <w:tcPr>
            <w:tcW w:w="1300" w:type="dxa"/>
            <w:tcBorders>
              <w:top w:val="nil"/>
              <w:left w:val="nil"/>
              <w:bottom w:val="nil"/>
              <w:right w:val="nil"/>
            </w:tcBorders>
            <w:shd w:val="clear" w:color="auto" w:fill="auto"/>
            <w:noWrap/>
            <w:vAlign w:val="center"/>
            <w:hideMark/>
          </w:tcPr>
          <w:p w14:paraId="47A052F6"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0.09</w:t>
            </w:r>
          </w:p>
        </w:tc>
        <w:tc>
          <w:tcPr>
            <w:tcW w:w="1300" w:type="dxa"/>
            <w:tcBorders>
              <w:top w:val="nil"/>
              <w:left w:val="nil"/>
              <w:bottom w:val="nil"/>
              <w:right w:val="nil"/>
            </w:tcBorders>
            <w:shd w:val="clear" w:color="auto" w:fill="auto"/>
            <w:noWrap/>
            <w:vAlign w:val="center"/>
            <w:hideMark/>
          </w:tcPr>
          <w:p w14:paraId="6C9B919D"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0.05</w:t>
            </w:r>
          </w:p>
        </w:tc>
        <w:tc>
          <w:tcPr>
            <w:tcW w:w="1300" w:type="dxa"/>
            <w:tcBorders>
              <w:top w:val="nil"/>
              <w:left w:val="nil"/>
              <w:bottom w:val="nil"/>
              <w:right w:val="nil"/>
            </w:tcBorders>
            <w:shd w:val="clear" w:color="auto" w:fill="auto"/>
            <w:noWrap/>
            <w:vAlign w:val="center"/>
            <w:hideMark/>
          </w:tcPr>
          <w:p w14:paraId="272E239B"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0.05</w:t>
            </w:r>
          </w:p>
        </w:tc>
        <w:tc>
          <w:tcPr>
            <w:tcW w:w="1300" w:type="dxa"/>
            <w:tcBorders>
              <w:top w:val="nil"/>
              <w:left w:val="nil"/>
              <w:bottom w:val="nil"/>
              <w:right w:val="nil"/>
            </w:tcBorders>
            <w:shd w:val="clear" w:color="auto" w:fill="auto"/>
            <w:noWrap/>
            <w:vAlign w:val="center"/>
            <w:hideMark/>
          </w:tcPr>
          <w:p w14:paraId="3018B69E"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w:t>
            </w:r>
          </w:p>
        </w:tc>
      </w:tr>
      <w:tr w:rsidR="00BB69B6" w:rsidRPr="00C33195" w14:paraId="3FD2A2B8" w14:textId="77777777" w:rsidTr="00767AAF">
        <w:trPr>
          <w:trHeight w:val="300"/>
        </w:trPr>
        <w:tc>
          <w:tcPr>
            <w:tcW w:w="1753" w:type="dxa"/>
            <w:tcBorders>
              <w:top w:val="nil"/>
              <w:left w:val="nil"/>
              <w:bottom w:val="nil"/>
              <w:right w:val="nil"/>
            </w:tcBorders>
            <w:shd w:val="clear" w:color="auto" w:fill="auto"/>
            <w:noWrap/>
            <w:vAlign w:val="center"/>
            <w:hideMark/>
          </w:tcPr>
          <w:p w14:paraId="2F43C5AB"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1-Propanol</w:t>
            </w:r>
          </w:p>
        </w:tc>
        <w:tc>
          <w:tcPr>
            <w:tcW w:w="1300" w:type="dxa"/>
            <w:tcBorders>
              <w:top w:val="nil"/>
              <w:left w:val="nil"/>
              <w:bottom w:val="nil"/>
              <w:right w:val="nil"/>
            </w:tcBorders>
            <w:shd w:val="clear" w:color="auto" w:fill="auto"/>
            <w:noWrap/>
            <w:vAlign w:val="center"/>
            <w:hideMark/>
          </w:tcPr>
          <w:p w14:paraId="56030BC9"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0.25</w:t>
            </w:r>
          </w:p>
        </w:tc>
        <w:tc>
          <w:tcPr>
            <w:tcW w:w="1300" w:type="dxa"/>
            <w:tcBorders>
              <w:top w:val="nil"/>
              <w:left w:val="nil"/>
              <w:bottom w:val="nil"/>
              <w:right w:val="nil"/>
            </w:tcBorders>
            <w:shd w:val="clear" w:color="auto" w:fill="auto"/>
            <w:noWrap/>
            <w:vAlign w:val="center"/>
            <w:hideMark/>
          </w:tcPr>
          <w:p w14:paraId="4DE7EF9E"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0.63</w:t>
            </w:r>
          </w:p>
        </w:tc>
        <w:tc>
          <w:tcPr>
            <w:tcW w:w="1300" w:type="dxa"/>
            <w:tcBorders>
              <w:top w:val="nil"/>
              <w:left w:val="nil"/>
              <w:bottom w:val="nil"/>
              <w:right w:val="nil"/>
            </w:tcBorders>
            <w:shd w:val="clear" w:color="auto" w:fill="auto"/>
            <w:noWrap/>
            <w:vAlign w:val="center"/>
            <w:hideMark/>
          </w:tcPr>
          <w:p w14:paraId="55E052D2"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0.35</w:t>
            </w:r>
          </w:p>
        </w:tc>
        <w:tc>
          <w:tcPr>
            <w:tcW w:w="1300" w:type="dxa"/>
            <w:tcBorders>
              <w:top w:val="nil"/>
              <w:left w:val="nil"/>
              <w:bottom w:val="nil"/>
              <w:right w:val="nil"/>
            </w:tcBorders>
            <w:shd w:val="clear" w:color="auto" w:fill="auto"/>
            <w:noWrap/>
            <w:vAlign w:val="center"/>
            <w:hideMark/>
          </w:tcPr>
          <w:p w14:paraId="19D614A3"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0.39</w:t>
            </w:r>
          </w:p>
        </w:tc>
        <w:tc>
          <w:tcPr>
            <w:tcW w:w="1300" w:type="dxa"/>
            <w:tcBorders>
              <w:top w:val="nil"/>
              <w:left w:val="nil"/>
              <w:bottom w:val="nil"/>
              <w:right w:val="nil"/>
            </w:tcBorders>
            <w:shd w:val="clear" w:color="auto" w:fill="auto"/>
            <w:noWrap/>
            <w:vAlign w:val="center"/>
            <w:hideMark/>
          </w:tcPr>
          <w:p w14:paraId="44E27C98"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0.1</w:t>
            </w:r>
          </w:p>
        </w:tc>
      </w:tr>
      <w:tr w:rsidR="00BB69B6" w:rsidRPr="00C33195" w14:paraId="184B2966" w14:textId="77777777" w:rsidTr="00767AAF">
        <w:trPr>
          <w:trHeight w:val="300"/>
        </w:trPr>
        <w:tc>
          <w:tcPr>
            <w:tcW w:w="1753" w:type="dxa"/>
            <w:tcBorders>
              <w:top w:val="nil"/>
              <w:left w:val="nil"/>
              <w:bottom w:val="nil"/>
              <w:right w:val="nil"/>
            </w:tcBorders>
            <w:shd w:val="clear" w:color="auto" w:fill="auto"/>
            <w:noWrap/>
            <w:vAlign w:val="center"/>
            <w:hideMark/>
          </w:tcPr>
          <w:p w14:paraId="0EB93BF9"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4-Eptanon</w:t>
            </w:r>
          </w:p>
        </w:tc>
        <w:tc>
          <w:tcPr>
            <w:tcW w:w="1300" w:type="dxa"/>
            <w:tcBorders>
              <w:top w:val="nil"/>
              <w:left w:val="nil"/>
              <w:bottom w:val="nil"/>
              <w:right w:val="nil"/>
            </w:tcBorders>
            <w:shd w:val="clear" w:color="auto" w:fill="auto"/>
            <w:noWrap/>
            <w:vAlign w:val="center"/>
            <w:hideMark/>
          </w:tcPr>
          <w:p w14:paraId="733E6BBD"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0.00</w:t>
            </w:r>
          </w:p>
        </w:tc>
        <w:tc>
          <w:tcPr>
            <w:tcW w:w="1300" w:type="dxa"/>
            <w:tcBorders>
              <w:top w:val="nil"/>
              <w:left w:val="nil"/>
              <w:bottom w:val="nil"/>
              <w:right w:val="nil"/>
            </w:tcBorders>
            <w:shd w:val="clear" w:color="auto" w:fill="auto"/>
            <w:noWrap/>
            <w:vAlign w:val="center"/>
            <w:hideMark/>
          </w:tcPr>
          <w:p w14:paraId="3CB818E9"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0.05</w:t>
            </w:r>
          </w:p>
        </w:tc>
        <w:tc>
          <w:tcPr>
            <w:tcW w:w="1300" w:type="dxa"/>
            <w:tcBorders>
              <w:top w:val="nil"/>
              <w:left w:val="nil"/>
              <w:bottom w:val="nil"/>
              <w:right w:val="nil"/>
            </w:tcBorders>
            <w:shd w:val="clear" w:color="auto" w:fill="auto"/>
            <w:noWrap/>
            <w:vAlign w:val="center"/>
            <w:hideMark/>
          </w:tcPr>
          <w:p w14:paraId="7DA0882B"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0.01</w:t>
            </w:r>
          </w:p>
        </w:tc>
        <w:tc>
          <w:tcPr>
            <w:tcW w:w="1300" w:type="dxa"/>
            <w:tcBorders>
              <w:top w:val="nil"/>
              <w:left w:val="nil"/>
              <w:bottom w:val="nil"/>
              <w:right w:val="nil"/>
            </w:tcBorders>
            <w:shd w:val="clear" w:color="auto" w:fill="auto"/>
            <w:noWrap/>
            <w:vAlign w:val="center"/>
            <w:hideMark/>
          </w:tcPr>
          <w:p w14:paraId="1294DE8C"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0.01</w:t>
            </w:r>
          </w:p>
        </w:tc>
        <w:tc>
          <w:tcPr>
            <w:tcW w:w="1300" w:type="dxa"/>
            <w:tcBorders>
              <w:top w:val="nil"/>
              <w:left w:val="nil"/>
              <w:bottom w:val="nil"/>
              <w:right w:val="nil"/>
            </w:tcBorders>
            <w:shd w:val="clear" w:color="auto" w:fill="auto"/>
            <w:noWrap/>
            <w:vAlign w:val="center"/>
            <w:hideMark/>
          </w:tcPr>
          <w:p w14:paraId="742A5D53"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w:t>
            </w:r>
          </w:p>
        </w:tc>
      </w:tr>
      <w:tr w:rsidR="00BB69B6" w:rsidRPr="00C33195" w14:paraId="516D968F" w14:textId="77777777" w:rsidTr="00767AAF">
        <w:trPr>
          <w:trHeight w:val="300"/>
        </w:trPr>
        <w:tc>
          <w:tcPr>
            <w:tcW w:w="1753" w:type="dxa"/>
            <w:tcBorders>
              <w:top w:val="nil"/>
              <w:left w:val="nil"/>
              <w:bottom w:val="nil"/>
              <w:right w:val="nil"/>
            </w:tcBorders>
            <w:shd w:val="clear" w:color="auto" w:fill="auto"/>
            <w:noWrap/>
            <w:vAlign w:val="center"/>
            <w:hideMark/>
          </w:tcPr>
          <w:p w14:paraId="167FE56E"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1-Butanol</w:t>
            </w:r>
          </w:p>
        </w:tc>
        <w:tc>
          <w:tcPr>
            <w:tcW w:w="1300" w:type="dxa"/>
            <w:tcBorders>
              <w:top w:val="nil"/>
              <w:left w:val="nil"/>
              <w:bottom w:val="nil"/>
              <w:right w:val="nil"/>
            </w:tcBorders>
            <w:shd w:val="clear" w:color="auto" w:fill="auto"/>
            <w:noWrap/>
            <w:vAlign w:val="center"/>
            <w:hideMark/>
          </w:tcPr>
          <w:p w14:paraId="4391695A"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0.08</w:t>
            </w:r>
          </w:p>
        </w:tc>
        <w:tc>
          <w:tcPr>
            <w:tcW w:w="1300" w:type="dxa"/>
            <w:tcBorders>
              <w:top w:val="nil"/>
              <w:left w:val="nil"/>
              <w:bottom w:val="nil"/>
              <w:right w:val="nil"/>
            </w:tcBorders>
            <w:shd w:val="clear" w:color="auto" w:fill="auto"/>
            <w:noWrap/>
            <w:vAlign w:val="center"/>
            <w:hideMark/>
          </w:tcPr>
          <w:p w14:paraId="3C838AF8"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0.20</w:t>
            </w:r>
          </w:p>
        </w:tc>
        <w:tc>
          <w:tcPr>
            <w:tcW w:w="1300" w:type="dxa"/>
            <w:tcBorders>
              <w:top w:val="nil"/>
              <w:left w:val="nil"/>
              <w:bottom w:val="nil"/>
              <w:right w:val="nil"/>
            </w:tcBorders>
            <w:shd w:val="clear" w:color="auto" w:fill="auto"/>
            <w:noWrap/>
            <w:vAlign w:val="center"/>
            <w:hideMark/>
          </w:tcPr>
          <w:p w14:paraId="1D772DCD"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0.12</w:t>
            </w:r>
          </w:p>
        </w:tc>
        <w:tc>
          <w:tcPr>
            <w:tcW w:w="1300" w:type="dxa"/>
            <w:tcBorders>
              <w:top w:val="nil"/>
              <w:left w:val="nil"/>
              <w:bottom w:val="nil"/>
              <w:right w:val="nil"/>
            </w:tcBorders>
            <w:shd w:val="clear" w:color="auto" w:fill="auto"/>
            <w:noWrap/>
            <w:vAlign w:val="center"/>
            <w:hideMark/>
          </w:tcPr>
          <w:p w14:paraId="0024E5EC"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0.12</w:t>
            </w:r>
          </w:p>
        </w:tc>
        <w:tc>
          <w:tcPr>
            <w:tcW w:w="1300" w:type="dxa"/>
            <w:tcBorders>
              <w:top w:val="nil"/>
              <w:left w:val="nil"/>
              <w:bottom w:val="nil"/>
              <w:right w:val="nil"/>
            </w:tcBorders>
            <w:shd w:val="clear" w:color="auto" w:fill="auto"/>
            <w:noWrap/>
            <w:vAlign w:val="center"/>
            <w:hideMark/>
          </w:tcPr>
          <w:p w14:paraId="2295370C"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w:t>
            </w:r>
          </w:p>
        </w:tc>
      </w:tr>
      <w:tr w:rsidR="00BB69B6" w:rsidRPr="00C33195" w14:paraId="54AC2D88" w14:textId="77777777" w:rsidTr="00767AAF">
        <w:trPr>
          <w:trHeight w:val="300"/>
        </w:trPr>
        <w:tc>
          <w:tcPr>
            <w:tcW w:w="1753" w:type="dxa"/>
            <w:tcBorders>
              <w:top w:val="nil"/>
              <w:left w:val="nil"/>
              <w:bottom w:val="nil"/>
              <w:right w:val="nil"/>
            </w:tcBorders>
            <w:shd w:val="clear" w:color="auto" w:fill="auto"/>
            <w:noWrap/>
            <w:vAlign w:val="center"/>
            <w:hideMark/>
          </w:tcPr>
          <w:p w14:paraId="7435D3F2"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Heptanal</w:t>
            </w:r>
          </w:p>
        </w:tc>
        <w:tc>
          <w:tcPr>
            <w:tcW w:w="1300" w:type="dxa"/>
            <w:tcBorders>
              <w:top w:val="nil"/>
              <w:left w:val="nil"/>
              <w:bottom w:val="nil"/>
              <w:right w:val="nil"/>
            </w:tcBorders>
            <w:shd w:val="clear" w:color="auto" w:fill="auto"/>
            <w:noWrap/>
            <w:vAlign w:val="center"/>
            <w:hideMark/>
          </w:tcPr>
          <w:p w14:paraId="5010EF9D"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0.02</w:t>
            </w:r>
          </w:p>
        </w:tc>
        <w:tc>
          <w:tcPr>
            <w:tcW w:w="1300" w:type="dxa"/>
            <w:tcBorders>
              <w:top w:val="nil"/>
              <w:left w:val="nil"/>
              <w:bottom w:val="nil"/>
              <w:right w:val="nil"/>
            </w:tcBorders>
            <w:shd w:val="clear" w:color="auto" w:fill="auto"/>
            <w:noWrap/>
            <w:vAlign w:val="center"/>
            <w:hideMark/>
          </w:tcPr>
          <w:p w14:paraId="34C527E3"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0.10</w:t>
            </w:r>
          </w:p>
        </w:tc>
        <w:tc>
          <w:tcPr>
            <w:tcW w:w="1300" w:type="dxa"/>
            <w:tcBorders>
              <w:top w:val="nil"/>
              <w:left w:val="nil"/>
              <w:bottom w:val="nil"/>
              <w:right w:val="nil"/>
            </w:tcBorders>
            <w:shd w:val="clear" w:color="auto" w:fill="auto"/>
            <w:noWrap/>
            <w:vAlign w:val="center"/>
            <w:hideMark/>
          </w:tcPr>
          <w:p w14:paraId="0A97FEBE"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0.03</w:t>
            </w:r>
          </w:p>
        </w:tc>
        <w:tc>
          <w:tcPr>
            <w:tcW w:w="1300" w:type="dxa"/>
            <w:tcBorders>
              <w:top w:val="nil"/>
              <w:left w:val="nil"/>
              <w:bottom w:val="nil"/>
              <w:right w:val="nil"/>
            </w:tcBorders>
            <w:shd w:val="clear" w:color="auto" w:fill="auto"/>
            <w:noWrap/>
            <w:vAlign w:val="center"/>
            <w:hideMark/>
          </w:tcPr>
          <w:p w14:paraId="0414793F"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0.04</w:t>
            </w:r>
          </w:p>
        </w:tc>
        <w:tc>
          <w:tcPr>
            <w:tcW w:w="1300" w:type="dxa"/>
            <w:tcBorders>
              <w:top w:val="nil"/>
              <w:left w:val="nil"/>
              <w:bottom w:val="nil"/>
              <w:right w:val="nil"/>
            </w:tcBorders>
            <w:shd w:val="clear" w:color="auto" w:fill="auto"/>
            <w:noWrap/>
            <w:vAlign w:val="center"/>
            <w:hideMark/>
          </w:tcPr>
          <w:p w14:paraId="207C1E89"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0.0</w:t>
            </w:r>
          </w:p>
        </w:tc>
      </w:tr>
      <w:tr w:rsidR="00BB69B6" w:rsidRPr="00C33195" w14:paraId="3D7FD734" w14:textId="77777777" w:rsidTr="00767AAF">
        <w:trPr>
          <w:trHeight w:val="300"/>
        </w:trPr>
        <w:tc>
          <w:tcPr>
            <w:tcW w:w="1753" w:type="dxa"/>
            <w:tcBorders>
              <w:top w:val="nil"/>
              <w:left w:val="nil"/>
              <w:bottom w:val="nil"/>
              <w:right w:val="nil"/>
            </w:tcBorders>
            <w:shd w:val="clear" w:color="auto" w:fill="auto"/>
            <w:noWrap/>
            <w:vAlign w:val="center"/>
            <w:hideMark/>
          </w:tcPr>
          <w:p w14:paraId="6C5BAA59"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lastRenderedPageBreak/>
              <w:t>3-OH-2-Butanone</w:t>
            </w:r>
          </w:p>
        </w:tc>
        <w:tc>
          <w:tcPr>
            <w:tcW w:w="1300" w:type="dxa"/>
            <w:tcBorders>
              <w:top w:val="nil"/>
              <w:left w:val="nil"/>
              <w:bottom w:val="nil"/>
              <w:right w:val="nil"/>
            </w:tcBorders>
            <w:shd w:val="clear" w:color="auto" w:fill="auto"/>
            <w:noWrap/>
            <w:vAlign w:val="center"/>
            <w:hideMark/>
          </w:tcPr>
          <w:p w14:paraId="13A30069"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8.3</w:t>
            </w:r>
          </w:p>
        </w:tc>
        <w:tc>
          <w:tcPr>
            <w:tcW w:w="1300" w:type="dxa"/>
            <w:tcBorders>
              <w:top w:val="nil"/>
              <w:left w:val="nil"/>
              <w:bottom w:val="nil"/>
              <w:right w:val="nil"/>
            </w:tcBorders>
            <w:shd w:val="clear" w:color="auto" w:fill="auto"/>
            <w:noWrap/>
            <w:vAlign w:val="center"/>
            <w:hideMark/>
          </w:tcPr>
          <w:p w14:paraId="6F537B28"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44.0</w:t>
            </w:r>
          </w:p>
        </w:tc>
        <w:tc>
          <w:tcPr>
            <w:tcW w:w="1300" w:type="dxa"/>
            <w:tcBorders>
              <w:top w:val="nil"/>
              <w:left w:val="nil"/>
              <w:bottom w:val="nil"/>
              <w:right w:val="nil"/>
            </w:tcBorders>
            <w:shd w:val="clear" w:color="auto" w:fill="auto"/>
            <w:noWrap/>
            <w:vAlign w:val="center"/>
            <w:hideMark/>
          </w:tcPr>
          <w:p w14:paraId="70A8A484"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12.6</w:t>
            </w:r>
          </w:p>
        </w:tc>
        <w:tc>
          <w:tcPr>
            <w:tcW w:w="1300" w:type="dxa"/>
            <w:tcBorders>
              <w:top w:val="nil"/>
              <w:left w:val="nil"/>
              <w:bottom w:val="nil"/>
              <w:right w:val="nil"/>
            </w:tcBorders>
            <w:shd w:val="clear" w:color="auto" w:fill="auto"/>
            <w:noWrap/>
            <w:vAlign w:val="center"/>
            <w:hideMark/>
          </w:tcPr>
          <w:p w14:paraId="10BC46E1"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15.8</w:t>
            </w:r>
          </w:p>
        </w:tc>
        <w:tc>
          <w:tcPr>
            <w:tcW w:w="1300" w:type="dxa"/>
            <w:tcBorders>
              <w:top w:val="nil"/>
              <w:left w:val="nil"/>
              <w:bottom w:val="nil"/>
              <w:right w:val="nil"/>
            </w:tcBorders>
            <w:shd w:val="clear" w:color="auto" w:fill="auto"/>
            <w:noWrap/>
            <w:vAlign w:val="center"/>
            <w:hideMark/>
          </w:tcPr>
          <w:p w14:paraId="21F7E102"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8.9</w:t>
            </w:r>
          </w:p>
        </w:tc>
      </w:tr>
      <w:tr w:rsidR="00BB69B6" w:rsidRPr="00C33195" w14:paraId="7D0D22FC" w14:textId="77777777" w:rsidTr="00767AAF">
        <w:trPr>
          <w:trHeight w:val="300"/>
        </w:trPr>
        <w:tc>
          <w:tcPr>
            <w:tcW w:w="1753" w:type="dxa"/>
            <w:tcBorders>
              <w:top w:val="nil"/>
              <w:left w:val="nil"/>
              <w:bottom w:val="nil"/>
              <w:right w:val="nil"/>
            </w:tcBorders>
            <w:shd w:val="clear" w:color="auto" w:fill="auto"/>
            <w:noWrap/>
            <w:vAlign w:val="center"/>
            <w:hideMark/>
          </w:tcPr>
          <w:p w14:paraId="6C6FB8AF"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Acetic acid</w:t>
            </w:r>
          </w:p>
        </w:tc>
        <w:tc>
          <w:tcPr>
            <w:tcW w:w="1300" w:type="dxa"/>
            <w:tcBorders>
              <w:top w:val="nil"/>
              <w:left w:val="nil"/>
              <w:bottom w:val="nil"/>
              <w:right w:val="nil"/>
            </w:tcBorders>
            <w:shd w:val="clear" w:color="auto" w:fill="auto"/>
            <w:noWrap/>
            <w:vAlign w:val="center"/>
            <w:hideMark/>
          </w:tcPr>
          <w:p w14:paraId="150D06C4"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976</w:t>
            </w:r>
          </w:p>
        </w:tc>
        <w:tc>
          <w:tcPr>
            <w:tcW w:w="1300" w:type="dxa"/>
            <w:tcBorders>
              <w:top w:val="nil"/>
              <w:left w:val="nil"/>
              <w:bottom w:val="nil"/>
              <w:right w:val="nil"/>
            </w:tcBorders>
            <w:shd w:val="clear" w:color="auto" w:fill="auto"/>
            <w:noWrap/>
            <w:vAlign w:val="center"/>
            <w:hideMark/>
          </w:tcPr>
          <w:p w14:paraId="2FC943FA"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8545</w:t>
            </w:r>
          </w:p>
        </w:tc>
        <w:tc>
          <w:tcPr>
            <w:tcW w:w="1300" w:type="dxa"/>
            <w:tcBorders>
              <w:top w:val="nil"/>
              <w:left w:val="nil"/>
              <w:bottom w:val="nil"/>
              <w:right w:val="nil"/>
            </w:tcBorders>
            <w:shd w:val="clear" w:color="auto" w:fill="auto"/>
            <w:noWrap/>
            <w:vAlign w:val="center"/>
            <w:hideMark/>
          </w:tcPr>
          <w:p w14:paraId="57419F31"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2936</w:t>
            </w:r>
          </w:p>
        </w:tc>
        <w:tc>
          <w:tcPr>
            <w:tcW w:w="1300" w:type="dxa"/>
            <w:tcBorders>
              <w:top w:val="nil"/>
              <w:left w:val="nil"/>
              <w:bottom w:val="nil"/>
              <w:right w:val="nil"/>
            </w:tcBorders>
            <w:shd w:val="clear" w:color="auto" w:fill="auto"/>
            <w:noWrap/>
            <w:vAlign w:val="center"/>
            <w:hideMark/>
          </w:tcPr>
          <w:p w14:paraId="0B84FEAF"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3192</w:t>
            </w:r>
          </w:p>
        </w:tc>
        <w:tc>
          <w:tcPr>
            <w:tcW w:w="1300" w:type="dxa"/>
            <w:tcBorders>
              <w:top w:val="nil"/>
              <w:left w:val="nil"/>
              <w:bottom w:val="nil"/>
              <w:right w:val="nil"/>
            </w:tcBorders>
            <w:shd w:val="clear" w:color="auto" w:fill="auto"/>
            <w:noWrap/>
            <w:vAlign w:val="center"/>
            <w:hideMark/>
          </w:tcPr>
          <w:p w14:paraId="082B37ED"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1801</w:t>
            </w:r>
          </w:p>
        </w:tc>
      </w:tr>
      <w:tr w:rsidR="00BB69B6" w:rsidRPr="00C33195" w14:paraId="7A5E616B" w14:textId="77777777" w:rsidTr="00767AAF">
        <w:trPr>
          <w:trHeight w:val="300"/>
        </w:trPr>
        <w:tc>
          <w:tcPr>
            <w:tcW w:w="1753" w:type="dxa"/>
            <w:tcBorders>
              <w:top w:val="nil"/>
              <w:left w:val="nil"/>
              <w:right w:val="nil"/>
            </w:tcBorders>
            <w:shd w:val="clear" w:color="auto" w:fill="auto"/>
            <w:noWrap/>
            <w:vAlign w:val="center"/>
            <w:hideMark/>
          </w:tcPr>
          <w:p w14:paraId="7C041DF8"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Propionic acid</w:t>
            </w:r>
          </w:p>
        </w:tc>
        <w:tc>
          <w:tcPr>
            <w:tcW w:w="1300" w:type="dxa"/>
            <w:tcBorders>
              <w:top w:val="nil"/>
              <w:left w:val="nil"/>
              <w:right w:val="nil"/>
            </w:tcBorders>
            <w:shd w:val="clear" w:color="auto" w:fill="auto"/>
            <w:noWrap/>
            <w:vAlign w:val="center"/>
            <w:hideMark/>
          </w:tcPr>
          <w:p w14:paraId="44FEC02F"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107</w:t>
            </w:r>
          </w:p>
        </w:tc>
        <w:tc>
          <w:tcPr>
            <w:tcW w:w="1300" w:type="dxa"/>
            <w:tcBorders>
              <w:top w:val="nil"/>
              <w:left w:val="nil"/>
              <w:right w:val="nil"/>
            </w:tcBorders>
            <w:shd w:val="clear" w:color="auto" w:fill="auto"/>
            <w:noWrap/>
            <w:vAlign w:val="center"/>
            <w:hideMark/>
          </w:tcPr>
          <w:p w14:paraId="7C1FA61C"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740</w:t>
            </w:r>
          </w:p>
        </w:tc>
        <w:tc>
          <w:tcPr>
            <w:tcW w:w="1300" w:type="dxa"/>
            <w:tcBorders>
              <w:top w:val="nil"/>
              <w:left w:val="nil"/>
              <w:right w:val="nil"/>
            </w:tcBorders>
            <w:shd w:val="clear" w:color="auto" w:fill="auto"/>
            <w:noWrap/>
            <w:vAlign w:val="center"/>
            <w:hideMark/>
          </w:tcPr>
          <w:p w14:paraId="6534749C"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332</w:t>
            </w:r>
          </w:p>
        </w:tc>
        <w:tc>
          <w:tcPr>
            <w:tcW w:w="1300" w:type="dxa"/>
            <w:tcBorders>
              <w:top w:val="nil"/>
              <w:left w:val="nil"/>
              <w:right w:val="nil"/>
            </w:tcBorders>
            <w:shd w:val="clear" w:color="auto" w:fill="auto"/>
            <w:noWrap/>
            <w:vAlign w:val="center"/>
            <w:hideMark/>
          </w:tcPr>
          <w:p w14:paraId="286A6901"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334</w:t>
            </w:r>
          </w:p>
        </w:tc>
        <w:tc>
          <w:tcPr>
            <w:tcW w:w="1300" w:type="dxa"/>
            <w:tcBorders>
              <w:top w:val="nil"/>
              <w:left w:val="nil"/>
              <w:right w:val="nil"/>
            </w:tcBorders>
            <w:shd w:val="clear" w:color="auto" w:fill="auto"/>
            <w:noWrap/>
            <w:vAlign w:val="center"/>
            <w:hideMark/>
          </w:tcPr>
          <w:p w14:paraId="154B0729"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212</w:t>
            </w:r>
          </w:p>
        </w:tc>
      </w:tr>
      <w:tr w:rsidR="00BB69B6" w:rsidRPr="00C33195" w14:paraId="39877F17" w14:textId="77777777" w:rsidTr="00767AAF">
        <w:trPr>
          <w:trHeight w:val="300"/>
        </w:trPr>
        <w:tc>
          <w:tcPr>
            <w:tcW w:w="1753" w:type="dxa"/>
            <w:tcBorders>
              <w:top w:val="nil"/>
              <w:left w:val="nil"/>
              <w:bottom w:val="single" w:sz="4" w:space="0" w:color="auto"/>
              <w:right w:val="nil"/>
            </w:tcBorders>
            <w:shd w:val="clear" w:color="auto" w:fill="auto"/>
            <w:noWrap/>
            <w:vAlign w:val="center"/>
            <w:hideMark/>
          </w:tcPr>
          <w:p w14:paraId="11CC488D"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Butanoic acid</w:t>
            </w:r>
          </w:p>
        </w:tc>
        <w:tc>
          <w:tcPr>
            <w:tcW w:w="1300" w:type="dxa"/>
            <w:tcBorders>
              <w:top w:val="nil"/>
              <w:left w:val="nil"/>
              <w:bottom w:val="single" w:sz="4" w:space="0" w:color="auto"/>
              <w:right w:val="nil"/>
            </w:tcBorders>
            <w:shd w:val="clear" w:color="auto" w:fill="auto"/>
            <w:noWrap/>
            <w:vAlign w:val="center"/>
            <w:hideMark/>
          </w:tcPr>
          <w:p w14:paraId="6507F44E"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21.5</w:t>
            </w:r>
          </w:p>
        </w:tc>
        <w:tc>
          <w:tcPr>
            <w:tcW w:w="1300" w:type="dxa"/>
            <w:tcBorders>
              <w:top w:val="nil"/>
              <w:left w:val="nil"/>
              <w:bottom w:val="single" w:sz="4" w:space="0" w:color="auto"/>
              <w:right w:val="nil"/>
            </w:tcBorders>
            <w:shd w:val="clear" w:color="auto" w:fill="auto"/>
            <w:noWrap/>
            <w:vAlign w:val="center"/>
            <w:hideMark/>
          </w:tcPr>
          <w:p w14:paraId="7D343F2E"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95.2</w:t>
            </w:r>
          </w:p>
        </w:tc>
        <w:tc>
          <w:tcPr>
            <w:tcW w:w="1300" w:type="dxa"/>
            <w:tcBorders>
              <w:top w:val="nil"/>
              <w:left w:val="nil"/>
              <w:bottom w:val="single" w:sz="4" w:space="0" w:color="auto"/>
              <w:right w:val="nil"/>
            </w:tcBorders>
            <w:shd w:val="clear" w:color="auto" w:fill="auto"/>
            <w:noWrap/>
            <w:vAlign w:val="center"/>
            <w:hideMark/>
          </w:tcPr>
          <w:p w14:paraId="5868C8A9"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52.2</w:t>
            </w:r>
          </w:p>
        </w:tc>
        <w:tc>
          <w:tcPr>
            <w:tcW w:w="1300" w:type="dxa"/>
            <w:tcBorders>
              <w:top w:val="nil"/>
              <w:left w:val="nil"/>
              <w:bottom w:val="single" w:sz="4" w:space="0" w:color="auto"/>
              <w:right w:val="nil"/>
            </w:tcBorders>
            <w:shd w:val="clear" w:color="auto" w:fill="auto"/>
            <w:noWrap/>
            <w:vAlign w:val="center"/>
            <w:hideMark/>
          </w:tcPr>
          <w:p w14:paraId="46E6EC76"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53.2</w:t>
            </w:r>
          </w:p>
        </w:tc>
        <w:tc>
          <w:tcPr>
            <w:tcW w:w="1300" w:type="dxa"/>
            <w:tcBorders>
              <w:top w:val="nil"/>
              <w:left w:val="nil"/>
              <w:bottom w:val="single" w:sz="4" w:space="0" w:color="auto"/>
              <w:right w:val="nil"/>
            </w:tcBorders>
            <w:shd w:val="clear" w:color="auto" w:fill="auto"/>
            <w:noWrap/>
            <w:vAlign w:val="center"/>
            <w:hideMark/>
          </w:tcPr>
          <w:p w14:paraId="240A4861" w14:textId="77777777" w:rsidR="00BB69B6" w:rsidRPr="00C33195" w:rsidRDefault="00BB69B6" w:rsidP="008849A9">
            <w:pPr>
              <w:spacing w:line="276" w:lineRule="auto"/>
              <w:jc w:val="center"/>
              <w:rPr>
                <w:rFonts w:ascii="Times New Roman" w:eastAsia="Times New Roman" w:hAnsi="Times New Roman" w:cs="Times New Roman"/>
                <w:color w:val="000000"/>
                <w:sz w:val="22"/>
                <w:szCs w:val="22"/>
                <w:lang w:val="en-GB"/>
              </w:rPr>
            </w:pPr>
            <w:r w:rsidRPr="00C33195">
              <w:rPr>
                <w:rFonts w:ascii="Times New Roman" w:eastAsia="Times New Roman" w:hAnsi="Times New Roman" w:cs="Times New Roman"/>
                <w:color w:val="000000"/>
                <w:sz w:val="22"/>
                <w:szCs w:val="22"/>
                <w:lang w:val="en-GB"/>
              </w:rPr>
              <w:t>21.9</w:t>
            </w:r>
          </w:p>
        </w:tc>
      </w:tr>
    </w:tbl>
    <w:p w14:paraId="1E2364A2" w14:textId="77777777" w:rsidR="00845E49" w:rsidRPr="00C33195" w:rsidRDefault="00845E49" w:rsidP="00875587">
      <w:pPr>
        <w:spacing w:line="360" w:lineRule="auto"/>
        <w:jc w:val="both"/>
        <w:rPr>
          <w:rFonts w:ascii="Times New Roman" w:hAnsi="Times New Roman" w:cs="Times New Roman"/>
          <w:lang w:val="en-GB"/>
        </w:rPr>
      </w:pPr>
    </w:p>
    <w:p w14:paraId="4ED85512" w14:textId="77777777" w:rsidR="003113BB" w:rsidRPr="00C33195" w:rsidRDefault="003113BB" w:rsidP="00875587">
      <w:pPr>
        <w:spacing w:line="360" w:lineRule="auto"/>
        <w:jc w:val="both"/>
        <w:rPr>
          <w:rFonts w:ascii="Times New Roman" w:hAnsi="Times New Roman" w:cs="Times New Roman"/>
          <w:lang w:val="en-GB"/>
        </w:rPr>
      </w:pPr>
      <w:r w:rsidRPr="00164022">
        <w:rPr>
          <w:rFonts w:ascii="Times New Roman" w:hAnsi="Times New Roman" w:cs="Times New Roman"/>
          <w:lang w:val="en-GB"/>
        </w:rPr>
        <w:t xml:space="preserve">Figure </w:t>
      </w:r>
      <w:r w:rsidR="00FE351F" w:rsidRPr="00164022">
        <w:rPr>
          <w:rFonts w:ascii="Times New Roman" w:hAnsi="Times New Roman" w:cs="Times New Roman"/>
          <w:lang w:val="en-GB"/>
        </w:rPr>
        <w:t>4</w:t>
      </w:r>
      <w:r w:rsidRPr="00164022">
        <w:rPr>
          <w:rFonts w:ascii="Times New Roman" w:hAnsi="Times New Roman" w:cs="Times New Roman"/>
          <w:lang w:val="en-GB"/>
        </w:rPr>
        <w:t xml:space="preserve"> shows the correlation plot of</w:t>
      </w:r>
      <w:r w:rsidR="00164022" w:rsidRPr="00164022">
        <w:rPr>
          <w:rFonts w:ascii="Times New Roman" w:hAnsi="Times New Roman" w:cs="Times New Roman"/>
          <w:lang w:val="en-GB"/>
        </w:rPr>
        <w:t xml:space="preserve"> the 20 VOCs selected for saliva analysis on the basis of their</w:t>
      </w:r>
      <w:r w:rsidR="00164022">
        <w:rPr>
          <w:rFonts w:ascii="Times New Roman" w:hAnsi="Times New Roman" w:cs="Times New Roman"/>
          <w:lang w:val="en-GB"/>
        </w:rPr>
        <w:t xml:space="preserve"> abundances and relevance in </w:t>
      </w:r>
      <w:proofErr w:type="spellStart"/>
      <w:r w:rsidR="00164022">
        <w:rPr>
          <w:rFonts w:ascii="Times New Roman" w:hAnsi="Times New Roman" w:cs="Times New Roman"/>
          <w:lang w:val="en-GB"/>
        </w:rPr>
        <w:t>microbioma</w:t>
      </w:r>
      <w:proofErr w:type="spellEnd"/>
      <w:r w:rsidR="00164022">
        <w:rPr>
          <w:rFonts w:ascii="Times New Roman" w:hAnsi="Times New Roman" w:cs="Times New Roman"/>
          <w:lang w:val="en-GB"/>
        </w:rPr>
        <w:t xml:space="preserve"> investigation.</w:t>
      </w:r>
    </w:p>
    <w:p w14:paraId="5C44728C" w14:textId="77777777" w:rsidR="003113BB" w:rsidRPr="00C33195" w:rsidRDefault="003113BB" w:rsidP="003113BB">
      <w:pPr>
        <w:spacing w:line="360" w:lineRule="auto"/>
        <w:jc w:val="center"/>
        <w:rPr>
          <w:rFonts w:ascii="Times New Roman" w:hAnsi="Times New Roman" w:cs="Times New Roman"/>
          <w:lang w:val="en-GB"/>
        </w:rPr>
      </w:pPr>
      <w:r w:rsidRPr="00C33195">
        <w:rPr>
          <w:rFonts w:ascii="Times New Roman" w:hAnsi="Times New Roman" w:cs="Times New Roman"/>
          <w:noProof/>
          <w:lang w:val="it-IT"/>
        </w:rPr>
        <w:drawing>
          <wp:inline distT="0" distB="0" distL="0" distR="0" wp14:anchorId="2C22C745" wp14:editId="4D4374F0">
            <wp:extent cx="5511800" cy="4529470"/>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1" b="1205"/>
                    <a:stretch/>
                  </pic:blipFill>
                  <pic:spPr bwMode="auto">
                    <a:xfrm>
                      <a:off x="0" y="0"/>
                      <a:ext cx="5511800" cy="4529470"/>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48EB4AFD" w14:textId="77777777" w:rsidR="003316F2" w:rsidRPr="00C33195" w:rsidRDefault="008849A9" w:rsidP="003113BB">
      <w:pPr>
        <w:spacing w:line="360" w:lineRule="auto"/>
        <w:jc w:val="center"/>
        <w:rPr>
          <w:rFonts w:ascii="Times New Roman" w:hAnsi="Times New Roman" w:cs="Times New Roman"/>
          <w:sz w:val="22"/>
          <w:szCs w:val="22"/>
          <w:lang w:val="en-GB"/>
        </w:rPr>
      </w:pPr>
      <w:r w:rsidRPr="00C33195">
        <w:rPr>
          <w:rFonts w:ascii="Times New Roman" w:hAnsi="Times New Roman" w:cs="Times New Roman"/>
          <w:b/>
          <w:sz w:val="22"/>
          <w:szCs w:val="22"/>
          <w:lang w:val="en-GB"/>
        </w:rPr>
        <w:t>Fig.4</w:t>
      </w:r>
      <w:r w:rsidR="003316F2" w:rsidRPr="00C33195">
        <w:rPr>
          <w:rFonts w:ascii="Times New Roman" w:hAnsi="Times New Roman" w:cs="Times New Roman"/>
          <w:sz w:val="22"/>
          <w:szCs w:val="22"/>
          <w:lang w:val="en-GB"/>
        </w:rPr>
        <w:t xml:space="preserve">  </w:t>
      </w:r>
      <w:r w:rsidR="00164022">
        <w:rPr>
          <w:rFonts w:ascii="Times New Roman" w:hAnsi="Times New Roman" w:cs="Times New Roman"/>
          <w:sz w:val="22"/>
          <w:szCs w:val="22"/>
          <w:lang w:val="en-GB"/>
        </w:rPr>
        <w:t xml:space="preserve">Correlation plot for the 20 </w:t>
      </w:r>
      <w:proofErr w:type="spellStart"/>
      <w:r w:rsidR="00164022">
        <w:rPr>
          <w:rFonts w:ascii="Times New Roman" w:hAnsi="Times New Roman" w:cs="Times New Roman"/>
          <w:sz w:val="22"/>
          <w:szCs w:val="22"/>
          <w:lang w:val="en-GB"/>
        </w:rPr>
        <w:t>analyzed</w:t>
      </w:r>
      <w:proofErr w:type="spellEnd"/>
      <w:r w:rsidR="00164022">
        <w:rPr>
          <w:rFonts w:ascii="Times New Roman" w:hAnsi="Times New Roman" w:cs="Times New Roman"/>
          <w:sz w:val="22"/>
          <w:szCs w:val="22"/>
          <w:lang w:val="en-GB"/>
        </w:rPr>
        <w:t xml:space="preserve"> VOCs obtained after </w:t>
      </w:r>
      <w:r w:rsidR="00004F04">
        <w:rPr>
          <w:rFonts w:ascii="Times New Roman" w:hAnsi="Times New Roman" w:cs="Times New Roman"/>
          <w:sz w:val="22"/>
          <w:szCs w:val="22"/>
          <w:lang w:val="en-GB"/>
        </w:rPr>
        <w:t>data scaling</w:t>
      </w:r>
      <w:r w:rsidR="00164022">
        <w:rPr>
          <w:rFonts w:ascii="Times New Roman" w:hAnsi="Times New Roman" w:cs="Times New Roman"/>
          <w:sz w:val="22"/>
          <w:szCs w:val="22"/>
          <w:lang w:val="en-GB"/>
        </w:rPr>
        <w:t>.</w:t>
      </w:r>
    </w:p>
    <w:p w14:paraId="05A8957E" w14:textId="77777777" w:rsidR="003316F2" w:rsidRPr="00C33195" w:rsidRDefault="003316F2" w:rsidP="00E57EE7">
      <w:pPr>
        <w:spacing w:line="360" w:lineRule="auto"/>
        <w:jc w:val="center"/>
        <w:rPr>
          <w:rFonts w:ascii="Times New Roman" w:hAnsi="Times New Roman" w:cs="Times New Roman"/>
          <w:lang w:val="en-GB"/>
        </w:rPr>
      </w:pPr>
    </w:p>
    <w:p w14:paraId="2F7BC47D" w14:textId="77777777" w:rsidR="00FE351F" w:rsidRPr="00C33195" w:rsidRDefault="00FE351F" w:rsidP="00FE351F">
      <w:pPr>
        <w:spacing w:line="360" w:lineRule="auto"/>
        <w:jc w:val="both"/>
        <w:rPr>
          <w:rFonts w:ascii="Times New Roman" w:hAnsi="Times New Roman" w:cs="Times New Roman"/>
          <w:lang w:val="en-GB"/>
        </w:rPr>
      </w:pPr>
      <w:r w:rsidRPr="00C33195">
        <w:rPr>
          <w:rFonts w:ascii="Times New Roman" w:hAnsi="Times New Roman" w:cs="Times New Roman"/>
          <w:lang w:val="en-GB"/>
        </w:rPr>
        <w:t>The results of Figure 4 shows that</w:t>
      </w:r>
      <w:r w:rsidR="00435DA1" w:rsidRPr="00C33195">
        <w:rPr>
          <w:rFonts w:ascii="Times New Roman" w:hAnsi="Times New Roman" w:cs="Times New Roman"/>
          <w:lang w:val="en-GB"/>
        </w:rPr>
        <w:t xml:space="preserve"> the concentrations of many VOCs in saliva are significantly correlated.</w:t>
      </w:r>
      <w:r w:rsidR="00800363" w:rsidRPr="00C33195">
        <w:rPr>
          <w:rFonts w:ascii="Times New Roman" w:hAnsi="Times New Roman" w:cs="Times New Roman"/>
          <w:lang w:val="en-GB"/>
        </w:rPr>
        <w:t xml:space="preserve"> Despite is beyond the aim of this paper to give an interpretation of these data it is interesting to observe the trend of ethanol and acetone during the experiment.  Ethanol is positively correlated with most VOCs</w:t>
      </w:r>
      <w:r w:rsidR="00831420">
        <w:rPr>
          <w:rFonts w:ascii="Times New Roman" w:hAnsi="Times New Roman" w:cs="Times New Roman"/>
          <w:lang w:val="en-GB"/>
        </w:rPr>
        <w:t>, primarily with methyl and ethyl acetate</w:t>
      </w:r>
      <w:r w:rsidR="007F69F4" w:rsidRPr="00C33195">
        <w:rPr>
          <w:rFonts w:ascii="Times New Roman" w:hAnsi="Times New Roman" w:cs="Times New Roman"/>
          <w:lang w:val="en-GB"/>
        </w:rPr>
        <w:t xml:space="preserve"> (</w:t>
      </w:r>
      <w:r w:rsidR="00831420" w:rsidRPr="00831420">
        <w:rPr>
          <w:rFonts w:ascii="Times New Roman" w:hAnsi="Times New Roman" w:cs="Times New Roman"/>
          <w:lang w:val="en-GB"/>
        </w:rPr>
        <w:t>R</w:t>
      </w:r>
      <w:r w:rsidR="00831420" w:rsidRPr="00831420">
        <w:rPr>
          <w:rFonts w:ascii="Times New Roman" w:hAnsi="Times New Roman" w:cs="Times New Roman"/>
          <w:vertAlign w:val="superscript"/>
          <w:lang w:val="en-GB"/>
        </w:rPr>
        <w:t>2</w:t>
      </w:r>
      <w:r w:rsidR="00831420" w:rsidRPr="00831420">
        <w:rPr>
          <w:rFonts w:ascii="Times New Roman" w:hAnsi="Times New Roman" w:cs="Times New Roman"/>
          <w:lang w:val="en-GB"/>
        </w:rPr>
        <w:t>&gt;0.95</w:t>
      </w:r>
      <w:r w:rsidR="007F69F4" w:rsidRPr="00C33195">
        <w:rPr>
          <w:rFonts w:ascii="Times New Roman" w:hAnsi="Times New Roman" w:cs="Times New Roman"/>
          <w:lang w:val="en-GB"/>
        </w:rPr>
        <w:t>)</w:t>
      </w:r>
      <w:r w:rsidR="00831420">
        <w:rPr>
          <w:rFonts w:ascii="Times New Roman" w:hAnsi="Times New Roman" w:cs="Times New Roman"/>
          <w:lang w:val="en-GB"/>
        </w:rPr>
        <w:t xml:space="preserve">, while it is </w:t>
      </w:r>
      <w:r w:rsidR="00800363" w:rsidRPr="00C33195">
        <w:rPr>
          <w:rFonts w:ascii="Times New Roman" w:hAnsi="Times New Roman" w:cs="Times New Roman"/>
          <w:lang w:val="en-GB"/>
        </w:rPr>
        <w:t xml:space="preserve">negatively correlated with </w:t>
      </w:r>
      <w:r w:rsidR="00831420">
        <w:rPr>
          <w:rFonts w:ascii="Times New Roman" w:hAnsi="Times New Roman" w:cs="Times New Roman"/>
          <w:lang w:val="en-GB"/>
        </w:rPr>
        <w:t>acetone</w:t>
      </w:r>
      <w:r w:rsidR="00800363" w:rsidRPr="00C33195">
        <w:rPr>
          <w:rFonts w:ascii="Times New Roman" w:hAnsi="Times New Roman" w:cs="Times New Roman"/>
          <w:lang w:val="en-GB"/>
        </w:rPr>
        <w:t xml:space="preserve"> (</w:t>
      </w:r>
      <w:r w:rsidR="00831420">
        <w:rPr>
          <w:rFonts w:ascii="Times New Roman" w:hAnsi="Times New Roman" w:cs="Times New Roman"/>
          <w:lang w:val="en-GB"/>
        </w:rPr>
        <w:t>R</w:t>
      </w:r>
      <w:r w:rsidR="00831420" w:rsidRPr="00831420">
        <w:rPr>
          <w:rFonts w:ascii="Times New Roman" w:hAnsi="Times New Roman" w:cs="Times New Roman"/>
          <w:vertAlign w:val="superscript"/>
          <w:lang w:val="en-GB"/>
        </w:rPr>
        <w:t>2</w:t>
      </w:r>
      <w:r w:rsidR="00831420">
        <w:rPr>
          <w:rFonts w:ascii="Times New Roman" w:hAnsi="Times New Roman" w:cs="Times New Roman"/>
          <w:lang w:val="en-GB"/>
        </w:rPr>
        <w:t xml:space="preserve"> -0.55</w:t>
      </w:r>
      <w:r w:rsidR="00800363" w:rsidRPr="00831420">
        <w:rPr>
          <w:rFonts w:ascii="Times New Roman" w:hAnsi="Times New Roman" w:cs="Times New Roman"/>
          <w:lang w:val="en-GB"/>
        </w:rPr>
        <w:t>)</w:t>
      </w:r>
      <w:r w:rsidR="007F69F4" w:rsidRPr="00831420">
        <w:rPr>
          <w:rFonts w:ascii="Times New Roman" w:hAnsi="Times New Roman" w:cs="Times New Roman"/>
          <w:lang w:val="en-GB"/>
        </w:rPr>
        <w:t>.</w:t>
      </w:r>
    </w:p>
    <w:p w14:paraId="3A2DAE5A" w14:textId="77777777" w:rsidR="00FE351F" w:rsidRPr="00C33195" w:rsidRDefault="00FE351F" w:rsidP="00FE351F">
      <w:pPr>
        <w:spacing w:line="360" w:lineRule="auto"/>
        <w:jc w:val="both"/>
        <w:rPr>
          <w:rFonts w:ascii="Times New Roman" w:hAnsi="Times New Roman" w:cs="Times New Roman"/>
          <w:b/>
          <w:lang w:val="en-GB"/>
        </w:rPr>
      </w:pPr>
      <w:bookmarkStart w:id="0" w:name="OLE_LINK1"/>
      <w:r w:rsidRPr="00C33195">
        <w:rPr>
          <w:rFonts w:ascii="Times New Roman" w:hAnsi="Times New Roman" w:cs="Times New Roman"/>
          <w:lang w:val="en-GB"/>
        </w:rPr>
        <w:t xml:space="preserve">Figure 5 shows </w:t>
      </w:r>
      <w:r w:rsidRPr="00C33195">
        <w:rPr>
          <w:rFonts w:ascii="Times New Roman" w:hAnsi="Times New Roman" w:cs="Times New Roman"/>
          <w:bCs/>
          <w:lang w:val="en-GB"/>
        </w:rPr>
        <w:t>the</w:t>
      </w:r>
      <w:r w:rsidRPr="00C33195">
        <w:rPr>
          <w:rFonts w:ascii="Times New Roman" w:hAnsi="Times New Roman" w:cs="Times New Roman"/>
          <w:lang w:val="en-GB"/>
        </w:rPr>
        <w:t xml:space="preserve"> box-plot for ethanol (a), and acetone (b) levels measured in saliva after grouping into basal (first 3 samples), rifaximin and post-rifaximin samples (</w:t>
      </w:r>
      <w:r w:rsidR="00DD06EA">
        <w:rPr>
          <w:rFonts w:ascii="Times New Roman" w:hAnsi="Times New Roman" w:cs="Times New Roman"/>
          <w:lang w:val="en-GB"/>
        </w:rPr>
        <w:t>t</w:t>
      </w:r>
      <w:r w:rsidRPr="00C33195">
        <w:rPr>
          <w:rFonts w:ascii="Times New Roman" w:hAnsi="Times New Roman" w:cs="Times New Roman"/>
          <w:lang w:val="en-GB"/>
        </w:rPr>
        <w:t>he box-plot shows: the minimum, the 5</w:t>
      </w:r>
      <w:r w:rsidRPr="00C33195">
        <w:rPr>
          <w:rFonts w:ascii="Times New Roman" w:hAnsi="Times New Roman" w:cs="Times New Roman"/>
          <w:vertAlign w:val="superscript"/>
          <w:lang w:val="en-GB"/>
        </w:rPr>
        <w:t>th</w:t>
      </w:r>
      <w:r w:rsidRPr="00C33195">
        <w:rPr>
          <w:rFonts w:ascii="Times New Roman" w:hAnsi="Times New Roman" w:cs="Times New Roman"/>
          <w:lang w:val="en-GB"/>
        </w:rPr>
        <w:t xml:space="preserve"> and the 25</w:t>
      </w:r>
      <w:r w:rsidRPr="00C33195">
        <w:rPr>
          <w:rFonts w:ascii="Times New Roman" w:hAnsi="Times New Roman" w:cs="Times New Roman"/>
          <w:vertAlign w:val="superscript"/>
          <w:lang w:val="en-GB"/>
        </w:rPr>
        <w:t>th</w:t>
      </w:r>
      <w:r w:rsidRPr="00C33195">
        <w:rPr>
          <w:rFonts w:ascii="Times New Roman" w:hAnsi="Times New Roman" w:cs="Times New Roman"/>
          <w:lang w:val="en-GB"/>
        </w:rPr>
        <w:t xml:space="preserve"> percentiles, the median, the 75</w:t>
      </w:r>
      <w:r w:rsidRPr="00C33195">
        <w:rPr>
          <w:rFonts w:ascii="Times New Roman" w:hAnsi="Times New Roman" w:cs="Times New Roman"/>
          <w:vertAlign w:val="superscript"/>
          <w:lang w:val="en-GB"/>
        </w:rPr>
        <w:t>th</w:t>
      </w:r>
      <w:r w:rsidRPr="00C33195">
        <w:rPr>
          <w:rFonts w:ascii="Times New Roman" w:hAnsi="Times New Roman" w:cs="Times New Roman"/>
          <w:lang w:val="en-GB"/>
        </w:rPr>
        <w:t xml:space="preserve"> and 95</w:t>
      </w:r>
      <w:r w:rsidRPr="00C33195">
        <w:rPr>
          <w:rFonts w:ascii="Times New Roman" w:hAnsi="Times New Roman" w:cs="Times New Roman"/>
          <w:vertAlign w:val="superscript"/>
          <w:lang w:val="en-GB"/>
        </w:rPr>
        <w:t>th</w:t>
      </w:r>
      <w:r w:rsidRPr="00C33195">
        <w:rPr>
          <w:rFonts w:ascii="Times New Roman" w:hAnsi="Times New Roman" w:cs="Times New Roman"/>
          <w:lang w:val="en-GB"/>
        </w:rPr>
        <w:t xml:space="preserve"> percentiles and the maximum value for each variable investigated. The red cross inside the box shows the mean value).</w:t>
      </w:r>
    </w:p>
    <w:bookmarkEnd w:id="0"/>
    <w:p w14:paraId="05867C5B" w14:textId="77777777" w:rsidR="00FE351F" w:rsidRPr="00C33195" w:rsidRDefault="00634A2F" w:rsidP="00FE351F">
      <w:pPr>
        <w:spacing w:line="360" w:lineRule="auto"/>
        <w:jc w:val="both"/>
        <w:rPr>
          <w:rFonts w:ascii="Times New Roman" w:hAnsi="Times New Roman" w:cs="Times New Roman"/>
          <w:lang w:val="en-GB"/>
        </w:rPr>
      </w:pPr>
      <w:r>
        <w:rPr>
          <w:noProof/>
          <w:lang w:val="it-IT"/>
        </w:rPr>
        <w:lastRenderedPageBreak/>
        <mc:AlternateContent>
          <mc:Choice Requires="wpg">
            <w:drawing>
              <wp:inline distT="0" distB="0" distL="0" distR="0" wp14:anchorId="2FE9F0FB" wp14:editId="3CCEA633">
                <wp:extent cx="6116320" cy="2274742"/>
                <wp:effectExtent l="0" t="0" r="5080" b="0"/>
                <wp:docPr id="16" name="Gruppo 8"/>
                <wp:cNvGraphicFramePr/>
                <a:graphic xmlns:a="http://schemas.openxmlformats.org/drawingml/2006/main">
                  <a:graphicData uri="http://schemas.microsoft.com/office/word/2010/wordprocessingGroup">
                    <wpg:wgp>
                      <wpg:cNvGrpSpPr/>
                      <wpg:grpSpPr>
                        <a:xfrm>
                          <a:off x="0" y="0"/>
                          <a:ext cx="6116320" cy="2274742"/>
                          <a:chOff x="0" y="0"/>
                          <a:chExt cx="8229600" cy="3060700"/>
                        </a:xfrm>
                      </wpg:grpSpPr>
                      <pic:pic xmlns:pic="http://schemas.openxmlformats.org/drawingml/2006/picture">
                        <pic:nvPicPr>
                          <pic:cNvPr id="20" name="Immagine 20"/>
                          <pic:cNvPicPr>
                            <a:picLocks noChangeAspect="1"/>
                          </pic:cNvPicPr>
                        </pic:nvPicPr>
                        <pic:blipFill>
                          <a:blip r:embed="rId13"/>
                          <a:stretch>
                            <a:fillRect/>
                          </a:stretch>
                        </pic:blipFill>
                        <pic:spPr>
                          <a:xfrm>
                            <a:off x="0" y="12700"/>
                            <a:ext cx="4140200" cy="3048000"/>
                          </a:xfrm>
                          <a:prstGeom prst="rect">
                            <a:avLst/>
                          </a:prstGeom>
                        </pic:spPr>
                      </pic:pic>
                      <pic:pic xmlns:pic="http://schemas.openxmlformats.org/drawingml/2006/picture">
                        <pic:nvPicPr>
                          <pic:cNvPr id="21" name="Immagine 21"/>
                          <pic:cNvPicPr>
                            <a:picLocks noChangeAspect="1"/>
                          </pic:cNvPicPr>
                        </pic:nvPicPr>
                        <pic:blipFill>
                          <a:blip r:embed="rId14"/>
                          <a:stretch>
                            <a:fillRect/>
                          </a:stretch>
                        </pic:blipFill>
                        <pic:spPr>
                          <a:xfrm>
                            <a:off x="4191000" y="0"/>
                            <a:ext cx="4038600" cy="3048000"/>
                          </a:xfrm>
                          <a:prstGeom prst="rect">
                            <a:avLst/>
                          </a:prstGeom>
                        </pic:spPr>
                      </pic:pic>
                    </wpg:wgp>
                  </a:graphicData>
                </a:graphic>
              </wp:inline>
            </w:drawing>
          </mc:Choice>
          <mc:Fallback>
            <w:pict>
              <v:group w14:anchorId="440C73CF" id="Gruppo 8" o:spid="_x0000_s1026" style="width:481.6pt;height:179.1pt;mso-position-horizontal-relative:char;mso-position-vertical-relative:line" coordsize="82296,30607" o:gfxdata="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20" o:spid="_x0000_s1027" type="#_x0000_t75" style="position:absolute;top:127;width:41402;height:3048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">
                  <v:imagedata r:id="rId15" o:title=""/>
                </v:shape>
                <v:shape id="Immagine 21" o:spid="_x0000_s1028" type="#_x0000_t75" style="position:absolute;left:41910;width:40386;height:3048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">
                  <v:imagedata r:id="rId16" o:title=""/>
                </v:shape>
                <w10:anchorlock/>
              </v:group>
            </w:pict>
          </mc:Fallback>
        </mc:AlternateContent>
      </w:r>
    </w:p>
    <w:p w14:paraId="135D5161" w14:textId="77777777" w:rsidR="006C66A3" w:rsidRPr="00C33195" w:rsidRDefault="008849A9" w:rsidP="00634A2F">
      <w:pPr>
        <w:spacing w:line="360" w:lineRule="auto"/>
        <w:jc w:val="center"/>
        <w:rPr>
          <w:rFonts w:ascii="Times New Roman" w:hAnsi="Times New Roman" w:cs="Times New Roman"/>
          <w:b/>
          <w:sz w:val="22"/>
          <w:szCs w:val="22"/>
          <w:lang w:val="en-GB"/>
        </w:rPr>
      </w:pPr>
      <w:r w:rsidRPr="00C33195">
        <w:rPr>
          <w:rFonts w:ascii="Times New Roman" w:hAnsi="Times New Roman" w:cs="Times New Roman"/>
          <w:b/>
          <w:sz w:val="22"/>
          <w:szCs w:val="22"/>
          <w:lang w:val="en-GB"/>
        </w:rPr>
        <w:t>Fig.5</w:t>
      </w:r>
      <w:r w:rsidR="006C66A3" w:rsidRPr="00C33195">
        <w:rPr>
          <w:rFonts w:ascii="Times New Roman" w:hAnsi="Times New Roman" w:cs="Times New Roman"/>
          <w:sz w:val="22"/>
          <w:szCs w:val="22"/>
          <w:lang w:val="en-GB"/>
        </w:rPr>
        <w:t xml:space="preserve"> </w:t>
      </w:r>
      <w:r w:rsidRPr="00C33195">
        <w:rPr>
          <w:rFonts w:ascii="Times New Roman" w:hAnsi="Times New Roman" w:cs="Times New Roman"/>
          <w:sz w:val="22"/>
          <w:szCs w:val="22"/>
          <w:lang w:val="en-GB"/>
        </w:rPr>
        <w:t xml:space="preserve"> </w:t>
      </w:r>
      <w:r w:rsidR="006C66A3" w:rsidRPr="00C33195">
        <w:rPr>
          <w:rFonts w:ascii="Times New Roman" w:hAnsi="Times New Roman" w:cs="Times New Roman"/>
          <w:sz w:val="22"/>
          <w:szCs w:val="22"/>
          <w:lang w:val="en-GB"/>
        </w:rPr>
        <w:t>Box-plot for ethanol (</w:t>
      </w:r>
      <w:r w:rsidR="00937254">
        <w:rPr>
          <w:rFonts w:ascii="Times New Roman" w:hAnsi="Times New Roman" w:cs="Times New Roman"/>
          <w:sz w:val="22"/>
          <w:szCs w:val="22"/>
          <w:lang w:val="en-GB"/>
        </w:rPr>
        <w:t>A</w:t>
      </w:r>
      <w:r w:rsidR="006C66A3" w:rsidRPr="00C33195">
        <w:rPr>
          <w:rFonts w:ascii="Times New Roman" w:hAnsi="Times New Roman" w:cs="Times New Roman"/>
          <w:sz w:val="22"/>
          <w:szCs w:val="22"/>
          <w:lang w:val="en-GB"/>
        </w:rPr>
        <w:t>), and acetone (</w:t>
      </w:r>
      <w:r w:rsidR="00937254">
        <w:rPr>
          <w:rFonts w:ascii="Times New Roman" w:hAnsi="Times New Roman" w:cs="Times New Roman"/>
          <w:sz w:val="22"/>
          <w:szCs w:val="22"/>
          <w:lang w:val="en-GB"/>
        </w:rPr>
        <w:t>B</w:t>
      </w:r>
      <w:r w:rsidR="006C66A3" w:rsidRPr="00C33195">
        <w:rPr>
          <w:rFonts w:ascii="Times New Roman" w:hAnsi="Times New Roman" w:cs="Times New Roman"/>
          <w:sz w:val="22"/>
          <w:szCs w:val="22"/>
          <w:lang w:val="en-GB"/>
        </w:rPr>
        <w:t>) levels measured in saliva after grouping into basal (first 3 samples), rifaximin and post-rifaximin samples.</w:t>
      </w:r>
    </w:p>
    <w:p w14:paraId="7E07B10E" w14:textId="77777777" w:rsidR="006C66A3" w:rsidRPr="00C33195" w:rsidRDefault="006C66A3" w:rsidP="00875587">
      <w:pPr>
        <w:spacing w:line="360" w:lineRule="auto"/>
        <w:jc w:val="both"/>
        <w:rPr>
          <w:rFonts w:ascii="Times New Roman" w:hAnsi="Times New Roman" w:cs="Times New Roman"/>
          <w:lang w:val="en-GB"/>
        </w:rPr>
      </w:pPr>
    </w:p>
    <w:p w14:paraId="0820567B" w14:textId="644E4D37" w:rsidR="003A4C5C" w:rsidRPr="00C33195" w:rsidRDefault="003A4C5C" w:rsidP="003A4C5C">
      <w:pPr>
        <w:spacing w:line="360" w:lineRule="auto"/>
        <w:jc w:val="both"/>
        <w:rPr>
          <w:rFonts w:ascii="Times New Roman" w:hAnsi="Times New Roman" w:cs="Times New Roman"/>
          <w:lang w:val="en-GB"/>
        </w:rPr>
      </w:pPr>
      <w:r w:rsidRPr="00C33195">
        <w:rPr>
          <w:rFonts w:ascii="Times New Roman" w:hAnsi="Times New Roman" w:cs="Times New Roman"/>
          <w:lang w:val="en-GB"/>
        </w:rPr>
        <w:t>Rifaximin is a non</w:t>
      </w:r>
      <w:r w:rsidR="00DA5247">
        <w:rPr>
          <w:rFonts w:ascii="Times New Roman" w:hAnsi="Times New Roman" w:cs="Times New Roman"/>
          <w:lang w:val="en-GB"/>
        </w:rPr>
        <w:t>-</w:t>
      </w:r>
      <w:r w:rsidRPr="00C33195">
        <w:rPr>
          <w:rFonts w:ascii="Times New Roman" w:hAnsi="Times New Roman" w:cs="Times New Roman"/>
          <w:lang w:val="en-GB"/>
        </w:rPr>
        <w:t xml:space="preserve">absorbable antibiotic derived from </w:t>
      </w:r>
      <w:proofErr w:type="spellStart"/>
      <w:r w:rsidRPr="00C33195">
        <w:rPr>
          <w:rFonts w:ascii="Times New Roman" w:hAnsi="Times New Roman" w:cs="Times New Roman"/>
          <w:lang w:val="en-GB"/>
        </w:rPr>
        <w:t>rifampin</w:t>
      </w:r>
      <w:proofErr w:type="spellEnd"/>
      <w:r w:rsidRPr="00C33195">
        <w:rPr>
          <w:rFonts w:ascii="Times New Roman" w:hAnsi="Times New Roman" w:cs="Times New Roman"/>
          <w:lang w:val="en-GB"/>
        </w:rPr>
        <w:t xml:space="preserve"> and characterized by a broad spectrum of antibacterial activity against Gram-positive and -negative, aerobic and anaerobic bacteria.  Currently, Rifaximin is used to treat </w:t>
      </w:r>
      <w:r w:rsidR="00DA5247" w:rsidRPr="00C33195">
        <w:rPr>
          <w:rFonts w:ascii="Times New Roman" w:hAnsi="Times New Roman" w:cs="Times New Roman"/>
          <w:lang w:val="en-GB"/>
        </w:rPr>
        <w:t>traveller’s</w:t>
      </w:r>
      <w:r w:rsidRPr="00C33195">
        <w:rPr>
          <w:rFonts w:ascii="Times New Roman" w:hAnsi="Times New Roman" w:cs="Times New Roman"/>
          <w:lang w:val="en-GB"/>
        </w:rPr>
        <w:t xml:space="preserve"> </w:t>
      </w:r>
      <w:proofErr w:type="spellStart"/>
      <w:r w:rsidRPr="00C33195">
        <w:rPr>
          <w:rFonts w:ascii="Times New Roman" w:hAnsi="Times New Roman" w:cs="Times New Roman"/>
          <w:lang w:val="en-GB"/>
        </w:rPr>
        <w:t>diarrhea</w:t>
      </w:r>
      <w:proofErr w:type="spellEnd"/>
      <w:r w:rsidRPr="00C33195">
        <w:rPr>
          <w:rFonts w:ascii="Times New Roman" w:hAnsi="Times New Roman" w:cs="Times New Roman"/>
          <w:lang w:val="en-GB"/>
        </w:rPr>
        <w:t xml:space="preserve"> and prevent recurrent episodes of hepatic encephalopathy in advanced liver disease </w:t>
      </w:r>
      <w:r w:rsidR="00884652">
        <w:rPr>
          <w:rFonts w:ascii="Times New Roman" w:hAnsi="Times New Roman" w:cs="Times New Roman"/>
          <w:lang w:val="en-GB"/>
        </w:rPr>
        <w:fldChar w:fldCharType="begin" w:fldLock="1"/>
      </w:r>
      <w:r w:rsidR="00D8062F">
        <w:rPr>
          <w:rFonts w:ascii="Times New Roman" w:hAnsi="Times New Roman" w:cs="Times New Roman"/>
          <w:lang w:val="en-GB"/>
        </w:rPr>
        <w:instrText>ADDIN CSL_CITATION {"citationItems":[{"id":"ITEM-1","itemData":{"DOI":"10.1186/s13063-018-2523-9","ISSN":"1745-6215","abstract":"Background: Alcoholic liver disease is the leading cause of cirrhosis worldwide. Due to an increase in alcohol overuse, alcoholic liver disease has become an increased burden on health care systems. Abstinence from alcohol remains the cornerstone of alcoholic liver disease treatment; however, this approach is hampered by frequent relapse and lack of specific therapy for treating advanced cases of liver disease. In the present study, we hypothesized that gut microbiota drive the development of liver fibrosis and that modulation of gut microbiota with the gut-selective, nonabsorbable antibiotic rifaximin attenuates alcoholic liver fibrosis. Methods/design: Our double-blind, placebo-controlled trial will include 136 participants with biopsy-verified alcoholic fibrosis (Ishak liver fibrosis score of 1-4). Participants are randomized 1: 1 to receive placebo or 550 mg of rifaximin twice daily for 18 months. A liver biopsy will be performed at the end of the treatment period to evaluate the effect of drug treatment on liver fibrosis. Stool, urine, and saliva specimens will be collected before treatment begins, at 1 month, and at the end of the treatment period. Fecal samples are used for microbiome deep sequencing. Changes in microbiome composition are compared before and after the trial medication period and linked to changes in liver fibrosis. Discussion: This is the first clinical trial to evaluate the effect of gut microbiota on liver fibrosis in humans. If gut microbiota are an important promoter of alcoholic liver disease, current results may open new therapeutic avenues and revolutionize the current understanding of chronic liver diseases.","author":[{"dropping-particle":"","family":"Madsen","given":"B S","non-dropping-particle":"","parse-names":false,"suffix":""},{"dropping-particle":"","family":"Trebicka","given":"J","non-dropping-particle":"","parse-names":false,"suffix":""},{"dropping-particle":"","family":"Thiele","given":"M","non-dropping-particle":"","parse-names":false,"suffix":""},{"dropping-particle":"","family":"Israelsen","given":"M","non-dropping-particle":"","parse-names":false,"suffix":""},{"dropping-particle":"","family":"Arumugan","given":"M","non-dropping-particle":"","parse-names":false,"suffix":""},{"dropping-particle":"","family":"Havelund","given":"T","non-dropping-particle":"","parse-names":false,"suffix":""},{"dropping-particle":"","family":"Krag","given":"A","non-dropping-particle":"","parse-names":false,"suffix":""}],"container-title":"Trials","id":"ITEM-1","issued":{"date-parts":[["2018"]]},"note":"Madsen, Bjorn Staehr Trebicka, Jonel Thiele, Maja Israelsen, Mads Arumugan, Manimozhiyan Havelund, Troels Krag, Aleksander\nMadsen, Bjorn/0000-0002-2846-3598; Thiele, Maja/0000-0003-1854-1924","title":"Antifibrotic and molecular aspects of rifaximin in alcoholic liver disease: study protocol for a randomized controlled trial","type":"article-journal","volume":"19"},"uris":["http://www.mendeley.com/documents/?uuid=423c241c-3d27-4a81-9dcc-ddaf1a127624"]},{"id":"ITEM-2","itemData":{"DOI":"10.1111/apt.13435","ISSN":"0269-2813","abstract":"BackgroundProgressive gut milieu (microbiota) changes occur in patients with cirrhosis and are associated with complications [e.g. hepatic encephalopathy (HE)]. AimTo examine the role of rifaximin in the management of HE and other complications of cirrhosis, including potential mechanisms of action and the need for future studies. MethodsA literature search was conducted using the keywords rifaximin', hepatic encephalopathy', ascites', variceal bleeding', peritonitis', portal hypertension', portopulmonary hypertension' and hepatorenal syndrome'. ResultsThe nonsystemic agent rifaximin reduces the risk of HE recurrence and HE-related hospitalisations in cirrhosis. In patients with cirrhosis, rifaximin modulates the bacterial composition of the gut microbiota without a consistent effect on overall faecal microbiota composition. However, rifaximin can impact the function or activities of the gut microbiota. For example, rifaximin significantly increased serum levels of long-chain fatty acids and carbohydrate metabolism intermediates in patients with minimal HE. Rifaximin also favourably affects serum proinflammatory cytokine and faecal secondary bile acid levels. ConclusionsThe gut microenvironment and associated microbiota play an important role in the pathogenesis of HE and other cirrhosis-related complications. Rifaximin's clinical activity may be attributed to effects on metabolic function of the gut microbiota, rather than a change in the relative bacterial abundance.","author":[{"dropping-particle":"","family":"Bajaj","given":"J S","non-dropping-particle":"","parse-names":false,"suffix":""}],"container-title":"Alimentary Pharmacology &amp; Therapeutics","id":"ITEM-2","issued":{"date-parts":[["2016"]]},"note":"Bajaj, J. S.\n1365-2036\n1\nSi","page":"11-26","title":"Review article: potential mechanisms of action of rifaximin in the management of hepatic encephalopathy and other complications of cirrhosis","type":"article-journal","volume":"43"},"uris":["http://www.mendeley.com/documents/?uuid=5b6e6e62-e251-4d50-9072-5d0403e97858"]}],"mendeley":{"formattedCitation":"[57, 58]","plainTextFormattedCitation":"[57, 58]","previouslyFormattedCitation":"[57, 58]"},"properties":{"noteIndex":0},"schema":"https://github.com/citation-style-language/schema/raw/master/csl-citation.json"}</w:instrText>
      </w:r>
      <w:r w:rsidR="00884652">
        <w:rPr>
          <w:rFonts w:ascii="Times New Roman" w:hAnsi="Times New Roman" w:cs="Times New Roman"/>
          <w:lang w:val="en-GB"/>
        </w:rPr>
        <w:fldChar w:fldCharType="separate"/>
      </w:r>
      <w:r w:rsidR="00884652" w:rsidRPr="00884652">
        <w:rPr>
          <w:rFonts w:ascii="Times New Roman" w:hAnsi="Times New Roman" w:cs="Times New Roman"/>
          <w:noProof/>
          <w:lang w:val="en-GB"/>
        </w:rPr>
        <w:t>[57, 58]</w:t>
      </w:r>
      <w:r w:rsidR="00884652">
        <w:rPr>
          <w:rFonts w:ascii="Times New Roman" w:hAnsi="Times New Roman" w:cs="Times New Roman"/>
          <w:lang w:val="en-GB"/>
        </w:rPr>
        <w:fldChar w:fldCharType="end"/>
      </w:r>
      <w:r w:rsidRPr="00C33195">
        <w:rPr>
          <w:rFonts w:ascii="Times New Roman" w:hAnsi="Times New Roman" w:cs="Times New Roman"/>
          <w:lang w:val="en-GB"/>
        </w:rPr>
        <w:t xml:space="preserve">. Recently rifaximin has been employed in patients with ulcerative colitis </w:t>
      </w:r>
      <w:r w:rsidR="00D8062F">
        <w:rPr>
          <w:rFonts w:ascii="Times New Roman" w:hAnsi="Times New Roman" w:cs="Times New Roman"/>
          <w:lang w:val="en-GB"/>
        </w:rPr>
        <w:fldChar w:fldCharType="begin" w:fldLock="1"/>
      </w:r>
      <w:r w:rsidR="00D8062F">
        <w:rPr>
          <w:rFonts w:ascii="Times New Roman" w:hAnsi="Times New Roman" w:cs="Times New Roman"/>
          <w:lang w:val="en-GB"/>
        </w:rPr>
        <w:instrText>ADDIN CSL_CITATION {"citationItems":[{"id":"ITEM-1","itemData":{"DOI":"10.1179/joc.2002.14.3.290","ISSN":"1120-009X","abstract":"The effect of rifaximin on the intestinal bacterial population was studied in a clinical trial. Twelve patients with ulcerative colitis were administered rifaximin 1800 mg/day in 3 treatment periods of 10 days, each followed by 25 days of wash-out. Fecal samples were collected at the beginning and at the end of each treatment period to perform microbiological examinations. Titer variations of enterococci, coliforms, lactobacilli, bifidobacteria, Bacteroides spp., and Clostridium perfringens as well as their susceptibility to rifaximin during the different phases of the study were evaluated. The presence of Candida spp. was also monitored. After each wash-out period, concentrations of the intestinal microbial groups tested returned to initial values, showing that the administration of high doses of rifaximin does not significantly modify the colonic microbiota. Rifaximin-resistant isolates were also found, particularly in bacteria belonging to Bifidobacterium genus, included as probiotics in several fermented foods and in pharmaceutical preparations.","author":[{"dropping-particle":"","family":"Brigidi","given":"P","non-dropping-particle":"","parse-names":false,"suffix":""},{"dropping-particle":"","family":"Swennen","given":"E","non-dropping-particle":"","parse-names":false,"suffix":""},{"dropping-particle":"","family":"Rizzello","given":"F","non-dropping-particle":"","parse-names":false,"suffix":""},{"dropping-particle":"","family":"Bozzolasco","given":"M","non-dropping-particle":"","parse-names":false,"suffix":""},{"dropping-particle":"","family":"Matteuzzi","given":"D","non-dropping-particle":"","parse-names":false,"suffix":""}],"container-title":"Journal of Chemotherapy","id":"ITEM-1","issue":"3","issued":{"date-parts":[["2002"]]},"note":"Brigidi, P Swennen, E Rizzello, F Bozzolasco, M Matteuzzi, D\nRizzello, Fernando/0000-0002-7949-5362; Brigidi, Patrizia/0000-0001-8375-6150","page":"290-295","title":"Effects of rifaximin administration on the intestinal microbiota in patients with ulcerative colitis","type":"article-journal","volume":"14"},"uris":["http://www.mendeley.com/documents/?uuid=2259da13-3305-456e-a9c4-a04645b5c478"]}],"mendeley":{"formattedCitation":"[59]","plainTextFormattedCitation":"[59]","previouslyFormattedCitation":"[59]"},"properties":{"noteIndex":0},"schema":"https://github.com/citation-style-language/schema/raw/master/csl-citation.json"}</w:instrText>
      </w:r>
      <w:r w:rsidR="00D8062F">
        <w:rPr>
          <w:rFonts w:ascii="Times New Roman" w:hAnsi="Times New Roman" w:cs="Times New Roman"/>
          <w:lang w:val="en-GB"/>
        </w:rPr>
        <w:fldChar w:fldCharType="separate"/>
      </w:r>
      <w:r w:rsidR="00D8062F" w:rsidRPr="00D8062F">
        <w:rPr>
          <w:rFonts w:ascii="Times New Roman" w:hAnsi="Times New Roman" w:cs="Times New Roman"/>
          <w:noProof/>
          <w:lang w:val="en-GB"/>
        </w:rPr>
        <w:t>[59]</w:t>
      </w:r>
      <w:r w:rsidR="00D8062F">
        <w:rPr>
          <w:rFonts w:ascii="Times New Roman" w:hAnsi="Times New Roman" w:cs="Times New Roman"/>
          <w:lang w:val="en-GB"/>
        </w:rPr>
        <w:fldChar w:fldCharType="end"/>
      </w:r>
      <w:r w:rsidRPr="00C33195">
        <w:rPr>
          <w:rFonts w:ascii="Times New Roman" w:hAnsi="Times New Roman" w:cs="Times New Roman"/>
          <w:lang w:val="en-GB"/>
        </w:rPr>
        <w:t>, irritable bowel syndrome</w:t>
      </w:r>
      <w:r w:rsidR="00D8062F">
        <w:rPr>
          <w:rFonts w:ascii="Times New Roman" w:hAnsi="Times New Roman" w:cs="Times New Roman"/>
          <w:lang w:val="en-GB"/>
        </w:rPr>
        <w:t xml:space="preserve"> </w:t>
      </w:r>
      <w:r w:rsidR="00D8062F">
        <w:rPr>
          <w:rFonts w:ascii="Times New Roman" w:hAnsi="Times New Roman" w:cs="Times New Roman"/>
          <w:lang w:val="en-GB"/>
        </w:rPr>
        <w:fldChar w:fldCharType="begin" w:fldLock="1"/>
      </w:r>
      <w:r w:rsidR="00E55491">
        <w:rPr>
          <w:rFonts w:ascii="Times New Roman" w:hAnsi="Times New Roman" w:cs="Times New Roman"/>
          <w:lang w:val="en-GB"/>
        </w:rPr>
        <w:instrText>ADDIN CSL_CITATION {"citationItems":[{"id":"ITEM-1","itemData":{"DOI":"10.1177/1756283x17726087","ISSN":"1756-283X","abstract":"Background: Diarrhea-predominant irritable bowel syndrome (IBS-D) impairs patient quality of life (QOL). Rifaximin is an oral, nonsystemic antibiotic indicated for IBS-D. The objective of this secondary analysis was to evaluate rifaximin retreatment on IBS-related QOL in patients with IBS-D. Methods: Patients received open-label rifaximin 550 mg three times daily for 2 weeks. Clinical responders [simultaneously meeting weekly response criteria for abdominal pain (&gt;= 30% improvement from baseline in mean weekly pain score) and stool consistency (&gt;= 50% decrease from baseline in number of days/week with Bristol Stool Scale (BSS) type 6 or 7 stools) during 2 of first 4 weeks posttreatment] who relapsed during an up to 18-week treatment-free observation phase were randomly assigned to receive two 2-week courses of double-blind rifaximin or placebo, separated by 10 weeks. A validated 34-item IBS-QOL questionnaire examined patient responses in 8 domains. Results: The 2579 patients receiving open-label rifaximin experienced a mean improvement from baseline in IBS-QOL overall score of 54.9%. Responders to open-label rifaximin (n = 1074 of 2438 evaluable; 44.1%) had significantly greater improvement from baseline in IBS-QOL overall and all eight subdomain scores, including dysphoria, food avoidance, interference with activity, body image, and sexual function versus nonresponders at 4 weeks posttreatment (n = 1364; p &lt; 0.001 for all comparisons). A significantly greater percentage of responders to open-label rifaximin achieved the minimally clinically important difference (MCID; &gt;= 14-point improvement from baseline) in the overall IBS-QOL score versus nonresponders [n = 561 (52.2%) versus n = 287 (21.0%); p &lt; 0.0001]. Among 636 patients with IBS-D relapse, the MCID in the overall IBS-QOL score was achieved by a significantly greater percentage of patients receiving double-blind rifaximin versus placebo (38.6% versus 29.6%, respectively; p = 0.009). Conclusions: Open-label and blinded retreatment with a short course (2 weeks) of rifaximin improved IBS-QOL in patients with IBS-D [ClinicalTrials.gov identifier: NCT01543178].","author":[{"dropping-particle":"","family":"Cash","given":"B D","non-dropping-particle":"","parse-names":false,"suffix":""},{"dropping-particle":"","family":"Pimentel","given":"M","non-dropping-particle":"","parse-names":false,"suffix":""},{"dropping-particle":"","family":"Rao","given":"S S C","non-dropping-particle":"","parse-names":false,"suffix":""},{"dropping-particle":"","family":"Weinstock","given":"L","non-dropping-particle":"","parse-names":false,"suffix":""},{"dropping-particle":"","family":"Chang","given":"L","non-dropping-particle":"","parse-names":false,"suffix":""},{"dropping-particle":"","family":"Heimanson","given":"Z","non-dropping-particle":"","parse-names":false,"suffix":""},{"dropping-particle":"","family":"Lembo","given":"A","non-dropping-particle":"","parse-names":false,"suffix":""}],"container-title":"Therapeutic Advances in Gastroenterology","id":"ITEM-1","issue":"9","issued":{"date-parts":[["2017"]]},"note":"Cash, Brooks D. Pimentel, Mark Rao, Satish S. C. Weinstock, Leonard Chang, Lin Heimanson, Zeev Lembo, Anthony\n1756-2848","page":"689-699","title":"Repeat treatment with rifaximin improves irritable bowel syndrome-related quality of life: a secondary analysis of a randomized, double-blind, placebo-controlled trial","type":"article-journal","volume":"10"},"uris":["http://www.mendeley.com/documents/?uuid=24cda101-e826-433b-972d-354cd89e432c"]},{"id":"ITEM-2","itemData":{"DOI":"10.1177/1179552217728905","ISSN":"1179-5522","abstract":"BACKGROUND: Irritable bowel syndrome is classified as a functional gastrointestinal disorder with the primary symptom of abdominal pain in conjunction with bloating and bowel movement disorder. It affects up to 15% of the world's population. Among its subtypes, the most common is diarrhoea predominant. However, the current treatment options for diarrhoea-predominant irritable bowel syndrome have had not very promising results; most, such as antispasmodics, only provide partial symptomatic relief. Treatment with antidepressants and alosetron (a 5HT3 antagonist) has shown the most promise to date. The latest drug to be approved for the treatment of irritable bowel syndrome-diarrhoea is rifaximin, which was approved in May 2015. It is a minimally absorbed antibiotic that is used to change the gut microbiota. Small intestinal bacterial overgrowth is one of the causes suggested for irritable bowel syndrome, particularly for the diarrhoea-predominant type. There are various methods for detecting bacterial overgrowth, the simplest of which is breath tests. Rifaximin has been shown to be of benefit to these patients. PURPOSE: The purpose of the study is to discuss the potential mechanism of action of rifaximin, a minimally absorbed antibiotic. In addition, we evaluate the various clinical trials undertaken to study the efficacy and safety profile of rifaximin.","author":[{"dropping-particle":"","family":"Gupta","given":"K","non-dropping-particle":"","parse-names":false,"suffix":""},{"dropping-particle":"","family":"Ghuman","given":"H S","non-dropping-particle":"","parse-names":false,"suffix":""},{"dropping-particle":"V","family":"Handa","given":"S","non-dropping-particle":"","parse-names":false,"suffix":""}],"container-title":"Clinical Medicine Insights-Gastroenterology","id":"ITEM-2","issued":{"date-parts":[["2017"]]},"note":"Gupta, Kamesh Ghuman, Harparam Singh Handa, Shivani Vijay","title":"Review of Rifaximin: Latest Treatment Frontier for Irritable Bowel Syndrome Mechanism of Action and Clinical Profile","type":"article-journal","volume":"10"},"uris":["http://www.mendeley.com/documents/?uuid=de9faefe-0410-4725-b03c-3c63fe48bbc1"]},{"id":"ITEM-3","itemData":{"DOI":"10.3748/wjg.v17.i42.4643","ISSN":"1007-9327","abstract":"The gut microbiota plays a role in promoting and maintaining inflammation in inflammatory bowel diseases (IBD), hence the rationale for the use of antibiotics in the treatment of those disorders. Antibiotics, however, may induce untoward effects, especially during long-term therapy. Rifaximin.. a. polymer is an antibacterial agent that is virtually unabsorbed after oral administration and is devoid of systemic side effects. Rifaximin has provided promising results in inducing remission of Crohn's disease (up to 69% in open studies and significantly higher rates than placebo in double blind trials) and ulcerative colitis (76% in open studies and significantly higher rates than placebo in controlled studies) and might also have a role in maintaining remission of ulcerative colitis and pouchitis. The potential therapeutic activity of rifaximin in IBD deserves to be further investigated and confirmed in larger, controlled studies. The optimal dosage still needs to be better defined. (C) 2011 Baishideng. All rights reserved.","author":[{"dropping-particle":"","family":"Guslandi","given":"M","non-dropping-particle":"","parse-names":false,"suffix":""}],"container-title":"World Journal of Gastroenterology","id":"ITEM-3","issue":"42","issued":{"date-parts":[["2011"]]},"note":"Guslandi, Mario","page":"4643-4646","title":"Rifaximin in the treatment of inflammatory bowel disease","type":"article-journal","volume":"17"},"uris":["http://www.mendeley.com/documents/?uuid=e904f2cd-80a5-4fc6-838c-1e5a0d9905d8"]},{"id":"ITEM-4","itemData":{"DOI":"10.1586/17474124.2016.1140571","ISSN":"1747-4124","abstract":"Irritable bowel syndrome (IBS) is a chronic, functional bowel disorder characterized by abdominal pain or discomfort and altered bowel habit. The pathophysiology is unclear, but may include altered gut motility, visceral hypersensitivity, abnormal central pain processing, chronic low-grade intestinal inflammation, or disturbances in the gut microbiome. These etiological mechanisms, alongside environmental factors such as stress and anxiety, vary between individuals and represent potential targets for treatment. Rifaximin is a poorly absorbed oral antibiotic proposed to act on the gut microenvironment, used in the treatment of travelers' diarrhea and hepatic encephalopathy. Clinical trials suggest the drug can reduce global IBS symptoms and improve bloating, abdominal pain, and stool consistency in some patients with non-constipated IBS, leading to Food and Drug Administration approval in the United States. This article considers the pharmacology of rifaximin, the evidence for its use in IBS, and the safety and tolerability of the drug.","author":[{"dropping-particle":"","family":"Kane","given":"J S","non-dropping-particle":"","parse-names":false,"suffix":""},{"dropping-particle":"","family":"Ford","given":"A C","non-dropping-particle":"","parse-names":false,"suffix":""}],"container-title":"Expert Review of Gastroenterology &amp; Hepatology","id":"ITEM-4","issue":"4","issued":{"date-parts":[["2016"]]},"note":"Kane, John S. Ford, Alexander C.\nFord, Alexander/K-5491-2012\nFord, Alexander/0000-0001-6371-4359\n1747-4132","page":"431-442","title":"Rifaximin for the treatment of diarrhea-predominant irritable bowel syndrome","type":"article-journal","volume":"10"},"uris":["http://www.mendeley.com/documents/?uuid=1b14453c-d5c2-41cb-8065-754654c4a87d"]},{"id":"ITEM-5","itemData":{"DOI":"10.1053/j.gastro.2016.08.003","ISSN":"0016-5085","abstract":"BACKGROUND &amp; AIMS: Few treatments have demonstrated efficacy and safety for diarrhea-predominant irritable bowel syndrome (IBS-D). A phase 3, randomized, double-blind, placebo-controlled trial was performed to evaluate the safety and efficacy of repeat treatment with the nonsystemic antibiotic rifaximin. METHODS: The trial included adults with IBS-D, mean abdominal pain and bloating scores of 3 or more, and loose stool, located at 270 centers in the United States and Europe from February 2012 through June 2014. Those responding to a 2-week course of open-label rifaximin 550 mg 3 times daily, who then relapsed during an observation phase (up to 18 weeks), were randomly assigned to groups given repeat treatments of rifaximin 550 mg or placebo 3 times daily for 2 weeks. The primary end point was percentage of responders after first repeat treatment, defined as a decrease in abdominal pain of &gt;= 30% from baseline and a decrease in frequency of loose stools of &gt;= 50% from baseline, for 2 or more weeks during a 4-week post-treatment period. RESULTS: Of 1074 patients (44.1%) who responded to open-label rifaximin, 382 (35.6%) did not relapse and 692 (64.4%) did; of these, 636 were randomly assigned to receive repeat treatment with rifaximin (n = 328) or placebo (n = 308). The percentage of responders was significantly greater with rifaximin than placebo (38.1% vs 31.5%; P = .03). The percentage of responders for abdominal pain (50.6% vs 42.2%; P = .018) was significantly greater with rifaximin than placebo, but not stool consistency (51.8% vs 50.0%; P = .42). Significant improvements were also noted for prevention of recurrence, durable response, and bowel movement urgency. Adverse event rates were low and similar between groups. CONCLUSIONS: In a phase 3 study of patients with relapsing symptoms of IBS-D, repeat rifaximin treatment was efficacious and well tolerated.","author":[{"dropping-particle":"","family":"Lembo","given":"A","non-dropping-particle":"","parse-names":false,"suffix":""},{"dropping-particle":"","family":"Pimentel","given":"M","non-dropping-particle":"","parse-names":false,"suffix":""},{"dropping-particle":"","family":"Rao","given":"S S","non-dropping-particle":"","parse-names":false,"suffix":""},{"dropping-particle":"","family":"Schoenfeld","given":"P","non-dropping-particle":"","parse-names":false,"suffix":""},{"dropping-particle":"","family":"Cash","given":"B","non-dropping-particle":"","parse-names":false,"suffix":""},{"dropping-particle":"","family":"Weinstock","given":"L B","non-dropping-particle":"","parse-names":false,"suffix":""},{"dropping-particle":"","family":"Paterson","given":"C","non-dropping-particle":"","parse-names":false,"suffix":""},{"dropping-particle":"","family":"Bortey","given":"E","non-dropping-particle":"","parse-names":false,"suffix":""},{"dropping-particle":"","family":"Forbes","given":"W P","non-dropping-particle":"","parse-names":false,"suffix":""}],"container-title":"Gastroenterology","id":"ITEM-5","issue":"6","issued":{"date-parts":[["2016"]]},"note":"Lembo, Anthony Pimentel, Mark Rao, Satish S. Schoenfeld, Philip Cash, Brooks Weinstock, Leonard B. Paterson, Craig Bortey, Enoch Forbes, William P.\n1528-0012","page":"1113-1121","title":"Repeat Treatment With Rifaximin Is Safe and Effective in Patients With Diarrhea-Predominant Irritable Bowel Syndrome","type":"article-journal","volume":"151"},"uris":["http://www.mendeley.com/documents/?uuid=204937d4-2f4c-4321-8cc6-e8c3ecf9a099"]}],"mendeley":{"formattedCitation":"[60–64]","plainTextFormattedCitation":"[60–64]","previouslyFormattedCitation":"[60–64]"},"properties":{"noteIndex":0},"schema":"https://github.com/citation-style-language/schema/raw/master/csl-citation.json"}</w:instrText>
      </w:r>
      <w:r w:rsidR="00D8062F">
        <w:rPr>
          <w:rFonts w:ascii="Times New Roman" w:hAnsi="Times New Roman" w:cs="Times New Roman"/>
          <w:lang w:val="en-GB"/>
        </w:rPr>
        <w:fldChar w:fldCharType="separate"/>
      </w:r>
      <w:r w:rsidR="00D8062F" w:rsidRPr="00D8062F">
        <w:rPr>
          <w:rFonts w:ascii="Times New Roman" w:hAnsi="Times New Roman" w:cs="Times New Roman"/>
          <w:noProof/>
          <w:lang w:val="en-GB"/>
        </w:rPr>
        <w:t>[60–64]</w:t>
      </w:r>
      <w:r w:rsidR="00D8062F">
        <w:rPr>
          <w:rFonts w:ascii="Times New Roman" w:hAnsi="Times New Roman" w:cs="Times New Roman"/>
          <w:lang w:val="en-GB"/>
        </w:rPr>
        <w:fldChar w:fldCharType="end"/>
      </w:r>
      <w:r w:rsidRPr="00C33195">
        <w:rPr>
          <w:rFonts w:ascii="Times New Roman" w:hAnsi="Times New Roman" w:cs="Times New Roman"/>
          <w:lang w:val="en-GB"/>
        </w:rPr>
        <w:t xml:space="preserve">, non-alcoholic steatohepatitis (NASH) and </w:t>
      </w:r>
      <w:r w:rsidR="00DA5247" w:rsidRPr="00C33195">
        <w:rPr>
          <w:rFonts w:ascii="Times New Roman" w:hAnsi="Times New Roman" w:cs="Times New Roman"/>
          <w:lang w:val="en-GB"/>
        </w:rPr>
        <w:t>non-alcoholic</w:t>
      </w:r>
      <w:r w:rsidRPr="00C33195">
        <w:rPr>
          <w:rFonts w:ascii="Times New Roman" w:hAnsi="Times New Roman" w:cs="Times New Roman"/>
          <w:lang w:val="en-GB"/>
        </w:rPr>
        <w:t xml:space="preserve"> fatty liver disease (NAFLD) </w:t>
      </w:r>
      <w:r w:rsidR="00E55491">
        <w:rPr>
          <w:rFonts w:ascii="Times New Roman" w:hAnsi="Times New Roman" w:cs="Times New Roman"/>
          <w:lang w:val="en-GB"/>
        </w:rPr>
        <w:fldChar w:fldCharType="begin" w:fldLock="1"/>
      </w:r>
      <w:r w:rsidR="00E55491">
        <w:rPr>
          <w:rFonts w:ascii="Times New Roman" w:hAnsi="Times New Roman" w:cs="Times New Roman"/>
          <w:lang w:val="en-GB"/>
        </w:rPr>
        <w:instrText>ADDIN CSL_CITATION {"citationItems":[{"id":"ITEM-1","itemData":{"DOI":"10.1111/hepr.12904","ISSN":"1386-6346","abstract":"AimGut microbial dysbiosis is implicated in the pathogenesis of non-alcoholic steatohepatitis (NASH). We investigated downstream effects of gut microbiota modulation on markers of hepatic inflammation, steatosis, and hepatic and peripheral insulin sensitivity in patients with NASH using rifaximin therapy. MethodsPatients with biopsy-proven NASH and elevated aminotransferase values were included in this open-label pilot study, all receiving 6weeks rifaximin 400mg twice daily, followed by a 6-week observation period. The primary endpoint was change in alanine aminotransferase (ALT) after 6weeks of rifaximin. Secondary endpoints were change in hepatic lipid content and insulin sensitivity measured with a hyperinsulinemic-euglycemic clamp. ResultsFifteen patients (13 men and 2 women) with a median (range) age of 46 (32-63)years were included. Seven had diabetes on oral hypoglycemic medications and 8 had no diabetes. After 6weeks of therapy, no differences were seen in ALT (55 [33-191] vs. 63 [41-218]IU/L, P=0.41), peripheral glucose uptake (28.9 [19.4-48.3] to 25.5 [17.7-47.9]mol/kg/min, P=0.30), hepatic insulin sensitivity (35.2 [15.3-51.7]% vs. 30.0 [10.8-50.5]%, P=0.47), or hepatic lipid content (21.6 [2.2-46.2]% vs. 24.8 [1.7-59.3]%, P=0.59) before and after rifaximin treatment. After 12weeks from baseline, serum ALT increased to 83 (30-217)IU/L, P=0.02. There was a significant increase in the homeostasis model assessment-estimated insulin resistance index (P=0.05). The urinary metabolic profile indicated a significant reduction in urinary hippurate with treatment, which reverted to baseline after cessation of rifaximin, although there was no consistent difference in relative abundance of fecal microbiota with treatment. ConclusionThese data do not indicate a beneficial effect of rifaximin in patients with NASH.","author":[{"dropping-particle":"","family":"Cobbold","given":"J F L","non-dropping-particle":"","parse-names":false,"suffix":""},{"dropping-particle":"","family":"Atkinson","given":"S","non-dropping-particle":"","parse-names":false,"suffix":""},{"dropping-particle":"","family":"Marchesi","given":"J R","non-dropping-particle":"","parse-names":false,"suffix":""},{"dropping-particle":"","family":"Smith","given":"A","non-dropping-particle":"","parse-names":false,"suffix":""},{"dropping-particle":"","family":"Wai","given":"S N","non-dropping-particle":"","parse-names":false,"suffix":""},{"dropping-particle":"","family":"Stove","given":"J","non-dropping-particle":"","parse-names":false,"suffix":""},{"dropping-particle":"","family":"Shojaee-Moradie","given":"F","non-dropping-particle":"","parse-names":false,"suffix":""},{"dropping-particle":"","family":"Jackson","given":"N","non-dropping-particle":"","parse-names":false,"suffix":""},{"dropping-particle":"","family":"Umpleby","given":"A M","non-dropping-particle":"","parse-names":false,"suffix":""},{"dropping-particle":"","family":"Fitzpatrick","given":"J","non-dropping-particle":"","parse-names":false,"suffix":""},{"dropping-particle":"","family":"Thomas","given":"E L","non-dropping-particle":"","parse-names":false,"suffix":""},{"dropping-particle":"","family":"Bell","given":"J D","non-dropping-particle":"","parse-names":false,"suffix":""},{"dropping-particle":"","family":"Holmes","given":"E","non-dropping-particle":"","parse-names":false,"suffix":""},{"dropping-particle":"","family":"Taylor-Robinson","given":"S D","non-dropping-particle":"","parse-names":false,"suffix":""},{"dropping-particle":"","family":"Goldin","given":"R D","non-dropping-particle":"","parse-names":false,"suffix":""},{"dropping-particle":"","family":"Yee","given":"M S","non-dropping-particle":"","parse-names":false,"suffix":""},{"dropping-particle":"","family":"Anstee","given":"Q M","non-dropping-particle":"","parse-names":false,"suffix":""},{"dropping-particle":"","family":"Thursz","given":"M R","non-dropping-particle":"","parse-names":false,"suffix":""}],"container-title":"Hepatology Research","id":"ITEM-1","issue":"1","issued":{"date-parts":[["2018"]]},"note":"Cobbold, Jeremy F. L. Atkinson, Stephen Marchesi, Julian R. Smith, Ann Wai, Sann N. Stove, Julie Shojaee-Moradie, Fariba Jackson, Nicola Umpleby, A. Margot Fitzpatrick, Julie Thomas, E. Louise Bell, Jimmy D. Holmes, Elaine Taylor-Robinson, Simon D. Goldin, Robert D. Yee, Michael S. Anstee, Quentin M. Thursz, Mark R.\n1872-034x","page":"69-77","title":"Rifaximin in non-alcoholic steatohepatitis: An open-label pilot study","type":"article-journal","volume":"48"},"uris":["http://www.mendeley.com/documents/?uuid=af5b57e3-d180-49cf-a7f9-5bfb2d9f122d"]},{"id":"ITEM-2","itemData":{"DOI":"10.1097/meg.0000000000000348","ISSN":"0954-691X","abstract":"ObjectiveRecent studies have suggested that endotoxin-induced cytokines play an important role in nonalcoholic fatty liver disease (NAFLD). Rifaximin is a nonabsorbable antibiotic that might act on Gram-negative bacteria, thereby inhibiting endotoxin proinflammatory cytokine production in patients with NAFLD. Our aim was to investigate the efficacy of rifaximin on NAFLD.MethodsForty-two patients with biopsy-proven NAFLD [15 steatosis, 27 nonalcoholic steatohepatitis (NASH)] were included in this prospective, open-label, observational cohort study. BMI and serum aspartate aminotransferase, alanine aminotransferase (ALT), gamma glutamyl transferase, lipid profile, ferritin, C-reactive protein, glucose, insulin, homeostatic model assessment as well as endotoxin, serum Toll-like receptor 4 (TlR4), interleukin-1 (IL-1), IL-6, IL-10, IL-12, and tumor necrosis factor- (TNF-) levels were measured before and after a 28-day administration of rifaximin (1200mg/daily). Results were analyzed using nonparametric Wilcoxon signed-rank tests.ResultsA mild reduction in the mean BMI (32.36.9 vs. 31.9 +/- 6.8, P=0.02) and a significant reduction in the endotoxin (0.9 +/- 0.34 vs. 0.8 +/- 0.13, P=0.03) and IL-10 (4.08 +/- 0.9 vs. 3.73 +/- 0.7, P=0.006) levels in the NASH group were noted. A significant reduction was observed in serum aspartate aminotransferase (50.4 +/- 39 vs. 33 +/- 14, P=0.01), ALT (72 +/- 48 vs. 45.2 +/- 26.3, P=0.0001), gamma glutamyl transferase (52 +/- 33 vs. 41.2 +/- 21.1, P=0.02), LDL (137 +/- 34 vs. 127 +/- 27.5, P=0.03), and ferritin (142 +/- 214 vs. 89.3 +/- 123, P=0.0001) in the NASH group, but only in ALT (50.4 +/- 26 vs. 35.5 +/- 23.25, P=0.01), and ferritin (73.6 +/- 83 vs. 55 +/- 76, P=0.004) levels decreased significantly in the steatosis group. Treatment with rifaximin did not exert a significant effect on serum levels of TLR-4, IL-1, IL-6, IL-12, or TNF- in either group.ConclusionIn NAFLD and especially in NASH, short-term administration of rifaximin appears to be safe and effective.","author":[{"dropping-particle":"","family":"Gangarapu","given":"V","non-dropping-particle":"","parse-names":false,"suffix":""},{"dropping-particle":"","family":"Ince","given":"A T","non-dropping-particle":"","parse-names":false,"suffix":""},{"dropping-particle":"","family":"Baysal","given":"B","non-dropping-particle":"","parse-names":false,"suffix":""},{"dropping-particle":"","family":"Kayar","given":"Y","non-dropping-particle":"","parse-names":false,"suffix":""},{"dropping-particle":"","family":"Kilic","given":"U","non-dropping-particle":"","parse-names":false,"suffix":""},{"dropping-particle":"","family":"Gok","given":"O","non-dropping-particle":"","parse-names":false,"suffix":""},{"dropping-particle":"","family":"Uysal","given":"O","non-dropping-particle":"","parse-names":false,"suffix":""},{"dropping-particle":"","family":"Senturk","given":"H","non-dropping-particle":"","parse-names":false,"suffix":""}],"container-title":"European Journal of Gastroenterology &amp; Hepatology","id":"ITEM-2","issue":"7","issued":{"date-parts":[["2015"]]},"note":"Gangarapu, Venkatanarayana Ince, Ali Tuzun Baysal, Birol Kayar, Yusuf Kilic, Ulkan Gok, Ozlem Uysal, Omer Senturk, Hakan\n1473-5687","page":"840-845","title":"Efficacy of rifaximin on circulating endotoxins and cytokines in patients with nonalcoholic fatty liver disease","type":"article-journal","volume":"27"},"uris":["http://www.mendeley.com/documents/?uuid=80d75be3-c660-4358-a085-271989bf9348"]}],"mendeley":{"formattedCitation":"[65, 66]","plainTextFormattedCitation":"[65, 66]","previouslyFormattedCitation":"[65, 66]"},"properties":{"noteIndex":0},"schema":"https://github.com/citation-style-language/schema/raw/master/csl-citation.json"}</w:instrText>
      </w:r>
      <w:r w:rsidR="00E55491">
        <w:rPr>
          <w:rFonts w:ascii="Times New Roman" w:hAnsi="Times New Roman" w:cs="Times New Roman"/>
          <w:lang w:val="en-GB"/>
        </w:rPr>
        <w:fldChar w:fldCharType="separate"/>
      </w:r>
      <w:r w:rsidR="00E55491" w:rsidRPr="00E55491">
        <w:rPr>
          <w:rFonts w:ascii="Times New Roman" w:hAnsi="Times New Roman" w:cs="Times New Roman"/>
          <w:noProof/>
          <w:lang w:val="en-GB"/>
        </w:rPr>
        <w:t>[65, 66]</w:t>
      </w:r>
      <w:r w:rsidR="00E55491">
        <w:rPr>
          <w:rFonts w:ascii="Times New Roman" w:hAnsi="Times New Roman" w:cs="Times New Roman"/>
          <w:lang w:val="en-GB"/>
        </w:rPr>
        <w:fldChar w:fldCharType="end"/>
      </w:r>
      <w:r w:rsidRPr="00C33195">
        <w:rPr>
          <w:rFonts w:ascii="Times New Roman" w:hAnsi="Times New Roman" w:cs="Times New Roman"/>
          <w:lang w:val="en-GB"/>
        </w:rPr>
        <w:t xml:space="preserve"> and in patients undergoing allogeneic stem cell transplantation for the treatment of graft vs Host Disease (GVHD)</w:t>
      </w:r>
      <w:r w:rsidR="00E55491">
        <w:rPr>
          <w:rFonts w:ascii="Times New Roman" w:hAnsi="Times New Roman" w:cs="Times New Roman"/>
          <w:lang w:val="en-GB"/>
        </w:rPr>
        <w:fldChar w:fldCharType="begin" w:fldLock="1"/>
      </w:r>
      <w:r w:rsidR="00E55491">
        <w:rPr>
          <w:rFonts w:ascii="Times New Roman" w:hAnsi="Times New Roman" w:cs="Times New Roman"/>
          <w:lang w:val="en-GB"/>
        </w:rPr>
        <w:instrText>ADDIN CSL_CITATION {"citationItems":[{"id":"ITEM-1","itemData":{"DOI":"10.1038/bmt.2016.66","ISSN":"0268-3369","abstract":"Intestinal dysbiosis has been associated with acute gastrointestinal GvHD and poor outcome following allogeneic stem cell transplantation (ASCT). To assess the effect of a switch in 2012 from ciprofloxacin/metronidazole to rifaximin for gut decontamination on intestinal microbiota composition and ASCT outcome, we retrospectively analyzed 394 patients receiving ASCT from September 2008 through June 2015. In 131 and 90 patients, respectively, urinary 3-indoxyl sulfate levels and intestinal enterococcal load were measured before conditioning and weekly within the first 28 days after ASCT. The use of rifaximin correlated with lower enterococcal positivity (6.9 vs 21.9%, P = 0.05) and higher urinary 3-indoxyl sulfate concentrations (10.5 vs 4.6 mu moL/mmoL crea, P &lt; 0.001) after ASCT. Patients on rifaximin showed lower 1-year transplant-related mortality (P = 0.04) and higher overall survival (P = 0.008). Treatment of infectious complications with systemic antibiotics did not abrogate the beneficial effects of rifaximin on intestinal microbiota composition in the early course of ASCT and outcome. The data underscore the importance of maintaining a diverse population of symbiotic and mutualistic bacteria in the gut on ASCT outcome.","author":[{"dropping-particle":"","family":"Weber","given":"D","non-dropping-particle":"","parse-names":false,"suffix":""},{"dropping-particle":"","family":"Oefner","given":"P J","non-dropping-particle":"","parse-names":false,"suffix":""},{"dropping-particle":"","family":"Dettmer","given":"K","non-dropping-particle":"","parse-names":false,"suffix":""},{"dropping-particle":"","family":"Hiergeist","given":"A","non-dropping-particle":"","parse-names":false,"suffix":""},{"dropping-particle":"","family":"Koestler","given":"J","non-dropping-particle":"","parse-names":false,"suffix":""},{"dropping-particle":"","family":"Gessner","given":"A","non-dropping-particle":"","parse-names":false,"suffix":""},{"dropping-particle":"","family":"Weber","given":"M","non-dropping-particle":"","parse-names":false,"suffix":""},{"dropping-particle":"","family":"Stammler","given":"F","non-dropping-particle":"","parse-names":false,"suffix":""},{"dropping-particle":"","family":"Hahn","given":"J","non-dropping-particle":"","parse-names":false,"suffix":""},{"dropping-particle":"","family":"Wolff","given":"D","non-dropping-particle":"","parse-names":false,"suffix":""},{"dropping-particle":"","family":"Herr","given":"W","non-dropping-particle":"","parse-names":false,"suffix":""},{"dropping-particle":"","family":"Holler","given":"E","non-dropping-particle":"","parse-names":false,"suffix":""}],"container-title":"Bone Marrow Transplantation","id":"ITEM-1","issue":"8","issued":{"date-parts":[["2016"]]},"note":"Weber, D. Oefner, P. J. Dettmer, K. Hiergeist, A. Koestler, J. Gessner, A. Weber, M. Staemmler, F. Hahn, J. Wolff, D. Herr, W. Holler, E.\nDettmer, Katja/D-6218-2018; Dettmer, Katja/N-4562-2016\nDettmer, Katja/0000-0001-7337-2380; Dettmer, Katja/0000-0001-7337-2380; Stammler, Frank/0000-0003-2841-0610\n1476-5365","page":"1087-1092","title":"Rifaximin preserves intestinal microbiota balance in patients undergoing allogeneic stem cell transplantation","type":"article-journal","volume":"51"},"uris":["http://www.mendeley.com/documents/?uuid=df0df38d-7b00-450e-89d9-1f53f1c63314"]}],"mendeley":{"formattedCitation":"[67]","plainTextFormattedCitation":"[67]","previouslyFormattedCitation":"[67]"},"properties":{"noteIndex":0},"schema":"https://github.com/citation-style-language/schema/raw/master/csl-citation.json"}</w:instrText>
      </w:r>
      <w:r w:rsidR="00E55491">
        <w:rPr>
          <w:rFonts w:ascii="Times New Roman" w:hAnsi="Times New Roman" w:cs="Times New Roman"/>
          <w:lang w:val="en-GB"/>
        </w:rPr>
        <w:fldChar w:fldCharType="separate"/>
      </w:r>
      <w:r w:rsidR="00E55491" w:rsidRPr="00E55491">
        <w:rPr>
          <w:rFonts w:ascii="Times New Roman" w:hAnsi="Times New Roman" w:cs="Times New Roman"/>
          <w:noProof/>
          <w:lang w:val="en-GB"/>
        </w:rPr>
        <w:t>[67]</w:t>
      </w:r>
      <w:r w:rsidR="00E55491">
        <w:rPr>
          <w:rFonts w:ascii="Times New Roman" w:hAnsi="Times New Roman" w:cs="Times New Roman"/>
          <w:lang w:val="en-GB"/>
        </w:rPr>
        <w:fldChar w:fldCharType="end"/>
      </w:r>
      <w:r w:rsidRPr="00C33195">
        <w:rPr>
          <w:rFonts w:ascii="Times New Roman" w:hAnsi="Times New Roman" w:cs="Times New Roman"/>
          <w:lang w:val="en-GB"/>
        </w:rPr>
        <w:t xml:space="preserve">. Thus, it is clear that rifaximin acts on gut microbiota </w:t>
      </w:r>
      <w:r w:rsidR="00E55491">
        <w:rPr>
          <w:rFonts w:ascii="Times New Roman" w:hAnsi="Times New Roman" w:cs="Times New Roman"/>
          <w:lang w:val="en-GB"/>
        </w:rPr>
        <w:fldChar w:fldCharType="begin" w:fldLock="1"/>
      </w:r>
      <w:r w:rsidR="00E55491">
        <w:rPr>
          <w:rFonts w:ascii="Times New Roman" w:hAnsi="Times New Roman" w:cs="Times New Roman"/>
          <w:lang w:val="en-GB"/>
        </w:rPr>
        <w:instrText>ADDIN CSL_CITATION {"citationItems":[{"id":"ITEM-1","itemData":{"DOI":"10.1111/apt.13434","ISSN":"0269-2813","abstract":"BackgroundDisruption of the gut microbiota through use of systemic antimicrobials or activation of the mucosal inflammatory response by pathogens can cause dysregulation of the intestinal mucosa. AimTo explore the mechanisms of action of rifaximin that may underlie its clinical benefits in travellers' diarrhoea (TD). MethodsA literature search was performed using the terms rifaximin' and L/105' in combination with the terms invitro activity', diarrhea', microbiota' and gut flora'. ResultsRifaximin has been traditionally identified as a nonsystemic, broad-spectrum, bactericidal antibiotic. Evidence shows that the activity of rifaximin against enteropathogens in this setting is likely enhanced by its increased solubility in the presence of bile acids in the small intestine. Results of clinical studies show that although rifaximin is efficacious in TD, a clinical cure often occurs without apparent bacterial eradication and with minimal effect on the gut microbiota, suggesting an effect of rifaximin other than direct antibiotic activity. ConclusionsAlthough definitive studies on the effect of rifaximin on the gut microbiota in large cohorts of healthy volunteers or patients have not been published, pre-clinical studies provide some insight. These studies have shown that rifaximin may have effects on both the pathogen and host, including direct effects on pathogenic bacteria (such as reducing the expression of bacterial virulence factors) and indirect effects on the host (such as inhibiting bacterial attachment and internalisation at the intestinal mucosa and reducing mucosal inflammation).","author":[{"dropping-particle":"","family":"DuPont","given":"H L","non-dropping-particle":"","parse-names":false,"suffix":""}],"container-title":"Alimentary Pharmacology &amp; Therapeutics","id":"ITEM-1","issued":{"date-parts":[["2016"]]},"note":"DuPont, H. L.\n1365-2036\n1\nSi","page":"3-10","title":"Review article: the antimicrobial effects of rifaximin on the gut microbiota","type":"article-journal","volume":"43"},"uris":["http://www.mendeley.com/documents/?uuid=a4c034ab-9a82-4e2c-8b5f-9faa856a9c3a"]},{"id":"ITEM-2","itemData":{"DOI":"10.2174/138955751603151126121633","ISSN":"1389-5575","abstract":"The gastrointestinal tract is a complex and dynamic network where an intricate and mutualistic symbiosis modulates the relationship between the host and the microbiota in order to establish and ensure gut homeostasis. Every day, thousands of compounds derived from food and microorganisms come in contact with the intestinal mucosa. This interaction requires a complex defense system that separates intestinal contents from the host tissues, regulates nutrient absorption, and allows tolerance between the resident bacterial flora and the mucosal immune system, while inhibiting translocation of infectious agents to the inner tissues. Unfavorable alteration of microbiota composition has been implicated in hepatic, gastrointestinal, and perhaps also systemic disorders. In this scenario, gut microbiota modulation represents an intriguing field and can be obtained by several approaches, including antibiotics, pro- and pre-biotics supplementation. Among antibiotics, Rifaximin seems to be a promising antibiotic to treat conditions related to gut microbiota imbalance and to potentially modulate intestinal homeostasis. This review focuses on what is currently known regarding the possible role of Rifaximin in restoring normal gut immune physiology and a healthy gut-liver axis. Detailed mechanistic studies will improve the development of targeted therapies that may shape gut microflora composition with the end goal of promoting gut health.","author":[{"dropping-particle":"","family":"Lopetuso","given":"L R","non-dropping-particle":"","parse-names":false,"suffix":""},{"dropping-particle":"","family":"Petito","given":"V","non-dropping-particle":"","parse-names":false,"suffix":""},{"dropping-particle":"","family":"Scaldaferri","given":"F","non-dropping-particle":"","parse-names":false,"suffix":""},{"dropping-particle":"","family":"Gasbarrini","given":"A","non-dropping-particle":"","parse-names":false,"suffix":""}],"container-title":"Mini-Reviews in Medicinal Chemistry","id":"ITEM-2","issue":"3","issued":{"date-parts":[["2016"]]},"note":"Lopetuso, Loris R. Petito, Valentina Scaldaferri, Franco Gasbarrini, Antonio\nscaldaferri, franco/0000-0001-8334-7541\n1875-5607","page":"179-185","title":"Gut Microbiota Modulation and Mucosal Immunity: Focus on Rifaximin","type":"article-journal","volume":"16"},"uris":["http://www.mendeley.com/documents/?uuid=d4655b18-8c0a-403e-8c57-76c60ef3332f"]}],"mendeley":{"formattedCitation":"[68, 69]","plainTextFormattedCitation":"[68, 69]","previouslyFormattedCitation":"[68, 69]"},"properties":{"noteIndex":0},"schema":"https://github.com/citation-style-language/schema/raw/master/csl-citation.json"}</w:instrText>
      </w:r>
      <w:r w:rsidR="00E55491">
        <w:rPr>
          <w:rFonts w:ascii="Times New Roman" w:hAnsi="Times New Roman" w:cs="Times New Roman"/>
          <w:lang w:val="en-GB"/>
        </w:rPr>
        <w:fldChar w:fldCharType="separate"/>
      </w:r>
      <w:r w:rsidR="00E55491" w:rsidRPr="00E55491">
        <w:rPr>
          <w:rFonts w:ascii="Times New Roman" w:hAnsi="Times New Roman" w:cs="Times New Roman"/>
          <w:noProof/>
          <w:lang w:val="en-GB"/>
        </w:rPr>
        <w:t>[68, 69]</w:t>
      </w:r>
      <w:r w:rsidR="00E55491">
        <w:rPr>
          <w:rFonts w:ascii="Times New Roman" w:hAnsi="Times New Roman" w:cs="Times New Roman"/>
          <w:lang w:val="en-GB"/>
        </w:rPr>
        <w:fldChar w:fldCharType="end"/>
      </w:r>
      <w:r w:rsidRPr="00C33195">
        <w:rPr>
          <w:rFonts w:ascii="Times New Roman" w:hAnsi="Times New Roman" w:cs="Times New Roman"/>
          <w:lang w:val="en-GB"/>
        </w:rPr>
        <w:t xml:space="preserve">. </w:t>
      </w:r>
    </w:p>
    <w:p w14:paraId="5BA271D7" w14:textId="77777777" w:rsidR="00C61CE6" w:rsidRPr="00C33195" w:rsidRDefault="00392A92" w:rsidP="00763167">
      <w:pPr>
        <w:spacing w:line="360" w:lineRule="auto"/>
        <w:jc w:val="both"/>
        <w:rPr>
          <w:rFonts w:ascii="Times New Roman" w:hAnsi="Times New Roman" w:cs="Times New Roman"/>
          <w:lang w:val="en-GB"/>
        </w:rPr>
      </w:pPr>
      <w:r w:rsidRPr="00C33195">
        <w:rPr>
          <w:rFonts w:ascii="Times New Roman" w:hAnsi="Times New Roman" w:cs="Times New Roman"/>
          <w:lang w:val="en-GB"/>
        </w:rPr>
        <w:t xml:space="preserve">The treatment with rifaximin </w:t>
      </w:r>
      <w:r w:rsidR="00C4083F" w:rsidRPr="00C33195">
        <w:rPr>
          <w:rFonts w:ascii="Times New Roman" w:hAnsi="Times New Roman" w:cs="Times New Roman"/>
          <w:lang w:val="en-GB"/>
        </w:rPr>
        <w:t xml:space="preserve">significantly affects the concentration of ethanol and acetone in the saliva samples studied. </w:t>
      </w:r>
      <w:r w:rsidR="00C61CE6" w:rsidRPr="00C33195">
        <w:rPr>
          <w:rFonts w:ascii="Times New Roman" w:hAnsi="Times New Roman" w:cs="Times New Roman"/>
          <w:lang w:val="en-GB"/>
        </w:rPr>
        <w:t>Ethanol (</w:t>
      </w:r>
      <w:r w:rsidR="008B202B" w:rsidRPr="00C33195">
        <w:rPr>
          <w:rFonts w:ascii="Times New Roman" w:hAnsi="Times New Roman" w:cs="Times New Roman"/>
          <w:lang w:val="en-GB"/>
        </w:rPr>
        <w:t>as well as</w:t>
      </w:r>
      <w:r w:rsidR="00C61CE6" w:rsidRPr="00C33195">
        <w:rPr>
          <w:rFonts w:ascii="Times New Roman" w:hAnsi="Times New Roman" w:cs="Times New Roman"/>
          <w:lang w:val="en-GB"/>
        </w:rPr>
        <w:t xml:space="preserve"> 1-butanol</w:t>
      </w:r>
      <w:r w:rsidR="008B202B" w:rsidRPr="00C33195">
        <w:rPr>
          <w:rFonts w:ascii="Times New Roman" w:hAnsi="Times New Roman" w:cs="Times New Roman"/>
          <w:lang w:val="en-GB"/>
        </w:rPr>
        <w:t xml:space="preserve">, </w:t>
      </w:r>
      <w:r w:rsidR="00C61CE6" w:rsidRPr="00C33195">
        <w:rPr>
          <w:rFonts w:ascii="Times New Roman" w:hAnsi="Times New Roman" w:cs="Times New Roman"/>
          <w:lang w:val="en-GB"/>
        </w:rPr>
        <w:t>1-propanol</w:t>
      </w:r>
      <w:r w:rsidR="008B202B" w:rsidRPr="00C33195">
        <w:rPr>
          <w:rFonts w:ascii="Times New Roman" w:hAnsi="Times New Roman" w:cs="Times New Roman"/>
          <w:lang w:val="en-GB"/>
        </w:rPr>
        <w:t xml:space="preserve"> and aceti</w:t>
      </w:r>
      <w:r w:rsidR="008F7BB7" w:rsidRPr="00C33195">
        <w:rPr>
          <w:rFonts w:ascii="Times New Roman" w:hAnsi="Times New Roman" w:cs="Times New Roman"/>
          <w:lang w:val="en-GB"/>
        </w:rPr>
        <w:t>c</w:t>
      </w:r>
      <w:r w:rsidR="008B202B" w:rsidRPr="00C33195">
        <w:rPr>
          <w:rFonts w:ascii="Times New Roman" w:hAnsi="Times New Roman" w:cs="Times New Roman"/>
          <w:lang w:val="en-GB"/>
        </w:rPr>
        <w:t xml:space="preserve"> acid e.g.</w:t>
      </w:r>
      <w:r w:rsidR="00C61CE6" w:rsidRPr="00C33195">
        <w:rPr>
          <w:rFonts w:ascii="Times New Roman" w:hAnsi="Times New Roman" w:cs="Times New Roman"/>
          <w:lang w:val="en-GB"/>
        </w:rPr>
        <w:t xml:space="preserve">) </w:t>
      </w:r>
      <w:r w:rsidR="00937254" w:rsidRPr="00C33195">
        <w:rPr>
          <w:rFonts w:ascii="Times New Roman" w:hAnsi="Times New Roman" w:cs="Times New Roman"/>
          <w:lang w:val="en-GB"/>
        </w:rPr>
        <w:t>decreases</w:t>
      </w:r>
      <w:r w:rsidR="00C61CE6" w:rsidRPr="00C33195">
        <w:rPr>
          <w:rFonts w:ascii="Times New Roman" w:hAnsi="Times New Roman" w:cs="Times New Roman"/>
          <w:lang w:val="en-GB"/>
        </w:rPr>
        <w:t xml:space="preserve"> during the rifaximin treatment with respect to the basal value and even more </w:t>
      </w:r>
      <w:r w:rsidR="001B1FD8" w:rsidRPr="00C33195">
        <w:rPr>
          <w:rFonts w:ascii="Times New Roman" w:hAnsi="Times New Roman" w:cs="Times New Roman"/>
          <w:lang w:val="en-GB"/>
        </w:rPr>
        <w:t xml:space="preserve">they </w:t>
      </w:r>
      <w:r w:rsidR="00C61CE6" w:rsidRPr="00C33195">
        <w:rPr>
          <w:rFonts w:ascii="Times New Roman" w:hAnsi="Times New Roman" w:cs="Times New Roman"/>
          <w:lang w:val="en-GB"/>
        </w:rPr>
        <w:t xml:space="preserve">decrease after the treatment.  </w:t>
      </w:r>
      <w:r w:rsidR="00990CDB" w:rsidRPr="00C33195">
        <w:rPr>
          <w:rFonts w:ascii="Times New Roman" w:hAnsi="Times New Roman" w:cs="Times New Roman"/>
          <w:lang w:val="en-GB"/>
        </w:rPr>
        <w:t>Ethyl and methyl acetate are the products of the spontaneous esterification of acetic acid and their presence shows the remarkable production of ethanol.</w:t>
      </w:r>
    </w:p>
    <w:p w14:paraId="01F6380D" w14:textId="06136BF0" w:rsidR="00845E49" w:rsidRPr="00C33195" w:rsidRDefault="00763167"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 xml:space="preserve">In agreement with the literature, these results show that the treatment with rifaximin leads to a </w:t>
      </w:r>
      <w:r w:rsidR="008849A9" w:rsidRPr="00C33195">
        <w:rPr>
          <w:rFonts w:ascii="Times New Roman" w:hAnsi="Times New Roman" w:cs="Times New Roman"/>
          <w:lang w:val="en-GB"/>
        </w:rPr>
        <w:t>change in</w:t>
      </w:r>
      <w:r w:rsidRPr="00C33195">
        <w:rPr>
          <w:rFonts w:ascii="Times New Roman" w:hAnsi="Times New Roman" w:cs="Times New Roman"/>
          <w:lang w:val="en-GB"/>
        </w:rPr>
        <w:t xml:space="preserve"> microbiota</w:t>
      </w:r>
      <w:r w:rsidR="001B1FD8" w:rsidRPr="00C33195">
        <w:rPr>
          <w:rFonts w:ascii="Times New Roman" w:hAnsi="Times New Roman" w:cs="Times New Roman"/>
          <w:lang w:val="en-GB"/>
        </w:rPr>
        <w:t xml:space="preserve">, </w:t>
      </w:r>
      <w:r w:rsidR="008F7BB7" w:rsidRPr="00C33195">
        <w:rPr>
          <w:rFonts w:ascii="Times New Roman" w:hAnsi="Times New Roman" w:cs="Times New Roman"/>
          <w:lang w:val="en-GB"/>
        </w:rPr>
        <w:t xml:space="preserve">promoting the growth of rifaximin-resistant Lactobacillus species </w:t>
      </w:r>
      <w:r w:rsidR="00E55491">
        <w:rPr>
          <w:rFonts w:ascii="Times New Roman" w:hAnsi="Times New Roman" w:cs="Times New Roman"/>
          <w:lang w:val="en-GB"/>
        </w:rPr>
        <w:fldChar w:fldCharType="begin" w:fldLock="1"/>
      </w:r>
      <w:r w:rsidR="00E55491">
        <w:rPr>
          <w:rFonts w:ascii="Times New Roman" w:hAnsi="Times New Roman" w:cs="Times New Roman"/>
          <w:lang w:val="en-GB"/>
        </w:rPr>
        <w:instrText>ADDIN CSL_CITATION {"citationItems":[{"id":"ITEM-1","itemData":{"DOI":"10.3389/fmicb.2017.01294","ISSN":"1664-302X","abstract":"Fermentation microbiota is specific microorganisms that generate different types of metabolites in many productions. In traditional solid-state fermentation, the structural composition and functional capacity of the core microbiota determine the quality and quantity of products. As a typical example of food fermentation, Chinese Maotai-flavor liquor production involves a complex of various microorganisms and a wide variety of metabolites. However, the microbial succession and functional shift of the core microbiota in this traditional food fermentation remain unclear. Here, high-throughput amplicons (16S rRNA gene amplicon sequencing and internal transcribed space amplicon sequencing) and metatranscriptomics sequencing technologies were combined to reveal the structure and function of the core microbiota in Chinese soy sauce aroma type liquor production. In addition, ultra-performance liquid chromatography and headspace-solid phase microextraction-gas chromatography-mass spectrometry were employed to provide qualitative and quantitative analysis of the major flavor metabolites. A total of 10 fungal and 11 bacterial genera were identified as the core microbiota. In addition, metatranscriptomic analysis revealed pyruvate metabolism in yeasts (genera Pichia, Schizosaccharomyces, Saccharomyces, and Zygosaccharomyces) and lactic acid bacteria (genus Lactobacillus) classified into two stages in the production of flavor components. Stage I involved high-level alcohol (ethanol) production, with the genus Schizosaccharomyces serving as the core functional microorganism. Stage II involved high-level acid (lactic acid and acetic acid) production, with the genus Lactobacillus serving as the core functional microorganism. The functional shift from the genus Schizosaccharomyces to the genus Lactobacillus drives flavor component conversion from alcohol (ethanol) to acid (lactic acid and acetic acid) in Chinese Maotai-flavor liquor production. Our findings provide insight into the effects of the core functional microbiota in soy sauce aroma type liquor production and the characteristics of the fermentation microbiota under different environmental conditions.","author":[{"dropping-particle":"","family":"Song","given":"Zhewei","non-dropping-particle":"","parse-names":false,"suffix":""},{"dropping-particle":"","family":"Du","given":"Hai","non-dropping-particle":"","parse-names":false,"suffix":""},{"dropping-particle":"","family":"Zhang","given":"Yan","non-dropping-particle":"","parse-names":false,"suffix":""},{"dropping-particle":"","family":"Xu","given":"Yan","non-dropping-particle":"","parse-names":false,"suffix":""}],"container-title":"Frontiers in Microbiology","id":"ITEM-1","issued":{"date-parts":[["2017"]]},"note":"28769888[pmid]\nFront Microbiol","page":"1294","title":"Unraveling Core Functional Microbiota in Traditional Solid-State Fermentation by High-Throughput Amplicons and Metatranscriptomics Sequencing","type":"article-journal","volume":"8"},"uris":["http://www.mendeley.com/documents/?uuid=4da98c6a-e8f0-48eb-8dae-46b2d6af3123"]}],"mendeley":{"formattedCitation":"[70]","plainTextFormattedCitation":"[70]","previouslyFormattedCitation":"[70]"},"properties":{"noteIndex":0},"schema":"https://github.com/citation-style-language/schema/raw/master/csl-citation.json"}</w:instrText>
      </w:r>
      <w:r w:rsidR="00E55491">
        <w:rPr>
          <w:rFonts w:ascii="Times New Roman" w:hAnsi="Times New Roman" w:cs="Times New Roman"/>
          <w:lang w:val="en-GB"/>
        </w:rPr>
        <w:fldChar w:fldCharType="separate"/>
      </w:r>
      <w:r w:rsidR="00E55491" w:rsidRPr="00E55491">
        <w:rPr>
          <w:rFonts w:ascii="Times New Roman" w:hAnsi="Times New Roman" w:cs="Times New Roman"/>
          <w:noProof/>
          <w:lang w:val="en-GB"/>
        </w:rPr>
        <w:t>[70]</w:t>
      </w:r>
      <w:r w:rsidR="00E55491">
        <w:rPr>
          <w:rFonts w:ascii="Times New Roman" w:hAnsi="Times New Roman" w:cs="Times New Roman"/>
          <w:lang w:val="en-GB"/>
        </w:rPr>
        <w:fldChar w:fldCharType="end"/>
      </w:r>
      <w:r w:rsidR="008D427A">
        <w:rPr>
          <w:rFonts w:ascii="Times New Roman" w:hAnsi="Times New Roman" w:cs="Times New Roman"/>
          <w:lang w:val="en-GB"/>
        </w:rPr>
        <w:t>.</w:t>
      </w:r>
      <w:r w:rsidRPr="00C33195">
        <w:rPr>
          <w:rFonts w:ascii="Times New Roman" w:hAnsi="Times New Roman" w:cs="Times New Roman"/>
          <w:lang w:val="en-GB"/>
        </w:rPr>
        <w:t xml:space="preserve"> Higher levels of 2-butanone have been found in NAFL patients </w:t>
      </w:r>
      <w:r w:rsidR="00E55491">
        <w:rPr>
          <w:rFonts w:ascii="Times New Roman" w:hAnsi="Times New Roman" w:cs="Times New Roman"/>
          <w:lang w:val="en-GB"/>
        </w:rPr>
        <w:fldChar w:fldCharType="begin" w:fldLock="1"/>
      </w:r>
      <w:r w:rsidR="0030343A">
        <w:rPr>
          <w:rFonts w:ascii="Times New Roman" w:hAnsi="Times New Roman" w:cs="Times New Roman"/>
          <w:lang w:val="en-GB"/>
        </w:rPr>
        <w:instrText>ADDIN CSL_CITATION {"citationItems":[{"id":"ITEM-1","itemData":{"DOI":"10.1002/hep.28572","ISSN":"0270-9139","abstract":"There is evidence that nonalcoholic fatty liver disease (NAFLD) is affected by gut microbiota. Therefore, we investigated its modifications in pediatric NAFLD patients using targeted metagenomics and metabolomics. Stools were collected from 61 consecutive patients diagnosed with nonalcoholic fatty liver (NAFL), nonalcoholic steatohepatitis (NASH), or obesity and 54 healthy controls (CTRLs), matched in a case-control fashion. Operational taxonomic units were pyrosequenced targeting 16S ribosomal RNA and volatile organic compounds determined by solid-phase microextraction gas chromatography-mass spectrometry. The alpha-diversity was highest in CTRLs, followed by obese, NASH, and NAFL patients; and beta-diversity distinguished between patients and CTRLs but not NAFL and NASH. Compared to CTRLs, in NAFLD patients Actinobacteria were significantly increased and Bacteroidetes reduced. There were no significant differences among the NAFL, NASH, and obese groups. Overall NAFLD patients had increased levels of Bradyrhizobium, Anaerococcus, Peptoniphilus, Propionibacterium acnes, Dorea, and Ruminococcus and reduced proportions of Oscillospira and Rikenellaceae compared to CTRLs. After reducing metagenomics and metabolomics data dimensionality, multivariate analyses indicated a decrease of Oscillospira in NAFL and NASH groups and increases of Ruminococcus, Blautia, and Dorea in NASH patients compared to CTRLs. Of the 292 volatile organic compounds, 26 were up-regulated and 2 down-regulated in NAFLD patients. Multivariate analyses found that combination of Oscillospira, Rickenellaceae, Parabacteroides, Bacteroides fragilis, Sutterella, Lachnospiraceae, 4-methyl-2-pentanone, 1-butanol, and 2-butanone could discriminate NAFLD patients from CTRLs. Univariate analyses found significantly lower levels of Oscillospira and higher levels of 1-pentanol and 2-butanone in NAFL patients compared to CTRLs. In NASH, lower levels of Oscillospira were associated with higher abundance of Dorea and Ruminococcus and higher levels of 2-butanone and 4-methyl-2-pentanone compared to CTRLs. CONCLUSION: An Oscillospira decrease coupled to a 2-butanone up-regulation and increases in Ruminococcus and Dorea were identified as gut microbiota signatures of NAFL onset and NAFL-NASH progression, respectively. (Hepatology 2017;65:451-464).","author":[{"dropping-particle":"","family":"Chierico","given":"F","non-dropping-particle":"Del","parse-names":false,"suffix":""},{"dropping-particle":"","family":"Nobili","given":"V","non-dropping-particle":"","parse-names":false,"suffix":""},{"dropping-particle":"","family":"Vernocchi","given":"P","non-dropping-particle":"","parse-names":false,"suffix":""},{"dropping-particle":"","family":"Russo","given":"A","non-dropping-particle":"","parse-names":false,"suffix":""},{"dropping-particle":"","family":"Stefanis","given":"C","non-dropping-particle":"","parse-names":false,"suffix":""},{"dropping-particle":"","family":"Gnani","given":"D","non-dropping-particle":"","parse-names":false,"suffix":""},{"dropping-particle":"","family":"Furlanello","given":"C","non-dropping-particle":"","parse-names":false,"suffix":""},{"dropping-particle":"","family":"Zandona","given":"A","non-dropping-particle":"","parse-names":false,"suffix":""},{"dropping-particle":"","family":"Paci","given":"P","non-dropping-particle":"","parse-names":false,"suffix":""},{"dropping-particle":"","family":"Capuani","given":"G","non-dropping-particle":"","parse-names":false,"suffix":""},{"dropping-particle":"","family":"Dallapiccola","given":"B","non-dropping-particle":"","parse-names":false,"suffix":""},{"dropping-particle":"","family":"Miccheli","given":"A","non-dropping-particle":"","parse-names":false,"suffix":""},{"dropping-particle":"","family":"Alisi","given":"A","non-dropping-particle":"","parse-names":false,"suffix":""},{"dropping-particle":"","family":"Putignani","given":"L","non-dropping-particle":"","parse-names":false,"suffix":""}],"container-title":"Hepatology","edition":"2016/03/31","id":"ITEM-1","issue":"2","issued":{"date-parts":[["2017"]]},"language":"eng","note":"1527-3350\nDel Chierico, Federica\nNobili, Valerio\nVernocchi, Pamela\nRusso, Alessandra\nStefanis, Cristiano De\nGnani, Daniela\nFurlanello, Cesare\nZandona, Alessandro\nPaci, Paola\nCapuani, Giorgio\nDallapiccola, Bruno\nMiccheli, Alfredo\nAlisi, Anna\nPutignani, Lorenza\nComparative Study\nJournal Article\nResearch Support, Non-U.S. Gov't\nUnited States\nHepatology. 2017 Feb;65(2):451-464. doi: 10.1002/hep.28572. Epub 2016 Jun 2.","page":"451-464","publisher-place":"Human Microbiome Unit, \"Bambino Gesu\" Children's Hospital, IRCCS, Rome, Italy. Hepato-Metabolic Disease Unit, \"Bambino Gesu\" Children's Hospital, IRCCS, Rome, Italy. Liver Research Unit, \"Bambino Gesu\" Children's Hospital, IRCCS, Rome, Italy. Predictive M","title":"Gut microbiota profiling of pediatric nonalcoholic fatty liver disease and obese patients unveiled by an integrated meta-omics-based approach","type":"article-journal","volume":"65"},"uris":["http://www.mendeley.com/documents/?uuid=90d1b86b-c44a-4cbe-9c49-7de2a1e652f9"]}],"mendeley":{"formattedCitation":"[71]","plainTextFormattedCitation":"[71]","previouslyFormattedCitation":"[71]"},"properties":{"noteIndex":0},"schema":"https://github.com/citation-style-language/schema/raw/master/csl-citation.json"}</w:instrText>
      </w:r>
      <w:r w:rsidR="00E55491">
        <w:rPr>
          <w:rFonts w:ascii="Times New Roman" w:hAnsi="Times New Roman" w:cs="Times New Roman"/>
          <w:lang w:val="en-GB"/>
        </w:rPr>
        <w:fldChar w:fldCharType="separate"/>
      </w:r>
      <w:r w:rsidR="00E55491" w:rsidRPr="00E55491">
        <w:rPr>
          <w:rFonts w:ascii="Times New Roman" w:hAnsi="Times New Roman" w:cs="Times New Roman"/>
          <w:noProof/>
          <w:lang w:val="en-GB"/>
        </w:rPr>
        <w:t>[71]</w:t>
      </w:r>
      <w:r w:rsidR="00E55491">
        <w:rPr>
          <w:rFonts w:ascii="Times New Roman" w:hAnsi="Times New Roman" w:cs="Times New Roman"/>
          <w:lang w:val="en-GB"/>
        </w:rPr>
        <w:fldChar w:fldCharType="end"/>
      </w:r>
      <w:r w:rsidR="00E55491">
        <w:rPr>
          <w:rFonts w:ascii="Times New Roman" w:hAnsi="Times New Roman" w:cs="Times New Roman"/>
          <w:lang w:val="en-GB"/>
        </w:rPr>
        <w:t xml:space="preserve"> </w:t>
      </w:r>
      <w:r w:rsidR="008A7A46" w:rsidRPr="00C33195">
        <w:rPr>
          <w:rFonts w:ascii="Times New Roman" w:hAnsi="Times New Roman" w:cs="Times New Roman"/>
          <w:lang w:val="en-GB"/>
        </w:rPr>
        <w:t>in which rifaxim</w:t>
      </w:r>
      <w:r w:rsidR="004B1825" w:rsidRPr="00C33195">
        <w:rPr>
          <w:rFonts w:ascii="Times New Roman" w:hAnsi="Times New Roman" w:cs="Times New Roman"/>
          <w:lang w:val="en-GB"/>
        </w:rPr>
        <w:t>in</w:t>
      </w:r>
      <w:r w:rsidR="008A7A46" w:rsidRPr="00C33195">
        <w:rPr>
          <w:rFonts w:ascii="Times New Roman" w:hAnsi="Times New Roman" w:cs="Times New Roman"/>
          <w:lang w:val="en-GB"/>
        </w:rPr>
        <w:t xml:space="preserve"> is used to treat dysbiosis</w:t>
      </w:r>
      <w:r w:rsidR="0030343A">
        <w:rPr>
          <w:rFonts w:ascii="Times New Roman" w:hAnsi="Times New Roman" w:cs="Times New Roman"/>
          <w:lang w:val="en-GB"/>
        </w:rPr>
        <w:t xml:space="preserve"> </w:t>
      </w:r>
      <w:r w:rsidR="0030343A">
        <w:rPr>
          <w:rFonts w:ascii="Times New Roman" w:hAnsi="Times New Roman" w:cs="Times New Roman"/>
          <w:lang w:val="en-GB"/>
        </w:rPr>
        <w:fldChar w:fldCharType="begin" w:fldLock="1"/>
      </w:r>
      <w:r w:rsidR="0030343A">
        <w:rPr>
          <w:rFonts w:ascii="Times New Roman" w:hAnsi="Times New Roman" w:cs="Times New Roman"/>
          <w:lang w:val="en-GB"/>
        </w:rPr>
        <w:instrText>ADDIN CSL_CITATION {"citationItems":[{"id":"ITEM-1","itemData":{"ISSN":"0954-691X","abstract":"Background/Aims \nThe pathogenesis of nonalcoholic fatty liver disease (NAFLD) may include increased insulin resistance, upregulation of proinflammatory cytokines, lipopolysaccharide, and BMI. Rifaximin is a minimally absorbable antibiotic that might act against a broad spectrum of gut bacteria. This study aimed to investigate the effects of rifaximin on NAFLD.\nPatients and methods\nFifty participants with biopsy-proven nonalcoholic steatohepatitis (NASH) were registered in this multicentric, double-blind, randomized, placebo-controlled study. BMI, alanine aminotransferase, aspartate aminotransferase, γ-glutamyl transferase, lipid profile, serum endotoxin, homeostatic model assessment, toll-like receptor-4, interleukin-10 (IL-10), IL-6, tumor necrosis factor-α, and cytokeratin-18 (CK-18) levels were evaluated at baseline and at 1, 3, and 6 months of rifaximin therapy (1100 mg/day).\nResults\nPatients were randomized into two groups (rifaximin group; n=25 and placebo group; n=25). After 6 months of rifaximin therapy, patients with NASH showed a significant reduction in homeostatic model assessment, alanine aminotransferase, aspartate aminotransferase, γ-glutamyl transferase, endotoxin, toll-like receptor-4, IL-6, tumor necrosis factor-α, CK-18, and NAFLD-liver fat score (all P&lt;0.05), but no changes in the lipid profile; moreover, there was a mild nonstatistically significant reduction of BMI. However, in the placebo group, there was no significant difference in these variables at baseline and after therapy.\nConclusion\nRifaximin therapy appears to be effective and safe in modifying NASH through reduction of serum endotoxin and improvement of insulin resistance, proinflammatory cytokines, CK-18, and NAFLD-liver fat score.","author":[{"dropping-particle":"","family":"Abdel-Razik","given":"Ahmed","non-dropping-particle":"","parse-names":false,"suffix":""},{"dropping-particle":"","family":"Mousa","given":"Nasser","non-dropping-particle":"","parse-names":false,"suffix":""},{"dropping-particle":"","family":"Shabana","given":"Walaa","non-dropping-particle":"","parse-names":false,"suffix":""},{"dropping-particle":"","family":"Refaey","given":"Mohamed","non-dropping-particle":"","parse-names":false,"suffix":""},{"dropping-particle":"","family":"Elzehery","given":"Rasha","non-dropping-particle":"","parse-names":false,"suffix":""},{"dropping-particle":"","family":"Elhelaly","given":"Rania","non-dropping-particle":"","parse-names":false,"suffix":""},{"dropping-particle":"","family":"Zalata","given":"Khaled","non-dropping-particle":"","parse-names":false,"suffix":""},{"dropping-particle":"","family":"Abdelsalam","given":"Mostafa","non-dropping-particle":"","parse-names":false,"suffix":""},{"dropping-particle":"","family":"Eldeeb","given":"Ahmed A","non-dropping-particle":"","parse-names":false,"suffix":""},{"dropping-particle":"","family":"Awad","given":"Mahmoud","non-dropping-particle":"","parse-names":false,"suffix":""},{"dropping-particle":"","family":"Elgamal","given":"Ayman","non-dropping-particle":"","parse-names":false,"suffix":""},{"dropping-particle":"","family":"Attia","given":"Ahmed","non-dropping-particle":"","parse-names":false,"suffix":""},{"dropping-particle":"","family":"El-Wakeel","given":"Niveen","non-dropping-particle":"","parse-names":false,"suffix":""},{"dropping-particle":"","family":"Eldars","given":"Waleed","non-dropping-particle":"","parse-names":false,"suffix":""}],"container-title":"European Journal of Gastroenterology &amp; Hepatology","id":"ITEM-1","issue":"10","issued":{"date-parts":[["2018"]]},"title":"Rifaximin in nonalcoholic fatty liver disease:  hit multiple targets with a single shot","type":"article-journal","volume":"30"},"uris":["http://www.mendeley.com/documents/?uuid=bc54f980-1008-42dc-bfb5-f0d45cb93c0a"]}],"mendeley":{"formattedCitation":"[72]","plainTextFormattedCitation":"[72]","previouslyFormattedCitation":"[72]"},"properties":{"noteIndex":0},"schema":"https://github.com/citation-style-language/schema/raw/master/csl-citation.json"}</w:instrText>
      </w:r>
      <w:r w:rsidR="0030343A">
        <w:rPr>
          <w:rFonts w:ascii="Times New Roman" w:hAnsi="Times New Roman" w:cs="Times New Roman"/>
          <w:lang w:val="en-GB"/>
        </w:rPr>
        <w:fldChar w:fldCharType="separate"/>
      </w:r>
      <w:r w:rsidR="0030343A" w:rsidRPr="0030343A">
        <w:rPr>
          <w:rFonts w:ascii="Times New Roman" w:hAnsi="Times New Roman" w:cs="Times New Roman"/>
          <w:noProof/>
          <w:lang w:val="en-GB"/>
        </w:rPr>
        <w:t>[72]</w:t>
      </w:r>
      <w:r w:rsidR="0030343A">
        <w:rPr>
          <w:rFonts w:ascii="Times New Roman" w:hAnsi="Times New Roman" w:cs="Times New Roman"/>
          <w:lang w:val="en-GB"/>
        </w:rPr>
        <w:fldChar w:fldCharType="end"/>
      </w:r>
      <w:r w:rsidR="008A7A46" w:rsidRPr="00C33195">
        <w:rPr>
          <w:rFonts w:ascii="Times New Roman" w:hAnsi="Times New Roman" w:cs="Times New Roman"/>
          <w:lang w:val="en-GB"/>
        </w:rPr>
        <w:t>.</w:t>
      </w:r>
      <w:r w:rsidR="00937254">
        <w:rPr>
          <w:rFonts w:ascii="Times New Roman" w:hAnsi="Times New Roman" w:cs="Times New Roman"/>
          <w:lang w:val="en-GB"/>
        </w:rPr>
        <w:t xml:space="preserve"> </w:t>
      </w:r>
      <w:r w:rsidR="00CA08EC" w:rsidRPr="00C33195">
        <w:rPr>
          <w:rFonts w:ascii="Times New Roman" w:hAnsi="Times New Roman" w:cs="Times New Roman"/>
          <w:lang w:val="en-GB"/>
        </w:rPr>
        <w:t>A</w:t>
      </w:r>
      <w:r w:rsidR="00845E49" w:rsidRPr="00C33195">
        <w:rPr>
          <w:rFonts w:ascii="Times New Roman" w:hAnsi="Times New Roman" w:cs="Times New Roman"/>
          <w:lang w:val="en-GB"/>
        </w:rPr>
        <w:t xml:space="preserve">cetone is a by-product of the fat metabolism process </w:t>
      </w:r>
      <w:r w:rsidR="0030343A">
        <w:rPr>
          <w:rFonts w:ascii="Times New Roman" w:hAnsi="Times New Roman" w:cs="Times New Roman"/>
          <w:lang w:val="en-GB"/>
        </w:rPr>
        <w:fldChar w:fldCharType="begin" w:fldLock="1"/>
      </w:r>
      <w:r w:rsidR="0030343A">
        <w:rPr>
          <w:rFonts w:ascii="Times New Roman" w:hAnsi="Times New Roman" w:cs="Times New Roman" w:hint="eastAsia"/>
          <w:lang w:val="en-GB"/>
        </w:rPr>
        <w:instrText>ADDIN CSL_CITATION {"citationItems":[{"id":"ITEM-1","itemData":{"DOI":"10.1002/oby.21242","ISSN":"1930-7381 1930-739X","abstract":"OBJECTIVE: Endogenous acetone production is a by</w:instrText>
      </w:r>
      <w:r w:rsidR="0030343A">
        <w:rPr>
          <w:rFonts w:ascii="Times New Roman" w:hAnsi="Times New Roman" w:cs="Times New Roman" w:hint="eastAsia"/>
          <w:lang w:val="en-GB"/>
        </w:rPr>
        <w:instrText>‐</w:instrText>
      </w:r>
      <w:r w:rsidR="0030343A">
        <w:rPr>
          <w:rFonts w:ascii="Times New Roman" w:hAnsi="Times New Roman" w:cs="Times New Roman" w:hint="eastAsia"/>
          <w:lang w:val="en-GB"/>
        </w:rPr>
        <w:instrText>product of the fat metabolism process. Because of its small size, acetone a</w:instrText>
      </w:r>
      <w:r w:rsidR="0030343A">
        <w:rPr>
          <w:rFonts w:ascii="Times New Roman" w:hAnsi="Times New Roman" w:cs="Times New Roman"/>
          <w:lang w:val="en-GB"/>
        </w:rPr>
        <w:instrText>ppears in exhaled breath. Historically, endogenous acetone has been measured in exhaled breath to monitor ketosis in healthy and diabetic subjects. Recently, breath acetone concentration (BrAce) has been shown to correlate with the rate of fat loss in hea</w:instrText>
      </w:r>
      <w:r w:rsidR="0030343A">
        <w:rPr>
          <w:rFonts w:ascii="Times New Roman" w:hAnsi="Times New Roman" w:cs="Times New Roman" w:hint="eastAsia"/>
          <w:lang w:val="en-GB"/>
        </w:rPr>
        <w:instrText>lthy individuals. In this review, the measurement of breath acetone in healthy subjects is evaluated for its utility in predicting fat loss and its sensitivity to changes in physiologic parameters. RESULTS: BrAce can range from 1 ppm in healthy non</w:instrText>
      </w:r>
      <w:r w:rsidR="0030343A">
        <w:rPr>
          <w:rFonts w:ascii="Times New Roman" w:hAnsi="Times New Roman" w:cs="Times New Roman" w:hint="eastAsia"/>
          <w:lang w:val="en-GB"/>
        </w:rPr>
        <w:instrText>‐</w:instrText>
      </w:r>
      <w:r w:rsidR="0030343A">
        <w:rPr>
          <w:rFonts w:ascii="Times New Roman" w:hAnsi="Times New Roman" w:cs="Times New Roman" w:hint="eastAsia"/>
          <w:lang w:val="en-GB"/>
        </w:rPr>
        <w:instrText>dietin</w:instrText>
      </w:r>
      <w:r w:rsidR="0030343A">
        <w:rPr>
          <w:rFonts w:ascii="Times New Roman" w:hAnsi="Times New Roman" w:cs="Times New Roman"/>
          <w:lang w:val="en-GB"/>
        </w:rPr>
        <w:instrText xml:space="preserve">g subjects to 1,250 ppm in diabetic ketoacidosis. A strong correlation exists between increased BrAce and the rate of fat loss. Multiple metabolic and respiratory factors affect the measurement of BrAce. BrAce is most affected by changes in the following factors (in descending order): dietary macronutrient composition, caloric restriction, exercise, pulmonary factors, and other assorted factors that increase fat metabolism or inhibit acetone metabolism. Pulmonary factors affecting acetone exchange in the </w:instrText>
      </w:r>
      <w:r w:rsidR="0030343A">
        <w:rPr>
          <w:rFonts w:ascii="Times New Roman" w:hAnsi="Times New Roman" w:cs="Times New Roman" w:hint="eastAsia"/>
          <w:lang w:val="en-GB"/>
        </w:rPr>
        <w:instrText>lung should be controlled to optimize the breath sample for measurement. CONCLUSIONS: When biologic factors are controlled, BrAce measurement provides a non</w:instrText>
      </w:r>
      <w:r w:rsidR="0030343A">
        <w:rPr>
          <w:rFonts w:ascii="Times New Roman" w:hAnsi="Times New Roman" w:cs="Times New Roman" w:hint="eastAsia"/>
          <w:lang w:val="en-GB"/>
        </w:rPr>
        <w:instrText>‐</w:instrText>
      </w:r>
      <w:r w:rsidR="0030343A">
        <w:rPr>
          <w:rFonts w:ascii="Times New Roman" w:hAnsi="Times New Roman" w:cs="Times New Roman" w:hint="eastAsia"/>
          <w:lang w:val="en-GB"/>
        </w:rPr>
        <w:instrText>invasive tool for monitoring the rate of fat loss in healthy subjects.","author":[{"dropping-parti</w:instrText>
      </w:r>
      <w:r w:rsidR="0030343A">
        <w:rPr>
          <w:rFonts w:ascii="Times New Roman" w:hAnsi="Times New Roman" w:cs="Times New Roman"/>
          <w:lang w:val="en-GB"/>
        </w:rPr>
        <w:instrText>cle":"","family":"Anderson","given":"Joseph C","non-dropping-particle":"","parse-names":false,"suffix":""}],"container-title":"Obesity (Silver Spring, Md.)","id":"ITEM-1","issue":"12","issued":{"date-parts":[["2015"]]},"note":"OBY21242[PII]\n26524104[pmid]\nObesity (Silver Spring)","page":"2327-2334","title":"Measuring breath acetone for monitoring fat loss: Review","type":"article-journal","volume":"23"},"uris":["http://www.mendeley.com/documents/?uuid=00b8af52-1175-43ce-8971-b418f8f1b94e"]}],"mendeley":{"formattedCitation":"[73]","plainTextFormattedCitation":"[73]","previouslyFormattedCitation":"[73]"},"properties":{"noteIndex":0},"schema":"https://github.com/citation-style-language/schema/raw/master/csl-citation.json"}</w:instrText>
      </w:r>
      <w:r w:rsidR="0030343A">
        <w:rPr>
          <w:rFonts w:ascii="Times New Roman" w:hAnsi="Times New Roman" w:cs="Times New Roman"/>
          <w:lang w:val="en-GB"/>
        </w:rPr>
        <w:fldChar w:fldCharType="separate"/>
      </w:r>
      <w:r w:rsidR="0030343A" w:rsidRPr="0030343A">
        <w:rPr>
          <w:rFonts w:ascii="Times New Roman" w:hAnsi="Times New Roman" w:cs="Times New Roman"/>
          <w:noProof/>
          <w:lang w:val="en-GB"/>
        </w:rPr>
        <w:t>[73]</w:t>
      </w:r>
      <w:r w:rsidR="0030343A">
        <w:rPr>
          <w:rFonts w:ascii="Times New Roman" w:hAnsi="Times New Roman" w:cs="Times New Roman"/>
          <w:lang w:val="en-GB"/>
        </w:rPr>
        <w:fldChar w:fldCharType="end"/>
      </w:r>
      <w:r w:rsidR="00845E49" w:rsidRPr="00C33195">
        <w:rPr>
          <w:rFonts w:ascii="Times New Roman" w:hAnsi="Times New Roman" w:cs="Times New Roman"/>
          <w:lang w:val="en-GB"/>
        </w:rPr>
        <w:t>.</w:t>
      </w:r>
      <w:r w:rsidR="00477792" w:rsidRPr="00C33195">
        <w:rPr>
          <w:rFonts w:ascii="Times New Roman" w:hAnsi="Times New Roman" w:cs="Times New Roman"/>
          <w:lang w:val="en-GB"/>
        </w:rPr>
        <w:t xml:space="preserve"> </w:t>
      </w:r>
      <w:r w:rsidR="00845E49" w:rsidRPr="00C33195">
        <w:rPr>
          <w:rFonts w:ascii="Times New Roman" w:hAnsi="Times New Roman" w:cs="Times New Roman"/>
          <w:lang w:val="en-GB"/>
        </w:rPr>
        <w:t xml:space="preserve">The observation of their increase in saliva is novel and in agreement with the increase of Lactobacilli after </w:t>
      </w:r>
      <w:r w:rsidR="00937254" w:rsidRPr="00937254">
        <w:rPr>
          <w:rFonts w:ascii="Times New Roman" w:hAnsi="Times New Roman" w:cs="Times New Roman"/>
          <w:lang w:val="en-GB"/>
        </w:rPr>
        <w:t>5</w:t>
      </w:r>
      <w:r w:rsidR="00845E49" w:rsidRPr="00937254">
        <w:rPr>
          <w:rFonts w:ascii="Times New Roman" w:hAnsi="Times New Roman" w:cs="Times New Roman"/>
          <w:lang w:val="en-GB"/>
        </w:rPr>
        <w:t xml:space="preserve"> days</w:t>
      </w:r>
      <w:r w:rsidR="00845E49" w:rsidRPr="00C33195">
        <w:rPr>
          <w:rFonts w:ascii="Times New Roman" w:hAnsi="Times New Roman" w:cs="Times New Roman"/>
          <w:lang w:val="en-GB"/>
        </w:rPr>
        <w:t xml:space="preserve"> of rifaximin administration, persisting also after treatment interruption, </w:t>
      </w:r>
      <w:r w:rsidR="009D1C88" w:rsidRPr="00C33195">
        <w:rPr>
          <w:rFonts w:ascii="Times New Roman" w:hAnsi="Times New Roman" w:cs="Times New Roman"/>
          <w:lang w:val="en-GB"/>
        </w:rPr>
        <w:t>a</w:t>
      </w:r>
      <w:r w:rsidR="00937254">
        <w:rPr>
          <w:rFonts w:ascii="Times New Roman" w:hAnsi="Times New Roman" w:cs="Times New Roman"/>
          <w:lang w:val="en-GB"/>
        </w:rPr>
        <w:t>s</w:t>
      </w:r>
      <w:r w:rsidR="009D1C88" w:rsidRPr="00C33195">
        <w:rPr>
          <w:rFonts w:ascii="Times New Roman" w:hAnsi="Times New Roman" w:cs="Times New Roman"/>
          <w:lang w:val="en-GB"/>
        </w:rPr>
        <w:t xml:space="preserve"> </w:t>
      </w:r>
      <w:r w:rsidR="00845E49" w:rsidRPr="00C33195">
        <w:rPr>
          <w:rFonts w:ascii="Times New Roman" w:hAnsi="Times New Roman" w:cs="Times New Roman"/>
          <w:lang w:val="en-GB"/>
        </w:rPr>
        <w:t xml:space="preserve">observed by </w:t>
      </w:r>
      <w:proofErr w:type="spellStart"/>
      <w:r w:rsidR="00845E49" w:rsidRPr="00C33195">
        <w:rPr>
          <w:rFonts w:ascii="Times New Roman" w:hAnsi="Times New Roman" w:cs="Times New Roman"/>
          <w:lang w:val="en-GB"/>
        </w:rPr>
        <w:t>Ponziani</w:t>
      </w:r>
      <w:proofErr w:type="spellEnd"/>
      <w:r w:rsidR="00845E49" w:rsidRPr="00C33195">
        <w:rPr>
          <w:rFonts w:ascii="Times New Roman" w:hAnsi="Times New Roman" w:cs="Times New Roman"/>
          <w:lang w:val="en-GB"/>
        </w:rPr>
        <w:t xml:space="preserve"> et al.</w:t>
      </w:r>
      <w:r w:rsidR="0030343A">
        <w:rPr>
          <w:rFonts w:ascii="Times New Roman" w:hAnsi="Times New Roman" w:cs="Times New Roman"/>
          <w:lang w:val="en-GB"/>
        </w:rPr>
        <w:t xml:space="preserve"> </w:t>
      </w:r>
      <w:r w:rsidR="0030343A">
        <w:rPr>
          <w:rFonts w:ascii="Times New Roman" w:hAnsi="Times New Roman" w:cs="Times New Roman"/>
          <w:lang w:val="en-GB"/>
        </w:rPr>
        <w:fldChar w:fldCharType="begin" w:fldLock="1"/>
      </w:r>
      <w:r w:rsidR="004A1861">
        <w:rPr>
          <w:rFonts w:ascii="Times New Roman" w:hAnsi="Times New Roman" w:cs="Times New Roman"/>
          <w:lang w:val="en-GB"/>
        </w:rPr>
        <w:instrText>ADDIN CSL_CITATION {"citationItems":[{"id":"ITEM-1","itemData":{"DOI":"10.1159/000443361","ISSN":"0257-2753","abstract":"Antibiotics are mainly used in clinical practice for their activity against pathogens, but they also alter the composition of commensal gut microbial community. Rifaximin is a non-absorbable antibiotic with additional effects on the gut micro biota about which very little is known. It is still not clear to what extent rifaximin can be able to modulate gut microbiota composition and diversity in different clinical settings. Studies based on culture-dependent techniques revealed that rifaximin treatment promotes the growth of beneficial bacteria, such as Bifidobacteria and Lactobacilli. Accordingly, our metagenomic analysis carried out on patients with different gastrointestinal and liver diseases highlighted a significant increase in Lactobacilli after rifaximin treatment, persisting in the short time period. This result was independent of the disease background and was not accompanied by a significant alteration of the overall gut microbial ecology. This suggests that rifaximin can exert important eubiotic effects independently of the original disease, producing a favorable gut microbiota perturbation without changing its overall composition and diversity. (C) 2016 S. Karger AG, Basel","author":[{"dropping-particle":"","family":"Ponziani","given":"F R","non-dropping-particle":"","parse-names":false,"suffix":""},{"dropping-particle":"","family":"Scaldaferri","given":"F","non-dropping-particle":"","parse-names":false,"suffix":""},{"dropping-particle":"","family":"Petito","given":"V","non-dropping-particle":"","parse-names":false,"suffix":""},{"dropping-particle":"","family":"Sterbini","given":"F P","non-dropping-particle":"","parse-names":false,"suffix":""},{"dropping-particle":"","family":"Pecere","given":"S","non-dropping-particle":"","parse-names":false,"suffix":""},{"dropping-particle":"","family":"Lopetuso","given":"L R","non-dropping-particle":"","parse-names":false,"suffix":""},{"dropping-particle":"","family":"Palladini","given":"A","non-dropping-particle":"","parse-names":false,"suffix":""},{"dropping-particle":"","family":"Gerardi","given":"V","non-dropping-particle":"","parse-names":false,"suffix":""},{"dropping-particle":"","family":"Masucci","given":"L","non-dropping-particle":"","parse-names":false,"suffix":""},{"dropping-particle":"","family":"Pompili","given":"M","non-dropping-particle":"","parse-names":false,"suffix":""},{"dropping-particle":"","family":"Cammarota","given":"G","non-dropping-particle":"","parse-names":false,"suffix":""},{"dropping-particle":"","family":"Sanguinetti","given":"M","non-dropping-particle":"","parse-names":false,"suffix":""},{"dropping-particle":"","family":"Gasbarrini","given":"A","non-dropping-particle":"","parse-names":false,"suffix":""}],"container-title":"Digestive Diseases","id":"ITEM-1","issue":"3","issued":{"date-parts":[["2016"]]},"note":"Ponziani, Francesca Romana Scaldaferri, Franco Petito, Valentina Sterbini, Francesco Paroni Pecere, Silvia Lopetuso, Loris R. Palladini, Alessandra Gerardi, Viviana Masucci, Luca Pompili, Maurizio Cammarota, Giovanni Sanguinetti, Maurizio Gasbarrini, Antonio\nPonziani, Francesca Romana/E-4136-2016; Paroni Sterbini, Francesco/K-9290-2016\nPonziani, Francesca Romana/0000-0002-5924-6238; Paroni Sterbini, Francesco/0000-0003-4708-1250; scaldaferri, franco/0000-0001-8334-7541; Palladini, Alessandra/0000-0001-5307-8643\n1421-9875","page":"269-278","title":"The Role of Antibiotics in Gut Microbiota Modulation: The Eubiotic Effects of Rifaximin","type":"article-journal","volume":"34"},"uris":["http://www.mendeley.com/documents/?uuid=555dd37a-cbc5-469f-b585-f2e3ea393e0c"]}],"mendeley":{"formattedCitation":"[33]","plainTextFormattedCitation":"[33]","previouslyFormattedCitation":"[33]"},"properties":{"noteIndex":0},"schema":"https://github.com/citation-style-language/schema/raw/master/csl-citation.json"}</w:instrText>
      </w:r>
      <w:r w:rsidR="0030343A">
        <w:rPr>
          <w:rFonts w:ascii="Times New Roman" w:hAnsi="Times New Roman" w:cs="Times New Roman"/>
          <w:lang w:val="en-GB"/>
        </w:rPr>
        <w:fldChar w:fldCharType="separate"/>
      </w:r>
      <w:r w:rsidR="0030343A" w:rsidRPr="0030343A">
        <w:rPr>
          <w:rFonts w:ascii="Times New Roman" w:hAnsi="Times New Roman" w:cs="Times New Roman"/>
          <w:noProof/>
          <w:lang w:val="en-GB"/>
        </w:rPr>
        <w:t>[33]</w:t>
      </w:r>
      <w:r w:rsidR="0030343A">
        <w:rPr>
          <w:rFonts w:ascii="Times New Roman" w:hAnsi="Times New Roman" w:cs="Times New Roman"/>
          <w:lang w:val="en-GB"/>
        </w:rPr>
        <w:fldChar w:fldCharType="end"/>
      </w:r>
      <w:r w:rsidR="008D427A">
        <w:rPr>
          <w:rFonts w:ascii="Times New Roman" w:hAnsi="Times New Roman" w:cs="Times New Roman"/>
          <w:lang w:val="en-GB"/>
        </w:rPr>
        <w:t>.</w:t>
      </w:r>
    </w:p>
    <w:p w14:paraId="5DD0F043" w14:textId="77777777" w:rsidR="00845E49" w:rsidRPr="00C33195" w:rsidRDefault="00845E49" w:rsidP="00875587">
      <w:pPr>
        <w:spacing w:line="360" w:lineRule="auto"/>
        <w:jc w:val="both"/>
        <w:rPr>
          <w:rFonts w:ascii="Times New Roman" w:hAnsi="Times New Roman" w:cs="Times New Roman"/>
          <w:lang w:val="en-GB"/>
        </w:rPr>
      </w:pPr>
    </w:p>
    <w:p w14:paraId="339E1442" w14:textId="77777777" w:rsidR="00075751" w:rsidRPr="00C33195" w:rsidRDefault="00075751" w:rsidP="00875587">
      <w:pPr>
        <w:pStyle w:val="Titolo1"/>
        <w:spacing w:before="0" w:line="360" w:lineRule="auto"/>
        <w:jc w:val="both"/>
        <w:rPr>
          <w:rFonts w:cs="Times New Roman"/>
          <w:sz w:val="24"/>
          <w:szCs w:val="24"/>
          <w:lang w:val="en-GB"/>
        </w:rPr>
      </w:pPr>
    </w:p>
    <w:p w14:paraId="527BF141" w14:textId="77777777" w:rsidR="00845E49" w:rsidRPr="00C33195" w:rsidRDefault="00C33195" w:rsidP="00075751">
      <w:pPr>
        <w:pStyle w:val="Titolo1"/>
        <w:spacing w:before="0" w:after="200" w:line="360" w:lineRule="auto"/>
        <w:jc w:val="both"/>
        <w:rPr>
          <w:rFonts w:cs="Times New Roman"/>
          <w:sz w:val="28"/>
          <w:szCs w:val="24"/>
          <w:lang w:val="en-GB"/>
        </w:rPr>
      </w:pPr>
      <w:r>
        <w:rPr>
          <w:rFonts w:cs="Times New Roman"/>
          <w:sz w:val="28"/>
          <w:szCs w:val="24"/>
          <w:lang w:val="en-GB"/>
        </w:rPr>
        <w:t>Conclusion</w:t>
      </w:r>
    </w:p>
    <w:p w14:paraId="77E33D2D" w14:textId="77777777" w:rsidR="004D08D6" w:rsidRPr="00C33195" w:rsidRDefault="00767AAF"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 xml:space="preserve">A </w:t>
      </w:r>
      <w:r w:rsidR="00E62F04" w:rsidRPr="00C33195">
        <w:rPr>
          <w:rFonts w:ascii="Times New Roman" w:hAnsi="Times New Roman" w:cs="Times New Roman"/>
          <w:lang w:val="en-GB"/>
        </w:rPr>
        <w:t>direct</w:t>
      </w:r>
      <w:r w:rsidRPr="00C33195">
        <w:rPr>
          <w:rFonts w:ascii="Times New Roman" w:hAnsi="Times New Roman" w:cs="Times New Roman"/>
          <w:lang w:val="en-GB"/>
        </w:rPr>
        <w:t xml:space="preserve"> analytical approach consisting of an automated head space solid-phase microextraction sampler coupled to gas chromatography/mass spectrometry detection</w:t>
      </w:r>
      <w:r w:rsidR="004D08D6" w:rsidRPr="00C33195">
        <w:rPr>
          <w:rFonts w:ascii="Times New Roman" w:hAnsi="Times New Roman" w:cs="Times New Roman"/>
          <w:lang w:val="en-GB"/>
        </w:rPr>
        <w:t xml:space="preserve"> has been proposed for the detection and quantitation of VOCs in saliva without any prior derivatization.</w:t>
      </w:r>
    </w:p>
    <w:p w14:paraId="63AEDD22" w14:textId="77777777" w:rsidR="00845E49" w:rsidRPr="00C33195" w:rsidRDefault="00845E49"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 xml:space="preserve">In this pilot study </w:t>
      </w:r>
      <w:r w:rsidR="004D08D6" w:rsidRPr="00C33195">
        <w:rPr>
          <w:rFonts w:ascii="Times New Roman" w:hAnsi="Times New Roman" w:cs="Times New Roman"/>
          <w:lang w:val="en-GB"/>
        </w:rPr>
        <w:t>the novel analytical approach has been</w:t>
      </w:r>
      <w:r w:rsidR="00100483" w:rsidRPr="00C33195">
        <w:rPr>
          <w:rFonts w:ascii="Times New Roman" w:hAnsi="Times New Roman" w:cs="Times New Roman"/>
          <w:lang w:val="en-GB"/>
        </w:rPr>
        <w:t xml:space="preserve"> applied </w:t>
      </w:r>
      <w:r w:rsidRPr="00C33195">
        <w:rPr>
          <w:rFonts w:ascii="Times New Roman" w:hAnsi="Times New Roman" w:cs="Times New Roman"/>
          <w:lang w:val="en-GB"/>
        </w:rPr>
        <w:t>to investigate for the first time the dynamics of saliva</w:t>
      </w:r>
      <w:r w:rsidR="004D08D6" w:rsidRPr="00C33195">
        <w:rPr>
          <w:rFonts w:ascii="Times New Roman" w:hAnsi="Times New Roman" w:cs="Times New Roman"/>
          <w:lang w:val="en-GB"/>
        </w:rPr>
        <w:t>ry</w:t>
      </w:r>
      <w:r w:rsidRPr="00C33195">
        <w:rPr>
          <w:rFonts w:ascii="Times New Roman" w:hAnsi="Times New Roman" w:cs="Times New Roman"/>
          <w:lang w:val="en-GB"/>
        </w:rPr>
        <w:t xml:space="preserve"> volatile metabolites related to the perturbation of gut microbiota before, during and</w:t>
      </w:r>
      <w:r w:rsidR="00100483" w:rsidRPr="00C33195">
        <w:rPr>
          <w:rFonts w:ascii="Times New Roman" w:hAnsi="Times New Roman" w:cs="Times New Roman"/>
          <w:lang w:val="en-GB"/>
        </w:rPr>
        <w:t xml:space="preserve"> after treatment with </w:t>
      </w:r>
      <w:r w:rsidR="004D08D6" w:rsidRPr="00C33195">
        <w:rPr>
          <w:rFonts w:ascii="Times New Roman" w:hAnsi="Times New Roman" w:cs="Times New Roman"/>
          <w:lang w:val="en-GB"/>
        </w:rPr>
        <w:t>antibiotic</w:t>
      </w:r>
      <w:r w:rsidRPr="00C33195">
        <w:rPr>
          <w:rFonts w:ascii="Times New Roman" w:hAnsi="Times New Roman" w:cs="Times New Roman"/>
          <w:lang w:val="en-GB"/>
        </w:rPr>
        <w:t xml:space="preserve">.  </w:t>
      </w:r>
    </w:p>
    <w:p w14:paraId="46664FDF" w14:textId="054D2064" w:rsidR="00845E49" w:rsidRPr="00C33195" w:rsidRDefault="00845E49"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 xml:space="preserve">Saliva is a very feasible biological specimen as it can be easily collected and comprises metabolites absorbed in all gastrointestinal (GI) mucosae. Metabolites flow in the blood stream and are partitioned from blood trough salivary glands in saliva, thus reflecting globally the GI microbiota. This would represent an advantage with respect to the faecal analysis, considering that the composition of microbiota is different in the various parts of gut and that faeces composition reflects only the last part of gut. Furthermore, the results obtained from culture-based methods are not always in agreement with those obtained from culture-independent techniques </w:t>
      </w:r>
      <w:r w:rsidR="004A1861">
        <w:rPr>
          <w:rFonts w:ascii="Times New Roman" w:hAnsi="Times New Roman" w:cs="Times New Roman"/>
          <w:lang w:val="en-GB"/>
        </w:rPr>
        <w:fldChar w:fldCharType="begin" w:fldLock="1"/>
      </w:r>
      <w:r w:rsidR="004A1861">
        <w:rPr>
          <w:rFonts w:ascii="Times New Roman" w:hAnsi="Times New Roman" w:cs="Times New Roman"/>
          <w:lang w:val="en-GB"/>
        </w:rPr>
        <w:instrText>ADDIN CSL_CITATION {"citationItems":[{"id":"ITEM-1","itemData":{"DOI":"10.1128/mSystems.00201-17","ISSN":"2379-5077","abstract":"Human-associated microbial communities include prokaryotic and eukaryotic organisms across high-level clades of the tree of life. While advances in high-throughput sequencing technology allow for the study of diverse lineages, the vast majority of studies are limited to bacteria, and very little is known on how eukaryote microbes fit in the overall microbial ecology of the human gut.","author":[{"dropping-particle":"","family":"Laforest-Lapointe","given":"Isabelle","non-dropping-particle":"","parse-names":false,"suffix":""},{"dropping-particle":"","family":"Arrieta","given":"Marie-Claire","non-dropping-particle":"","parse-names":false,"suffix":""}],"container-title":"mSystems","id":"ITEM-1","issue":"2","issued":{"date-parts":[["2018"]]},"note":"mSystems00201-17[PII]\n29556538[pmid]\nmSystems","page":"e00201-17","title":"Microbial Eukaryotes: a Missing Link in Gut Microbiome Studies","type":"article-journal","volume":"3"},"uris":["http://www.mendeley.com/documents/?uuid=46469014-218d-4428-9021-9ff61b9e0014"]}],"mendeley":{"formattedCitation":"[74]","plainTextFormattedCitation":"[74]","previouslyFormattedCitation":"[74]"},"properties":{"noteIndex":0},"schema":"https://github.com/citation-style-language/schema/raw/master/csl-citation.json"}</w:instrText>
      </w:r>
      <w:r w:rsidR="004A1861">
        <w:rPr>
          <w:rFonts w:ascii="Times New Roman" w:hAnsi="Times New Roman" w:cs="Times New Roman"/>
          <w:lang w:val="en-GB"/>
        </w:rPr>
        <w:fldChar w:fldCharType="separate"/>
      </w:r>
      <w:r w:rsidR="004A1861" w:rsidRPr="004A1861">
        <w:rPr>
          <w:rFonts w:ascii="Times New Roman" w:hAnsi="Times New Roman" w:cs="Times New Roman"/>
          <w:noProof/>
          <w:lang w:val="en-GB"/>
        </w:rPr>
        <w:t>[74]</w:t>
      </w:r>
      <w:r w:rsidR="004A1861">
        <w:rPr>
          <w:rFonts w:ascii="Times New Roman" w:hAnsi="Times New Roman" w:cs="Times New Roman"/>
          <w:lang w:val="en-GB"/>
        </w:rPr>
        <w:fldChar w:fldCharType="end"/>
      </w:r>
      <w:r w:rsidR="008D427A">
        <w:rPr>
          <w:rFonts w:ascii="Times New Roman" w:hAnsi="Times New Roman" w:cs="Times New Roman"/>
          <w:lang w:val="en-GB"/>
        </w:rPr>
        <w:t>.</w:t>
      </w:r>
      <w:r w:rsidRPr="00C33195">
        <w:rPr>
          <w:rFonts w:ascii="Times New Roman" w:hAnsi="Times New Roman" w:cs="Times New Roman"/>
          <w:lang w:val="en-GB"/>
        </w:rPr>
        <w:t xml:space="preserve"> Moreover, the processing of faecal samples requires optimised and standardised protocols for their collection, homogenisation, microbial disruption and nucleic acid extraction</w:t>
      </w:r>
      <w:r w:rsidR="004A1861">
        <w:rPr>
          <w:rFonts w:ascii="Times New Roman" w:hAnsi="Times New Roman" w:cs="Times New Roman"/>
          <w:lang w:val="en-GB"/>
        </w:rPr>
        <w:t xml:space="preserve"> </w:t>
      </w:r>
      <w:r w:rsidR="004A1861">
        <w:rPr>
          <w:rFonts w:ascii="Times New Roman" w:hAnsi="Times New Roman" w:cs="Times New Roman"/>
          <w:lang w:val="en-GB"/>
        </w:rPr>
        <w:fldChar w:fldCharType="begin" w:fldLock="1"/>
      </w:r>
      <w:r w:rsidR="00D80A83">
        <w:rPr>
          <w:rFonts w:ascii="Times New Roman" w:hAnsi="Times New Roman" w:cs="Times New Roman"/>
          <w:lang w:val="en-GB"/>
        </w:rPr>
        <w:instrText>ADDIN CSL_CITATION {"citationItems":[{"id":"ITEM-1","itemData":{"DOI":"10.1186/1471-2180-14-112","ISSN":"1471-2180","abstract":"BACKGROUND: The microbial community analysis of stools requires optimised and standardised protocols for their collection, homogenisation, microbial disruption and nucleic acid extraction. Here we examined whether different layers of the stool are equally representative of the microbiome. We also studied the effect of stool water content, which typically increases in diarrhoeic samples, and of a microbial disruption method on DNA integrity and, therefore, on providing an unbiased microbial composition analysis. RESULTS: We collected faecal samples from healthy subjects and performed microbial composition analysis by pyrosequencing the V4 region of the 16S rRNA gene. To examine the effect of stool structure, we compared the inner and outer layers of the samples (N = 8). Both layers presented minor differences in microbial composition and abundance at the species level. These differences did not significantly bias the microbial community specific to an individual. To evaluate the effect of stool water content and bead-beating, we used various volumes of a water-based salt solution and beads of distinct weights before nucleic acid extraction (N = 4). The different proportions of water did not affect the UniFrac-based clustering of samples from the same subject However, the use or omission of a bead-beating step produced different proportions of Gram-positive and Gram-negative bacteria and significant changes in the UniFrac-based clustering of the samples. CONCLUSION: The degree of hydration and homogenisation of faecal samples do not significantly alter their microbial community composition. However, the use of bead-beating is critical for the proper detection of Gram-positive bacteria such as Blautia and Bifidobacterium.","author":[{"dropping-particle":"","family":"Santiago","given":"Alba","non-dropping-particle":"","parse-names":false,"suffix":""},{"dropping-particle":"","family":"Panda","given":"Suchita","non-dropping-particle":"","parse-names":false,"suffix":""},{"dropping-particle":"","family":"Mengels","given":"Griet","non-dropping-particle":"","parse-names":false,"suffix":""},{"dropping-particle":"","family":"Martinez","given":"Xavier","non-dropping-particle":"","parse-names":false,"suffix":""},{"dropping-particle":"","family":"Azpiroz","given":"Fernando","non-dropping-particle":"","parse-names":false,"suffix":""},{"dropping-particle":"","family":"Dore","given":"Joel","non-dropping-particle":"","parse-names":false,"suffix":""},{"dropping-particle":"","family":"Guarner","given":"Francisco","non-dropping-particle":"","parse-names":false,"suffix":""},{"dropping-particle":"","family":"Manichanh","given":"Chaysavanh","non-dropping-particle":"","parse-names":false,"suffix":""}],"container-title":"BMC Microbiology","id":"ITEM-1","issued":{"date-parts":[["2014"]]},"note":"1471-2180-14-112[PII]\n24884524[pmid]\nBMC Microbiol","page":"112","title":"Processing faecal samples: a step forward for standards in microbial community analysis","type":"article-journal","volume":"14"},"uris":["http://www.mendeley.com/documents/?uuid=1aa3c1a9-3b41-4639-8492-3fab3fd70d70"]}],"mendeley":{"formattedCitation":"[5]","plainTextFormattedCitation":"[5]","previouslyFormattedCitation":"[5]"},"properties":{"noteIndex":0},"schema":"https://github.com/citation-style-language/schema/raw/master/csl-citation.json"}</w:instrText>
      </w:r>
      <w:r w:rsidR="004A1861">
        <w:rPr>
          <w:rFonts w:ascii="Times New Roman" w:hAnsi="Times New Roman" w:cs="Times New Roman"/>
          <w:lang w:val="en-GB"/>
        </w:rPr>
        <w:fldChar w:fldCharType="separate"/>
      </w:r>
      <w:r w:rsidR="004A1861" w:rsidRPr="004A1861">
        <w:rPr>
          <w:rFonts w:ascii="Times New Roman" w:hAnsi="Times New Roman" w:cs="Times New Roman"/>
          <w:noProof/>
          <w:lang w:val="en-GB"/>
        </w:rPr>
        <w:t>[5]</w:t>
      </w:r>
      <w:r w:rsidR="004A1861">
        <w:rPr>
          <w:rFonts w:ascii="Times New Roman" w:hAnsi="Times New Roman" w:cs="Times New Roman"/>
          <w:lang w:val="en-GB"/>
        </w:rPr>
        <w:fldChar w:fldCharType="end"/>
      </w:r>
      <w:r w:rsidR="008D427A">
        <w:rPr>
          <w:rFonts w:ascii="Times New Roman" w:hAnsi="Times New Roman" w:cs="Times New Roman"/>
          <w:lang w:val="en-GB"/>
        </w:rPr>
        <w:t>.</w:t>
      </w:r>
    </w:p>
    <w:p w14:paraId="5E12F4C7" w14:textId="2EDC66E7" w:rsidR="00845E49" w:rsidRPr="00C33195" w:rsidRDefault="00845E49"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 xml:space="preserve">Although the vast majority of studies on VOC biomarkers have been conducted using exhaled breath samples, thanks to the non-invasiveness and safety of the sampling process, VOCs analysis in exhaled breath is still challenging due to the low concentrations of the VOCs, the difficult in breath storage and to the absence of standard sampling and analysis protocols </w:t>
      </w:r>
      <w:r w:rsidR="00D80A83">
        <w:rPr>
          <w:rFonts w:ascii="Times New Roman" w:hAnsi="Times New Roman" w:cs="Times New Roman"/>
          <w:lang w:val="en-GB"/>
        </w:rPr>
        <w:fldChar w:fldCharType="begin" w:fldLock="1"/>
      </w:r>
      <w:r w:rsidR="00D80A83">
        <w:rPr>
          <w:rFonts w:ascii="Times New Roman" w:hAnsi="Times New Roman" w:cs="Times New Roman"/>
          <w:lang w:val="en-GB"/>
        </w:rPr>
        <w:instrText>ADDIN CSL_CITATION {"citationItems":[{"id":"ITEM-1","itemData":{"DOI":"https://doi.org/10.1016/j.aca.2018.03.046","ISSN":"0003-2670","abstract":"Microbiota composition and its metabolic capacity are very important for host health. Evidence suggests that gut microbiome is involved in the metabolites production by host-microbiome interaction. These metabolites can be absorbed in blood and excreted in exhaled air. Although, profiles of gut microbiota and exhaled metabolites were associated with gastrointestinal diseases, a direct link between them has not yet been investigated. The aim of the study was to investigate the relation between volatiles in breath and gut microbiome in active and quiescent Crohn's disease (CD) via a multivariate statistical approach. Canonical correlation analysis (CCA) was used to assess the relation between exhaled metabolites and faecal bacterial species. From 68 CD patients, 184 repeated faecal and breath samples were collected (92 active and 92 quiescent disease). The microbiota composition was assessed by the pyrosequencing of the 16 S rRNA V1-V3 gene region and breath metabolites by gas chromatography mass spectrometry. In active disease, CCA analysis identified 18 metabolites significantly correlated with 19 faecal bacterial taxa (R = 0.91 p-value 3.5*10-4). In quiescent disease 17 volatile metabolites were correlated with 17 bacterial taxa (R = 0.96 p-value 2.8*10-4). Nine metabolites and three bacteria taxa overlapped in active and inactive CD. This is the first study that shows a significant relation between gut microbiome and exhaled metabolites, and was found to differ between active and quiescent CD, indicating various underlying mechanisms. Unravelling this link is essential to increase our understanding on the functional effects of the microbiome and may provide new leads for microbiome-targeted intervention.","author":[{"dropping-particle":"","family":"Smolinska","given":"Agnieszka","non-dropping-particle":"","parse-names":false,"suffix":""},{"dropping-particle":"","family":"Tedjo","given":"Danyta I","non-dropping-particle":"","parse-names":false,"suffix":""},{"dropping-particle":"","family":"Blanchet","given":"Lionel","non-dropping-particle":"","parse-names":false,"suffix":""},{"dropping-particle":"","family":"Bodelier","given":"Alexander","non-dropping-particle":"","parse-names":false,"suffix":""},{"dropping-particle":"","family":"Pierik","given":"Marieke J","non-dropping-particle":"","parse-names":false,"suffix":""},{"dropping-particle":"","family":"Masclee","given":"Ad A M","non-dropping-particle":"","parse-names":false,"suffix":""},{"dropping-particle":"","family":"Dallinga","given":"Jan","non-dropping-particle":"","parse-names":false,"suffix":""},{"dropping-particle":"","family":"Savelkoul","given":"Paul H M","non-dropping-particle":"","parse-names":false,"suffix":""},{"dropping-particle":"","family":"Jonkers","given":"Daisy M A E","non-dropping-particle":"","parse-names":false,"suffix":""},{"dropping-particle":"","family":"Penders","given":"John","non-dropping-particle":"","parse-names":false,"suffix":""},{"dropping-particle":"","family":"Schooten","given":"Frederik-Jan","non-dropping-particle":"van","parse-names":false,"suffix":""}],"container-title":"Analytica Chimica Acta","id":"ITEM-1","issued":{"date-parts":[["2018"]]},"title":"Volatile metabolites in breath strongly correlate with gut microbiome in CD patients","type":"article-journal"},"uris":["http://www.mendeley.com/documents/?uuid=13aab984-e52b-4136-b8fe-34c3b8df05b3"]}],"mendeley":{"formattedCitation":"[47]","plainTextFormattedCitation":"[47]"},"properties":{"noteIndex":0},"schema":"https://github.com/citation-style-language/schema/raw/master/csl-citation.json"}</w:instrText>
      </w:r>
      <w:r w:rsidR="00D80A83">
        <w:rPr>
          <w:rFonts w:ascii="Times New Roman" w:hAnsi="Times New Roman" w:cs="Times New Roman"/>
          <w:lang w:val="en-GB"/>
        </w:rPr>
        <w:fldChar w:fldCharType="separate"/>
      </w:r>
      <w:r w:rsidR="00D80A83" w:rsidRPr="00D80A83">
        <w:rPr>
          <w:rFonts w:ascii="Times New Roman" w:hAnsi="Times New Roman" w:cs="Times New Roman"/>
          <w:noProof/>
          <w:lang w:val="en-GB"/>
        </w:rPr>
        <w:t>[47]</w:t>
      </w:r>
      <w:r w:rsidR="00D80A83">
        <w:rPr>
          <w:rFonts w:ascii="Times New Roman" w:hAnsi="Times New Roman" w:cs="Times New Roman"/>
          <w:lang w:val="en-GB"/>
        </w:rPr>
        <w:fldChar w:fldCharType="end"/>
      </w:r>
      <w:r w:rsidR="00D80A83">
        <w:rPr>
          <w:rFonts w:ascii="Times New Roman" w:hAnsi="Times New Roman" w:cs="Times New Roman"/>
          <w:lang w:val="en-GB"/>
        </w:rPr>
        <w:t>.</w:t>
      </w:r>
      <w:bookmarkStart w:id="1" w:name="_GoBack"/>
      <w:bookmarkEnd w:id="1"/>
    </w:p>
    <w:p w14:paraId="18455D2C" w14:textId="77777777" w:rsidR="00845E49" w:rsidRPr="00C33195" w:rsidRDefault="00845E49"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 xml:space="preserve">The variations of some metabolites, known to be produced by the microbiota and by bacteria that are susceptible to antibiotic, suggest that the study of the dynamics of salivary metabolites can be an excellent indirect method for </w:t>
      </w:r>
      <w:proofErr w:type="spellStart"/>
      <w:r w:rsidRPr="00C33195">
        <w:rPr>
          <w:rFonts w:ascii="Times New Roman" w:hAnsi="Times New Roman" w:cs="Times New Roman"/>
          <w:lang w:val="en-GB"/>
        </w:rPr>
        <w:t>analyzing</w:t>
      </w:r>
      <w:proofErr w:type="spellEnd"/>
      <w:r w:rsidRPr="00C33195">
        <w:rPr>
          <w:rFonts w:ascii="Times New Roman" w:hAnsi="Times New Roman" w:cs="Times New Roman"/>
          <w:lang w:val="en-GB"/>
        </w:rPr>
        <w:t xml:space="preserve"> the gut microbiota, with the advantage of being less influenced by the sampling error typical of direct bacterial evaluations. </w:t>
      </w:r>
    </w:p>
    <w:p w14:paraId="38142386" w14:textId="77777777" w:rsidR="0044353A" w:rsidRPr="00C33195" w:rsidRDefault="0044353A" w:rsidP="00875587">
      <w:pPr>
        <w:spacing w:line="360" w:lineRule="auto"/>
        <w:rPr>
          <w:rFonts w:cs="Times New Roman"/>
          <w:lang w:val="en-GB"/>
        </w:rPr>
      </w:pPr>
    </w:p>
    <w:p w14:paraId="77A38A8B" w14:textId="77777777" w:rsidR="0044353A" w:rsidRPr="00C33195" w:rsidRDefault="0044353A" w:rsidP="00875587">
      <w:pPr>
        <w:spacing w:line="360" w:lineRule="auto"/>
        <w:rPr>
          <w:rFonts w:ascii="Times New Roman" w:hAnsi="Times New Roman" w:cs="Times New Roman"/>
          <w:b/>
          <w:lang w:val="en-GB"/>
        </w:rPr>
      </w:pPr>
      <w:proofErr w:type="spellStart"/>
      <w:r w:rsidRPr="00C33195">
        <w:rPr>
          <w:rFonts w:ascii="Times New Roman" w:hAnsi="Times New Roman" w:cs="Times New Roman"/>
          <w:b/>
          <w:lang w:val="en-GB"/>
        </w:rPr>
        <w:t>A</w:t>
      </w:r>
      <w:r w:rsidR="008849A9" w:rsidRPr="00C33195">
        <w:rPr>
          <w:rFonts w:ascii="Times New Roman" w:hAnsi="Times New Roman" w:cs="Times New Roman"/>
          <w:b/>
          <w:lang w:val="en-GB"/>
        </w:rPr>
        <w:t>knowledgements</w:t>
      </w:r>
      <w:proofErr w:type="spellEnd"/>
      <w:r w:rsidR="00590C1E" w:rsidRPr="00C33195">
        <w:rPr>
          <w:rFonts w:ascii="Times New Roman" w:hAnsi="Times New Roman" w:cs="Times New Roman"/>
          <w:b/>
          <w:lang w:val="en-GB"/>
        </w:rPr>
        <w:t xml:space="preserve"> </w:t>
      </w:r>
    </w:p>
    <w:p w14:paraId="2EFD7256" w14:textId="23F97F0E" w:rsidR="00845E49" w:rsidRDefault="00590C1E" w:rsidP="00875587">
      <w:pPr>
        <w:spacing w:line="360" w:lineRule="auto"/>
        <w:jc w:val="both"/>
        <w:rPr>
          <w:rFonts w:ascii="Times New Roman" w:hAnsi="Times New Roman" w:cs="Times New Roman"/>
          <w:lang w:val="en-GB"/>
        </w:rPr>
      </w:pPr>
      <w:r w:rsidRPr="00C33195">
        <w:rPr>
          <w:rFonts w:ascii="Times New Roman" w:hAnsi="Times New Roman" w:cs="Times New Roman"/>
          <w:lang w:val="en-GB"/>
        </w:rPr>
        <w:t xml:space="preserve">This work is dedicated to Dr </w:t>
      </w:r>
      <w:r w:rsidR="0044353A" w:rsidRPr="00C33195">
        <w:rPr>
          <w:rFonts w:ascii="Times New Roman" w:hAnsi="Times New Roman" w:cs="Times New Roman"/>
          <w:lang w:val="en-GB"/>
        </w:rPr>
        <w:t xml:space="preserve">Giovanni Battista </w:t>
      </w:r>
      <w:proofErr w:type="spellStart"/>
      <w:r w:rsidR="0044353A" w:rsidRPr="00C33195">
        <w:rPr>
          <w:rFonts w:ascii="Times New Roman" w:hAnsi="Times New Roman" w:cs="Times New Roman"/>
          <w:lang w:val="en-GB"/>
        </w:rPr>
        <w:t>Gerva</w:t>
      </w:r>
      <w:r w:rsidRPr="00C33195">
        <w:rPr>
          <w:rFonts w:ascii="Times New Roman" w:hAnsi="Times New Roman" w:cs="Times New Roman"/>
          <w:lang w:val="en-GB"/>
        </w:rPr>
        <w:t>si</w:t>
      </w:r>
      <w:proofErr w:type="spellEnd"/>
      <w:r w:rsidRPr="00C33195">
        <w:rPr>
          <w:rFonts w:ascii="Times New Roman" w:hAnsi="Times New Roman" w:cs="Times New Roman"/>
          <w:lang w:val="en-GB"/>
        </w:rPr>
        <w:t xml:space="preserve"> </w:t>
      </w:r>
      <w:r w:rsidR="00231C25" w:rsidRPr="00C33195">
        <w:rPr>
          <w:rFonts w:ascii="Times New Roman" w:hAnsi="Times New Roman" w:cs="Times New Roman"/>
          <w:lang w:val="en-GB"/>
        </w:rPr>
        <w:t xml:space="preserve">of </w:t>
      </w:r>
      <w:proofErr w:type="spellStart"/>
      <w:r w:rsidR="00231C25" w:rsidRPr="00C33195">
        <w:rPr>
          <w:rFonts w:ascii="Times New Roman" w:hAnsi="Times New Roman" w:cs="Times New Roman"/>
          <w:lang w:val="en-GB"/>
        </w:rPr>
        <w:t>Laboratori</w:t>
      </w:r>
      <w:proofErr w:type="spellEnd"/>
      <w:r w:rsidR="00231C25" w:rsidRPr="00C33195">
        <w:rPr>
          <w:rFonts w:ascii="Times New Roman" w:hAnsi="Times New Roman" w:cs="Times New Roman"/>
          <w:lang w:val="en-GB"/>
        </w:rPr>
        <w:t xml:space="preserve"> Baldacci, Pisa (Italy) </w:t>
      </w:r>
      <w:r w:rsidRPr="00C33195">
        <w:rPr>
          <w:rFonts w:ascii="Times New Roman" w:hAnsi="Times New Roman" w:cs="Times New Roman"/>
          <w:lang w:val="en-GB"/>
        </w:rPr>
        <w:t xml:space="preserve">that believed in the goodness of </w:t>
      </w:r>
      <w:r w:rsidR="00AB2656" w:rsidRPr="00C33195">
        <w:rPr>
          <w:rFonts w:ascii="Times New Roman" w:hAnsi="Times New Roman" w:cs="Times New Roman"/>
          <w:lang w:val="en-GB"/>
        </w:rPr>
        <w:t>saliva analysis</w:t>
      </w:r>
      <w:r w:rsidRPr="00C33195">
        <w:rPr>
          <w:rFonts w:ascii="Times New Roman" w:hAnsi="Times New Roman" w:cs="Times New Roman"/>
          <w:lang w:val="en-GB"/>
        </w:rPr>
        <w:t xml:space="preserve"> </w:t>
      </w:r>
      <w:r w:rsidR="00231C25" w:rsidRPr="00C33195">
        <w:rPr>
          <w:rFonts w:ascii="Times New Roman" w:hAnsi="Times New Roman" w:cs="Times New Roman"/>
          <w:lang w:val="en-GB"/>
        </w:rPr>
        <w:t>and in its potentialities in drug development.</w:t>
      </w:r>
    </w:p>
    <w:p w14:paraId="358C061E" w14:textId="383B97EF" w:rsidR="00EE3045" w:rsidRDefault="00EE3045" w:rsidP="00875587">
      <w:pPr>
        <w:spacing w:line="360" w:lineRule="auto"/>
        <w:jc w:val="both"/>
        <w:rPr>
          <w:rFonts w:ascii="Times New Roman" w:hAnsi="Times New Roman" w:cs="Times New Roman"/>
          <w:lang w:val="en-GB"/>
        </w:rPr>
      </w:pPr>
    </w:p>
    <w:p w14:paraId="61408C8E" w14:textId="4E48FAA0" w:rsidR="00B27887" w:rsidRPr="00B27887" w:rsidRDefault="00B27887" w:rsidP="00875587">
      <w:pPr>
        <w:spacing w:line="360" w:lineRule="auto"/>
        <w:jc w:val="both"/>
        <w:rPr>
          <w:rFonts w:ascii="Times New Roman" w:hAnsi="Times New Roman" w:cs="Times New Roman"/>
          <w:b/>
          <w:bCs/>
          <w:lang w:val="en-GB"/>
        </w:rPr>
      </w:pPr>
      <w:r w:rsidRPr="00B27887">
        <w:rPr>
          <w:rFonts w:ascii="Times New Roman" w:hAnsi="Times New Roman" w:cs="Times New Roman"/>
          <w:b/>
          <w:bCs/>
          <w:lang w:val="en-GB"/>
        </w:rPr>
        <w:t>REFERENCES</w:t>
      </w:r>
    </w:p>
    <w:p w14:paraId="0B6716F5" w14:textId="5B236D3A" w:rsidR="00D80A83" w:rsidRPr="00D80A83" w:rsidRDefault="00EE3045" w:rsidP="00D80A83">
      <w:pPr>
        <w:widowControl w:val="0"/>
        <w:autoSpaceDE w:val="0"/>
        <w:autoSpaceDN w:val="0"/>
        <w:adjustRightInd w:val="0"/>
        <w:spacing w:line="360" w:lineRule="auto"/>
        <w:ind w:left="640" w:hanging="640"/>
        <w:rPr>
          <w:rFonts w:ascii="Times New Roman" w:hAnsi="Times New Roman" w:cs="Times New Roman"/>
          <w:noProof/>
        </w:rPr>
      </w:pPr>
      <w:r>
        <w:rPr>
          <w:rFonts w:ascii="Times New Roman" w:hAnsi="Times New Roman" w:cs="Times New Roman"/>
          <w:lang w:val="en-GB"/>
        </w:rPr>
        <w:fldChar w:fldCharType="begin" w:fldLock="1"/>
      </w:r>
      <w:r>
        <w:rPr>
          <w:rFonts w:ascii="Times New Roman" w:hAnsi="Times New Roman" w:cs="Times New Roman"/>
          <w:lang w:val="en-GB"/>
        </w:rPr>
        <w:instrText xml:space="preserve">ADDIN Mendeley Bibliography CSL_BIBLIOGRAPHY </w:instrText>
      </w:r>
      <w:r>
        <w:rPr>
          <w:rFonts w:ascii="Times New Roman" w:hAnsi="Times New Roman" w:cs="Times New Roman"/>
          <w:lang w:val="en-GB"/>
        </w:rPr>
        <w:fldChar w:fldCharType="separate"/>
      </w:r>
      <w:r w:rsidR="00D80A83" w:rsidRPr="00D80A83">
        <w:rPr>
          <w:rFonts w:ascii="Times New Roman" w:hAnsi="Times New Roman" w:cs="Times New Roman"/>
          <w:noProof/>
        </w:rPr>
        <w:t xml:space="preserve">1. </w:t>
      </w:r>
      <w:r w:rsidR="00D80A83" w:rsidRPr="00D80A83">
        <w:rPr>
          <w:rFonts w:ascii="Times New Roman" w:hAnsi="Times New Roman" w:cs="Times New Roman"/>
          <w:noProof/>
        </w:rPr>
        <w:tab/>
        <w:t xml:space="preserve">Panek M, Paljetak HC, Baresic A, Peric M, Matijasic M, Lojkic I, Bender D V, Krznaric Z, Verbanac D (2018) Methodology challenges in studying human gut microbiota - effects of collection, storage, DNA extraction and next generation sequencing technologies. Sci Rep 8: </w:t>
      </w:r>
      <w:r w:rsidR="00D80A83" w:rsidRPr="00D80A83">
        <w:rPr>
          <w:rFonts w:ascii="Times New Roman" w:hAnsi="Times New Roman" w:cs="Times New Roman"/>
          <w:noProof/>
        </w:rPr>
        <w:lastRenderedPageBreak/>
        <w:t>. doi: 10.1038/s41598-018-23296-4</w:t>
      </w:r>
    </w:p>
    <w:p w14:paraId="0CE85DFE"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2. </w:t>
      </w:r>
      <w:r w:rsidRPr="00D80A83">
        <w:rPr>
          <w:rFonts w:ascii="Times New Roman" w:hAnsi="Times New Roman" w:cs="Times New Roman"/>
          <w:noProof/>
        </w:rPr>
        <w:tab/>
        <w:t>Alonso A, Marsal S, JuliÃ  A (2015) Analytical Methods in Untargeted Metabolomics: State of the Art in 2015. Front Bioeng Biotechnol. doi: 10.3389/fbioe.2015.00023</w:t>
      </w:r>
    </w:p>
    <w:p w14:paraId="496A9A76"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3. </w:t>
      </w:r>
      <w:r w:rsidRPr="00D80A83">
        <w:rPr>
          <w:rFonts w:ascii="Times New Roman" w:hAnsi="Times New Roman" w:cs="Times New Roman"/>
          <w:noProof/>
        </w:rPr>
        <w:tab/>
        <w:t>Lenz EM, Wilson ID (2007) Analytical strategies in metabonomics. J. Proteome Res.</w:t>
      </w:r>
    </w:p>
    <w:p w14:paraId="19B47BC2"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4. </w:t>
      </w:r>
      <w:r w:rsidRPr="00D80A83">
        <w:rPr>
          <w:rFonts w:ascii="Times New Roman" w:hAnsi="Times New Roman" w:cs="Times New Roman"/>
          <w:noProof/>
        </w:rPr>
        <w:tab/>
        <w:t>Moosmang S, Pitscheider M, Sturm S, Seger C, Tilg H, Halabalaki M, Stuppner H (2017) Metabolomic analysis—Addressing NMR and LC-MS related problems in human feces sample preparation. Clin Chim Acta. doi: https://doi.org/10.1016/j.cca.2017.10.029</w:t>
      </w:r>
    </w:p>
    <w:p w14:paraId="3BFC819E"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5. </w:t>
      </w:r>
      <w:r w:rsidRPr="00D80A83">
        <w:rPr>
          <w:rFonts w:ascii="Times New Roman" w:hAnsi="Times New Roman" w:cs="Times New Roman"/>
          <w:noProof/>
        </w:rPr>
        <w:tab/>
        <w:t>Santiago A, Panda S, Mengels G, Martinez X, Azpiroz F, Dore J, Guarner F, Manichanh C (2014) Processing faecal samples: a step forward for standards in microbial community analysis. BMC Microbiol 14:112 . doi: 10.1186/1471-2180-14-112</w:t>
      </w:r>
    </w:p>
    <w:p w14:paraId="61055074"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6. </w:t>
      </w:r>
      <w:r w:rsidRPr="00D80A83">
        <w:rPr>
          <w:rFonts w:ascii="Times New Roman" w:hAnsi="Times New Roman" w:cs="Times New Roman"/>
          <w:noProof/>
        </w:rPr>
        <w:tab/>
        <w:t>Michalke B, Rossbach B, Göen T, Schäferhenrich A, Scherer G, Hartwig A, null  null (2016) Saliva as a matrix for human biomonitoring in occupational and environmental medicine [Biomonitoring Methods, 2015]. MAK‐Collection Occup Heal Saf. doi: doi:10.1002/3527600418.bisalivae2115</w:t>
      </w:r>
    </w:p>
    <w:p w14:paraId="23EC6BFA"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7. </w:t>
      </w:r>
      <w:r w:rsidRPr="00D80A83">
        <w:rPr>
          <w:rFonts w:ascii="Times New Roman" w:hAnsi="Times New Roman" w:cs="Times New Roman"/>
          <w:noProof/>
        </w:rPr>
        <w:tab/>
        <w:t>Biagi S, Ghimenti S, Onor M, Bramanti E (2012) Simultaneous determination of lactate and pyruvate in human sweat using reversed-phase high-performance liquid chromatography: A noninvasive approach. Biomed Chromatogr 26: . doi: 10.1002/bmc.2713</w:t>
      </w:r>
    </w:p>
    <w:p w14:paraId="3FF716A2"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8. </w:t>
      </w:r>
      <w:r w:rsidRPr="00D80A83">
        <w:rPr>
          <w:rFonts w:ascii="Times New Roman" w:hAnsi="Times New Roman" w:cs="Times New Roman"/>
          <w:noProof/>
        </w:rPr>
        <w:tab/>
        <w:t>Bessonneau V, Boyaci E, Maciazek-Jurczyk M, Pawliszyn J (2015) In vivo solid phase microextraction sampling of human saliva for non-invasive and on-site monitoring. Anal Chim Acta 856:35–45 . doi: 10.1016/j.aca.2014.11.029</w:t>
      </w:r>
    </w:p>
    <w:p w14:paraId="052C2344"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9. </w:t>
      </w:r>
      <w:r w:rsidRPr="00D80A83">
        <w:rPr>
          <w:rFonts w:ascii="Times New Roman" w:hAnsi="Times New Roman" w:cs="Times New Roman"/>
          <w:noProof/>
        </w:rPr>
        <w:tab/>
        <w:t>Bonne NJ, Wong DTW (2012) Salivary biomarker development using genomic, proteomic and metabolomic approaches. Genome Med 4: . doi: 10.1186/gm383</w:t>
      </w:r>
    </w:p>
    <w:p w14:paraId="09519616"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10. </w:t>
      </w:r>
      <w:r w:rsidRPr="00D80A83">
        <w:rPr>
          <w:rFonts w:ascii="Times New Roman" w:hAnsi="Times New Roman" w:cs="Times New Roman"/>
          <w:noProof/>
        </w:rPr>
        <w:tab/>
        <w:t>Lomonaco T, Ghimenti S, Piga I, Biagini D, Onor M, Fuoco R, Di Francesco F (2014) Influence of Sampling on the Determination of Warfarin and Warfarin Alcohols in Oral Fluid. PLoS One 9: . doi: 10.1371/journal.pone.0114430</w:t>
      </w:r>
    </w:p>
    <w:p w14:paraId="19F78E2E"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11. </w:t>
      </w:r>
      <w:r w:rsidRPr="00D80A83">
        <w:rPr>
          <w:rFonts w:ascii="Times New Roman" w:hAnsi="Times New Roman" w:cs="Times New Roman"/>
          <w:noProof/>
        </w:rPr>
        <w:tab/>
        <w:t>Lomonaco T, Ghimenti S, Biagini D, Bramanti E, Onor M, Bellagambi FG, Fuoco R, Di Francesco F (2018) The effect of sampling procedures on the urate and lactate concentration in oral fluid. Microchem J. doi: 10.1016/j.microc.2017.02.032</w:t>
      </w:r>
    </w:p>
    <w:p w14:paraId="4916396D"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12. </w:t>
      </w:r>
      <w:r w:rsidRPr="00D80A83">
        <w:rPr>
          <w:rFonts w:ascii="Times New Roman" w:hAnsi="Times New Roman" w:cs="Times New Roman"/>
          <w:noProof/>
        </w:rPr>
        <w:tab/>
        <w:t>Cuevas-Cordoba B, Santiago-Garcia J (2014) Saliva: A Fluid of Study for OMICS. Omi J Integr Biol 18:87–97 . doi: 10.1089/omi.2013.0064</w:t>
      </w:r>
    </w:p>
    <w:p w14:paraId="74A5E5B5"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13. </w:t>
      </w:r>
      <w:r w:rsidRPr="00D80A83">
        <w:rPr>
          <w:rFonts w:ascii="Times New Roman" w:hAnsi="Times New Roman" w:cs="Times New Roman"/>
          <w:noProof/>
        </w:rPr>
        <w:tab/>
        <w:t>Lima DP, Diniz DG, Moimaz SAS, Sumida DH, Okamoto AC (2010) Saliva: reflection of the body. Int J Infect Dis 14:e184–e188 . doi: https://doi.org/10.1016/j.ijid.2009.04.022</w:t>
      </w:r>
    </w:p>
    <w:p w14:paraId="1B6A4C2A"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14. </w:t>
      </w:r>
      <w:r w:rsidRPr="00D80A83">
        <w:rPr>
          <w:rFonts w:ascii="Times New Roman" w:hAnsi="Times New Roman" w:cs="Times New Roman"/>
          <w:noProof/>
        </w:rPr>
        <w:tab/>
        <w:t>Aas JA, Paster BJ, Stokes LN, Olsen I, Dewhirst FE (2005) Defining the normal bacterial flora of the oral cavity. J Clin Microbiol 43:5721–5732 . doi: 10.1128/jcm.43.11.5721-</w:t>
      </w:r>
      <w:r w:rsidRPr="00D80A83">
        <w:rPr>
          <w:rFonts w:ascii="Times New Roman" w:hAnsi="Times New Roman" w:cs="Times New Roman"/>
          <w:noProof/>
        </w:rPr>
        <w:lastRenderedPageBreak/>
        <w:t>5732.2005</w:t>
      </w:r>
    </w:p>
    <w:p w14:paraId="57F8A107"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15. </w:t>
      </w:r>
      <w:r w:rsidRPr="00D80A83">
        <w:rPr>
          <w:rFonts w:ascii="Times New Roman" w:hAnsi="Times New Roman" w:cs="Times New Roman"/>
          <w:noProof/>
        </w:rPr>
        <w:tab/>
        <w:t>Takeshita T, Kageyama S, Furuta M, Tsuboi H, Takeuchi K, Shibata Y, Shimazaki Y, Akifusa S, Ninomiya T, Kiyohara Y, Yamashita Y (2016) Bacterial diversity in saliva and oral health-related conditions: the Hisayama Study. Sci Rep 6:22164 . doi: 10.1038/srep22164 https://www.nature.com/articles/srep22164#supplementary-information</w:t>
      </w:r>
    </w:p>
    <w:p w14:paraId="7846651A"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16. </w:t>
      </w:r>
      <w:r w:rsidRPr="00D80A83">
        <w:rPr>
          <w:rFonts w:ascii="Times New Roman" w:hAnsi="Times New Roman" w:cs="Times New Roman"/>
          <w:noProof/>
        </w:rPr>
        <w:tab/>
        <w:t>Dame ZT, Aziat F, Mandal R, Krishnamurthy R, Bouatra S, Borzouie S, Guo AC, Sajed T, Deng L, Lin H, Liu P, Dong E, Wishart DS (2015) The human saliva metabolome. Metabolomics 11:1864–1883 . doi: 10.1007/s11306-015-0840-5</w:t>
      </w:r>
    </w:p>
    <w:p w14:paraId="3FA1954D"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17. </w:t>
      </w:r>
      <w:r w:rsidRPr="00D80A83">
        <w:rPr>
          <w:rFonts w:ascii="Times New Roman" w:hAnsi="Times New Roman" w:cs="Times New Roman"/>
          <w:noProof/>
        </w:rPr>
        <w:tab/>
        <w:t>Kaczor-Urbanowicz KE, Carreras-Presas CM, Aro K, Tu M, Garcia-Godoy F, Wong DTW (2017) Saliva diagnostics - Current views and directions. Exp Biol Med 242:459–472 . doi: 10.1177/1535370216681550</w:t>
      </w:r>
    </w:p>
    <w:p w14:paraId="34E97261"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18. </w:t>
      </w:r>
      <w:r w:rsidRPr="00D80A83">
        <w:rPr>
          <w:rFonts w:ascii="Times New Roman" w:hAnsi="Times New Roman" w:cs="Times New Roman"/>
          <w:noProof/>
        </w:rPr>
        <w:tab/>
        <w:t>Relvas M, Tomas I, Casares-De-Cal MD, Velazco C (2015) Evaluation of a new oral health scale of infectious potential based on the salivary microbiota. Clin Oral Investig 19:717–728 . doi: 10.1007/s00784-014-1286-2</w:t>
      </w:r>
    </w:p>
    <w:p w14:paraId="7AD5D10C"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19. </w:t>
      </w:r>
      <w:r w:rsidRPr="00D80A83">
        <w:rPr>
          <w:rFonts w:ascii="Times New Roman" w:hAnsi="Times New Roman" w:cs="Times New Roman"/>
          <w:noProof/>
        </w:rPr>
        <w:tab/>
        <w:t>He JY, Huang WJ, Pan ZW, Cui HH, Qi GG, Zhou XP, Chen H (2012) Quantitative analysis of microbiota in saliva, supragingival, and subgingival plaque of Chinese adults with chronic periodontitis. Clin Oral Investig 16:1579–1588 . doi: 10.1007/s00784-011-0654-4</w:t>
      </w:r>
    </w:p>
    <w:p w14:paraId="77C1A315"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20. </w:t>
      </w:r>
      <w:r w:rsidRPr="00D80A83">
        <w:rPr>
          <w:rFonts w:ascii="Times New Roman" w:hAnsi="Times New Roman" w:cs="Times New Roman"/>
          <w:noProof/>
        </w:rPr>
        <w:tab/>
        <w:t>Xu Y, Teng F, Huang S, Lin ZM, Yuan X, Zeng XW, Yang F (2014) Changes of saliva microbiota in nasopharyngeal carcinoma patients under chemoradiation therapy. Arch Oral Biol 59:176–186 . doi: 10.1016/j.archoralbio.2013.10.011</w:t>
      </w:r>
    </w:p>
    <w:p w14:paraId="5A9A41DB"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21. </w:t>
      </w:r>
      <w:r w:rsidRPr="00D80A83">
        <w:rPr>
          <w:rFonts w:ascii="Times New Roman" w:hAnsi="Times New Roman" w:cs="Times New Roman"/>
          <w:noProof/>
        </w:rPr>
        <w:tab/>
        <w:t>Tasoulas J, Patsouris E, Giaginis C, Theocharis S (2016) Salivaomics for oral diseases biomarkers detection. Expert Rev Mol Diagn 16:285–295 . doi: 10.1586/14737159.2016.1133296</w:t>
      </w:r>
    </w:p>
    <w:p w14:paraId="6ADD57AE"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22. </w:t>
      </w:r>
      <w:r w:rsidRPr="00D80A83">
        <w:rPr>
          <w:rFonts w:ascii="Times New Roman" w:hAnsi="Times New Roman" w:cs="Times New Roman"/>
          <w:noProof/>
        </w:rPr>
        <w:tab/>
        <w:t>Kageyama G, Saegusa J, Tanaka S, Takahashi S, Nishida M, Tsuda K, Yamamoto Y, Okano T, Akashi K, Nishimura K, Sendo S, Kogata Y, Kawano S, Morinobu A (2014) SALIVARY METABOLOMICS OF PRIMARY SJOGREN’S SYNDROME. Ann Rheum Dis 73:524–525 . doi: 10.1136/annrheumdis-2014-eular.1201</w:t>
      </w:r>
    </w:p>
    <w:p w14:paraId="4879A858"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23. </w:t>
      </w:r>
      <w:r w:rsidRPr="00D80A83">
        <w:rPr>
          <w:rFonts w:ascii="Times New Roman" w:hAnsi="Times New Roman" w:cs="Times New Roman"/>
          <w:noProof/>
        </w:rPr>
        <w:tab/>
        <w:t>Hansen TH, Kern T, Bak EG, Kashani A, Allin KH, Nielsen T, Hansen T, Pedersen O (2018) Impact of a vegan diet on the human salivary microbiota. Sci Rep 8: . doi: 10.1038/s41598-018-24207-3</w:t>
      </w:r>
    </w:p>
    <w:p w14:paraId="7E3C14CD"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24. </w:t>
      </w:r>
      <w:r w:rsidRPr="00D80A83">
        <w:rPr>
          <w:rFonts w:ascii="Times New Roman" w:hAnsi="Times New Roman" w:cs="Times New Roman"/>
          <w:noProof/>
        </w:rPr>
        <w:tab/>
        <w:t>Proctor GB, Andre P, Lopez-Garcia E, Lopez DGC, Neyraud E, Feart C, Artalejo FR, Garcia-Esquinas E, Morzel M (2017) The SALAMANDER project: SALivAry bioMarkers of mediterraneAN Diet associated with long-tERm protection against type 2 diabetes. Nutr Bull 42:369–374 . doi: 10.1111/nbu.12298</w:t>
      </w:r>
    </w:p>
    <w:p w14:paraId="61F6FEB2"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lastRenderedPageBreak/>
        <w:t xml:space="preserve">25. </w:t>
      </w:r>
      <w:r w:rsidRPr="00D80A83">
        <w:rPr>
          <w:rFonts w:ascii="Times New Roman" w:hAnsi="Times New Roman" w:cs="Times New Roman"/>
          <w:noProof/>
        </w:rPr>
        <w:tab/>
        <w:t>Wang J, Schipper HM, Velly AM, Mohit S, Gornitsky M (2015) Salivary biomarkers of oxidative stress: A critical review. Free Radic Biol Med 85:95–104 . doi: 10.1016/j.freeradbiomed.2015.04.005</w:t>
      </w:r>
    </w:p>
    <w:p w14:paraId="5B95E72D"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26. </w:t>
      </w:r>
      <w:r w:rsidRPr="00D80A83">
        <w:rPr>
          <w:rFonts w:ascii="Times New Roman" w:hAnsi="Times New Roman" w:cs="Times New Roman"/>
          <w:noProof/>
        </w:rPr>
        <w:tab/>
        <w:t>Abe K, Takahashi A, Fujita M, Hayashi M, Okai K, Ohira H (2017) Dysbiosis of oral microbiota and its association with salivary immunological biomarkers in autoimmune liver disease. Hepatology 66:189A-190A</w:t>
      </w:r>
    </w:p>
    <w:p w14:paraId="20D2947F"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27. </w:t>
      </w:r>
      <w:r w:rsidRPr="00D80A83">
        <w:rPr>
          <w:rFonts w:ascii="Times New Roman" w:hAnsi="Times New Roman" w:cs="Times New Roman"/>
          <w:noProof/>
        </w:rPr>
        <w:tab/>
        <w:t>Francavilla R, Ercolini D, Piccolo M, Vannini L, Siragusa S, De Filippis F, De Pasquale I, Di Cagno R, Di Toma M, Gozzi G, Serrazanetti DI, De Angelis M, Gobbetti M (2014) Salivary Microbiota and Metabolome Associated with Celiac Disease. Appl Environ Microbiol 80:3416–3425 . doi: 10.1128/aem.00362-14</w:t>
      </w:r>
    </w:p>
    <w:p w14:paraId="49979C3C"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28. </w:t>
      </w:r>
      <w:r w:rsidRPr="00D80A83">
        <w:rPr>
          <w:rFonts w:ascii="Times New Roman" w:hAnsi="Times New Roman" w:cs="Times New Roman"/>
          <w:noProof/>
        </w:rPr>
        <w:tab/>
        <w:t>Francavilla R, Ercolini D, Vannini L, Indrio F, Capriati T, Di Cagno R, Iacono G, De Angelis M, Gobbetti M (2014) ITALIAN-STYLE GLUTEN-FREE DIET CHANGES THE SALIVARY MICROBIOTA AND METABOLOME OF AFRICAN (SAHARAWI) CELIAC CHILDREN. Dig Liver Dis 46:E88–E89 . doi: 10.1016/j.dld.2014.07.063</w:t>
      </w:r>
    </w:p>
    <w:p w14:paraId="58518A4E"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29. </w:t>
      </w:r>
      <w:r w:rsidRPr="00D80A83">
        <w:rPr>
          <w:rFonts w:ascii="Times New Roman" w:hAnsi="Times New Roman" w:cs="Times New Roman"/>
          <w:noProof/>
        </w:rPr>
        <w:tab/>
        <w:t>Iwasawa K, Suda W, Tsunoda T, Oikawa-Kawamoto M, Umetsu S, Takayasu L, Inui A, Fujisawa T, Morita H, Sogo T, Hattori M (2018) Dysbiosis of the salivary microbiota in pediatric-onset primary sclerosing cholangitis and its potential as a biomarker. Sci Rep 8: . doi: 10.1038/s41598-018-23870-w</w:t>
      </w:r>
    </w:p>
    <w:p w14:paraId="4B33AA60"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30. </w:t>
      </w:r>
      <w:r w:rsidRPr="00D80A83">
        <w:rPr>
          <w:rFonts w:ascii="Times New Roman" w:hAnsi="Times New Roman" w:cs="Times New Roman"/>
          <w:noProof/>
        </w:rPr>
        <w:tab/>
        <w:t>Said HS, Suda W, Nakagome S, Chinen H, Oshima K, Kim S, Kimura R, Iraha A, Ishida H, Fujita J, Mano S, Morita H, Dohi T, Oota H, Hattori M (2014) Dysbiosis of Salivary Microbiota in Inflammatory Bowel Disease and Its Association With Oral Immunological Biomarkers. DNA Res 21:15–25 . doi: 10.1093/dnares/dst037</w:t>
      </w:r>
    </w:p>
    <w:p w14:paraId="181C0F20"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31. </w:t>
      </w:r>
      <w:r w:rsidRPr="00D80A83">
        <w:rPr>
          <w:rFonts w:ascii="Times New Roman" w:hAnsi="Times New Roman" w:cs="Times New Roman"/>
          <w:noProof/>
        </w:rPr>
        <w:tab/>
        <w:t>Mishiro T, Oka K, Kuroki Y, Takahashi M, Tatsumi K, Saitoh T, Tobita H, Ishimura N, Sato S, Ishihara S, Sekine J, Wada K, Kinoshita Y (2018) Oral microbiome alterations of healthy volunteers with proton pump inhibitor. J Gastroenterol Hepatol 33:1059–1066 . doi: 10.1111/jgh.14040</w:t>
      </w:r>
    </w:p>
    <w:p w14:paraId="077D07D5"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32. </w:t>
      </w:r>
      <w:r w:rsidRPr="00D80A83">
        <w:rPr>
          <w:rFonts w:ascii="Times New Roman" w:hAnsi="Times New Roman" w:cs="Times New Roman"/>
          <w:noProof/>
        </w:rPr>
        <w:tab/>
        <w:t>Ponziani FR, Pompili M, Gasbarrini A (2017) Rifaximin Re-treatment in Patients with Irritable Bowel Syndrome: Feels Like the First Time? Dig Dis Sci 62:2220–2222 . doi: 10.1007/s10620-017-4656-1</w:t>
      </w:r>
    </w:p>
    <w:p w14:paraId="62A23B9C"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33. </w:t>
      </w:r>
      <w:r w:rsidRPr="00D80A83">
        <w:rPr>
          <w:rFonts w:ascii="Times New Roman" w:hAnsi="Times New Roman" w:cs="Times New Roman"/>
          <w:noProof/>
        </w:rPr>
        <w:tab/>
        <w:t>Ponziani FR, Scaldaferri F, Petito V, Sterbini FP, Pecere S, Lopetuso LR, Palladini A, Gerardi V, Masucci L, Pompili M, Cammarota G, Sanguinetti M, Gasbarrini A (2016) The Role of Antibiotics in Gut Microbiota Modulation: The Eubiotic Effects of Rifaximin. Dig Dis 34:269–278 . doi: 10.1159/000443361</w:t>
      </w:r>
    </w:p>
    <w:p w14:paraId="04D5C996"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34. </w:t>
      </w:r>
      <w:r w:rsidRPr="00D80A83">
        <w:rPr>
          <w:rFonts w:ascii="Times New Roman" w:hAnsi="Times New Roman" w:cs="Times New Roman"/>
          <w:noProof/>
        </w:rPr>
        <w:tab/>
        <w:t xml:space="preserve">Ponziani FR, Pecere S, Lopetuso L, Scaldaferri F, Cammarota G, Gasbarrini A (2016) </w:t>
      </w:r>
      <w:r w:rsidRPr="00D80A83">
        <w:rPr>
          <w:rFonts w:ascii="Times New Roman" w:hAnsi="Times New Roman" w:cs="Times New Roman"/>
          <w:noProof/>
        </w:rPr>
        <w:lastRenderedPageBreak/>
        <w:t>Rifaximin for the treatment of irritable bowel syndrome - a drug safety evaluation. Expert Opin Drug Saf 15:983–991 . doi: 10.1080/14740338.2016.1186639</w:t>
      </w:r>
    </w:p>
    <w:p w14:paraId="18A320EA"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35. </w:t>
      </w:r>
      <w:r w:rsidRPr="00D80A83">
        <w:rPr>
          <w:rFonts w:ascii="Times New Roman" w:hAnsi="Times New Roman" w:cs="Times New Roman"/>
          <w:noProof/>
        </w:rPr>
        <w:tab/>
        <w:t>Ponziani FR, Gerardi V, Pecere S, D’Aversa F, Lopetuso L, Zocco MA, Pompili M, Gasbarrini A (2015) Effect of rifaximin on gut microbiota composition in advanced liver disease and its complications. World J Gastroenterol 21:12322–12333 . doi: 10.3748/wjg.v21.i43.12322</w:t>
      </w:r>
    </w:p>
    <w:p w14:paraId="453264EF"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36. </w:t>
      </w:r>
      <w:r w:rsidRPr="00D80A83">
        <w:rPr>
          <w:rFonts w:ascii="Times New Roman" w:hAnsi="Times New Roman" w:cs="Times New Roman"/>
          <w:noProof/>
        </w:rPr>
        <w:tab/>
        <w:t>Roalfe AK, Roberts LM, Wilson S (2008) Evaluation of the Birmingham IBS symptom questionnaire. BMC Gastroenterol 8:30 . doi: 10.1186/1471-230X-8-30</w:t>
      </w:r>
    </w:p>
    <w:p w14:paraId="3956F9F2"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37. </w:t>
      </w:r>
      <w:r w:rsidRPr="00D80A83">
        <w:rPr>
          <w:rFonts w:ascii="Times New Roman" w:hAnsi="Times New Roman" w:cs="Times New Roman"/>
          <w:noProof/>
        </w:rPr>
        <w:tab/>
        <w:t>Al-Kateb H, de Lacy Costello B, Ratcliffe N (2013) An investigation of volatile organic compounds from the saliva of healthy individuals using headspace-trap/GC-MS. J Breath Res 7:36004 . doi: 10.1088/1752-7155/7/3/036004</w:t>
      </w:r>
    </w:p>
    <w:p w14:paraId="58BF7993"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38. </w:t>
      </w:r>
      <w:r w:rsidRPr="00D80A83">
        <w:rPr>
          <w:rFonts w:ascii="Times New Roman" w:hAnsi="Times New Roman" w:cs="Times New Roman"/>
          <w:noProof/>
        </w:rPr>
        <w:tab/>
        <w:t>Soini HA, Klouckova I, Wiesler D, Oberzaucher E, Grammer K, Dixon SJ, Xu Y, Brereton RG, Penn DJ, Novotny M V (2010) Analysis of Volatile Organic Compounds in Human Saliva by a Static Sorptive Extraction Method and Gas Chromatography-Mass Spectrometry. J Chem Ecol 36:1035–1042 . doi: 10.1007/s10886-010-9846-7</w:t>
      </w:r>
    </w:p>
    <w:p w14:paraId="44A7F33D"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39. </w:t>
      </w:r>
      <w:r w:rsidRPr="00D80A83">
        <w:rPr>
          <w:rFonts w:ascii="Times New Roman" w:hAnsi="Times New Roman" w:cs="Times New Roman"/>
          <w:noProof/>
        </w:rPr>
        <w:tab/>
        <w:t>Brown SK, Sim MR, Abramson MJ, Gray CN (1994) Concentrations of Volatile Organic Compounds in Indoor Air – A Review. Indoor Air 4:123–134 . doi: 10.1111/j.1600-0668.1994.t01-2-00007.x</w:t>
      </w:r>
    </w:p>
    <w:p w14:paraId="7A2B4825"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40. </w:t>
      </w:r>
      <w:r w:rsidRPr="00D80A83">
        <w:rPr>
          <w:rFonts w:ascii="Times New Roman" w:hAnsi="Times New Roman" w:cs="Times New Roman"/>
          <w:noProof/>
        </w:rPr>
        <w:tab/>
        <w:t>de Lacy Costello B, Amann A, Al-Kateb H, Flynn C, Filipiak W, Khalid T, Osborne D, Ratcliffe NM (2014) A review of the volatiles from the healthy human body. J Breath Res 8:14001 . doi: 10.1088/1752-7155/8/1/014001</w:t>
      </w:r>
    </w:p>
    <w:p w14:paraId="697B9D3D"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41. </w:t>
      </w:r>
      <w:r w:rsidRPr="00D80A83">
        <w:rPr>
          <w:rFonts w:ascii="Times New Roman" w:hAnsi="Times New Roman" w:cs="Times New Roman"/>
          <w:noProof/>
        </w:rPr>
        <w:tab/>
        <w:t>Amann A, Costello Bde L, Miekisch W, Schubert J, Buszewski B, Pleil J, Ratcliffe N, Risby T (2014) The human volatilome: volatile organic compounds (VOCs) in exhaled breath, skin emanations, urine, feces and saliva. J Breath Res 8:34001 . doi: 10.1088/1752-7155/8/3/034001</w:t>
      </w:r>
    </w:p>
    <w:p w14:paraId="464C1948"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42. </w:t>
      </w:r>
      <w:r w:rsidRPr="00D80A83">
        <w:rPr>
          <w:rFonts w:ascii="Times New Roman" w:hAnsi="Times New Roman" w:cs="Times New Roman"/>
          <w:noProof/>
        </w:rPr>
        <w:tab/>
        <w:t>Kwak J, Preti G (2013) Chapter 21 - Challenges in the Investigation of Volatile Disease Biomarkers in Urine. In: Volatile Biomarkers. Elsevier, Boston, pp 394–404</w:t>
      </w:r>
    </w:p>
    <w:p w14:paraId="7072BD1D"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43. </w:t>
      </w:r>
      <w:r w:rsidRPr="00D80A83">
        <w:rPr>
          <w:rFonts w:ascii="Times New Roman" w:hAnsi="Times New Roman" w:cs="Times New Roman"/>
          <w:noProof/>
        </w:rPr>
        <w:tab/>
        <w:t>Buljubasic F, Buchbauer G (2014) The scent of human diseases: a review on specific volatile organic compounds as diagnostic biomarkers. Flavour Fragr J 30:5–25 . doi: 10.1002/ffj.3219</w:t>
      </w:r>
    </w:p>
    <w:p w14:paraId="7CCDF931"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44. </w:t>
      </w:r>
      <w:r w:rsidRPr="00D80A83">
        <w:rPr>
          <w:rFonts w:ascii="Times New Roman" w:hAnsi="Times New Roman" w:cs="Times New Roman"/>
          <w:noProof/>
        </w:rPr>
        <w:tab/>
        <w:t>Dolch ME, Hornuss C, Klocke C, Praun S, Villinger J, Denzer W, Schelling G, Schubert S (2012) Volatile organic compound analysis by ion molecule reaction mass spectrometry for Gram-positive bacteria differentiation. Eur J Clin Microbiol Infect Dis 31:3007–3013 . doi: 10.1007/s10096-012-1654-2</w:t>
      </w:r>
    </w:p>
    <w:p w14:paraId="04DDD027"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lastRenderedPageBreak/>
        <w:t xml:space="preserve">45. </w:t>
      </w:r>
      <w:r w:rsidRPr="00D80A83">
        <w:rPr>
          <w:rFonts w:ascii="Times New Roman" w:hAnsi="Times New Roman" w:cs="Times New Roman"/>
          <w:noProof/>
        </w:rPr>
        <w:tab/>
        <w:t>Allardyce RA, Langford VS, Hill AL, Murdoch DR (2006) Detection of volatile metabolites produced by bacterial growth in blood culture media by selected ion flow tube mass spectrometry (SIFT-MS). J Microbiol Methods 65:361–365 . doi: https://doi.org/10.1016/j.mimet.2005.09.003</w:t>
      </w:r>
    </w:p>
    <w:p w14:paraId="4C872BAE"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46. </w:t>
      </w:r>
      <w:r w:rsidRPr="00D80A83">
        <w:rPr>
          <w:rFonts w:ascii="Times New Roman" w:hAnsi="Times New Roman" w:cs="Times New Roman"/>
          <w:noProof/>
        </w:rPr>
        <w:tab/>
        <w:t>Mal M (2016) Noninvasive metabolic profiling for painless diagnosis of human diseases and disorders. Futur Sci OA 2: . doi: 10.4155/fsoa-2015-0014</w:t>
      </w:r>
    </w:p>
    <w:p w14:paraId="78A37EEF"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47. </w:t>
      </w:r>
      <w:r w:rsidRPr="00D80A83">
        <w:rPr>
          <w:rFonts w:ascii="Times New Roman" w:hAnsi="Times New Roman" w:cs="Times New Roman"/>
          <w:noProof/>
        </w:rPr>
        <w:tab/>
        <w:t>Smolinska A, Tedjo DI, Blanchet L, Bodelier A, Pierik MJ, Masclee AAM, Dallinga J, Savelkoul PHM, Jonkers DMAE, Penders J, van Schooten F-J (2018) Volatile metabolites in breath strongly correlate with gut microbiome in CD patients. Anal Chim Acta. doi: https://doi.org/10.1016/j.aca.2018.03.046</w:t>
      </w:r>
    </w:p>
    <w:p w14:paraId="33499707"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48. </w:t>
      </w:r>
      <w:r w:rsidRPr="00D80A83">
        <w:rPr>
          <w:rFonts w:ascii="Times New Roman" w:hAnsi="Times New Roman" w:cs="Times New Roman"/>
          <w:noProof/>
        </w:rPr>
        <w:tab/>
        <w:t>Zhang AH, Sun H, Wang XJ (2012) Saliva Metabolomics Opens Door to Biomarker Discovery, Disease Diagnosis, and Treatment. Appl Biochem Biotechnol 168:1718–1727 . doi: 10.1007/s12010-012-9891-5</w:t>
      </w:r>
    </w:p>
    <w:p w14:paraId="2933B94B"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49. </w:t>
      </w:r>
      <w:r w:rsidRPr="00D80A83">
        <w:rPr>
          <w:rFonts w:ascii="Times New Roman" w:hAnsi="Times New Roman" w:cs="Times New Roman"/>
          <w:noProof/>
        </w:rPr>
        <w:tab/>
        <w:t>de Oliveira LRP, Martins C, Fidalgo TKS, Freitas-Fernandes LB, Torres RD, Soares AL, Almeida FCL, Valente AP, de Souza IPR (2016) Salivary Metabolite Fingerprint of Type 1 Diabetes in Young Children. J Proteome Res 15:2491–2499 . doi: 10.1021/acs.jproteome.6b00007</w:t>
      </w:r>
    </w:p>
    <w:p w14:paraId="40582C3E"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50. </w:t>
      </w:r>
      <w:r w:rsidRPr="00D80A83">
        <w:rPr>
          <w:rFonts w:ascii="Times New Roman" w:hAnsi="Times New Roman" w:cs="Times New Roman"/>
          <w:noProof/>
        </w:rPr>
        <w:tab/>
        <w:t>Yilmaz A, Geddes T, Han B, Bahado-Singh RO, Wilson GD, Imam K, Maddens M, Graham SF (2017) Diagnostic Biomarkers of Alzheimer’s Disease as Identified in Saliva using H-1 NMR-Based Metabolomics. J Alzheimers Dis 58:355–359 . doi: 10.3233/jad-161226</w:t>
      </w:r>
    </w:p>
    <w:p w14:paraId="11A610A1"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51. </w:t>
      </w:r>
      <w:r w:rsidRPr="00D80A83">
        <w:rPr>
          <w:rFonts w:ascii="Times New Roman" w:hAnsi="Times New Roman" w:cs="Times New Roman"/>
          <w:noProof/>
        </w:rPr>
        <w:tab/>
        <w:t>De Angelis M, Vannini L, Di Cagno R, Cavallo N, Minervini F, Francavilla R, Ercolini D, Gobbetti M (2016) Salivary and fecal microbiota and metabolome of celiac children under gluten-free diet. Int J Food Microbiol 239:125–132 . doi: 10.1016/j.ijfoodmicro.2016.07.025</w:t>
      </w:r>
    </w:p>
    <w:p w14:paraId="2AD8BC9E"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52. </w:t>
      </w:r>
      <w:r w:rsidRPr="00D80A83">
        <w:rPr>
          <w:rFonts w:ascii="Times New Roman" w:hAnsi="Times New Roman" w:cs="Times New Roman"/>
          <w:noProof/>
        </w:rPr>
        <w:tab/>
        <w:t>De Filippis F, Vannini L, La Storia A, Laghi L, Piombino P, Stellato G, Serrazanetti DI, Gozzi G, Turroni S, Ferrocino I, Lazzi C, Di Cagno R, Gobbetti M, Ercolini D (2014) The Same Microbiota and a Potentially Discriminant Metabolome in the Saliva of Omnivore, Ovo-Lacto-Vegetarian and Vegan Individuals. PLoS One 9: . doi: 10.1371/journal.pone.0112373</w:t>
      </w:r>
    </w:p>
    <w:p w14:paraId="57C8C1DA"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53. </w:t>
      </w:r>
      <w:r w:rsidRPr="00D80A83">
        <w:rPr>
          <w:rFonts w:ascii="Times New Roman" w:hAnsi="Times New Roman" w:cs="Times New Roman"/>
          <w:noProof/>
        </w:rPr>
        <w:tab/>
        <w:t>Mueller DC, Piller M, Niessner R, Scherer M, Scherer G (2014) Untargeted Metabolomic Profiling in Saliva of Smokers and Nonsmokers by a Validated GC-TOF-MS Method. J Proteome Res 13:1602–1613 . doi: 10.1021/pr401099r</w:t>
      </w:r>
    </w:p>
    <w:p w14:paraId="4BC1BAD6"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54. </w:t>
      </w:r>
      <w:r w:rsidRPr="00D80A83">
        <w:rPr>
          <w:rFonts w:ascii="Times New Roman" w:hAnsi="Times New Roman" w:cs="Times New Roman"/>
          <w:noProof/>
        </w:rPr>
        <w:tab/>
        <w:t>Liang Q, Liu H, Zhang TY, Jiang Y, Xing HT, Zhang AH (2015) Metabolomics-based screening of salivary biomarkers for early diagnosis of Alzheimer’s disease. Rsc Adv 5:96074–96079 . doi: 10.1039/c5ra19094k</w:t>
      </w:r>
    </w:p>
    <w:p w14:paraId="62297A22"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lastRenderedPageBreak/>
        <w:t xml:space="preserve">55. </w:t>
      </w:r>
      <w:r w:rsidRPr="00D80A83">
        <w:rPr>
          <w:rFonts w:ascii="Times New Roman" w:hAnsi="Times New Roman" w:cs="Times New Roman"/>
          <w:noProof/>
        </w:rPr>
        <w:tab/>
        <w:t>Liang Q, Liu H, Li X, Zhang AH (2016) High-throughput metabolomics analysis discovers salivary biomarkers for predicting mild cognitive impairment and Alzheimer’s disease. Rsc Adv 6:75499–75504 . doi: 10.1039/c6ra16802g</w:t>
      </w:r>
    </w:p>
    <w:p w14:paraId="6C3F54BF"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56. </w:t>
      </w:r>
      <w:r w:rsidRPr="00D80A83">
        <w:rPr>
          <w:rFonts w:ascii="Times New Roman" w:hAnsi="Times New Roman" w:cs="Times New Roman"/>
          <w:noProof/>
        </w:rPr>
        <w:tab/>
        <w:t>Taylor DN, McKenzie R, Durbin A, Carpenter C, Haake R, Bourgeois AL (2008) Systemic Pharmacokinetics of Rifaximin in Volunteers with Shigellosis. Antimicrob Agents Chemother 52:1179 LP – 1181 . doi: 10.1128/AAC.01108-07</w:t>
      </w:r>
    </w:p>
    <w:p w14:paraId="54A320E4"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57. </w:t>
      </w:r>
      <w:r w:rsidRPr="00D80A83">
        <w:rPr>
          <w:rFonts w:ascii="Times New Roman" w:hAnsi="Times New Roman" w:cs="Times New Roman"/>
          <w:noProof/>
        </w:rPr>
        <w:tab/>
        <w:t>Madsen BS, Trebicka J, Thiele M, Israelsen M, Arumugan M, Havelund T, Krag A (2018) Antifibrotic and molecular aspects of rifaximin in alcoholic liver disease: study protocol for a randomized controlled trial. Trials 19: . doi: 10.1186/s13063-018-2523-9</w:t>
      </w:r>
    </w:p>
    <w:p w14:paraId="1131AE43"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58. </w:t>
      </w:r>
      <w:r w:rsidRPr="00D80A83">
        <w:rPr>
          <w:rFonts w:ascii="Times New Roman" w:hAnsi="Times New Roman" w:cs="Times New Roman"/>
          <w:noProof/>
        </w:rPr>
        <w:tab/>
        <w:t>Bajaj JS (2016) Review article: potential mechanisms of action of rifaximin in the management of hepatic encephalopathy and other complications of cirrhosis. Aliment Pharmacol Ther 43:11–26 . doi: 10.1111/apt.13435</w:t>
      </w:r>
    </w:p>
    <w:p w14:paraId="39F6F53D"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59. </w:t>
      </w:r>
      <w:r w:rsidRPr="00D80A83">
        <w:rPr>
          <w:rFonts w:ascii="Times New Roman" w:hAnsi="Times New Roman" w:cs="Times New Roman"/>
          <w:noProof/>
        </w:rPr>
        <w:tab/>
        <w:t>Brigidi P, Swennen E, Rizzello F, Bozzolasco M, Matteuzzi D (2002) Effects of rifaximin administration on the intestinal microbiota in patients with ulcerative colitis. J Chemother 14:290–295 . doi: 10.1179/joc.2002.14.3.290</w:t>
      </w:r>
    </w:p>
    <w:p w14:paraId="522B0824"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60. </w:t>
      </w:r>
      <w:r w:rsidRPr="00D80A83">
        <w:rPr>
          <w:rFonts w:ascii="Times New Roman" w:hAnsi="Times New Roman" w:cs="Times New Roman"/>
          <w:noProof/>
        </w:rPr>
        <w:tab/>
        <w:t>Cash BD, Pimentel M, Rao SSC, Weinstock L, Chang L, Heimanson Z, Lembo A (2017) Repeat treatment with rifaximin improves irritable bowel syndrome-related quality of life: a secondary analysis of a randomized, double-blind, placebo-controlled trial. Therap Adv Gastroenterol 10:689–699 . doi: 10.1177/1756283x17726087</w:t>
      </w:r>
    </w:p>
    <w:p w14:paraId="57E424E5"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61. </w:t>
      </w:r>
      <w:r w:rsidRPr="00D80A83">
        <w:rPr>
          <w:rFonts w:ascii="Times New Roman" w:hAnsi="Times New Roman" w:cs="Times New Roman"/>
          <w:noProof/>
        </w:rPr>
        <w:tab/>
        <w:t>Gupta K, Ghuman HS, Handa S V (2017) Review of Rifaximin: Latest Treatment Frontier for Irritable Bowel Syndrome Mechanism of Action and Clinical Profile. Clin Med Insights-Gastroenterology 10: . doi: 10.1177/1179552217728905</w:t>
      </w:r>
    </w:p>
    <w:p w14:paraId="66683A88"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62. </w:t>
      </w:r>
      <w:r w:rsidRPr="00D80A83">
        <w:rPr>
          <w:rFonts w:ascii="Times New Roman" w:hAnsi="Times New Roman" w:cs="Times New Roman"/>
          <w:noProof/>
        </w:rPr>
        <w:tab/>
        <w:t>Guslandi M (2011) Rifaximin in the treatment of inflammatory bowel disease. World J Gastroenterol 17:4643–4646 . doi: 10.3748/wjg.v17.i42.4643</w:t>
      </w:r>
    </w:p>
    <w:p w14:paraId="479A6F56"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63. </w:t>
      </w:r>
      <w:r w:rsidRPr="00D80A83">
        <w:rPr>
          <w:rFonts w:ascii="Times New Roman" w:hAnsi="Times New Roman" w:cs="Times New Roman"/>
          <w:noProof/>
        </w:rPr>
        <w:tab/>
        <w:t>Kane JS, Ford AC (2016) Rifaximin for the treatment of diarrhea-predominant irritable bowel syndrome. Expert Rev Gastroenterol Hepatol 10:431–442 . doi: 10.1586/17474124.2016.1140571</w:t>
      </w:r>
    </w:p>
    <w:p w14:paraId="0AAE20B8"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64. </w:t>
      </w:r>
      <w:r w:rsidRPr="00D80A83">
        <w:rPr>
          <w:rFonts w:ascii="Times New Roman" w:hAnsi="Times New Roman" w:cs="Times New Roman"/>
          <w:noProof/>
        </w:rPr>
        <w:tab/>
        <w:t>Lembo A, Pimentel M, Rao SS, Schoenfeld P, Cash B, Weinstock LB, Paterson C, Bortey E, Forbes WP (2016) Repeat Treatment With Rifaximin Is Safe and Effective in Patients With Diarrhea-Predominant Irritable Bowel Syndrome. Gastroenterology 151:1113–1121 . doi: 10.1053/j.gastro.2016.08.003</w:t>
      </w:r>
    </w:p>
    <w:p w14:paraId="5529EA97"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65. </w:t>
      </w:r>
      <w:r w:rsidRPr="00D80A83">
        <w:rPr>
          <w:rFonts w:ascii="Times New Roman" w:hAnsi="Times New Roman" w:cs="Times New Roman"/>
          <w:noProof/>
        </w:rPr>
        <w:tab/>
        <w:t xml:space="preserve">Cobbold JFL, Atkinson S, Marchesi JR, Smith A, Wai SN, Stove J, Shojaee-Moradie F, Jackson N, Umpleby AM, Fitzpatrick J, Thomas EL, Bell JD, Holmes E, Taylor-Robinson SD, Goldin RD, Yee MS, Anstee QM, Thursz MR (2018) Rifaximin in non-alcoholic </w:t>
      </w:r>
      <w:r w:rsidRPr="00D80A83">
        <w:rPr>
          <w:rFonts w:ascii="Times New Roman" w:hAnsi="Times New Roman" w:cs="Times New Roman"/>
          <w:noProof/>
        </w:rPr>
        <w:lastRenderedPageBreak/>
        <w:t>steatohepatitis: An open-label pilot study. Hepatol Res 48:69–77 . doi: 10.1111/hepr.12904</w:t>
      </w:r>
    </w:p>
    <w:p w14:paraId="44198217"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66. </w:t>
      </w:r>
      <w:r w:rsidRPr="00D80A83">
        <w:rPr>
          <w:rFonts w:ascii="Times New Roman" w:hAnsi="Times New Roman" w:cs="Times New Roman"/>
          <w:noProof/>
        </w:rPr>
        <w:tab/>
        <w:t>Gangarapu V, Ince AT, Baysal B, Kayar Y, Kilic U, Gok O, Uysal O, Senturk H (2015) Efficacy of rifaximin on circulating endotoxins and cytokines in patients with nonalcoholic fatty liver disease. Eur J Gastroenterol Hepatol 27:840–845 . doi: 10.1097/meg.0000000000000348</w:t>
      </w:r>
    </w:p>
    <w:p w14:paraId="21A08107"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67. </w:t>
      </w:r>
      <w:r w:rsidRPr="00D80A83">
        <w:rPr>
          <w:rFonts w:ascii="Times New Roman" w:hAnsi="Times New Roman" w:cs="Times New Roman"/>
          <w:noProof/>
        </w:rPr>
        <w:tab/>
        <w:t>Weber D, Oefner PJ, Dettmer K, Hiergeist A, Koestler J, Gessner A, Weber M, Stammler F, Hahn J, Wolff D, Herr W, Holler E (2016) Rifaximin preserves intestinal microbiota balance in patients undergoing allogeneic stem cell transplantation. Bone Marrow Transplant 51:1087–1092 . doi: 10.1038/bmt.2016.66</w:t>
      </w:r>
    </w:p>
    <w:p w14:paraId="2582A6C3"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68. </w:t>
      </w:r>
      <w:r w:rsidRPr="00D80A83">
        <w:rPr>
          <w:rFonts w:ascii="Times New Roman" w:hAnsi="Times New Roman" w:cs="Times New Roman"/>
          <w:noProof/>
        </w:rPr>
        <w:tab/>
        <w:t>DuPont HL (2016) Review article: the antimicrobial effects of rifaximin on the gut microbiota. Aliment Pharmacol Ther 43:3–10 . doi: 10.1111/apt.13434</w:t>
      </w:r>
    </w:p>
    <w:p w14:paraId="204449AE"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69. </w:t>
      </w:r>
      <w:r w:rsidRPr="00D80A83">
        <w:rPr>
          <w:rFonts w:ascii="Times New Roman" w:hAnsi="Times New Roman" w:cs="Times New Roman"/>
          <w:noProof/>
        </w:rPr>
        <w:tab/>
        <w:t>Lopetuso LR, Petito V, Scaldaferri F, Gasbarrini A (2016) Gut Microbiota Modulation and Mucosal Immunity: Focus on Rifaximin. Mini-Reviews Med Chem 16:179–185 . doi: 10.2174/138955751603151126121633</w:t>
      </w:r>
    </w:p>
    <w:p w14:paraId="76CB4C95"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70. </w:t>
      </w:r>
      <w:r w:rsidRPr="00D80A83">
        <w:rPr>
          <w:rFonts w:ascii="Times New Roman" w:hAnsi="Times New Roman" w:cs="Times New Roman"/>
          <w:noProof/>
        </w:rPr>
        <w:tab/>
        <w:t>Song Z, Du H, Zhang Y, Xu Y (2017) Unraveling Core Functional Microbiota in Traditional Solid-State Fermentation by High-Throughput Amplicons and Metatranscriptomics Sequencing. Front Microbiol 8:1294 . doi: 10.3389/fmicb.2017.01294</w:t>
      </w:r>
    </w:p>
    <w:p w14:paraId="7045EF0E"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71. </w:t>
      </w:r>
      <w:r w:rsidRPr="00D80A83">
        <w:rPr>
          <w:rFonts w:ascii="Times New Roman" w:hAnsi="Times New Roman" w:cs="Times New Roman"/>
          <w:noProof/>
        </w:rPr>
        <w:tab/>
        <w:t>Del Chierico F, Nobili V, Vernocchi P, Russo A, Stefanis C, Gnani D, Furlanello C, Zandona A, Paci P, Capuani G, Dallapiccola B, Miccheli A, Alisi A, Putignani L (2017) Gut microbiota profiling of pediatric nonalcoholic fatty liver disease and obese patients unveiled by an integrated meta-omics-based approach. Hepatology 65:451–464 . doi: 10.1002/hep.28572</w:t>
      </w:r>
    </w:p>
    <w:p w14:paraId="45F0E0E6"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72. </w:t>
      </w:r>
      <w:r w:rsidRPr="00D80A83">
        <w:rPr>
          <w:rFonts w:ascii="Times New Roman" w:hAnsi="Times New Roman" w:cs="Times New Roman"/>
          <w:noProof/>
        </w:rPr>
        <w:tab/>
        <w:t>Abdel-Razik A, Mousa N, Shabana W, Refaey M, Elzehery R, Elhelaly R, Zalata K, Abdelsalam M, Eldeeb AA, Awad M, Elgamal A, Attia A, El-Wakeel N, Eldars W (2018) Rifaximin in nonalcoholic fatty liver disease:  hit multiple targets with a single shot. Eur J Gastroenterol Hepatol 30:</w:t>
      </w:r>
    </w:p>
    <w:p w14:paraId="44F0B84A"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73. </w:t>
      </w:r>
      <w:r w:rsidRPr="00D80A83">
        <w:rPr>
          <w:rFonts w:ascii="Times New Roman" w:hAnsi="Times New Roman" w:cs="Times New Roman"/>
          <w:noProof/>
        </w:rPr>
        <w:tab/>
        <w:t>Anderson JC (2015) Measuring breath acetone for monitoring fat loss: Review. Obesity (Silver Spring) 23:2327–2334 . doi: 10.1002/oby.21242</w:t>
      </w:r>
    </w:p>
    <w:p w14:paraId="61DAB577" w14:textId="77777777" w:rsidR="00D80A83" w:rsidRPr="00D80A83" w:rsidRDefault="00D80A83" w:rsidP="00D80A83">
      <w:pPr>
        <w:widowControl w:val="0"/>
        <w:autoSpaceDE w:val="0"/>
        <w:autoSpaceDN w:val="0"/>
        <w:adjustRightInd w:val="0"/>
        <w:spacing w:line="360" w:lineRule="auto"/>
        <w:ind w:left="640" w:hanging="640"/>
        <w:rPr>
          <w:rFonts w:ascii="Times New Roman" w:hAnsi="Times New Roman" w:cs="Times New Roman"/>
          <w:noProof/>
        </w:rPr>
      </w:pPr>
      <w:r w:rsidRPr="00D80A83">
        <w:rPr>
          <w:rFonts w:ascii="Times New Roman" w:hAnsi="Times New Roman" w:cs="Times New Roman"/>
          <w:noProof/>
        </w:rPr>
        <w:t xml:space="preserve">74. </w:t>
      </w:r>
      <w:r w:rsidRPr="00D80A83">
        <w:rPr>
          <w:rFonts w:ascii="Times New Roman" w:hAnsi="Times New Roman" w:cs="Times New Roman"/>
          <w:noProof/>
        </w:rPr>
        <w:tab/>
        <w:t>Laforest-Lapointe I, Arrieta M-C (2018) Microbial Eukaryotes: a Missing Link in Gut Microbiome Studies. mSystems 3:e00201-17 . doi: 10.1128/mSystems.00201-17</w:t>
      </w:r>
    </w:p>
    <w:p w14:paraId="65CB7606" w14:textId="03EB229E" w:rsidR="00EE3045" w:rsidRPr="00C33195" w:rsidRDefault="00EE3045" w:rsidP="00D80A83">
      <w:pPr>
        <w:widowControl w:val="0"/>
        <w:autoSpaceDE w:val="0"/>
        <w:autoSpaceDN w:val="0"/>
        <w:adjustRightInd w:val="0"/>
        <w:spacing w:line="360" w:lineRule="auto"/>
        <w:ind w:left="640" w:hanging="640"/>
        <w:rPr>
          <w:rFonts w:ascii="Times New Roman" w:hAnsi="Times New Roman" w:cs="Times New Roman"/>
          <w:lang w:val="en-GB"/>
        </w:rPr>
      </w:pPr>
      <w:r>
        <w:rPr>
          <w:rFonts w:ascii="Times New Roman" w:hAnsi="Times New Roman" w:cs="Times New Roman"/>
          <w:lang w:val="en-GB"/>
        </w:rPr>
        <w:fldChar w:fldCharType="end"/>
      </w:r>
    </w:p>
    <w:p w14:paraId="2381DC9C" w14:textId="77777777" w:rsidR="001B0AE4" w:rsidRPr="00C33195" w:rsidRDefault="001B0AE4" w:rsidP="00875587">
      <w:pPr>
        <w:spacing w:line="360" w:lineRule="auto"/>
        <w:rPr>
          <w:lang w:val="en-GB"/>
        </w:rPr>
      </w:pPr>
    </w:p>
    <w:sectPr w:rsidR="001B0AE4" w:rsidRPr="00C33195" w:rsidSect="00705903">
      <w:footerReference w:type="even" r:id="rId17"/>
      <w:footerReference w:type="default" r:id="rId18"/>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232846" w14:textId="77777777" w:rsidR="006C4EFE" w:rsidRDefault="006C4EFE">
      <w:r>
        <w:separator/>
      </w:r>
    </w:p>
  </w:endnote>
  <w:endnote w:type="continuationSeparator" w:id="0">
    <w:p w14:paraId="39F82148" w14:textId="77777777" w:rsidR="006C4EFE" w:rsidRDefault="006C4E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decorative"/>
    <w:pitch w:val="variable"/>
    <w:sig w:usb0="00000000" w:usb1="10000000" w:usb2="00000000" w:usb3="00000000" w:csb0="80000000" w:csb1="00000000"/>
  </w:font>
  <w:font w:name="ヒラギノ角ゴ Pro W3">
    <w:panose1 w:val="020B0300000000000000"/>
    <w:charset w:val="80"/>
    <w:family w:val="swiss"/>
    <w:pitch w:val="variable"/>
    <w:sig w:usb0="E00002FF" w:usb1="7AC7FFFF" w:usb2="00000012" w:usb3="00000000" w:csb0="0002000D"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Symbol">
    <w:panose1 w:val="05050102010706020507"/>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0000500000000020000"/>
    <w:charset w:val="00"/>
    <w:family w:val="auto"/>
    <w:pitch w:val="variable"/>
    <w:sig w:usb0="E00002FF" w:usb1="5000205A" w:usb2="00000000" w:usb3="00000000" w:csb0="0000019F" w:csb1="00000000"/>
  </w:font>
  <w:font w:name="Arno Pro">
    <w:altName w:val="Times New Roman"/>
    <w:panose1 w:val="020B0604020202020204"/>
    <w:charset w:val="00"/>
    <w:family w:val="roman"/>
    <w:notTrueType/>
    <w:pitch w:val="variable"/>
    <w:sig w:usb0="60000287" w:usb1="00000001" w:usb2="00000000" w:usb3="00000000" w:csb0="0000019F" w:csb1="00000000"/>
  </w:font>
  <w:font w:name="Myriad Pro Light">
    <w:altName w:val="Times New Roman"/>
    <w:panose1 w:val="020B0604020202020204"/>
    <w:charset w:val="00"/>
    <w:family w:val="auto"/>
    <w:pitch w:val="default"/>
  </w:font>
  <w:font w:name="GulliverRM">
    <w:panose1 w:val="020B0604020202020204"/>
    <w:charset w:val="00"/>
    <w:family w:val="auto"/>
    <w:pitch w:val="default"/>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F4CABA" w14:textId="77777777" w:rsidR="00EE3045" w:rsidRDefault="00EE3045" w:rsidP="00705903">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end"/>
    </w:r>
  </w:p>
  <w:p w14:paraId="731228AB" w14:textId="77777777" w:rsidR="00EE3045" w:rsidRDefault="00EE304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4ECE0A" w14:textId="77777777" w:rsidR="00EE3045" w:rsidRDefault="00EE3045" w:rsidP="00705903">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25</w:t>
    </w:r>
    <w:r>
      <w:rPr>
        <w:rStyle w:val="Numeropagina"/>
      </w:rPr>
      <w:fldChar w:fldCharType="end"/>
    </w:r>
  </w:p>
  <w:p w14:paraId="0643206A" w14:textId="77777777" w:rsidR="00EE3045" w:rsidRDefault="00EE304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D09EDC" w14:textId="77777777" w:rsidR="006C4EFE" w:rsidRDefault="006C4EFE">
      <w:r>
        <w:separator/>
      </w:r>
    </w:p>
  </w:footnote>
  <w:footnote w:type="continuationSeparator" w:id="0">
    <w:p w14:paraId="390D5C97" w14:textId="77777777" w:rsidR="006C4EFE" w:rsidRDefault="006C4EF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894EE873"/>
    <w:lvl w:ilvl="0">
      <w:start w:val="1"/>
      <w:numFmt w:val="bullet"/>
      <w:lvlText w:val=""/>
      <w:lvlJc w:val="left"/>
      <w:pPr>
        <w:tabs>
          <w:tab w:val="num" w:pos="567"/>
        </w:tabs>
        <w:ind w:left="567" w:firstLine="0"/>
      </w:pPr>
      <w:rPr>
        <w:rFonts w:ascii="Wingdings" w:eastAsia="ヒラギノ角ゴ Pro W3" w:hAnsi="Wingdings" w:hint="default"/>
        <w:color w:val="000000"/>
        <w:position w:val="0"/>
        <w:sz w:val="24"/>
      </w:rPr>
    </w:lvl>
    <w:lvl w:ilvl="1">
      <w:start w:val="1"/>
      <w:numFmt w:val="bullet"/>
      <w:lvlText w:val="o"/>
      <w:lvlJc w:val="left"/>
      <w:pPr>
        <w:tabs>
          <w:tab w:val="num" w:pos="360"/>
        </w:tabs>
        <w:ind w:left="360" w:firstLine="1080"/>
      </w:pPr>
      <w:rPr>
        <w:rFonts w:ascii="Courier New" w:eastAsia="ヒラギノ角ゴ Pro W3" w:hAnsi="Courier New" w:hint="default"/>
        <w:color w:val="000000"/>
        <w:position w:val="0"/>
        <w:sz w:val="24"/>
      </w:rPr>
    </w:lvl>
    <w:lvl w:ilvl="2">
      <w:start w:val="1"/>
      <w:numFmt w:val="bullet"/>
      <w:lvlText w:val=""/>
      <w:lvlJc w:val="left"/>
      <w:pPr>
        <w:tabs>
          <w:tab w:val="num" w:pos="360"/>
        </w:tabs>
        <w:ind w:left="360" w:firstLine="1800"/>
      </w:pPr>
      <w:rPr>
        <w:rFonts w:ascii="Wingdings" w:eastAsia="ヒラギノ角ゴ Pro W3" w:hAnsi="Wingdings" w:hint="default"/>
        <w:color w:val="000000"/>
        <w:position w:val="0"/>
        <w:sz w:val="24"/>
      </w:rPr>
    </w:lvl>
    <w:lvl w:ilvl="3">
      <w:start w:val="1"/>
      <w:numFmt w:val="bullet"/>
      <w:lvlText w:val="•"/>
      <w:lvlJc w:val="left"/>
      <w:pPr>
        <w:tabs>
          <w:tab w:val="num" w:pos="360"/>
        </w:tabs>
        <w:ind w:left="360" w:firstLine="2520"/>
      </w:pPr>
      <w:rPr>
        <w:rFonts w:ascii="Lucida Grande" w:eastAsia="ヒラギノ角ゴ Pro W3" w:hAnsi="Symbol" w:hint="default"/>
        <w:color w:val="000000"/>
        <w:position w:val="0"/>
        <w:sz w:val="24"/>
      </w:rPr>
    </w:lvl>
    <w:lvl w:ilvl="4">
      <w:start w:val="1"/>
      <w:numFmt w:val="bullet"/>
      <w:lvlText w:val="o"/>
      <w:lvlJc w:val="left"/>
      <w:pPr>
        <w:tabs>
          <w:tab w:val="num" w:pos="360"/>
        </w:tabs>
        <w:ind w:left="360" w:firstLine="3240"/>
      </w:pPr>
      <w:rPr>
        <w:rFonts w:ascii="Courier New" w:eastAsia="ヒラギノ角ゴ Pro W3" w:hAnsi="Courier New" w:hint="default"/>
        <w:color w:val="000000"/>
        <w:position w:val="0"/>
        <w:sz w:val="24"/>
      </w:rPr>
    </w:lvl>
    <w:lvl w:ilvl="5">
      <w:start w:val="1"/>
      <w:numFmt w:val="bullet"/>
      <w:lvlText w:val=""/>
      <w:lvlJc w:val="left"/>
      <w:pPr>
        <w:tabs>
          <w:tab w:val="num" w:pos="360"/>
        </w:tabs>
        <w:ind w:left="360" w:firstLine="3960"/>
      </w:pPr>
      <w:rPr>
        <w:rFonts w:ascii="Wingdings" w:eastAsia="ヒラギノ角ゴ Pro W3" w:hAnsi="Wingdings" w:hint="default"/>
        <w:color w:val="000000"/>
        <w:position w:val="0"/>
        <w:sz w:val="24"/>
      </w:rPr>
    </w:lvl>
    <w:lvl w:ilvl="6">
      <w:start w:val="1"/>
      <w:numFmt w:val="bullet"/>
      <w:lvlText w:val="•"/>
      <w:lvlJc w:val="left"/>
      <w:pPr>
        <w:tabs>
          <w:tab w:val="num" w:pos="360"/>
        </w:tabs>
        <w:ind w:left="360" w:firstLine="4680"/>
      </w:pPr>
      <w:rPr>
        <w:rFonts w:ascii="Lucida Grande" w:eastAsia="ヒラギノ角ゴ Pro W3" w:hAnsi="Symbol" w:hint="default"/>
        <w:color w:val="000000"/>
        <w:position w:val="0"/>
        <w:sz w:val="24"/>
      </w:rPr>
    </w:lvl>
    <w:lvl w:ilvl="7">
      <w:start w:val="1"/>
      <w:numFmt w:val="bullet"/>
      <w:lvlText w:val="o"/>
      <w:lvlJc w:val="left"/>
      <w:pPr>
        <w:tabs>
          <w:tab w:val="num" w:pos="360"/>
        </w:tabs>
        <w:ind w:left="360" w:firstLine="5400"/>
      </w:pPr>
      <w:rPr>
        <w:rFonts w:ascii="Courier New" w:eastAsia="ヒラギノ角ゴ Pro W3" w:hAnsi="Courier New" w:hint="default"/>
        <w:color w:val="000000"/>
        <w:position w:val="0"/>
        <w:sz w:val="24"/>
      </w:rPr>
    </w:lvl>
    <w:lvl w:ilvl="8">
      <w:start w:val="1"/>
      <w:numFmt w:val="bullet"/>
      <w:lvlText w:val=""/>
      <w:lvlJc w:val="left"/>
      <w:pPr>
        <w:tabs>
          <w:tab w:val="num" w:pos="360"/>
        </w:tabs>
        <w:ind w:left="360" w:firstLine="6120"/>
      </w:pPr>
      <w:rPr>
        <w:rFonts w:ascii="Wingdings" w:eastAsia="ヒラギノ角ゴ Pro W3" w:hAnsi="Wingdings" w:hint="default"/>
        <w:color w:val="000000"/>
        <w:position w:val="0"/>
        <w:sz w:val="24"/>
      </w:rPr>
    </w:lvl>
  </w:abstractNum>
  <w:abstractNum w:abstractNumId="1" w15:restartNumberingAfterBreak="0">
    <w:nsid w:val="2C853744"/>
    <w:multiLevelType w:val="multilevel"/>
    <w:tmpl w:val="B2AA9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6A21BF0"/>
    <w:multiLevelType w:val="multilevel"/>
    <w:tmpl w:val="F372E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543B2C4C"/>
    <w:multiLevelType w:val="hybridMultilevel"/>
    <w:tmpl w:val="38B61800"/>
    <w:lvl w:ilvl="0" w:tplc="3560155E">
      <w:start w:val="1"/>
      <w:numFmt w:val="decimal"/>
      <w:pStyle w:val="TDAcknowledgments"/>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5"/>
  <w:proofState w:spelling="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5E49"/>
    <w:rsid w:val="00004F04"/>
    <w:rsid w:val="00012192"/>
    <w:rsid w:val="000158FC"/>
    <w:rsid w:val="000222C4"/>
    <w:rsid w:val="00023344"/>
    <w:rsid w:val="0003205A"/>
    <w:rsid w:val="00032F2E"/>
    <w:rsid w:val="000562A6"/>
    <w:rsid w:val="000726D3"/>
    <w:rsid w:val="00075751"/>
    <w:rsid w:val="00081057"/>
    <w:rsid w:val="00094670"/>
    <w:rsid w:val="00097781"/>
    <w:rsid w:val="000B00BD"/>
    <w:rsid w:val="000B755D"/>
    <w:rsid w:val="000D10D5"/>
    <w:rsid w:val="000D7548"/>
    <w:rsid w:val="000F5299"/>
    <w:rsid w:val="00100483"/>
    <w:rsid w:val="001150E4"/>
    <w:rsid w:val="00120E41"/>
    <w:rsid w:val="00121A18"/>
    <w:rsid w:val="00136AB8"/>
    <w:rsid w:val="00136DD1"/>
    <w:rsid w:val="00164022"/>
    <w:rsid w:val="001642AF"/>
    <w:rsid w:val="001642FD"/>
    <w:rsid w:val="0018171A"/>
    <w:rsid w:val="001B0AE4"/>
    <w:rsid w:val="001B1FD8"/>
    <w:rsid w:val="001B6E16"/>
    <w:rsid w:val="001C10E7"/>
    <w:rsid w:val="001D6818"/>
    <w:rsid w:val="00206E60"/>
    <w:rsid w:val="00213E44"/>
    <w:rsid w:val="00223776"/>
    <w:rsid w:val="00231C25"/>
    <w:rsid w:val="00251535"/>
    <w:rsid w:val="00251A49"/>
    <w:rsid w:val="00277556"/>
    <w:rsid w:val="00285FC9"/>
    <w:rsid w:val="002A0660"/>
    <w:rsid w:val="002A7693"/>
    <w:rsid w:val="002B5AF1"/>
    <w:rsid w:val="002E07B4"/>
    <w:rsid w:val="002E70AA"/>
    <w:rsid w:val="002F31D9"/>
    <w:rsid w:val="003002C5"/>
    <w:rsid w:val="0030343A"/>
    <w:rsid w:val="00305AD5"/>
    <w:rsid w:val="00310687"/>
    <w:rsid w:val="003113BB"/>
    <w:rsid w:val="0031720A"/>
    <w:rsid w:val="00320EED"/>
    <w:rsid w:val="003316F2"/>
    <w:rsid w:val="00350D3B"/>
    <w:rsid w:val="00356461"/>
    <w:rsid w:val="00364F53"/>
    <w:rsid w:val="003672CB"/>
    <w:rsid w:val="00375F85"/>
    <w:rsid w:val="003807A8"/>
    <w:rsid w:val="003824D5"/>
    <w:rsid w:val="00392A92"/>
    <w:rsid w:val="003A4C5C"/>
    <w:rsid w:val="003C3219"/>
    <w:rsid w:val="003E2D27"/>
    <w:rsid w:val="003E3C0C"/>
    <w:rsid w:val="003F7873"/>
    <w:rsid w:val="0040574A"/>
    <w:rsid w:val="00410EC0"/>
    <w:rsid w:val="004119C2"/>
    <w:rsid w:val="0041452E"/>
    <w:rsid w:val="00435DA1"/>
    <w:rsid w:val="00441D75"/>
    <w:rsid w:val="0044353A"/>
    <w:rsid w:val="00477792"/>
    <w:rsid w:val="004A0F61"/>
    <w:rsid w:val="004A1861"/>
    <w:rsid w:val="004B1825"/>
    <w:rsid w:val="004C58E1"/>
    <w:rsid w:val="004D08D6"/>
    <w:rsid w:val="004D24DD"/>
    <w:rsid w:val="005416FA"/>
    <w:rsid w:val="00547255"/>
    <w:rsid w:val="00562B00"/>
    <w:rsid w:val="00563942"/>
    <w:rsid w:val="00590C1E"/>
    <w:rsid w:val="005B1052"/>
    <w:rsid w:val="005D0E85"/>
    <w:rsid w:val="005F606D"/>
    <w:rsid w:val="0060417F"/>
    <w:rsid w:val="00626B76"/>
    <w:rsid w:val="00634A2F"/>
    <w:rsid w:val="00661127"/>
    <w:rsid w:val="006C4EFE"/>
    <w:rsid w:val="006C66A3"/>
    <w:rsid w:val="00705903"/>
    <w:rsid w:val="0073497F"/>
    <w:rsid w:val="007434FA"/>
    <w:rsid w:val="00763167"/>
    <w:rsid w:val="00767AAF"/>
    <w:rsid w:val="007905BA"/>
    <w:rsid w:val="007B0028"/>
    <w:rsid w:val="007C777B"/>
    <w:rsid w:val="007C7ADA"/>
    <w:rsid w:val="007D214E"/>
    <w:rsid w:val="007D3718"/>
    <w:rsid w:val="007F69F4"/>
    <w:rsid w:val="00800204"/>
    <w:rsid w:val="00800363"/>
    <w:rsid w:val="0080042F"/>
    <w:rsid w:val="00820331"/>
    <w:rsid w:val="00822319"/>
    <w:rsid w:val="00831420"/>
    <w:rsid w:val="0084065C"/>
    <w:rsid w:val="00845E49"/>
    <w:rsid w:val="00875526"/>
    <w:rsid w:val="00875587"/>
    <w:rsid w:val="008811CD"/>
    <w:rsid w:val="00884652"/>
    <w:rsid w:val="008849A9"/>
    <w:rsid w:val="008A7A46"/>
    <w:rsid w:val="008B1EB9"/>
    <w:rsid w:val="008B202B"/>
    <w:rsid w:val="008B659F"/>
    <w:rsid w:val="008D427A"/>
    <w:rsid w:val="008E510C"/>
    <w:rsid w:val="008F452A"/>
    <w:rsid w:val="008F7BB7"/>
    <w:rsid w:val="00930862"/>
    <w:rsid w:val="00930CC9"/>
    <w:rsid w:val="00937254"/>
    <w:rsid w:val="00942F3D"/>
    <w:rsid w:val="009462EF"/>
    <w:rsid w:val="0095549D"/>
    <w:rsid w:val="00957267"/>
    <w:rsid w:val="00961012"/>
    <w:rsid w:val="0098160B"/>
    <w:rsid w:val="00990CDB"/>
    <w:rsid w:val="009967CA"/>
    <w:rsid w:val="009D1C88"/>
    <w:rsid w:val="009F3066"/>
    <w:rsid w:val="00A56765"/>
    <w:rsid w:val="00A82901"/>
    <w:rsid w:val="00AA1D9F"/>
    <w:rsid w:val="00AB2656"/>
    <w:rsid w:val="00AB2A7A"/>
    <w:rsid w:val="00AC2E47"/>
    <w:rsid w:val="00B131EB"/>
    <w:rsid w:val="00B204F1"/>
    <w:rsid w:val="00B21799"/>
    <w:rsid w:val="00B27887"/>
    <w:rsid w:val="00B327F7"/>
    <w:rsid w:val="00B45025"/>
    <w:rsid w:val="00B50C2D"/>
    <w:rsid w:val="00B57738"/>
    <w:rsid w:val="00B7086A"/>
    <w:rsid w:val="00B85AF0"/>
    <w:rsid w:val="00B866B5"/>
    <w:rsid w:val="00B925DA"/>
    <w:rsid w:val="00BB23D6"/>
    <w:rsid w:val="00BB3052"/>
    <w:rsid w:val="00BB69B6"/>
    <w:rsid w:val="00BC3563"/>
    <w:rsid w:val="00BD0093"/>
    <w:rsid w:val="00BF7529"/>
    <w:rsid w:val="00C22CEC"/>
    <w:rsid w:val="00C33195"/>
    <w:rsid w:val="00C34493"/>
    <w:rsid w:val="00C34E08"/>
    <w:rsid w:val="00C4083F"/>
    <w:rsid w:val="00C44915"/>
    <w:rsid w:val="00C61CE6"/>
    <w:rsid w:val="00C70BCC"/>
    <w:rsid w:val="00C837A2"/>
    <w:rsid w:val="00CA08EC"/>
    <w:rsid w:val="00CA2337"/>
    <w:rsid w:val="00CB545A"/>
    <w:rsid w:val="00CD0483"/>
    <w:rsid w:val="00CD148D"/>
    <w:rsid w:val="00CD5320"/>
    <w:rsid w:val="00CD7C2C"/>
    <w:rsid w:val="00CE775A"/>
    <w:rsid w:val="00CF5220"/>
    <w:rsid w:val="00CF7B74"/>
    <w:rsid w:val="00D2512A"/>
    <w:rsid w:val="00D33EEC"/>
    <w:rsid w:val="00D54216"/>
    <w:rsid w:val="00D561B2"/>
    <w:rsid w:val="00D74310"/>
    <w:rsid w:val="00D8062F"/>
    <w:rsid w:val="00D80A83"/>
    <w:rsid w:val="00DA3BBA"/>
    <w:rsid w:val="00DA4883"/>
    <w:rsid w:val="00DA5247"/>
    <w:rsid w:val="00DA65A3"/>
    <w:rsid w:val="00DA7B55"/>
    <w:rsid w:val="00DC356D"/>
    <w:rsid w:val="00DD06EA"/>
    <w:rsid w:val="00DD7655"/>
    <w:rsid w:val="00DE1D30"/>
    <w:rsid w:val="00E10877"/>
    <w:rsid w:val="00E1430B"/>
    <w:rsid w:val="00E15B2E"/>
    <w:rsid w:val="00E26DD0"/>
    <w:rsid w:val="00E54190"/>
    <w:rsid w:val="00E549B9"/>
    <w:rsid w:val="00E55491"/>
    <w:rsid w:val="00E56978"/>
    <w:rsid w:val="00E57EE7"/>
    <w:rsid w:val="00E62F04"/>
    <w:rsid w:val="00E645B3"/>
    <w:rsid w:val="00E65993"/>
    <w:rsid w:val="00E65AF9"/>
    <w:rsid w:val="00E8041A"/>
    <w:rsid w:val="00E900A5"/>
    <w:rsid w:val="00E9496D"/>
    <w:rsid w:val="00EE3045"/>
    <w:rsid w:val="00F0121F"/>
    <w:rsid w:val="00F20320"/>
    <w:rsid w:val="00F31F7B"/>
    <w:rsid w:val="00F473DA"/>
    <w:rsid w:val="00F67A0F"/>
    <w:rsid w:val="00F73850"/>
    <w:rsid w:val="00F90FA2"/>
    <w:rsid w:val="00F9142F"/>
    <w:rsid w:val="00F965CB"/>
    <w:rsid w:val="00FB5379"/>
    <w:rsid w:val="00FB6282"/>
    <w:rsid w:val="00FD11E9"/>
    <w:rsid w:val="00FE351F"/>
    <w:rsid w:val="00FF7DA2"/>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49EA651"/>
  <w14:defaultImageDpi w14:val="300"/>
  <w15:docId w15:val="{EA425696-2943-BE4C-892D-BBDE190EB5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45E49"/>
    <w:rPr>
      <w:lang w:val="en-US"/>
    </w:rPr>
  </w:style>
  <w:style w:type="paragraph" w:styleId="Titolo1">
    <w:name w:val="heading 1"/>
    <w:basedOn w:val="Normale"/>
    <w:next w:val="Normale"/>
    <w:link w:val="Titolo1Carattere"/>
    <w:uiPriority w:val="9"/>
    <w:qFormat/>
    <w:rsid w:val="00845E49"/>
    <w:pPr>
      <w:keepNext/>
      <w:keepLines/>
      <w:spacing w:before="480"/>
      <w:outlineLvl w:val="0"/>
    </w:pPr>
    <w:rPr>
      <w:rFonts w:ascii="Times New Roman" w:eastAsiaTheme="majorEastAsia" w:hAnsi="Times New Roman" w:cstheme="majorBidi"/>
      <w:b/>
      <w:bCs/>
      <w:color w:val="000000" w:themeColor="text1"/>
      <w:sz w:val="36"/>
      <w:szCs w:val="32"/>
    </w:rPr>
  </w:style>
  <w:style w:type="paragraph" w:styleId="Titolo2">
    <w:name w:val="heading 2"/>
    <w:basedOn w:val="Normale"/>
    <w:next w:val="Normale"/>
    <w:link w:val="Titolo2Carattere"/>
    <w:uiPriority w:val="9"/>
    <w:unhideWhenUsed/>
    <w:qFormat/>
    <w:rsid w:val="00845E49"/>
    <w:pPr>
      <w:keepNext/>
      <w:keepLines/>
      <w:spacing w:before="200"/>
      <w:outlineLvl w:val="1"/>
    </w:pPr>
    <w:rPr>
      <w:rFonts w:ascii="Times New Roman" w:eastAsiaTheme="majorEastAsia" w:hAnsi="Times New Roman" w:cstheme="majorBidi"/>
      <w:b/>
      <w:bCs/>
      <w:color w:val="000000" w:themeColor="text1"/>
      <w:sz w:val="32"/>
      <w:szCs w:val="26"/>
    </w:rPr>
  </w:style>
  <w:style w:type="paragraph" w:styleId="Titolo3">
    <w:name w:val="heading 3"/>
    <w:basedOn w:val="Normale"/>
    <w:next w:val="Normale"/>
    <w:link w:val="Titolo3Carattere"/>
    <w:uiPriority w:val="9"/>
    <w:unhideWhenUsed/>
    <w:qFormat/>
    <w:rsid w:val="00845E49"/>
    <w:pPr>
      <w:keepNext/>
      <w:keepLines/>
      <w:spacing w:before="200"/>
      <w:outlineLvl w:val="2"/>
    </w:pPr>
    <w:rPr>
      <w:rFonts w:ascii="Times New Roman" w:eastAsiaTheme="majorEastAsia" w:hAnsi="Times New Roman" w:cstheme="majorBidi"/>
      <w:b/>
      <w:bCs/>
      <w:color w:val="000000" w:themeColor="text1"/>
      <w:sz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0222C4"/>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0222C4"/>
    <w:rPr>
      <w:rFonts w:ascii="Lucida Grande" w:hAnsi="Lucida Grande" w:cs="Lucida Grande"/>
      <w:sz w:val="18"/>
      <w:szCs w:val="18"/>
      <w:lang w:val="en-GB"/>
    </w:rPr>
  </w:style>
  <w:style w:type="character" w:customStyle="1" w:styleId="Titolo1Carattere">
    <w:name w:val="Titolo 1 Carattere"/>
    <w:basedOn w:val="Carpredefinitoparagrafo"/>
    <w:link w:val="Titolo1"/>
    <w:uiPriority w:val="9"/>
    <w:rsid w:val="00845E49"/>
    <w:rPr>
      <w:rFonts w:ascii="Times New Roman" w:eastAsiaTheme="majorEastAsia" w:hAnsi="Times New Roman" w:cstheme="majorBidi"/>
      <w:b/>
      <w:bCs/>
      <w:color w:val="000000" w:themeColor="text1"/>
      <w:sz w:val="36"/>
      <w:szCs w:val="32"/>
      <w:lang w:val="en-US"/>
    </w:rPr>
  </w:style>
  <w:style w:type="character" w:customStyle="1" w:styleId="Titolo2Carattere">
    <w:name w:val="Titolo 2 Carattere"/>
    <w:basedOn w:val="Carpredefinitoparagrafo"/>
    <w:link w:val="Titolo2"/>
    <w:uiPriority w:val="9"/>
    <w:rsid w:val="00845E49"/>
    <w:rPr>
      <w:rFonts w:ascii="Times New Roman" w:eastAsiaTheme="majorEastAsia" w:hAnsi="Times New Roman" w:cstheme="majorBidi"/>
      <w:b/>
      <w:bCs/>
      <w:color w:val="000000" w:themeColor="text1"/>
      <w:sz w:val="32"/>
      <w:szCs w:val="26"/>
      <w:lang w:val="en-US"/>
    </w:rPr>
  </w:style>
  <w:style w:type="character" w:customStyle="1" w:styleId="Titolo3Carattere">
    <w:name w:val="Titolo 3 Carattere"/>
    <w:basedOn w:val="Carpredefinitoparagrafo"/>
    <w:link w:val="Titolo3"/>
    <w:uiPriority w:val="9"/>
    <w:rsid w:val="00845E49"/>
    <w:rPr>
      <w:rFonts w:ascii="Times New Roman" w:eastAsiaTheme="majorEastAsia" w:hAnsi="Times New Roman" w:cstheme="majorBidi"/>
      <w:b/>
      <w:bCs/>
      <w:color w:val="000000" w:themeColor="text1"/>
      <w:sz w:val="28"/>
      <w:lang w:val="en-US"/>
    </w:rPr>
  </w:style>
  <w:style w:type="paragraph" w:customStyle="1" w:styleId="EndNoteBibliographyTitle">
    <w:name w:val="EndNote Bibliography Title"/>
    <w:basedOn w:val="Normale"/>
    <w:rsid w:val="00845E49"/>
    <w:pPr>
      <w:jc w:val="center"/>
    </w:pPr>
    <w:rPr>
      <w:rFonts w:ascii="Times New Roman" w:hAnsi="Times New Roman" w:cs="Times New Roman"/>
      <w:lang w:val="it-IT"/>
    </w:rPr>
  </w:style>
  <w:style w:type="paragraph" w:customStyle="1" w:styleId="EndNoteBibliography">
    <w:name w:val="EndNote Bibliography"/>
    <w:basedOn w:val="Normale"/>
    <w:rsid w:val="00845E49"/>
    <w:pPr>
      <w:spacing w:line="480" w:lineRule="auto"/>
    </w:pPr>
    <w:rPr>
      <w:rFonts w:ascii="Times New Roman" w:hAnsi="Times New Roman" w:cs="Times New Roman"/>
      <w:lang w:val="it-IT"/>
    </w:rPr>
  </w:style>
  <w:style w:type="paragraph" w:styleId="Pidipagina">
    <w:name w:val="footer"/>
    <w:basedOn w:val="Normale"/>
    <w:link w:val="PidipaginaCarattere"/>
    <w:uiPriority w:val="99"/>
    <w:unhideWhenUsed/>
    <w:rsid w:val="00845E49"/>
    <w:pPr>
      <w:tabs>
        <w:tab w:val="center" w:pos="4819"/>
        <w:tab w:val="right" w:pos="9638"/>
      </w:tabs>
    </w:pPr>
  </w:style>
  <w:style w:type="character" w:customStyle="1" w:styleId="PidipaginaCarattere">
    <w:name w:val="Piè di pagina Carattere"/>
    <w:basedOn w:val="Carpredefinitoparagrafo"/>
    <w:link w:val="Pidipagina"/>
    <w:uiPriority w:val="99"/>
    <w:rsid w:val="00845E49"/>
    <w:rPr>
      <w:lang w:val="en-US"/>
    </w:rPr>
  </w:style>
  <w:style w:type="character" w:styleId="Numeropagina">
    <w:name w:val="page number"/>
    <w:basedOn w:val="Carpredefinitoparagrafo"/>
    <w:uiPriority w:val="99"/>
    <w:semiHidden/>
    <w:unhideWhenUsed/>
    <w:rsid w:val="00845E49"/>
  </w:style>
  <w:style w:type="paragraph" w:styleId="NormaleWeb">
    <w:name w:val="Normal (Web)"/>
    <w:basedOn w:val="Normale"/>
    <w:uiPriority w:val="99"/>
    <w:semiHidden/>
    <w:unhideWhenUsed/>
    <w:rsid w:val="00845E49"/>
    <w:pPr>
      <w:spacing w:before="100" w:beforeAutospacing="1" w:after="100" w:afterAutospacing="1"/>
    </w:pPr>
    <w:rPr>
      <w:rFonts w:ascii="Times" w:hAnsi="Times" w:cs="Times New Roman"/>
      <w:sz w:val="20"/>
      <w:szCs w:val="20"/>
      <w:lang w:val="it-IT"/>
    </w:rPr>
  </w:style>
  <w:style w:type="character" w:styleId="Collegamentoipertestuale">
    <w:name w:val="Hyperlink"/>
    <w:basedOn w:val="Carpredefinitoparagrafo"/>
    <w:uiPriority w:val="99"/>
    <w:unhideWhenUsed/>
    <w:rsid w:val="00845E49"/>
    <w:rPr>
      <w:color w:val="0000FF" w:themeColor="hyperlink"/>
      <w:u w:val="single"/>
    </w:rPr>
  </w:style>
  <w:style w:type="paragraph" w:customStyle="1" w:styleId="TAMainText">
    <w:name w:val="TA_Main_Text"/>
    <w:basedOn w:val="Normale"/>
    <w:rsid w:val="00845E49"/>
    <w:pPr>
      <w:spacing w:line="480" w:lineRule="auto"/>
      <w:ind w:firstLine="202"/>
      <w:jc w:val="both"/>
    </w:pPr>
    <w:rPr>
      <w:rFonts w:ascii="Times" w:eastAsia="Times New Roman" w:hAnsi="Times" w:cs="Times New Roman"/>
      <w:szCs w:val="20"/>
      <w:lang w:eastAsia="en-US"/>
    </w:rPr>
  </w:style>
  <w:style w:type="character" w:styleId="Testosegnaposto">
    <w:name w:val="Placeholder Text"/>
    <w:basedOn w:val="Carpredefinitoparagrafo"/>
    <w:uiPriority w:val="99"/>
    <w:semiHidden/>
    <w:rsid w:val="00845E49"/>
    <w:rPr>
      <w:color w:val="808080"/>
    </w:rPr>
  </w:style>
  <w:style w:type="character" w:styleId="Enfasicorsivo">
    <w:name w:val="Emphasis"/>
    <w:basedOn w:val="Carpredefinitoparagrafo"/>
    <w:uiPriority w:val="20"/>
    <w:qFormat/>
    <w:rsid w:val="00845E49"/>
    <w:rPr>
      <w:i/>
      <w:iCs/>
    </w:rPr>
  </w:style>
  <w:style w:type="character" w:customStyle="1" w:styleId="apple-converted-space">
    <w:name w:val="apple-converted-space"/>
    <w:basedOn w:val="Carpredefinitoparagrafo"/>
    <w:rsid w:val="00845E49"/>
  </w:style>
  <w:style w:type="character" w:customStyle="1" w:styleId="highwire-citation-authors">
    <w:name w:val="highwire-citation-authors"/>
    <w:basedOn w:val="Carpredefinitoparagrafo"/>
    <w:rsid w:val="00845E49"/>
  </w:style>
  <w:style w:type="character" w:customStyle="1" w:styleId="highwire-citation-author">
    <w:name w:val="highwire-citation-author"/>
    <w:basedOn w:val="Carpredefinitoparagrafo"/>
    <w:rsid w:val="00845E49"/>
  </w:style>
  <w:style w:type="character" w:customStyle="1" w:styleId="highwire-cite-metadata-journal">
    <w:name w:val="highwire-cite-metadata-journal"/>
    <w:basedOn w:val="Carpredefinitoparagrafo"/>
    <w:rsid w:val="00845E49"/>
  </w:style>
  <w:style w:type="character" w:customStyle="1" w:styleId="highwire-cite-metadata-date">
    <w:name w:val="highwire-cite-metadata-date"/>
    <w:basedOn w:val="Carpredefinitoparagrafo"/>
    <w:rsid w:val="00845E49"/>
  </w:style>
  <w:style w:type="character" w:customStyle="1" w:styleId="highwire-cite-metadata-volume">
    <w:name w:val="highwire-cite-metadata-volume"/>
    <w:basedOn w:val="Carpredefinitoparagrafo"/>
    <w:rsid w:val="00845E49"/>
  </w:style>
  <w:style w:type="character" w:customStyle="1" w:styleId="highwire-cite-metadata-issue">
    <w:name w:val="highwire-cite-metadata-issue"/>
    <w:basedOn w:val="Carpredefinitoparagrafo"/>
    <w:rsid w:val="00845E49"/>
  </w:style>
  <w:style w:type="character" w:customStyle="1" w:styleId="highwire-cite-metadata-pages">
    <w:name w:val="highwire-cite-metadata-pages"/>
    <w:basedOn w:val="Carpredefinitoparagrafo"/>
    <w:rsid w:val="00845E49"/>
  </w:style>
  <w:style w:type="paragraph" w:customStyle="1" w:styleId="StyleFACorrespondingAuthorFootnote7pt">
    <w:name w:val="Style FA_Corresponding_Author_Footnote + 7 pt"/>
    <w:basedOn w:val="Normale"/>
    <w:next w:val="Normale"/>
    <w:link w:val="StyleFACorrespondingAuthorFootnote7ptChar"/>
    <w:autoRedefine/>
    <w:rsid w:val="00845E49"/>
    <w:rPr>
      <w:rFonts w:ascii="Arno Pro" w:eastAsia="Times New Roman" w:hAnsi="Arno Pro" w:cs="Times New Roman"/>
      <w:kern w:val="20"/>
      <w:sz w:val="18"/>
      <w:szCs w:val="20"/>
      <w:lang w:eastAsia="en-US"/>
    </w:rPr>
  </w:style>
  <w:style w:type="character" w:customStyle="1" w:styleId="StyleFACorrespondingAuthorFootnote7ptChar">
    <w:name w:val="Style FA_Corresponding_Author_Footnote + 7 pt Char"/>
    <w:link w:val="StyleFACorrespondingAuthorFootnote7pt"/>
    <w:rsid w:val="00845E49"/>
    <w:rPr>
      <w:rFonts w:ascii="Arno Pro" w:eastAsia="Times New Roman" w:hAnsi="Arno Pro" w:cs="Times New Roman"/>
      <w:kern w:val="20"/>
      <w:sz w:val="18"/>
      <w:szCs w:val="20"/>
      <w:lang w:val="en-US" w:eastAsia="en-US"/>
    </w:rPr>
  </w:style>
  <w:style w:type="paragraph" w:customStyle="1" w:styleId="FAAuthorInfoSubtitle">
    <w:name w:val="FA_Author_Info_Subtitle"/>
    <w:basedOn w:val="Normale"/>
    <w:link w:val="FAAuthorInfoSubtitleChar"/>
    <w:autoRedefine/>
    <w:rsid w:val="00845E49"/>
    <w:pPr>
      <w:spacing w:before="120" w:after="60" w:line="480" w:lineRule="auto"/>
    </w:pPr>
    <w:rPr>
      <w:rFonts w:ascii="Times New Roman" w:eastAsia="Times New Roman" w:hAnsi="Times New Roman" w:cs="Times New Roman"/>
      <w:b/>
      <w:kern w:val="21"/>
      <w:lang w:eastAsia="en-US"/>
    </w:rPr>
  </w:style>
  <w:style w:type="character" w:customStyle="1" w:styleId="FAAuthorInfoSubtitleChar">
    <w:name w:val="FA_Author_Info_Subtitle Char"/>
    <w:link w:val="FAAuthorInfoSubtitle"/>
    <w:rsid w:val="00845E49"/>
    <w:rPr>
      <w:rFonts w:ascii="Times New Roman" w:eastAsia="Times New Roman" w:hAnsi="Times New Roman" w:cs="Times New Roman"/>
      <w:b/>
      <w:kern w:val="21"/>
      <w:lang w:val="en-US" w:eastAsia="en-US"/>
    </w:rPr>
  </w:style>
  <w:style w:type="paragraph" w:customStyle="1" w:styleId="TDAcknowledgments">
    <w:name w:val="TD_Acknowledgments"/>
    <w:basedOn w:val="Normale"/>
    <w:next w:val="Normale"/>
    <w:link w:val="TDAcknowledgmentsChar"/>
    <w:autoRedefine/>
    <w:rsid w:val="00845E49"/>
    <w:pPr>
      <w:numPr>
        <w:numId w:val="3"/>
      </w:numPr>
      <w:spacing w:line="480" w:lineRule="auto"/>
      <w:jc w:val="both"/>
    </w:pPr>
    <w:rPr>
      <w:rFonts w:ascii="Times New Roman" w:eastAsia="Times New Roman" w:hAnsi="Times New Roman" w:cs="Times New Roman"/>
      <w:i/>
      <w:kern w:val="20"/>
      <w:lang w:val="it-IT" w:eastAsia="en-US"/>
    </w:rPr>
  </w:style>
  <w:style w:type="paragraph" w:customStyle="1" w:styleId="TDAckTitle">
    <w:name w:val="TD_Ack_Title"/>
    <w:basedOn w:val="TDAcknowledgments"/>
    <w:link w:val="TDAckTitleChar"/>
    <w:rsid w:val="00845E49"/>
    <w:pPr>
      <w:spacing w:before="180" w:after="60"/>
    </w:pPr>
    <w:rPr>
      <w:rFonts w:ascii="Myriad Pro Light" w:hAnsi="Myriad Pro Light"/>
      <w:b/>
      <w:kern w:val="23"/>
      <w:sz w:val="21"/>
    </w:rPr>
  </w:style>
  <w:style w:type="character" w:customStyle="1" w:styleId="TDAcknowledgmentsChar">
    <w:name w:val="TD_Acknowledgments Char"/>
    <w:link w:val="TDAcknowledgments"/>
    <w:rsid w:val="00845E49"/>
    <w:rPr>
      <w:rFonts w:ascii="Times New Roman" w:eastAsia="Times New Roman" w:hAnsi="Times New Roman" w:cs="Times New Roman"/>
      <w:i/>
      <w:kern w:val="20"/>
      <w:lang w:eastAsia="en-US"/>
    </w:rPr>
  </w:style>
  <w:style w:type="character" w:customStyle="1" w:styleId="TDAckTitleChar">
    <w:name w:val="TD_Ack_Title Char"/>
    <w:link w:val="TDAckTitle"/>
    <w:rsid w:val="00845E49"/>
    <w:rPr>
      <w:rFonts w:ascii="Myriad Pro Light" w:eastAsia="Times New Roman" w:hAnsi="Myriad Pro Light" w:cs="Times New Roman"/>
      <w:b/>
      <w:i/>
      <w:kern w:val="23"/>
      <w:sz w:val="21"/>
      <w:lang w:eastAsia="en-US"/>
    </w:rPr>
  </w:style>
  <w:style w:type="paragraph" w:customStyle="1" w:styleId="BGKeywords">
    <w:name w:val="BG_Keywords"/>
    <w:basedOn w:val="Normale"/>
    <w:next w:val="Normale"/>
    <w:autoRedefine/>
    <w:rsid w:val="00845E49"/>
    <w:pPr>
      <w:spacing w:after="220"/>
    </w:pPr>
    <w:rPr>
      <w:rFonts w:ascii="Times New Roman" w:eastAsia="Times New Roman" w:hAnsi="Times New Roman" w:cs="Times New Roman"/>
      <w:i/>
      <w:kern w:val="22"/>
      <w:lang w:eastAsia="en-US"/>
    </w:rPr>
  </w:style>
  <w:style w:type="paragraph" w:customStyle="1" w:styleId="BDAbstractTitle">
    <w:name w:val="BD_Abstract_Title"/>
    <w:basedOn w:val="Normale"/>
    <w:link w:val="BDAbstractTitleChar"/>
    <w:rsid w:val="00845E49"/>
    <w:pPr>
      <w:pBdr>
        <w:top w:val="single" w:sz="4" w:space="1" w:color="auto"/>
        <w:bottom w:val="single" w:sz="4" w:space="1" w:color="auto"/>
      </w:pBdr>
      <w:spacing w:before="100" w:after="600"/>
      <w:jc w:val="both"/>
    </w:pPr>
    <w:rPr>
      <w:rFonts w:ascii="Arno Pro" w:eastAsia="Times New Roman" w:hAnsi="Arno Pro" w:cs="Times New Roman"/>
      <w:b/>
      <w:kern w:val="21"/>
      <w:sz w:val="19"/>
      <w:szCs w:val="20"/>
      <w:lang w:eastAsia="en-US"/>
    </w:rPr>
  </w:style>
  <w:style w:type="character" w:customStyle="1" w:styleId="BDAbstractTitleChar">
    <w:name w:val="BD_Abstract_Title Char"/>
    <w:link w:val="BDAbstractTitle"/>
    <w:rsid w:val="00845E49"/>
    <w:rPr>
      <w:rFonts w:ascii="Arno Pro" w:eastAsia="Times New Roman" w:hAnsi="Arno Pro" w:cs="Times New Roman"/>
      <w:b/>
      <w:kern w:val="21"/>
      <w:sz w:val="19"/>
      <w:szCs w:val="20"/>
      <w:lang w:val="en-US" w:eastAsia="en-US"/>
    </w:rPr>
  </w:style>
  <w:style w:type="character" w:styleId="Numeroriga">
    <w:name w:val="line number"/>
    <w:basedOn w:val="Carpredefinitoparagrafo"/>
    <w:uiPriority w:val="99"/>
    <w:semiHidden/>
    <w:unhideWhenUsed/>
    <w:rsid w:val="00845E49"/>
  </w:style>
  <w:style w:type="paragraph" w:styleId="Mappadocumento">
    <w:name w:val="Document Map"/>
    <w:basedOn w:val="Normale"/>
    <w:link w:val="MappadocumentoCarattere"/>
    <w:uiPriority w:val="99"/>
    <w:semiHidden/>
    <w:unhideWhenUsed/>
    <w:rsid w:val="00845E49"/>
    <w:rPr>
      <w:rFonts w:ascii="Lucida Grande" w:hAnsi="Lucida Grande" w:cs="Lucida Grande"/>
    </w:rPr>
  </w:style>
  <w:style w:type="character" w:customStyle="1" w:styleId="MappadocumentoCarattere">
    <w:name w:val="Mappa documento Carattere"/>
    <w:basedOn w:val="Carpredefinitoparagrafo"/>
    <w:link w:val="Mappadocumento"/>
    <w:uiPriority w:val="99"/>
    <w:semiHidden/>
    <w:rsid w:val="00845E49"/>
    <w:rPr>
      <w:rFonts w:ascii="Lucida Grande" w:hAnsi="Lucida Grande" w:cs="Lucida Grande"/>
      <w:lang w:val="en-US"/>
    </w:rPr>
  </w:style>
  <w:style w:type="paragraph" w:styleId="Revisione">
    <w:name w:val="Revision"/>
    <w:hidden/>
    <w:uiPriority w:val="99"/>
    <w:semiHidden/>
    <w:rsid w:val="00845E49"/>
    <w:rPr>
      <w:lang w:val="en-US"/>
    </w:rPr>
  </w:style>
  <w:style w:type="paragraph" w:styleId="Didascalia">
    <w:name w:val="caption"/>
    <w:basedOn w:val="Normale"/>
    <w:next w:val="Normale"/>
    <w:uiPriority w:val="35"/>
    <w:unhideWhenUsed/>
    <w:qFormat/>
    <w:rsid w:val="00845E49"/>
    <w:pPr>
      <w:spacing w:after="200"/>
    </w:pPr>
    <w:rPr>
      <w:rFonts w:eastAsiaTheme="minorHAnsi"/>
      <w:i/>
      <w:iCs/>
      <w:color w:val="1F497D" w:themeColor="text2"/>
      <w:sz w:val="18"/>
      <w:szCs w:val="18"/>
      <w:lang w:val="it-IT" w:eastAsia="en-US"/>
    </w:rPr>
  </w:style>
  <w:style w:type="character" w:styleId="Rimandocommento">
    <w:name w:val="annotation reference"/>
    <w:basedOn w:val="Carpredefinitoparagrafo"/>
    <w:uiPriority w:val="99"/>
    <w:semiHidden/>
    <w:unhideWhenUsed/>
    <w:rsid w:val="00845E49"/>
    <w:rPr>
      <w:sz w:val="18"/>
      <w:szCs w:val="18"/>
    </w:rPr>
  </w:style>
  <w:style w:type="paragraph" w:styleId="Testocommento">
    <w:name w:val="annotation text"/>
    <w:basedOn w:val="Normale"/>
    <w:link w:val="TestocommentoCarattere"/>
    <w:uiPriority w:val="99"/>
    <w:semiHidden/>
    <w:unhideWhenUsed/>
    <w:rsid w:val="00845E49"/>
    <w:rPr>
      <w:lang w:val="en-GB"/>
    </w:rPr>
  </w:style>
  <w:style w:type="character" w:customStyle="1" w:styleId="TestocommentoCarattere">
    <w:name w:val="Testo commento Carattere"/>
    <w:basedOn w:val="Carpredefinitoparagrafo"/>
    <w:link w:val="Testocommento"/>
    <w:uiPriority w:val="99"/>
    <w:semiHidden/>
    <w:rsid w:val="00845E49"/>
    <w:rPr>
      <w:lang w:val="en-GB"/>
    </w:rPr>
  </w:style>
  <w:style w:type="table" w:styleId="Grigliatabella">
    <w:name w:val="Table Grid"/>
    <w:basedOn w:val="Tabellanormale"/>
    <w:uiPriority w:val="59"/>
    <w:rsid w:val="00845E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845E49"/>
    <w:pPr>
      <w:tabs>
        <w:tab w:val="center" w:pos="4819"/>
        <w:tab w:val="right" w:pos="9638"/>
      </w:tabs>
    </w:pPr>
  </w:style>
  <w:style w:type="character" w:customStyle="1" w:styleId="IntestazioneCarattere">
    <w:name w:val="Intestazione Carattere"/>
    <w:basedOn w:val="Carpredefinitoparagrafo"/>
    <w:link w:val="Intestazione"/>
    <w:uiPriority w:val="99"/>
    <w:rsid w:val="00845E49"/>
    <w:rPr>
      <w:lang w:val="en-US"/>
    </w:rPr>
  </w:style>
  <w:style w:type="paragraph" w:customStyle="1" w:styleId="Normale1">
    <w:name w:val="Normale1"/>
    <w:rsid w:val="00845E49"/>
    <w:pPr>
      <w:widowControl w:val="0"/>
      <w:suppressAutoHyphens/>
    </w:pPr>
    <w:rPr>
      <w:rFonts w:ascii="Times New Roman" w:eastAsia="ヒラギノ角ゴ Pro W3" w:hAnsi="Times New Roman" w:cs="Times New Roman"/>
      <w:color w:val="000000"/>
      <w:szCs w:val="20"/>
      <w:lang w:val="en-US"/>
    </w:rPr>
  </w:style>
  <w:style w:type="paragraph" w:styleId="Paragrafoelenco">
    <w:name w:val="List Paragraph"/>
    <w:basedOn w:val="Normale"/>
    <w:uiPriority w:val="34"/>
    <w:qFormat/>
    <w:rsid w:val="00845E49"/>
    <w:pPr>
      <w:ind w:left="720"/>
      <w:contextualSpacing/>
    </w:pPr>
  </w:style>
  <w:style w:type="paragraph" w:styleId="Soggettocommento">
    <w:name w:val="annotation subject"/>
    <w:basedOn w:val="Testocommento"/>
    <w:next w:val="Testocommento"/>
    <w:link w:val="SoggettocommentoCarattere"/>
    <w:uiPriority w:val="99"/>
    <w:semiHidden/>
    <w:unhideWhenUsed/>
    <w:rsid w:val="00845E49"/>
    <w:rPr>
      <w:b/>
      <w:bCs/>
      <w:sz w:val="20"/>
      <w:szCs w:val="20"/>
      <w:lang w:val="en-US"/>
    </w:rPr>
  </w:style>
  <w:style w:type="character" w:customStyle="1" w:styleId="SoggettocommentoCarattere">
    <w:name w:val="Soggetto commento Carattere"/>
    <w:basedOn w:val="TestocommentoCarattere"/>
    <w:link w:val="Soggettocommento"/>
    <w:uiPriority w:val="99"/>
    <w:semiHidden/>
    <w:rsid w:val="00845E49"/>
    <w:rPr>
      <w:b/>
      <w:bCs/>
      <w:sz w:val="20"/>
      <w:szCs w:val="20"/>
      <w:lang w:val="en-US"/>
    </w:rPr>
  </w:style>
  <w:style w:type="character" w:styleId="Collegamentovisitato">
    <w:name w:val="FollowedHyperlink"/>
    <w:basedOn w:val="Carpredefinitoparagrafo"/>
    <w:uiPriority w:val="99"/>
    <w:semiHidden/>
    <w:unhideWhenUsed/>
    <w:rsid w:val="00845E49"/>
    <w:rPr>
      <w:color w:val="800080" w:themeColor="followedHyperlink"/>
      <w:u w:val="single"/>
    </w:rPr>
  </w:style>
  <w:style w:type="character" w:customStyle="1" w:styleId="Menzionenonrisolta1">
    <w:name w:val="Menzione non risolta1"/>
    <w:basedOn w:val="Carpredefinitoparagrafo"/>
    <w:uiPriority w:val="99"/>
    <w:semiHidden/>
    <w:unhideWhenUsed/>
    <w:rsid w:val="000320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3936178">
      <w:bodyDiv w:val="1"/>
      <w:marLeft w:val="0"/>
      <w:marRight w:val="0"/>
      <w:marTop w:val="0"/>
      <w:marBottom w:val="0"/>
      <w:divBdr>
        <w:top w:val="none" w:sz="0" w:space="0" w:color="auto"/>
        <w:left w:val="none" w:sz="0" w:space="0" w:color="auto"/>
        <w:bottom w:val="none" w:sz="0" w:space="0" w:color="auto"/>
        <w:right w:val="none" w:sz="0" w:space="0" w:color="auto"/>
      </w:divBdr>
      <w:divsChild>
        <w:div w:id="36470390">
          <w:marLeft w:val="0"/>
          <w:marRight w:val="0"/>
          <w:marTop w:val="0"/>
          <w:marBottom w:val="0"/>
          <w:divBdr>
            <w:top w:val="none" w:sz="0" w:space="0" w:color="auto"/>
            <w:left w:val="none" w:sz="0" w:space="0" w:color="auto"/>
            <w:bottom w:val="none" w:sz="0" w:space="0" w:color="auto"/>
            <w:right w:val="none" w:sz="0" w:space="0" w:color="auto"/>
          </w:divBdr>
          <w:divsChild>
            <w:div w:id="2084452923">
              <w:marLeft w:val="0"/>
              <w:marRight w:val="0"/>
              <w:marTop w:val="0"/>
              <w:marBottom w:val="0"/>
              <w:divBdr>
                <w:top w:val="none" w:sz="0" w:space="0" w:color="auto"/>
                <w:left w:val="none" w:sz="0" w:space="0" w:color="auto"/>
                <w:bottom w:val="none" w:sz="0" w:space="0" w:color="auto"/>
                <w:right w:val="none" w:sz="0" w:space="0" w:color="auto"/>
              </w:divBdr>
              <w:divsChild>
                <w:div w:id="150000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2332898">
      <w:bodyDiv w:val="1"/>
      <w:marLeft w:val="0"/>
      <w:marRight w:val="0"/>
      <w:marTop w:val="0"/>
      <w:marBottom w:val="0"/>
      <w:divBdr>
        <w:top w:val="none" w:sz="0" w:space="0" w:color="auto"/>
        <w:left w:val="none" w:sz="0" w:space="0" w:color="auto"/>
        <w:bottom w:val="none" w:sz="0" w:space="0" w:color="auto"/>
        <w:right w:val="none" w:sz="0" w:space="0" w:color="auto"/>
      </w:divBdr>
      <w:divsChild>
        <w:div w:id="1704745687">
          <w:marLeft w:val="0"/>
          <w:marRight w:val="0"/>
          <w:marTop w:val="0"/>
          <w:marBottom w:val="0"/>
          <w:divBdr>
            <w:top w:val="none" w:sz="0" w:space="0" w:color="auto"/>
            <w:left w:val="none" w:sz="0" w:space="0" w:color="auto"/>
            <w:bottom w:val="none" w:sz="0" w:space="0" w:color="auto"/>
            <w:right w:val="none" w:sz="0" w:space="0" w:color="auto"/>
          </w:divBdr>
          <w:divsChild>
            <w:div w:id="1132670595">
              <w:marLeft w:val="0"/>
              <w:marRight w:val="0"/>
              <w:marTop w:val="0"/>
              <w:marBottom w:val="0"/>
              <w:divBdr>
                <w:top w:val="none" w:sz="0" w:space="0" w:color="auto"/>
                <w:left w:val="none" w:sz="0" w:space="0" w:color="auto"/>
                <w:bottom w:val="none" w:sz="0" w:space="0" w:color="auto"/>
                <w:right w:val="none" w:sz="0" w:space="0" w:color="auto"/>
              </w:divBdr>
              <w:divsChild>
                <w:div w:id="1622496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4487676">
      <w:bodyDiv w:val="1"/>
      <w:marLeft w:val="0"/>
      <w:marRight w:val="0"/>
      <w:marTop w:val="0"/>
      <w:marBottom w:val="0"/>
      <w:divBdr>
        <w:top w:val="none" w:sz="0" w:space="0" w:color="auto"/>
        <w:left w:val="none" w:sz="0" w:space="0" w:color="auto"/>
        <w:bottom w:val="none" w:sz="0" w:space="0" w:color="auto"/>
        <w:right w:val="none" w:sz="0" w:space="0" w:color="auto"/>
      </w:divBdr>
    </w:div>
    <w:div w:id="617225892">
      <w:bodyDiv w:val="1"/>
      <w:marLeft w:val="0"/>
      <w:marRight w:val="0"/>
      <w:marTop w:val="0"/>
      <w:marBottom w:val="0"/>
      <w:divBdr>
        <w:top w:val="none" w:sz="0" w:space="0" w:color="auto"/>
        <w:left w:val="none" w:sz="0" w:space="0" w:color="auto"/>
        <w:bottom w:val="none" w:sz="0" w:space="0" w:color="auto"/>
        <w:right w:val="none" w:sz="0" w:space="0" w:color="auto"/>
      </w:divBdr>
    </w:div>
    <w:div w:id="695736102">
      <w:bodyDiv w:val="1"/>
      <w:marLeft w:val="0"/>
      <w:marRight w:val="0"/>
      <w:marTop w:val="0"/>
      <w:marBottom w:val="0"/>
      <w:divBdr>
        <w:top w:val="none" w:sz="0" w:space="0" w:color="auto"/>
        <w:left w:val="none" w:sz="0" w:space="0" w:color="auto"/>
        <w:bottom w:val="none" w:sz="0" w:space="0" w:color="auto"/>
        <w:right w:val="none" w:sz="0" w:space="0" w:color="auto"/>
      </w:divBdr>
    </w:div>
    <w:div w:id="848569625">
      <w:bodyDiv w:val="1"/>
      <w:marLeft w:val="0"/>
      <w:marRight w:val="0"/>
      <w:marTop w:val="0"/>
      <w:marBottom w:val="0"/>
      <w:divBdr>
        <w:top w:val="none" w:sz="0" w:space="0" w:color="auto"/>
        <w:left w:val="none" w:sz="0" w:space="0" w:color="auto"/>
        <w:bottom w:val="none" w:sz="0" w:space="0" w:color="auto"/>
        <w:right w:val="none" w:sz="0" w:space="0" w:color="auto"/>
      </w:divBdr>
    </w:div>
    <w:div w:id="957487504">
      <w:bodyDiv w:val="1"/>
      <w:marLeft w:val="0"/>
      <w:marRight w:val="0"/>
      <w:marTop w:val="0"/>
      <w:marBottom w:val="0"/>
      <w:divBdr>
        <w:top w:val="none" w:sz="0" w:space="0" w:color="auto"/>
        <w:left w:val="none" w:sz="0" w:space="0" w:color="auto"/>
        <w:bottom w:val="none" w:sz="0" w:space="0" w:color="auto"/>
        <w:right w:val="none" w:sz="0" w:space="0" w:color="auto"/>
      </w:divBdr>
    </w:div>
    <w:div w:id="1285893703">
      <w:bodyDiv w:val="1"/>
      <w:marLeft w:val="0"/>
      <w:marRight w:val="0"/>
      <w:marTop w:val="0"/>
      <w:marBottom w:val="0"/>
      <w:divBdr>
        <w:top w:val="none" w:sz="0" w:space="0" w:color="auto"/>
        <w:left w:val="none" w:sz="0" w:space="0" w:color="auto"/>
        <w:bottom w:val="none" w:sz="0" w:space="0" w:color="auto"/>
        <w:right w:val="none" w:sz="0" w:space="0" w:color="auto"/>
      </w:divBdr>
    </w:div>
    <w:div w:id="1326973711">
      <w:bodyDiv w:val="1"/>
      <w:marLeft w:val="0"/>
      <w:marRight w:val="0"/>
      <w:marTop w:val="0"/>
      <w:marBottom w:val="0"/>
      <w:divBdr>
        <w:top w:val="none" w:sz="0" w:space="0" w:color="auto"/>
        <w:left w:val="none" w:sz="0" w:space="0" w:color="auto"/>
        <w:bottom w:val="none" w:sz="0" w:space="0" w:color="auto"/>
        <w:right w:val="none" w:sz="0" w:space="0" w:color="auto"/>
      </w:divBdr>
    </w:div>
    <w:div w:id="1352029732">
      <w:bodyDiv w:val="1"/>
      <w:marLeft w:val="0"/>
      <w:marRight w:val="0"/>
      <w:marTop w:val="0"/>
      <w:marBottom w:val="0"/>
      <w:divBdr>
        <w:top w:val="none" w:sz="0" w:space="0" w:color="auto"/>
        <w:left w:val="none" w:sz="0" w:space="0" w:color="auto"/>
        <w:bottom w:val="none" w:sz="0" w:space="0" w:color="auto"/>
        <w:right w:val="none" w:sz="0" w:space="0" w:color="auto"/>
      </w:divBdr>
    </w:div>
    <w:div w:id="1459255619">
      <w:bodyDiv w:val="1"/>
      <w:marLeft w:val="0"/>
      <w:marRight w:val="0"/>
      <w:marTop w:val="0"/>
      <w:marBottom w:val="0"/>
      <w:divBdr>
        <w:top w:val="none" w:sz="0" w:space="0" w:color="auto"/>
        <w:left w:val="none" w:sz="0" w:space="0" w:color="auto"/>
        <w:bottom w:val="none" w:sz="0" w:space="0" w:color="auto"/>
        <w:right w:val="none" w:sz="0" w:space="0" w:color="auto"/>
      </w:divBdr>
    </w:div>
    <w:div w:id="1887834517">
      <w:bodyDiv w:val="1"/>
      <w:marLeft w:val="0"/>
      <w:marRight w:val="0"/>
      <w:marTop w:val="0"/>
      <w:marBottom w:val="0"/>
      <w:divBdr>
        <w:top w:val="none" w:sz="0" w:space="0" w:color="auto"/>
        <w:left w:val="none" w:sz="0" w:space="0" w:color="auto"/>
        <w:bottom w:val="none" w:sz="0" w:space="0" w:color="auto"/>
        <w:right w:val="none" w:sz="0" w:space="0" w:color="auto"/>
      </w:divBdr>
    </w:div>
    <w:div w:id="202678929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ramanti@pi.iccom.cnr.it" TargetMode="External"/><Relationship Id="rId13" Type="http://schemas.openxmlformats.org/officeDocument/2006/relationships/image" Target="media/image4.emf"/><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tif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image" Target="media/image6.emf"/><Relationship Id="rId10" Type="http://schemas.openxmlformats.org/officeDocument/2006/relationships/image" Target="media/image1.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frontiersin.org/articles/10.3389/fmicb.2019.00767/full" TargetMode="External"/><Relationship Id="rId14" Type="http://schemas.openxmlformats.org/officeDocument/2006/relationships/image" Target="media/image5.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47EA9B-FC4B-D24F-8688-868F1C126B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22</Pages>
  <Words>41887</Words>
  <Characters>238757</Characters>
  <Application>Microsoft Office Word</Application>
  <DocSecurity>0</DocSecurity>
  <Lines>1989</Lines>
  <Paragraphs>560</Paragraphs>
  <ScaleCrop>false</ScaleCrop>
  <HeadingPairs>
    <vt:vector size="2" baseType="variant">
      <vt:variant>
        <vt:lpstr>Titolo</vt:lpstr>
      </vt:variant>
      <vt:variant>
        <vt:i4>1</vt:i4>
      </vt:variant>
    </vt:vector>
  </HeadingPairs>
  <TitlesOfParts>
    <vt:vector size="1" baseType="lpstr">
      <vt:lpstr/>
    </vt:vector>
  </TitlesOfParts>
  <Company>Casa</Company>
  <LinksUpToDate>false</LinksUpToDate>
  <CharactersWithSpaces>280084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Beatrice Campanella</dc:creator>
  <cp:keywords/>
  <dc:description/>
  <cp:lastModifiedBy>Emilia Bramanti</cp:lastModifiedBy>
  <cp:revision>20</cp:revision>
  <cp:lastPrinted>2019-07-08T08:34:00Z</cp:lastPrinted>
  <dcterms:created xsi:type="dcterms:W3CDTF">2019-07-08T12:27:00Z</dcterms:created>
  <dcterms:modified xsi:type="dcterms:W3CDTF">2019-07-08T14:52:00Z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http://www.zotero.org/styles/analytical-and-bioanalytical-chemistry</vt:lpwstr>
  </property>
  <property fmtid="{D5CDD505-2E9C-101B-9397-08002B2CF9AE}" pid="4" name="Mendeley Recent Style Id 0_1">
    <vt:lpwstr>http://www.zotero.org/styles/apa</vt:lpwstr>
  </property>
  <property fmtid="{D5CDD505-2E9C-101B-9397-08002B2CF9AE}" pid="5" name="Mendeley Recent Style Name 0_1">
    <vt:lpwstr>American Psychological Association 6th edition</vt:lpwstr>
  </property>
  <property fmtid="{D5CDD505-2E9C-101B-9397-08002B2CF9AE}" pid="6" name="Mendeley Recent Style Id 1_1">
    <vt:lpwstr>http://www.zotero.org/styles/american-sociological-association</vt:lpwstr>
  </property>
  <property fmtid="{D5CDD505-2E9C-101B-9397-08002B2CF9AE}" pid="7" name="Mendeley Recent Style Name 1_1">
    <vt:lpwstr>American Sociological Association</vt:lpwstr>
  </property>
  <property fmtid="{D5CDD505-2E9C-101B-9397-08002B2CF9AE}" pid="8" name="Mendeley Recent Style Id 2_1">
    <vt:lpwstr>http://www.zotero.org/styles/analytical-and-bioanalytical-chemistry</vt:lpwstr>
  </property>
  <property fmtid="{D5CDD505-2E9C-101B-9397-08002B2CF9AE}" pid="9" name="Mendeley Recent Style Name 2_1">
    <vt:lpwstr>Analytical and Bioanalytical Chemistry</vt:lpwstr>
  </property>
  <property fmtid="{D5CDD505-2E9C-101B-9397-08002B2CF9AE}" pid="10" name="Mendeley Recent Style Id 3_1">
    <vt:lpwstr>http://www.zotero.org/styles/chicago-author-date</vt:lpwstr>
  </property>
  <property fmtid="{D5CDD505-2E9C-101B-9397-08002B2CF9AE}" pid="11" name="Mendeley Recent Style Name 3_1">
    <vt:lpwstr>Chicago Manual of Style 17th edition (author-date)</vt:lpwstr>
  </property>
  <property fmtid="{D5CDD505-2E9C-101B-9397-08002B2CF9AE}" pid="12" name="Mendeley Recent Style Id 4_1">
    <vt:lpwstr>http://www.zotero.org/styles/harvard1</vt:lpwstr>
  </property>
  <property fmtid="{D5CDD505-2E9C-101B-9397-08002B2CF9AE}" pid="13" name="Mendeley Recent Style Name 4_1">
    <vt:lpwstr>Harvard reference format 1 (deprecated)</vt:lpwstr>
  </property>
  <property fmtid="{D5CDD505-2E9C-101B-9397-08002B2CF9AE}" pid="14" name="Mendeley Recent Style Id 5_1">
    <vt:lpwstr>http://www.zotero.org/styles/ieee</vt:lpwstr>
  </property>
  <property fmtid="{D5CDD505-2E9C-101B-9397-08002B2CF9AE}" pid="15" name="Mendeley Recent Style Name 5_1">
    <vt:lpwstr>IEEE</vt:lpwstr>
  </property>
  <property fmtid="{D5CDD505-2E9C-101B-9397-08002B2CF9AE}" pid="16" name="Mendeley Recent Style Id 6_1">
    <vt:lpwstr>http://www.zotero.org/styles/modern-humanities-research-association</vt:lpwstr>
  </property>
  <property fmtid="{D5CDD505-2E9C-101B-9397-08002B2CF9AE}" pid="17" name="Mendeley Recent Style Name 6_1">
    <vt:lpwstr>Modern Humanities Research Association 3rd edition (note with bibliography)</vt:lpwstr>
  </property>
  <property fmtid="{D5CDD505-2E9C-101B-9397-08002B2CF9AE}" pid="18" name="Mendeley Recent Style Id 7_1">
    <vt:lpwstr>http://www.zotero.org/styles/modern-language-association</vt:lpwstr>
  </property>
  <property fmtid="{D5CDD505-2E9C-101B-9397-08002B2CF9AE}" pid="19" name="Mendeley Recent Style Name 7_1">
    <vt:lpwstr>Modern Language Association 8th edition</vt:lpwstr>
  </property>
  <property fmtid="{D5CDD505-2E9C-101B-9397-08002B2CF9AE}" pid="20" name="Mendeley Recent Style Id 8_1">
    <vt:lpwstr>http://www.zotero.org/styles/nature</vt:lpwstr>
  </property>
  <property fmtid="{D5CDD505-2E9C-101B-9397-08002B2CF9AE}" pid="21" name="Mendeley Recent Style Name 8_1">
    <vt:lpwstr>Nature</vt:lpwstr>
  </property>
  <property fmtid="{D5CDD505-2E9C-101B-9397-08002B2CF9AE}" pid="22" name="Mendeley Recent Style Id 9_1">
    <vt:lpwstr>http://www.zotero.org/styles/talanta</vt:lpwstr>
  </property>
  <property fmtid="{D5CDD505-2E9C-101B-9397-08002B2CF9AE}" pid="23" name="Mendeley Recent Style Name 9_1">
    <vt:lpwstr>Talanta</vt:lpwstr>
  </property>
  <property fmtid="{D5CDD505-2E9C-101B-9397-08002B2CF9AE}" pid="24" name="Mendeley Unique User Id_1">
    <vt:lpwstr>e015ed14-db60-3ed8-a8c2-dd41ddbf1bdd</vt:lpwstr>
  </property>
</Properties>
</file>