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0F9AC3" w14:textId="77777777" w:rsidR="00F6789C" w:rsidRPr="002557C1" w:rsidRDefault="00020BB4">
      <w:pPr>
        <w:rPr>
          <w:lang w:val="en-US"/>
        </w:rPr>
      </w:pPr>
      <w:bookmarkStart w:id="0" w:name="_GoBack"/>
      <w:bookmarkEnd w:id="0"/>
      <w:r w:rsidRPr="002557C1">
        <w:rPr>
          <w:b/>
          <w:lang w:val="en-US"/>
        </w:rPr>
        <w:t>Impact of mandatory law on vaccine hesitancy spectrum: the case of measles vaccine catch-up activities in Tuscany, Italy</w:t>
      </w:r>
    </w:p>
    <w:p w14:paraId="65B0D566" w14:textId="77777777" w:rsidR="00020BB4" w:rsidRPr="002557C1" w:rsidRDefault="00020BB4">
      <w:pPr>
        <w:rPr>
          <w:lang w:val="en-US"/>
        </w:rPr>
      </w:pPr>
    </w:p>
    <w:p w14:paraId="4BF78A7D" w14:textId="766E3708" w:rsidR="00204D69" w:rsidRPr="002557C1" w:rsidRDefault="00204D69" w:rsidP="00033FBA">
      <w:pPr>
        <w:outlineLvl w:val="0"/>
        <w:rPr>
          <w:lang w:val="it-IT"/>
        </w:rPr>
      </w:pPr>
      <w:r w:rsidRPr="002557C1">
        <w:rPr>
          <w:lang w:val="it-IT"/>
        </w:rPr>
        <w:t xml:space="preserve">L Tavoschi, </w:t>
      </w:r>
      <w:r w:rsidR="00020BB4" w:rsidRPr="002557C1">
        <w:rPr>
          <w:lang w:val="it-IT"/>
        </w:rPr>
        <w:t xml:space="preserve">F Quattrone, E De Vita, </w:t>
      </w:r>
      <w:r w:rsidRPr="002557C1">
        <w:rPr>
          <w:lang w:val="it-IT"/>
        </w:rPr>
        <w:t>P</w:t>
      </w:r>
      <w:r w:rsidR="002557C1" w:rsidRPr="002557C1">
        <w:rPr>
          <w:lang w:val="it-IT"/>
        </w:rPr>
        <w:t>L</w:t>
      </w:r>
      <w:r w:rsidRPr="002557C1">
        <w:rPr>
          <w:lang w:val="it-IT"/>
        </w:rPr>
        <w:t xml:space="preserve"> Lopalco</w:t>
      </w:r>
    </w:p>
    <w:p w14:paraId="7288AE7B" w14:textId="77777777" w:rsidR="00204D69" w:rsidRPr="002557C1" w:rsidRDefault="00204D69">
      <w:pPr>
        <w:rPr>
          <w:i/>
          <w:lang w:val="en-US"/>
        </w:rPr>
      </w:pPr>
      <w:r w:rsidRPr="002557C1">
        <w:rPr>
          <w:i/>
          <w:lang w:val="en-US"/>
        </w:rPr>
        <w:t>Department of Translational Research and New Technologies in Medicine and Surgery, University of Pisa, Pisa, Italy</w:t>
      </w:r>
    </w:p>
    <w:p w14:paraId="009A930F" w14:textId="77777777" w:rsidR="00204D69" w:rsidRPr="002557C1" w:rsidRDefault="00204D69">
      <w:pPr>
        <w:rPr>
          <w:lang w:val="en-US"/>
        </w:rPr>
      </w:pPr>
    </w:p>
    <w:p w14:paraId="450848FE" w14:textId="77777777" w:rsidR="00204D69" w:rsidRPr="002557C1" w:rsidRDefault="00204D69">
      <w:pPr>
        <w:rPr>
          <w:lang w:val="en-US"/>
        </w:rPr>
      </w:pPr>
      <w:r w:rsidRPr="002557C1">
        <w:rPr>
          <w:lang w:val="en-US"/>
        </w:rPr>
        <w:t>Manuscript type: Commentary (1500 words, 10 reference, 2 figures</w:t>
      </w:r>
      <w:r w:rsidR="00ED2A17" w:rsidRPr="002557C1">
        <w:rPr>
          <w:lang w:val="en-US"/>
        </w:rPr>
        <w:t>, no abstract</w:t>
      </w:r>
      <w:r w:rsidRPr="002557C1">
        <w:rPr>
          <w:lang w:val="en-US"/>
        </w:rPr>
        <w:t>)</w:t>
      </w:r>
    </w:p>
    <w:p w14:paraId="69E507FF" w14:textId="77777777" w:rsidR="00204D69" w:rsidRPr="002557C1" w:rsidRDefault="00204D69">
      <w:pPr>
        <w:rPr>
          <w:lang w:val="en-US"/>
        </w:rPr>
      </w:pPr>
      <w:r w:rsidRPr="002557C1">
        <w:rPr>
          <w:lang w:val="en-US"/>
        </w:rPr>
        <w:t>Journal: Vaccine</w:t>
      </w:r>
    </w:p>
    <w:p w14:paraId="1270B122" w14:textId="77777777" w:rsidR="00204D69" w:rsidRPr="002557C1" w:rsidRDefault="00204D69">
      <w:pPr>
        <w:rPr>
          <w:lang w:val="en-US"/>
        </w:rPr>
      </w:pPr>
    </w:p>
    <w:p w14:paraId="0848239F" w14:textId="77777777" w:rsidR="00204D69" w:rsidRPr="002557C1" w:rsidRDefault="00204D69">
      <w:pPr>
        <w:rPr>
          <w:lang w:val="en-US"/>
        </w:rPr>
      </w:pPr>
      <w:r w:rsidRPr="002557C1">
        <w:rPr>
          <w:lang w:val="en-US"/>
        </w:rPr>
        <w:br w:type="page"/>
      </w:r>
    </w:p>
    <w:p w14:paraId="23D64335" w14:textId="362D0814" w:rsidR="00156AE2" w:rsidRPr="002557C1" w:rsidRDefault="00ED2A17" w:rsidP="00156AE2">
      <w:pPr>
        <w:rPr>
          <w:lang w:val="en-US"/>
        </w:rPr>
      </w:pPr>
      <w:r w:rsidRPr="00BB7BBF">
        <w:rPr>
          <w:lang w:val="en-US"/>
        </w:rPr>
        <w:lastRenderedPageBreak/>
        <w:t>In 2017, following a large</w:t>
      </w:r>
      <w:r w:rsidR="00366498" w:rsidRPr="00213B5F">
        <w:rPr>
          <w:lang w:val="en-US"/>
        </w:rPr>
        <w:t xml:space="preserve"> national</w:t>
      </w:r>
      <w:r w:rsidRPr="00213B5F">
        <w:rPr>
          <w:lang w:val="en-US"/>
        </w:rPr>
        <w:t xml:space="preserve"> outbreak of measles, the Italian government </w:t>
      </w:r>
      <w:r w:rsidR="00366498" w:rsidRPr="00213B5F">
        <w:rPr>
          <w:lang w:val="en-US"/>
        </w:rPr>
        <w:t>pass</w:t>
      </w:r>
      <w:r w:rsidRPr="00213B5F">
        <w:rPr>
          <w:lang w:val="en-US"/>
        </w:rPr>
        <w:t>ed a new law mandating ten vaccination</w:t>
      </w:r>
      <w:r w:rsidR="00693231" w:rsidRPr="00213B5F">
        <w:rPr>
          <w:lang w:val="en-US"/>
        </w:rPr>
        <w:t xml:space="preserve">s for </w:t>
      </w:r>
      <w:r w:rsidR="00366498" w:rsidRPr="00213B5F">
        <w:rPr>
          <w:lang w:val="en-US"/>
        </w:rPr>
        <w:t xml:space="preserve">children up to </w:t>
      </w:r>
      <w:r w:rsidR="00693231" w:rsidRPr="00213B5F">
        <w:rPr>
          <w:lang w:val="en-US"/>
        </w:rPr>
        <w:t>16 years old</w:t>
      </w:r>
      <w:r w:rsidR="008C639A" w:rsidRPr="00213B5F">
        <w:rPr>
          <w:lang w:val="en-US"/>
        </w:rPr>
        <w:t xml:space="preserve"> </w:t>
      </w:r>
      <w:r w:rsidR="00693231" w:rsidRPr="00213B5F">
        <w:rPr>
          <w:lang w:val="en-US"/>
        </w:rPr>
        <w:fldChar w:fldCharType="begin" w:fldLock="1"/>
      </w:r>
      <w:r w:rsidR="001A1881">
        <w:rPr>
          <w:lang w:val="en-US"/>
        </w:rPr>
        <w:instrText>ADDIN CSL_CITATION {"citationItems":[{"id":"ITEM-1","itemData":{"URL":"http://www.trovanorme.salute.gov.it/norme/dettaglioAtto?id=60201","accessed":{"date-parts":[["2019","8","6"]]},"author":[{"dropping-particle":"","family":"Ministero della Salute [Ministry of Health]","given":"","non-dropping-particle":"","parse-names":false,"suffix":""}],"id":"ITEM-1","issued":{"date-parts":[["2017"]]},"title":"Decreto legge 7 giugno 2017, n. 73, Disposizioni urgenti in materia di prevenzione vaccinale, come modificato dalla Legge di conversione 31 luglio 2017, n. 119. [Decree Law 7 June 2017, n. 73, Urgent provisions on vaccination prevention, as amended by the conversion law July 31, 2017]","type":"webpage"},"uris":["http://www.mendeley.com/documents/?uuid=e69893e3-3090-3148-a6ee-18bed47081ce","http://www.mendeley.com/documents/?uuid=bf8a60b7-84d6-4e43-8a06-6075c8519f9f"]}],"mendeley":{"formattedCitation":"[1]","plainTextFormattedCitation":"[1]","previouslyFormattedCitation":"[1]"},"properties":{"noteIndex":0},"schema":"https://github.com/citation-style-language/schema/raw/master/csl-citation.json"}</w:instrText>
      </w:r>
      <w:r w:rsidR="00693231" w:rsidRPr="00213B5F">
        <w:rPr>
          <w:lang w:val="en-US"/>
        </w:rPr>
        <w:fldChar w:fldCharType="separate"/>
      </w:r>
      <w:r w:rsidR="00693231" w:rsidRPr="00213B5F">
        <w:rPr>
          <w:noProof/>
          <w:lang w:val="en-US"/>
        </w:rPr>
        <w:t>[1]</w:t>
      </w:r>
      <w:r w:rsidR="00693231" w:rsidRPr="00213B5F">
        <w:rPr>
          <w:lang w:val="en-US"/>
        </w:rPr>
        <w:fldChar w:fldCharType="end"/>
      </w:r>
      <w:r w:rsidR="00693231" w:rsidRPr="00BB7BBF">
        <w:rPr>
          <w:lang w:val="en-US"/>
        </w:rPr>
        <w:t xml:space="preserve">. </w:t>
      </w:r>
      <w:r w:rsidR="00033FBA" w:rsidRPr="00213B5F">
        <w:rPr>
          <w:lang w:val="en-US"/>
        </w:rPr>
        <w:t xml:space="preserve">The strategic document on vaccine prevention (PNPV) endorsed by the Ministry of Health in the same year foresees mandatory vaccinations against diphtheria, tetanus, pertussis, hepatitis B, polio, </w:t>
      </w:r>
      <w:proofErr w:type="spellStart"/>
      <w:r w:rsidR="00033FBA" w:rsidRPr="00A47731">
        <w:rPr>
          <w:i/>
          <w:iCs/>
          <w:lang w:val="en-US"/>
        </w:rPr>
        <w:t>Haemophilus</w:t>
      </w:r>
      <w:proofErr w:type="spellEnd"/>
      <w:r w:rsidR="00033FBA" w:rsidRPr="00A47731">
        <w:rPr>
          <w:i/>
          <w:iCs/>
          <w:lang w:val="en-US"/>
        </w:rPr>
        <w:t xml:space="preserve"> </w:t>
      </w:r>
      <w:proofErr w:type="spellStart"/>
      <w:r w:rsidR="00033FBA" w:rsidRPr="00A47731">
        <w:rPr>
          <w:i/>
          <w:iCs/>
          <w:lang w:val="en-US"/>
        </w:rPr>
        <w:t>influenzae</w:t>
      </w:r>
      <w:proofErr w:type="spellEnd"/>
      <w:r w:rsidR="00033FBA" w:rsidRPr="00A47731">
        <w:rPr>
          <w:lang w:val="en-US"/>
        </w:rPr>
        <w:t xml:space="preserve"> type b (Hib), provided in the form of an hexavalent vaccine, and measles, mumps, rubella and varicella, provided either as MMR or MMRV vaccine </w:t>
      </w:r>
      <w:r w:rsidR="00033FBA" w:rsidRPr="00A47731">
        <w:rPr>
          <w:lang w:val="en-US"/>
        </w:rPr>
        <w:fldChar w:fldCharType="begin" w:fldLock="1"/>
      </w:r>
      <w:r w:rsidR="00A47731">
        <w:rPr>
          <w:lang w:val="en-US"/>
        </w:rPr>
        <w:instrText>ADDIN CSL_CITATION {"citationItems":[{"id":"ITEM-1","itemData":{"abstract":"Armonizzare le strategie vaccinali in atto nel nostro Paese e garantire l’offerta attiva e gratuita delle vaccinazioni prioritarie per la popolazione generale. Sono alcuni degli obiettivi del Piano nazionale della prevenzione vaccinale 2012-2014, approvato con Intesa Stato-Regioni nella seduta del 22 febbraio 2012 e pubblicato nel supplemento ordinario della Gazzetta Ufficiale del 12 marzo.","author":[{"dropping-particle":"","family":"Ministero della Salute","given":"","non-dropping-particle":"","parse-names":false,"suffix":""}],"id":"ITEM-1","issued":{"date-parts":[["2017"]]},"title":"Piano Nazionale Prevenzione Vaccinale PNPV 2016-2018","type":"article-journal"},"uris":["http://www.mendeley.com/documents/?uuid=d03a4025-e6e7-4099-ad67-4033360338ac","http://www.mendeley.com/documents/?uuid=ed3bc547-e628-4c3e-be38-640e150aa723"]}],"mendeley":{"formattedCitation":"[2]","plainTextFormattedCitation":"[2]","previouslyFormattedCitation":"[2]"},"properties":{"noteIndex":0},"schema":"https://github.com/citation-style-language/schema/raw/master/csl-citation.json"}</w:instrText>
      </w:r>
      <w:r w:rsidR="00033FBA" w:rsidRPr="00A47731">
        <w:rPr>
          <w:lang w:val="en-US"/>
        </w:rPr>
        <w:fldChar w:fldCharType="separate"/>
      </w:r>
      <w:r w:rsidR="00A47731" w:rsidRPr="00A47731">
        <w:rPr>
          <w:noProof/>
          <w:lang w:val="en-US"/>
        </w:rPr>
        <w:t>[2]</w:t>
      </w:r>
      <w:r w:rsidR="00033FBA" w:rsidRPr="00A47731">
        <w:rPr>
          <w:lang w:val="en-US"/>
        </w:rPr>
        <w:fldChar w:fldCharType="end"/>
      </w:r>
      <w:r w:rsidR="00033FBA" w:rsidRPr="00BB7BBF">
        <w:rPr>
          <w:lang w:val="en-US"/>
        </w:rPr>
        <w:t xml:space="preserve">. </w:t>
      </w:r>
      <w:r w:rsidR="00235B7F" w:rsidRPr="00A47731">
        <w:rPr>
          <w:lang w:val="en-US"/>
        </w:rPr>
        <w:t>Th</w:t>
      </w:r>
      <w:r w:rsidR="00033FBA" w:rsidRPr="00A47731">
        <w:rPr>
          <w:lang w:val="en-US"/>
        </w:rPr>
        <w:t>e</w:t>
      </w:r>
      <w:r w:rsidR="00235B7F" w:rsidRPr="00A47731">
        <w:rPr>
          <w:lang w:val="en-US"/>
        </w:rPr>
        <w:t xml:space="preserve"> policy was adopted to contrast the decline of vaccine coverage (VC) that, since 2014, have decreased</w:t>
      </w:r>
      <w:r w:rsidR="00852C28" w:rsidRPr="009A0829">
        <w:rPr>
          <w:lang w:val="en-US"/>
        </w:rPr>
        <w:t>,</w:t>
      </w:r>
      <w:r w:rsidR="00033FBA" w:rsidRPr="009A0829">
        <w:rPr>
          <w:lang w:val="en-US"/>
        </w:rPr>
        <w:t xml:space="preserve"> leading to reduced level of protection </w:t>
      </w:r>
      <w:r w:rsidR="006B590A">
        <w:rPr>
          <w:lang w:val="en-US"/>
        </w:rPr>
        <w:t>in Italian population</w:t>
      </w:r>
      <w:r w:rsidR="00033FBA" w:rsidRPr="009A0829">
        <w:rPr>
          <w:lang w:val="en-US"/>
        </w:rPr>
        <w:t xml:space="preserve">, </w:t>
      </w:r>
      <w:r w:rsidR="00235B7F" w:rsidRPr="009A0829">
        <w:rPr>
          <w:lang w:val="en-US"/>
        </w:rPr>
        <w:t>in particular for</w:t>
      </w:r>
      <w:r w:rsidR="00852C28" w:rsidRPr="009A0829">
        <w:rPr>
          <w:lang w:val="en-US"/>
        </w:rPr>
        <w:t xml:space="preserve"> measles, mumps and rubella vaccine</w:t>
      </w:r>
      <w:r w:rsidR="00235B7F" w:rsidRPr="009A0829">
        <w:rPr>
          <w:lang w:val="en-US"/>
        </w:rPr>
        <w:t xml:space="preserve"> (measles VC at 24-month of age was 90.4% in 2013, then ranging between 85.3</w:t>
      </w:r>
      <w:r w:rsidR="008572E6">
        <w:rPr>
          <w:lang w:val="en-US"/>
        </w:rPr>
        <w:t>%</w:t>
      </w:r>
      <w:r w:rsidR="00235B7F" w:rsidRPr="009A0829">
        <w:rPr>
          <w:lang w:val="en-US"/>
        </w:rPr>
        <w:t xml:space="preserve"> to 87.26% in the years 2014-2016)</w:t>
      </w:r>
      <w:r w:rsidR="00235B7F" w:rsidRPr="009A0829">
        <w:rPr>
          <w:lang w:val="en-US"/>
        </w:rPr>
        <w:fldChar w:fldCharType="begin" w:fldLock="1"/>
      </w:r>
      <w:r w:rsidR="001A1881">
        <w:rPr>
          <w:lang w:val="en-US"/>
        </w:rPr>
        <w:instrText>ADDIN CSL_CITATION {"citationItems":[{"id":"ITEM-1","itemData":{"DOI":"10.2807/1560-7917.ES.2019.24.26.1900371","ISSN":"1560-7917","abstract":"Italy introduced a national law extending the number of compulsory vaccines from four to 10 in July 2017. The implementation placed a further burden on immunisation centres as they were required to cover the increased demand of vaccination by the parents of unvaccinated children. Vaccine coverage (VC) estimated 6 months and 1 year later, at 24 and 30 months (same birth cohort), had increased for all vaccines. At 24 months of age, measles VC increased from 87.3% in 2016 to 91.8% in 2017 and 94.1% at 30 months of age as at June 2018. In six of 21 regions and autonomous provinces, VC for measles was &amp;gt;95%. Despite the implementation of this law, vaccine hesitancy is still a problem in Italy and the political and social debate on mandatory vaccination is ongoing. Regardless of the policy to be adopted in the future, strategies to maintain high vaccination rates and the related herd immunity should be considered, including adequate communication to the population and the implementation of electronic immunisation registries.","author":[{"dropping-particle":"","family":"D’Ancona","given":"Fortunato","non-dropping-particle":"","parse-names":false,"suffix":""},{"dropping-particle":"","family":"D’Amario","given":"Claudio","non-dropping-particle":"","parse-names":false,"suffix":""},{"dropping-particle":"","family":"Maraglino","given":"Francesco","non-dropping-particle":"","parse-names":false,"suffix":""},{"dropping-particle":"","family":"Rezza","given":"Giovanni","non-dropping-particle":"","parse-names":false,"suffix":""},{"dropping-particle":"","family":"Iannazzo","given":"Stefania","non-dropping-particle":"","parse-names":false,"suffix":""}],"container-title":"Eurosurveillance","id":"ITEM-1","issue":"26","issued":{"date-parts":[["2019","6","27"]]},"page":"1900371","publisher":"European Centre for Disease Prevention and Control","title":"The law on compulsory vaccination in Italy: an update 2 years after the introduction","type":"article-journal","volume":"24"},"uris":["http://www.mendeley.com/documents/?uuid=ccbe92c2-202e-33f9-80be-9c6d57412fe6","http://www.mendeley.com/documents/?uuid=a917842e-a13a-4323-a496-5cc8dfb6afc6"]},{"id":"ITEM-2","itemData":{"URL":"www.salute.gov.it/imgs/C_17_tavole_20_allegati_iitemAllegati_3_fileAllegati_itemFile_7_file.pdf","abstract":"Ministero della Salute","accessed":{"date-parts":[["2019","8","7"]]},"author":[{"dropping-particle":"","family":"Ministero della Salute","given":"","non-dropping-particle":"","parse-names":false,"suffix":""}],"id":"ITEM-2","issued":{"date-parts":[["0"]]},"title":"Le coperture vaccinali dell'età pediatrica e dell'adolescente","type":"webpage"},"uris":["http://www.mendeley.com/documents/?uuid=74d421a2-27b0-3231-8a61-636e06d0ff74","http://www.mendeley.com/documents/?uuid=672684c0-d178-4142-968c-cb0b85869f92"]}],"mendeley":{"formattedCitation":"[3,4]","plainTextFormattedCitation":"[3,4]","previouslyFormattedCitation":"[3,4]"},"properties":{"noteIndex":0},"schema":"https://github.com/citation-style-language/schema/raw/master/csl-citation.json"}</w:instrText>
      </w:r>
      <w:r w:rsidR="00235B7F" w:rsidRPr="009A0829">
        <w:rPr>
          <w:lang w:val="en-US"/>
        </w:rPr>
        <w:fldChar w:fldCharType="separate"/>
      </w:r>
      <w:r w:rsidR="00A47731" w:rsidRPr="00A47731">
        <w:rPr>
          <w:noProof/>
          <w:lang w:val="en-US"/>
        </w:rPr>
        <w:t>[3,4]</w:t>
      </w:r>
      <w:r w:rsidR="00235B7F" w:rsidRPr="009A0829">
        <w:rPr>
          <w:lang w:val="en-US"/>
        </w:rPr>
        <w:fldChar w:fldCharType="end"/>
      </w:r>
      <w:r w:rsidR="00852C28" w:rsidRPr="009A0829">
        <w:rPr>
          <w:lang w:val="en-US"/>
        </w:rPr>
        <w:t xml:space="preserve">. </w:t>
      </w:r>
      <w:r w:rsidR="00156AE2" w:rsidRPr="00A47731">
        <w:rPr>
          <w:lang w:val="en-US"/>
        </w:rPr>
        <w:t>In Italy vaccination is actively offered free of charge to target population groups, including children</w:t>
      </w:r>
      <w:r w:rsidR="00156AE2" w:rsidRPr="002557C1">
        <w:rPr>
          <w:lang w:val="en-US"/>
        </w:rPr>
        <w:t>, and administered by public immunization services, general practitioners and pediatricians operating within community health services, according to the PNPV</w:t>
      </w:r>
      <w:r w:rsidR="00156AE2">
        <w:rPr>
          <w:lang w:val="en-US"/>
        </w:rPr>
        <w:t xml:space="preserve"> </w:t>
      </w:r>
      <w:r w:rsidR="00156AE2" w:rsidRPr="002557C1">
        <w:rPr>
          <w:lang w:val="en-US"/>
        </w:rPr>
        <w:fldChar w:fldCharType="begin" w:fldLock="1"/>
      </w:r>
      <w:r w:rsidR="00156AE2">
        <w:rPr>
          <w:lang w:val="en-US"/>
        </w:rPr>
        <w:instrText>ADDIN CSL_CITATION {"citationItems":[{"id":"ITEM-1","itemData":{"abstract":"Armonizzare le strategie vaccinali in atto nel nostro Paese e garantire l’offerta attiva e gratuita delle vaccinazioni prioritarie per la popolazione generale. Sono alcuni degli obiettivi del Piano nazionale della prevenzione vaccinale 2012-2014, approvato con Intesa Stato-Regioni nella seduta del 22 febbraio 2012 e pubblicato nel supplemento ordinario della Gazzetta Ufficiale del 12 marzo.","author":[{"dropping-particle":"","family":"Ministero della Salute","given":"","non-dropping-particle":"","parse-names":false,"suffix":""}],"id":"ITEM-1","issued":{"date-parts":[["2017"]]},"title":"Piano Nazionale Prevenzione Vaccinale PNPV 2016-2018","type":"article-journal"},"uris":["http://www.mendeley.com/documents/?uuid=ed3bc547-e628-4c3e-be38-640e150aa723","http://www.mendeley.com/documents/?uuid=d03a4025-e6e7-4099-ad67-4033360338ac"]}],"mendeley":{"formattedCitation":"[2]","plainTextFormattedCitation":"[2]","previouslyFormattedCitation":"[2]"},"properties":{"noteIndex":0},"schema":"https://github.com/citation-style-language/schema/raw/master/csl-citation.json"}</w:instrText>
      </w:r>
      <w:r w:rsidR="00156AE2" w:rsidRPr="002557C1">
        <w:rPr>
          <w:lang w:val="en-US"/>
        </w:rPr>
        <w:fldChar w:fldCharType="separate"/>
      </w:r>
      <w:r w:rsidR="00156AE2" w:rsidRPr="00A47731">
        <w:rPr>
          <w:noProof/>
          <w:lang w:val="en-US"/>
        </w:rPr>
        <w:t>[2]</w:t>
      </w:r>
      <w:r w:rsidR="00156AE2" w:rsidRPr="002557C1">
        <w:rPr>
          <w:lang w:val="en-US"/>
        </w:rPr>
        <w:fldChar w:fldCharType="end"/>
      </w:r>
      <w:r w:rsidR="00156AE2">
        <w:rPr>
          <w:lang w:val="en-US"/>
        </w:rPr>
        <w:t xml:space="preserve"> and </w:t>
      </w:r>
      <w:r w:rsidR="00156AE2" w:rsidRPr="002557C1">
        <w:rPr>
          <w:lang w:val="en-US"/>
        </w:rPr>
        <w:t>regional immuni</w:t>
      </w:r>
      <w:r w:rsidR="00156AE2">
        <w:rPr>
          <w:lang w:val="en-US"/>
        </w:rPr>
        <w:t>z</w:t>
      </w:r>
      <w:r w:rsidR="00156AE2" w:rsidRPr="002557C1">
        <w:rPr>
          <w:lang w:val="en-US"/>
        </w:rPr>
        <w:t>ation plans</w:t>
      </w:r>
      <w:r w:rsidR="00156AE2">
        <w:rPr>
          <w:lang w:val="en-US"/>
        </w:rPr>
        <w:t>, leading to a certain degree of heterogeneity in VC among Italian regions</w:t>
      </w:r>
      <w:r w:rsidR="00156AE2" w:rsidRPr="002557C1">
        <w:rPr>
          <w:lang w:val="en-US"/>
        </w:rPr>
        <w:t>.</w:t>
      </w:r>
    </w:p>
    <w:p w14:paraId="6D14EF44" w14:textId="4109DFC9" w:rsidR="00FC1C0C" w:rsidRPr="00A47731" w:rsidRDefault="00033FBA" w:rsidP="00FC1C0C">
      <w:pPr>
        <w:rPr>
          <w:lang w:val="en-US"/>
        </w:rPr>
      </w:pPr>
      <w:r w:rsidRPr="00A47731">
        <w:rPr>
          <w:lang w:val="en-US"/>
        </w:rPr>
        <w:t xml:space="preserve">The introduction of mandatory vaccination in 2017 had an immediate impact on VC, due to the </w:t>
      </w:r>
      <w:r w:rsidR="003A5627">
        <w:rPr>
          <w:lang w:val="en-US"/>
        </w:rPr>
        <w:t>new</w:t>
      </w:r>
      <w:r w:rsidRPr="00A47731">
        <w:rPr>
          <w:lang w:val="en-US"/>
        </w:rPr>
        <w:t xml:space="preserve"> requirement for school-aged children to have completed the vaccination cycles</w:t>
      </w:r>
      <w:r w:rsidR="005E6C77" w:rsidRPr="00A47731">
        <w:rPr>
          <w:lang w:val="en-US"/>
        </w:rPr>
        <w:t xml:space="preserve"> </w:t>
      </w:r>
      <w:r w:rsidRPr="00A47731">
        <w:rPr>
          <w:lang w:val="en-US"/>
        </w:rPr>
        <w:t xml:space="preserve">to attend educational services by the start of the school year in September. Measles VC at 24-month was 91.81% in 2017 (+4.58% vs 2016) and 93.22% in 2018 (+1.38% vs 2017; total increase +5.96%), although with regional variation </w:t>
      </w:r>
      <w:r w:rsidRPr="00A47731">
        <w:rPr>
          <w:lang w:val="en-US"/>
        </w:rPr>
        <w:fldChar w:fldCharType="begin" w:fldLock="1"/>
      </w:r>
      <w:r w:rsidR="001A1881">
        <w:rPr>
          <w:lang w:val="en-US"/>
        </w:rPr>
        <w:instrText>ADDIN CSL_CITATION {"citationItems":[{"id":"ITEM-1","itemData":{"URL":"www.salute.gov.it/imgs/C_17_tavole_20_allegati_iitemAllegati_3_fileAllegati_itemFile_7_file.pdf","abstract":"Ministero della Salute","accessed":{"date-parts":[["2019","8","7"]]},"author":[{"dropping-particle":"","family":"Ministero della Salute","given":"","non-dropping-particle":"","parse-names":false,"suffix":""}],"id":"ITEM-1","issued":{"date-parts":[["0"]]},"title":"Le coperture vaccinali dell'età pediatrica e dell'adolescente","type":"webpage"},"uris":["http://www.mendeley.com/documents/?uuid=672684c0-d178-4142-968c-cb0b85869f92","http://www.mendeley.com/documents/?uuid=74d421a2-27b0-3231-8a61-636e06d0ff74"]}],"mendeley":{"formattedCitation":"[4]","plainTextFormattedCitation":"[4]","previouslyFormattedCitation":"[4]"},"properties":{"noteIndex":0},"schema":"https://github.com/citation-style-language/schema/raw/master/csl-citation.json"}</w:instrText>
      </w:r>
      <w:r w:rsidRPr="00A47731">
        <w:rPr>
          <w:lang w:val="en-US"/>
        </w:rPr>
        <w:fldChar w:fldCharType="separate"/>
      </w:r>
      <w:r w:rsidR="00A47731" w:rsidRPr="00A47731">
        <w:rPr>
          <w:noProof/>
          <w:lang w:val="en-US"/>
        </w:rPr>
        <w:t>[4]</w:t>
      </w:r>
      <w:r w:rsidRPr="00A47731">
        <w:rPr>
          <w:lang w:val="en-US"/>
        </w:rPr>
        <w:fldChar w:fldCharType="end"/>
      </w:r>
      <w:r w:rsidRPr="00BB7BBF">
        <w:rPr>
          <w:lang w:val="en-US"/>
        </w:rPr>
        <w:t xml:space="preserve"> (Table 1).</w:t>
      </w:r>
      <w:r w:rsidR="002674C5" w:rsidRPr="00A47731">
        <w:rPr>
          <w:lang w:val="en-US"/>
        </w:rPr>
        <w:t xml:space="preserve"> </w:t>
      </w:r>
    </w:p>
    <w:p w14:paraId="794A6782" w14:textId="6C5F9AB2" w:rsidR="002674C5" w:rsidRPr="009A0829" w:rsidRDefault="005C135D" w:rsidP="00932A89">
      <w:pPr>
        <w:shd w:val="clear" w:color="auto" w:fill="FFFFFF"/>
        <w:rPr>
          <w:lang w:val="en-US"/>
        </w:rPr>
      </w:pPr>
      <w:r>
        <w:rPr>
          <w:lang w:val="en-US"/>
        </w:rPr>
        <w:t xml:space="preserve">While the impact of </w:t>
      </w:r>
      <w:r w:rsidR="008572E6">
        <w:rPr>
          <w:lang w:val="en-US"/>
        </w:rPr>
        <w:t>mandatory vaccination</w:t>
      </w:r>
      <w:r>
        <w:rPr>
          <w:lang w:val="en-US"/>
        </w:rPr>
        <w:t xml:space="preserve"> on VC is probably the most direct and well monitored </w:t>
      </w:r>
      <w:r w:rsidR="008572E6">
        <w:rPr>
          <w:lang w:val="en-US"/>
        </w:rPr>
        <w:t>outcome, we believe there are additional consequences to it, which are often less stringently assessed and less often reported upon</w:t>
      </w:r>
      <w:r w:rsidR="001A1881">
        <w:rPr>
          <w:lang w:val="en-US"/>
        </w:rPr>
        <w:fldChar w:fldCharType="begin" w:fldLock="1"/>
      </w:r>
      <w:r w:rsidR="001A1881">
        <w:rPr>
          <w:lang w:val="en-US"/>
        </w:rPr>
        <w:instrText>ADDIN CSL_CITATION {"citationItems":[{"id":"ITEM-1","itemData":{"DOI":"10.1016/J.VACCINE.2018.08.042","ISSN":"0264-410X","abstract":"Globally, infant and childhood vaccine uptake rates are not high enough to control vaccine preventable diseases, with outbreaks occurring even in high-income countries. This has led a number of high-, middle-and low income countries to enact, strengthen or contemplate mandatory infant and/or childhood immunization to try to address the gap. Mandatory immunization that reduces or eliminates individual choice is often controversial. There is no standard approach to mandatory immunization. What vaccines are included, age groups covered, program flexibility and rigidity e.g. opportunities for opting out, penalties or incentives, degree of enforcement, and whether a compensation program for causally associated serious adverse events following immunization exists vary widely. We present an overview of mandatory immunization with examples in two high- and one low-income countries to illustrate variations, summarize limited outcome data related to mandatory immunization, and suggest key elements to consider when contemplating mandatory infant and/or child immunization. Before moving forward with mandatory immunization, governments need to assure financial sustainability, uninterrupted supply and equitable access to all the population. Other interventions may be more effective and less intrusive than mandatory. If mandatory is implemented, this needs to be tailored to fit the context and the country’s culture.","author":[{"dropping-particle":"","family":"MacDonald","given":"Noni E.","non-dropping-particle":"","parse-names":false,"suffix":""},{"dropping-particle":"","family":"Harmon","given":"Shawn","non-dropping-particle":"","parse-names":false,"suffix":""},{"dropping-particle":"","family":"Dube","given":"Eve","non-dropping-particle":"","parse-names":false,"suffix":""},{"dropping-particle":"","family":"Steenbeek","given":"Audrey","non-dropping-particle":"","parse-names":false,"suffix":""},{"dropping-particle":"","family":"Crowcroft","given":"Natasha","non-dropping-particle":"","parse-names":false,"suffix":""},{"dropping-particle":"","family":"Opel","given":"Douglas J.","non-dropping-particle":"","parse-names":false,"suffix":""},{"dropping-particle":"","family":"Faour","given":"David","non-dropping-particle":"","parse-names":false,"suffix":""},{"dropping-particle":"","family":"Leask","given":"Julie","non-dropping-particle":"","parse-names":false,"suffix":""},{"dropping-particle":"","family":"Butler","given":"Robb","non-dropping-particle":"","parse-names":false,"suffix":""}],"container-title":"Vaccine","id":"ITEM-1","issue":"39","issued":{"date-parts":[["2018","9","18"]]},"page":"5811-5818","publisher":"Elsevier","title":"Mandatory infant &amp; childhood immunization: Rationales, issues and knowledge gaps","type":"article-journal","volume":"36"},"uris":["http://www.mendeley.com/documents/?uuid=c3427558-85a8-3900-bf12-6e6dc084d029"]}],"mendeley":{"formattedCitation":"[5]","plainTextFormattedCitation":"[5]"},"properties":{"noteIndex":0},"schema":"https://github.com/citation-style-language/schema/raw/master/csl-citation.json"}</w:instrText>
      </w:r>
      <w:r w:rsidR="001A1881">
        <w:rPr>
          <w:lang w:val="en-US"/>
        </w:rPr>
        <w:fldChar w:fldCharType="separate"/>
      </w:r>
      <w:r w:rsidR="001A1881" w:rsidRPr="001A1881">
        <w:rPr>
          <w:noProof/>
          <w:lang w:val="en-US"/>
        </w:rPr>
        <w:t>[5]</w:t>
      </w:r>
      <w:r w:rsidR="001A1881">
        <w:rPr>
          <w:lang w:val="en-US"/>
        </w:rPr>
        <w:fldChar w:fldCharType="end"/>
      </w:r>
      <w:r w:rsidR="008572E6">
        <w:rPr>
          <w:lang w:val="en-US"/>
        </w:rPr>
        <w:t xml:space="preserve">. </w:t>
      </w:r>
      <w:r w:rsidR="00932A89">
        <w:rPr>
          <w:lang w:val="en-US"/>
        </w:rPr>
        <w:t xml:space="preserve">Additional effects of vaccine mandates may be </w:t>
      </w:r>
      <w:r w:rsidR="00E24023">
        <w:rPr>
          <w:lang w:val="en-US"/>
        </w:rPr>
        <w:t>probed</w:t>
      </w:r>
      <w:r w:rsidR="00932A89">
        <w:rPr>
          <w:lang w:val="en-US"/>
        </w:rPr>
        <w:t xml:space="preserve"> </w:t>
      </w:r>
      <w:r w:rsidR="00E24023">
        <w:rPr>
          <w:lang w:val="en-US"/>
        </w:rPr>
        <w:t>within the framework of</w:t>
      </w:r>
      <w:r w:rsidR="00053330" w:rsidRPr="00BB7BBF">
        <w:rPr>
          <w:lang w:val="en-US"/>
        </w:rPr>
        <w:t xml:space="preserve"> </w:t>
      </w:r>
      <w:r w:rsidR="00FC1C0C" w:rsidRPr="00BB7BBF">
        <w:rPr>
          <w:lang w:val="en-US"/>
        </w:rPr>
        <w:t>public health services</w:t>
      </w:r>
      <w:r w:rsidR="00E24023">
        <w:rPr>
          <w:lang w:val="en-US"/>
        </w:rPr>
        <w:t xml:space="preserve"> organization</w:t>
      </w:r>
      <w:r w:rsidR="00053330" w:rsidRPr="00BB7BBF">
        <w:rPr>
          <w:lang w:val="en-US"/>
        </w:rPr>
        <w:t xml:space="preserve"> and</w:t>
      </w:r>
      <w:r w:rsidR="009F3EF3" w:rsidRPr="00BB7BBF">
        <w:rPr>
          <w:lang w:val="en-US"/>
        </w:rPr>
        <w:t xml:space="preserve"> vaccine perception </w:t>
      </w:r>
      <w:r w:rsidR="00E24023">
        <w:rPr>
          <w:lang w:val="en-US"/>
        </w:rPr>
        <w:t>among</w:t>
      </w:r>
      <w:r w:rsidR="009F3EF3" w:rsidRPr="00BB7BBF">
        <w:rPr>
          <w:lang w:val="en-US"/>
        </w:rPr>
        <w:t xml:space="preserve"> general </w:t>
      </w:r>
      <w:r w:rsidR="006B590A" w:rsidRPr="00BB7BBF">
        <w:rPr>
          <w:lang w:val="en-US"/>
        </w:rPr>
        <w:t>populat</w:t>
      </w:r>
      <w:r w:rsidR="006B590A">
        <w:rPr>
          <w:lang w:val="en-US"/>
        </w:rPr>
        <w:t>ion</w:t>
      </w:r>
      <w:r w:rsidR="00A47731">
        <w:rPr>
          <w:lang w:val="en-US"/>
        </w:rPr>
        <w:fldChar w:fldCharType="begin" w:fldLock="1"/>
      </w:r>
      <w:r w:rsidR="001A1881">
        <w:rPr>
          <w:lang w:val="en-US"/>
        </w:rPr>
        <w:instrText>ADDIN CSL_CITATION {"citationItems":[{"id":"ITEM-1","itemData":{"DOI":"10.1016/J.VACCINE.2018.08.042","ISSN":"0264-410X","abstract":"Globally, infant and childhood vaccine uptake rates are not high enough to control vaccine preventable diseases, with outbreaks occurring even in high-income countries. This has led a number of high-, middle-and low income countries to enact, strengthen or contemplate mandatory infant and/or childhood immunization to try to address the gap. Mandatory immunization that reduces or eliminates individual choice is often controversial. There is no standard approach to mandatory immunization. What vaccines are included, age groups covered, program flexibility and rigidity e.g. opportunities for opting out, penalties or incentives, degree of enforcement, and whether a compensation program for causally associated serious adverse events following immunization exists vary widely. We present an overview of mandatory immunization with examples in two high- and one low-income countries to illustrate variations, summarize limited outcome data related to mandatory immunization, and suggest key elements to consider when contemplating mandatory infant and/or child immunization. Before moving forward with mandatory immunization, governments need to assure financial sustainability, uninterrupted supply and equitable access to all the population. Other interventions may be more effective and less intrusive than mandatory. If mandatory is implemented, this needs to be tailored to fit the context and the country’s culture.","author":[{"dropping-particle":"","family":"MacDonald","given":"Noni E.","non-dropping-particle":"","parse-names":false,"suffix":""},{"dropping-particle":"","family":"Harmon","given":"Shawn","non-dropping-particle":"","parse-names":false,"suffix":""},{"dropping-particle":"","family":"Dube","given":"Eve","non-dropping-particle":"","parse-names":false,"suffix":""},{"dropping-particle":"","family":"Steenbeek","given":"Audrey","non-dropping-particle":"","parse-names":false,"suffix":""},{"dropping-particle":"","family":"Crowcroft","given":"Natasha","non-dropping-particle":"","parse-names":false,"suffix":""},{"dropping-particle":"","family":"Opel","given":"Douglas J.","non-dropping-particle":"","parse-names":false,"suffix":""},{"dropping-particle":"","family":"Faour","given":"David","non-dropping-particle":"","parse-names":false,"suffix":""},{"dropping-particle":"","family":"Leask","given":"Julie","non-dropping-particle":"","parse-names":false,"suffix":""},{"dropping-particle":"","family":"Butler","given":"Robb","non-dropping-particle":"","parse-names":false,"suffix":""}],"container-title":"Vaccine","id":"ITEM-1","issue":"39","issued":{"date-parts":[["2018","9","18"]]},"page":"5811-5818","publisher":"Elsevier","title":"Mandatory infant &amp; childhood immunization: Rationales, issues and knowledge gaps","type":"article-journal","volume":"36"},"uris":["http://www.mendeley.com/documents/?uuid=c3427558-85a8-3900-bf12-6e6dc084d029"]}],"mendeley":{"formattedCitation":"[5]","plainTextFormattedCitation":"[5]","previouslyFormattedCitation":"[5]"},"properties":{"noteIndex":0},"schema":"https://github.com/citation-style-language/schema/raw/master/csl-citation.json"}</w:instrText>
      </w:r>
      <w:r w:rsidR="00A47731">
        <w:rPr>
          <w:lang w:val="en-US"/>
        </w:rPr>
        <w:fldChar w:fldCharType="separate"/>
      </w:r>
      <w:r w:rsidR="00A47731" w:rsidRPr="00A47731">
        <w:rPr>
          <w:noProof/>
          <w:lang w:val="en-US"/>
        </w:rPr>
        <w:t>[5]</w:t>
      </w:r>
      <w:r w:rsidR="00A47731">
        <w:rPr>
          <w:lang w:val="en-US"/>
        </w:rPr>
        <w:fldChar w:fldCharType="end"/>
      </w:r>
      <w:r w:rsidR="00FC1C0C" w:rsidRPr="00A47731">
        <w:rPr>
          <w:lang w:val="en-US"/>
        </w:rPr>
        <w:t xml:space="preserve">. </w:t>
      </w:r>
      <w:r w:rsidR="00E24023">
        <w:rPr>
          <w:lang w:val="en-US"/>
        </w:rPr>
        <w:t>In addition, t</w:t>
      </w:r>
      <w:r w:rsidR="00FC1C0C" w:rsidRPr="00A47731">
        <w:rPr>
          <w:lang w:val="en-US"/>
        </w:rPr>
        <w:t xml:space="preserve">hese </w:t>
      </w:r>
      <w:r w:rsidR="00185FE5" w:rsidRPr="00A47731">
        <w:rPr>
          <w:lang w:val="en-US"/>
        </w:rPr>
        <w:t>outcomes</w:t>
      </w:r>
      <w:r w:rsidR="00FC1C0C" w:rsidRPr="00A47731">
        <w:rPr>
          <w:lang w:val="en-US"/>
        </w:rPr>
        <w:t>, in turn, can have an impact on VC, and influenc</w:t>
      </w:r>
      <w:r w:rsidR="004E6771" w:rsidRPr="00A47731">
        <w:rPr>
          <w:lang w:val="en-US"/>
        </w:rPr>
        <w:t>e</w:t>
      </w:r>
      <w:r w:rsidR="00FC1C0C" w:rsidRPr="00A47731">
        <w:rPr>
          <w:lang w:val="en-US"/>
        </w:rPr>
        <w:t xml:space="preserve"> the </w:t>
      </w:r>
      <w:r w:rsidR="006B590A">
        <w:rPr>
          <w:lang w:val="en-US"/>
        </w:rPr>
        <w:t xml:space="preserve">policy </w:t>
      </w:r>
      <w:r w:rsidR="00FC1C0C" w:rsidRPr="00A47731">
        <w:rPr>
          <w:lang w:val="en-US"/>
        </w:rPr>
        <w:t xml:space="preserve">effectiveness. </w:t>
      </w:r>
      <w:r w:rsidR="00E24023">
        <w:rPr>
          <w:lang w:val="en-US"/>
        </w:rPr>
        <w:t>U</w:t>
      </w:r>
      <w:r w:rsidR="00FC1C0C" w:rsidRPr="00BB7BBF">
        <w:rPr>
          <w:lang w:val="en-US"/>
        </w:rPr>
        <w:t>sing data from</w:t>
      </w:r>
      <w:r w:rsidR="009F4E5A" w:rsidRPr="00A47731">
        <w:rPr>
          <w:lang w:val="en-US"/>
        </w:rPr>
        <w:t xml:space="preserve"> </w:t>
      </w:r>
      <w:r w:rsidR="00FC1C0C" w:rsidRPr="00A47731">
        <w:rPr>
          <w:lang w:val="en-US"/>
        </w:rPr>
        <w:t xml:space="preserve">a large </w:t>
      </w:r>
      <w:r w:rsidR="005E6C77" w:rsidRPr="00A47731">
        <w:rPr>
          <w:lang w:val="en-US"/>
        </w:rPr>
        <w:t>I</w:t>
      </w:r>
      <w:r w:rsidR="00FC1C0C" w:rsidRPr="00A47731">
        <w:rPr>
          <w:lang w:val="en-US"/>
        </w:rPr>
        <w:t>talian region,</w:t>
      </w:r>
      <w:r w:rsidR="002674C5" w:rsidRPr="009A0829">
        <w:rPr>
          <w:lang w:val="en-US"/>
        </w:rPr>
        <w:t xml:space="preserve"> </w:t>
      </w:r>
      <w:r w:rsidR="00E24023">
        <w:rPr>
          <w:lang w:val="en-US"/>
        </w:rPr>
        <w:t>we investigate</w:t>
      </w:r>
      <w:r w:rsidR="002674C5" w:rsidRPr="009A0829">
        <w:rPr>
          <w:lang w:val="en-US"/>
        </w:rPr>
        <w:t xml:space="preserve"> the impact of the 2017</w:t>
      </w:r>
      <w:r w:rsidR="00FC1C0C" w:rsidRPr="00BB7BBF">
        <w:rPr>
          <w:lang w:val="en-US"/>
        </w:rPr>
        <w:t xml:space="preserve"> </w:t>
      </w:r>
      <w:r w:rsidR="002674C5" w:rsidRPr="009A0829">
        <w:rPr>
          <w:lang w:val="en-US"/>
        </w:rPr>
        <w:t>mandatory immunization program</w:t>
      </w:r>
      <w:r w:rsidR="006B590A">
        <w:rPr>
          <w:rFonts w:ascii="Arial" w:hAnsi="Arial" w:cs="Arial"/>
          <w:color w:val="222222"/>
        </w:rPr>
        <w:t xml:space="preserve"> </w:t>
      </w:r>
      <w:r w:rsidR="00E24023">
        <w:rPr>
          <w:lang w:val="en-US"/>
        </w:rPr>
        <w:t>on a broader spectrum of relevant outcomes</w:t>
      </w:r>
      <w:r w:rsidR="002674C5" w:rsidRPr="009A0829">
        <w:rPr>
          <w:lang w:val="en-US"/>
        </w:rPr>
        <w:t xml:space="preserve">, </w:t>
      </w:r>
      <w:r w:rsidR="004E6771" w:rsidRPr="00BB7BBF">
        <w:rPr>
          <w:lang w:val="en-US"/>
        </w:rPr>
        <w:t>such as</w:t>
      </w:r>
      <w:r w:rsidR="00CD038F" w:rsidRPr="00A47731">
        <w:rPr>
          <w:lang w:val="en-US"/>
        </w:rPr>
        <w:t xml:space="preserve"> </w:t>
      </w:r>
      <w:r w:rsidR="00E24023">
        <w:rPr>
          <w:lang w:val="en-US"/>
        </w:rPr>
        <w:t xml:space="preserve">VC, </w:t>
      </w:r>
      <w:r w:rsidR="00185FE5" w:rsidRPr="00A47731">
        <w:rPr>
          <w:lang w:val="en-US"/>
        </w:rPr>
        <w:t xml:space="preserve">organization of </w:t>
      </w:r>
      <w:r w:rsidR="00CD038F" w:rsidRPr="00A47731">
        <w:rPr>
          <w:lang w:val="en-US"/>
        </w:rPr>
        <w:t xml:space="preserve">immunization service </w:t>
      </w:r>
      <w:r w:rsidR="00185FE5" w:rsidRPr="00A47731">
        <w:rPr>
          <w:lang w:val="en-US"/>
        </w:rPr>
        <w:t xml:space="preserve">and </w:t>
      </w:r>
      <w:r w:rsidR="00185FE5" w:rsidRPr="009A0829">
        <w:rPr>
          <w:lang w:val="en-US"/>
        </w:rPr>
        <w:t>catch-up activities</w:t>
      </w:r>
      <w:r w:rsidR="00185FE5" w:rsidRPr="00BB7BBF">
        <w:rPr>
          <w:lang w:val="en-US"/>
        </w:rPr>
        <w:t>,</w:t>
      </w:r>
      <w:r w:rsidR="00185FE5" w:rsidRPr="00A47731">
        <w:rPr>
          <w:lang w:val="en-US"/>
        </w:rPr>
        <w:t xml:space="preserve"> </w:t>
      </w:r>
      <w:r w:rsidR="00CD038F" w:rsidRPr="00A47731">
        <w:rPr>
          <w:lang w:val="en-US"/>
        </w:rPr>
        <w:t>regional immunization information system (</w:t>
      </w:r>
      <w:proofErr w:type="spellStart"/>
      <w:r w:rsidR="00CD038F" w:rsidRPr="00A47731">
        <w:rPr>
          <w:lang w:val="en-US"/>
        </w:rPr>
        <w:t>rIIS</w:t>
      </w:r>
      <w:proofErr w:type="spellEnd"/>
      <w:r w:rsidR="00CD038F" w:rsidRPr="00A47731">
        <w:rPr>
          <w:lang w:val="en-US"/>
        </w:rPr>
        <w:t xml:space="preserve">) </w:t>
      </w:r>
      <w:r w:rsidR="002674C5" w:rsidRPr="009A0829">
        <w:rPr>
          <w:lang w:val="en-US"/>
        </w:rPr>
        <w:t>data quality</w:t>
      </w:r>
      <w:r w:rsidR="00E24023">
        <w:rPr>
          <w:lang w:val="en-US"/>
        </w:rPr>
        <w:t xml:space="preserve"> and</w:t>
      </w:r>
      <w:r w:rsidR="002674C5" w:rsidRPr="009A0829">
        <w:rPr>
          <w:lang w:val="en-US"/>
        </w:rPr>
        <w:t xml:space="preserve"> </w:t>
      </w:r>
      <w:r w:rsidR="00185FE5" w:rsidRPr="009A0829">
        <w:rPr>
          <w:lang w:val="en-US"/>
        </w:rPr>
        <w:t>reasons for delaying</w:t>
      </w:r>
      <w:r w:rsidR="00E24023">
        <w:rPr>
          <w:lang w:val="en-US"/>
        </w:rPr>
        <w:t>/</w:t>
      </w:r>
      <w:r w:rsidR="00185FE5" w:rsidRPr="009A0829">
        <w:rPr>
          <w:lang w:val="en-US"/>
        </w:rPr>
        <w:t xml:space="preserve">refusing </w:t>
      </w:r>
      <w:r w:rsidR="00E24023">
        <w:rPr>
          <w:lang w:val="en-US"/>
        </w:rPr>
        <w:t>immunization</w:t>
      </w:r>
      <w:r w:rsidR="00185FE5" w:rsidRPr="009A0829">
        <w:rPr>
          <w:lang w:val="en-US"/>
        </w:rPr>
        <w:t>.</w:t>
      </w:r>
    </w:p>
    <w:p w14:paraId="67F443CC" w14:textId="6972F7EA" w:rsidR="000D755E" w:rsidRPr="002557C1" w:rsidRDefault="005447F0">
      <w:pPr>
        <w:rPr>
          <w:lang w:val="en-US"/>
        </w:rPr>
      </w:pPr>
      <w:r w:rsidRPr="002557C1">
        <w:rPr>
          <w:lang w:val="en-US"/>
        </w:rPr>
        <w:t>Tuscany is a region of central Italy, with approximately 3.7 m</w:t>
      </w:r>
      <w:r w:rsidR="002501D1" w:rsidRPr="002557C1">
        <w:rPr>
          <w:lang w:val="en-US"/>
        </w:rPr>
        <w:t>i</w:t>
      </w:r>
      <w:r w:rsidRPr="002557C1">
        <w:rPr>
          <w:lang w:val="en-US"/>
        </w:rPr>
        <w:t>l</w:t>
      </w:r>
      <w:r w:rsidR="002501D1" w:rsidRPr="002557C1">
        <w:rPr>
          <w:lang w:val="en-US"/>
        </w:rPr>
        <w:t>lio</w:t>
      </w:r>
      <w:r w:rsidRPr="002557C1">
        <w:rPr>
          <w:lang w:val="en-US"/>
        </w:rPr>
        <w:t xml:space="preserve">n inhabitants, </w:t>
      </w:r>
      <w:r w:rsidR="008A308E" w:rsidRPr="002557C1">
        <w:rPr>
          <w:lang w:val="en-US"/>
        </w:rPr>
        <w:t>corresponding to the</w:t>
      </w:r>
      <w:r w:rsidRPr="002557C1">
        <w:rPr>
          <w:lang w:val="en-US"/>
        </w:rPr>
        <w:t xml:space="preserve"> 6.2% of </w:t>
      </w:r>
      <w:r w:rsidR="005E6C77">
        <w:rPr>
          <w:lang w:val="en-US"/>
        </w:rPr>
        <w:t xml:space="preserve">the </w:t>
      </w:r>
      <w:r w:rsidRPr="002557C1">
        <w:rPr>
          <w:lang w:val="en-US"/>
        </w:rPr>
        <w:t xml:space="preserve">national population. </w:t>
      </w:r>
      <w:r w:rsidR="008A308E" w:rsidRPr="002557C1">
        <w:rPr>
          <w:lang w:val="en-US"/>
        </w:rPr>
        <w:t xml:space="preserve">The </w:t>
      </w:r>
      <w:r w:rsidR="000D755E" w:rsidRPr="002557C1">
        <w:rPr>
          <w:lang w:val="en-US"/>
        </w:rPr>
        <w:t xml:space="preserve">historical </w:t>
      </w:r>
      <w:r w:rsidR="008A308E" w:rsidRPr="002557C1">
        <w:rPr>
          <w:lang w:val="en-US"/>
        </w:rPr>
        <w:t xml:space="preserve">VC </w:t>
      </w:r>
      <w:r w:rsidR="000D755E" w:rsidRPr="002557C1">
        <w:rPr>
          <w:lang w:val="en-US"/>
        </w:rPr>
        <w:t xml:space="preserve">trends </w:t>
      </w:r>
      <w:r w:rsidR="008A308E" w:rsidRPr="002557C1">
        <w:rPr>
          <w:lang w:val="en-US"/>
        </w:rPr>
        <w:t>in the region reflected those at national level</w:t>
      </w:r>
      <w:r w:rsidR="00386E17" w:rsidRPr="002557C1">
        <w:rPr>
          <w:lang w:val="en-US"/>
        </w:rPr>
        <w:t>, although with slightly high</w:t>
      </w:r>
      <w:r w:rsidR="002501D1" w:rsidRPr="002557C1">
        <w:rPr>
          <w:lang w:val="en-US"/>
        </w:rPr>
        <w:t>er</w:t>
      </w:r>
      <w:r w:rsidR="00386E17" w:rsidRPr="002557C1">
        <w:rPr>
          <w:lang w:val="en-US"/>
        </w:rPr>
        <w:t xml:space="preserve"> VC rates</w:t>
      </w:r>
      <w:r w:rsidR="008A308E" w:rsidRPr="002557C1">
        <w:rPr>
          <w:lang w:val="en-US"/>
        </w:rPr>
        <w:t xml:space="preserve">. As shown in </w:t>
      </w:r>
      <w:r w:rsidR="005E6C77">
        <w:rPr>
          <w:lang w:val="en-US"/>
        </w:rPr>
        <w:t>T</w:t>
      </w:r>
      <w:r w:rsidR="008A308E" w:rsidRPr="002557C1">
        <w:rPr>
          <w:lang w:val="en-US"/>
        </w:rPr>
        <w:t>able 1</w:t>
      </w:r>
      <w:r w:rsidR="000D755E" w:rsidRPr="002557C1">
        <w:rPr>
          <w:lang w:val="en-US"/>
        </w:rPr>
        <w:t xml:space="preserve">, the regional average </w:t>
      </w:r>
      <w:r w:rsidR="00386E17" w:rsidRPr="002557C1">
        <w:rPr>
          <w:lang w:val="en-US"/>
        </w:rPr>
        <w:t xml:space="preserve">24-month </w:t>
      </w:r>
      <w:r w:rsidR="000D755E" w:rsidRPr="002557C1">
        <w:rPr>
          <w:lang w:val="en-US"/>
        </w:rPr>
        <w:t xml:space="preserve">VC for measles </w:t>
      </w:r>
      <w:r w:rsidR="008A308E" w:rsidRPr="002557C1">
        <w:rPr>
          <w:lang w:val="en-US"/>
        </w:rPr>
        <w:t>was 89.38%</w:t>
      </w:r>
      <w:r w:rsidR="000D755E" w:rsidRPr="002557C1">
        <w:rPr>
          <w:lang w:val="en-US"/>
        </w:rPr>
        <w:t xml:space="preserve"> in 2016</w:t>
      </w:r>
      <w:r w:rsidR="008A308E" w:rsidRPr="002557C1">
        <w:rPr>
          <w:lang w:val="en-US"/>
        </w:rPr>
        <w:t xml:space="preserve"> and 95.32%</w:t>
      </w:r>
      <w:r w:rsidR="000D755E" w:rsidRPr="002557C1">
        <w:rPr>
          <w:lang w:val="en-US"/>
        </w:rPr>
        <w:t xml:space="preserve"> in 2018, with a </w:t>
      </w:r>
      <w:r w:rsidR="00386E17" w:rsidRPr="002557C1">
        <w:rPr>
          <w:lang w:val="en-US"/>
        </w:rPr>
        <w:t>cumulative</w:t>
      </w:r>
      <w:r w:rsidR="000D755E" w:rsidRPr="002557C1">
        <w:rPr>
          <w:lang w:val="en-US"/>
        </w:rPr>
        <w:t xml:space="preserve"> increase of </w:t>
      </w:r>
      <w:r w:rsidR="00386E17" w:rsidRPr="002557C1">
        <w:rPr>
          <w:lang w:val="en-US"/>
        </w:rPr>
        <w:t>+</w:t>
      </w:r>
      <w:r w:rsidR="000D755E" w:rsidRPr="002557C1">
        <w:rPr>
          <w:lang w:val="en-US"/>
        </w:rPr>
        <w:t>5.94%</w:t>
      </w:r>
      <w:r w:rsidR="008A5BE3" w:rsidRPr="002557C1">
        <w:rPr>
          <w:lang w:val="en-US"/>
        </w:rPr>
        <w:t xml:space="preserve">, </w:t>
      </w:r>
      <w:r w:rsidR="00386E17" w:rsidRPr="002557C1">
        <w:rPr>
          <w:lang w:val="en-US"/>
        </w:rPr>
        <w:t>equivalent to</w:t>
      </w:r>
      <w:r w:rsidR="008A5BE3" w:rsidRPr="002557C1">
        <w:rPr>
          <w:lang w:val="en-US"/>
        </w:rPr>
        <w:t xml:space="preserve"> that registered at national level</w:t>
      </w:r>
      <w:r w:rsidR="00B860CF" w:rsidRPr="002557C1">
        <w:rPr>
          <w:lang w:val="en-US"/>
        </w:rPr>
        <w:fldChar w:fldCharType="begin" w:fldLock="1"/>
      </w:r>
      <w:r w:rsidR="001A1881">
        <w:rPr>
          <w:lang w:val="en-US"/>
        </w:rPr>
        <w:instrText>ADDIN CSL_CITATION {"citationItems":[{"id":"ITEM-1","itemData":{"URL":"http://www.uslsudest.toscana.it/attachments/article/70/allegato-A.pdf","accessed":{"date-parts":[["2019","8","9"]]},"author":[{"dropping-particle":"","family":"Regione Toscana","given":"","non-dropping-particle":"","parse-names":false,"suffix":""}],"id":"ITEM-1","issued":{"date-parts":[["2019"]]},"title":"Sintesi coperture vaccinali Regione Toscana al 31/12/2018","type":"webpage"},"uris":["http://www.mendeley.com/documents/?uuid=2eb1cf50-2239-4693-af50-55d6533032d5","http://www.mendeley.com/documents/?uuid=62fefd0e-ce3c-404c-91c6-2edb336c3eda"]}],"mendeley":{"formattedCitation":"[6]","plainTextFormattedCitation":"[6]","previouslyFormattedCitation":"[6]"},"properties":{"noteIndex":0},"schema":"https://github.com/citation-style-language/schema/raw/master/csl-citation.json"}</w:instrText>
      </w:r>
      <w:r w:rsidR="00B860CF" w:rsidRPr="002557C1">
        <w:rPr>
          <w:lang w:val="en-US"/>
        </w:rPr>
        <w:fldChar w:fldCharType="separate"/>
      </w:r>
      <w:r w:rsidR="00A47731" w:rsidRPr="00A47731">
        <w:rPr>
          <w:noProof/>
          <w:lang w:val="en-US"/>
        </w:rPr>
        <w:t>[6]</w:t>
      </w:r>
      <w:r w:rsidR="00B860CF" w:rsidRPr="002557C1">
        <w:rPr>
          <w:lang w:val="en-US"/>
        </w:rPr>
        <w:fldChar w:fldCharType="end"/>
      </w:r>
      <w:r w:rsidR="00852C28">
        <w:rPr>
          <w:lang w:val="en-US"/>
        </w:rPr>
        <w:t>.</w:t>
      </w:r>
    </w:p>
    <w:p w14:paraId="20D9CB31" w14:textId="7A9DA8D7" w:rsidR="00BA79E2" w:rsidRPr="002557C1" w:rsidRDefault="00BA79E2">
      <w:pPr>
        <w:rPr>
          <w:lang w:val="en-US"/>
        </w:rPr>
      </w:pPr>
      <w:r w:rsidRPr="002557C1">
        <w:rPr>
          <w:lang w:val="en-US"/>
        </w:rPr>
        <w:t xml:space="preserve">As part of PNPV implementation, </w:t>
      </w:r>
      <w:r w:rsidR="002501D1" w:rsidRPr="002557C1">
        <w:rPr>
          <w:lang w:val="en-US"/>
        </w:rPr>
        <w:t>and following the push provided by the mandat</w:t>
      </w:r>
      <w:r w:rsidR="00341760" w:rsidRPr="002557C1">
        <w:rPr>
          <w:lang w:val="en-US"/>
        </w:rPr>
        <w:t>ory</w:t>
      </w:r>
      <w:r w:rsidR="002501D1" w:rsidRPr="002557C1">
        <w:rPr>
          <w:lang w:val="en-US"/>
        </w:rPr>
        <w:t xml:space="preserve"> law, </w:t>
      </w:r>
      <w:r w:rsidRPr="002557C1">
        <w:rPr>
          <w:lang w:val="en-US"/>
        </w:rPr>
        <w:t>regional health authorities carried out catch-up interventions to identify and actively offer mandatory vaccinations to unvaccinated/partly vaccinated children</w:t>
      </w:r>
      <w:r w:rsidRPr="002557C1">
        <w:rPr>
          <w:lang w:val="en-US"/>
        </w:rPr>
        <w:fldChar w:fldCharType="begin" w:fldLock="1"/>
      </w:r>
      <w:r w:rsidR="001A1881">
        <w:rPr>
          <w:lang w:val="en-US"/>
        </w:rPr>
        <w:instrText>ADDIN CSL_CITATION {"citationItems":[{"id":"ITEM-1","itemData":{"DOI":"10.2807/1560-7917.ES.2019.24.26.1900371","ISSN":"1560-7917","abstract":"Italy introduced a national law extending the number of compulsory vaccines from four to 10 in July 2017. The implementation placed a further burden on immunisation centres as they were required to cover the increased demand of vaccination by the parents of unvaccinated children. Vaccine coverage (VC) estimated 6 months and 1 year later, at 24 and 30 months (same birth cohort), had increased for all vaccines. At 24 months of age, measles VC increased from 87.3% in 2016 to 91.8% in 2017 and 94.1% at 30 months of age as at June 2018. In six of 21 regions and autonomous provinces, VC for measles was &amp;gt;95%. Despite the implementation of this law, vaccine hesitancy is still a problem in Italy and the political and social debate on mandatory vaccination is ongoing. Regardless of the policy to be adopted in the future, strategies to maintain high vaccination rates and the related herd immunity should be considered, including adequate communication to the population and the implementation of electronic immunisation registries.","author":[{"dropping-particle":"","family":"D’Ancona","given":"Fortunato","non-dropping-particle":"","parse-names":false,"suffix":""},{"dropping-particle":"","family":"D’Amario","given":"Claudio","non-dropping-particle":"","parse-names":false,"suffix":""},{"dropping-particle":"","family":"Maraglino","given":"Francesco","non-dropping-particle":"","parse-names":false,"suffix":""},{"dropping-particle":"","family":"Rezza","given":"Giovanni","non-dropping-particle":"","parse-names":false,"suffix":""},{"dropping-particle":"","family":"Iannazzo","given":"Stefania","non-dropping-particle":"","parse-names":false,"suffix":""}],"container-title":"Eurosurveillance","id":"ITEM-1","issue":"26","issued":{"date-parts":[["2019","6","27"]]},"page":"1900371","publisher":"European Centre for Disease Prevention and Control","title":"The law on compulsory vaccination in Italy: an update 2 years after the introduction","type":"article-journal","volume":"24"},"uris":["http://www.mendeley.com/documents/?uuid=a917842e-a13a-4323-a496-5cc8dfb6afc6","http://www.mendeley.com/documents/?uuid=ccbe92c2-202e-33f9-80be-9c6d57412fe6"]}],"mendeley":{"formattedCitation":"[3]","plainTextFormattedCitation":"[3]","previouslyFormattedCitation":"[3]"},"properties":{"noteIndex":0},"schema":"https://github.com/citation-style-language/schema/raw/master/csl-citation.json"}</w:instrText>
      </w:r>
      <w:r w:rsidRPr="002557C1">
        <w:rPr>
          <w:lang w:val="en-US"/>
        </w:rPr>
        <w:fldChar w:fldCharType="separate"/>
      </w:r>
      <w:r w:rsidR="00A47731" w:rsidRPr="00A47731">
        <w:rPr>
          <w:noProof/>
          <w:lang w:val="en-US"/>
        </w:rPr>
        <w:t>[3]</w:t>
      </w:r>
      <w:r w:rsidRPr="002557C1">
        <w:rPr>
          <w:lang w:val="en-US"/>
        </w:rPr>
        <w:fldChar w:fldCharType="end"/>
      </w:r>
      <w:r w:rsidRPr="002557C1">
        <w:rPr>
          <w:lang w:val="en-US"/>
        </w:rPr>
        <w:t xml:space="preserve">. The impact of these efforts </w:t>
      </w:r>
      <w:r w:rsidR="00341760" w:rsidRPr="002557C1">
        <w:rPr>
          <w:lang w:val="en-US"/>
        </w:rPr>
        <w:t xml:space="preserve">was </w:t>
      </w:r>
      <w:r w:rsidRPr="002557C1">
        <w:rPr>
          <w:lang w:val="en-US"/>
        </w:rPr>
        <w:t>assessed monitoring VC for the same birth-cohort at 24-month, 36-month and 48-month of age, with the latter indicator introduced in 2017 for this specific purpose</w:t>
      </w:r>
      <w:r w:rsidRPr="002557C1">
        <w:rPr>
          <w:lang w:val="en-US"/>
        </w:rPr>
        <w:fldChar w:fldCharType="begin" w:fldLock="1"/>
      </w:r>
      <w:r w:rsidR="001A1881">
        <w:rPr>
          <w:lang w:val="en-US"/>
        </w:rPr>
        <w:instrText>ADDIN CSL_CITATION {"citationItems":[{"id":"ITEM-1","itemData":{"URL":"www.salute.gov.it/imgs/C_17_tavole_20_allegati_iitemAllegati_3_fileAllegati_itemFile_7_file.pdf","abstract":"Ministero della Salute","accessed":{"date-parts":[["2019","8","7"]]},"author":[{"dropping-particle":"","family":"Ministero della Salute","given":"","non-dropping-particle":"","parse-names":false,"suffix":""}],"id":"ITEM-1","issued":{"date-parts":[["0"]]},"title":"Le coperture vaccinali dell'età pediatrica e dell'adolescente","type":"webpage"},"uris":["http://www.mendeley.com/documents/?uuid=672684c0-d178-4142-968c-cb0b85869f92","http://www.mendeley.com/documents/?uuid=74d421a2-27b0-3231-8a61-636e06d0ff74"]}],"mendeley":{"formattedCitation":"[4]","plainTextFormattedCitation":"[4]","previouslyFormattedCitation":"[4]"},"properties":{"noteIndex":0},"schema":"https://github.com/citation-style-language/schema/raw/master/csl-citation.json"}</w:instrText>
      </w:r>
      <w:r w:rsidRPr="002557C1">
        <w:rPr>
          <w:lang w:val="en-US"/>
        </w:rPr>
        <w:fldChar w:fldCharType="separate"/>
      </w:r>
      <w:r w:rsidR="00A47731" w:rsidRPr="00A47731">
        <w:rPr>
          <w:noProof/>
          <w:lang w:val="en-US"/>
        </w:rPr>
        <w:t>[4]</w:t>
      </w:r>
      <w:r w:rsidRPr="002557C1">
        <w:rPr>
          <w:lang w:val="en-US"/>
        </w:rPr>
        <w:fldChar w:fldCharType="end"/>
      </w:r>
      <w:r w:rsidRPr="002557C1">
        <w:rPr>
          <w:lang w:val="en-US"/>
        </w:rPr>
        <w:t xml:space="preserve">. In Tuscany, local health </w:t>
      </w:r>
      <w:r w:rsidR="002501D1" w:rsidRPr="002557C1">
        <w:rPr>
          <w:lang w:val="en-US"/>
        </w:rPr>
        <w:t>units</w:t>
      </w:r>
      <w:r w:rsidRPr="002557C1">
        <w:rPr>
          <w:lang w:val="en-US"/>
        </w:rPr>
        <w:t xml:space="preserve"> (LHU) were responsible for catch-up activities</w:t>
      </w:r>
      <w:r w:rsidR="006B1E50" w:rsidRPr="002557C1">
        <w:rPr>
          <w:lang w:val="en-US"/>
        </w:rPr>
        <w:t xml:space="preserve"> and s</w:t>
      </w:r>
      <w:r w:rsidR="00E3425D" w:rsidRPr="002557C1">
        <w:rPr>
          <w:lang w:val="en-US"/>
        </w:rPr>
        <w:t>chools were also engaged to identify unvaccinated/partly vaccinated children and transmit the information to LHUs.</w:t>
      </w:r>
    </w:p>
    <w:p w14:paraId="5E54E7B9" w14:textId="0D634256" w:rsidR="00E3425D" w:rsidRPr="002557C1" w:rsidRDefault="00E3425D">
      <w:pPr>
        <w:rPr>
          <w:lang w:val="en-US"/>
        </w:rPr>
      </w:pPr>
      <w:r w:rsidRPr="002557C1">
        <w:rPr>
          <w:lang w:val="en-US"/>
        </w:rPr>
        <w:t xml:space="preserve">Catch-up activities resulted in a substantial increase in measles VC in </w:t>
      </w:r>
      <w:r w:rsidR="009A60EC" w:rsidRPr="002557C1">
        <w:rPr>
          <w:lang w:val="en-US"/>
        </w:rPr>
        <w:t>the 2014 and</w:t>
      </w:r>
      <w:r w:rsidRPr="002557C1">
        <w:rPr>
          <w:lang w:val="en-US"/>
        </w:rPr>
        <w:t xml:space="preserve"> 2015 birth cohorts, monitored through the abovementioned indicators. </w:t>
      </w:r>
      <w:r w:rsidR="00341760" w:rsidRPr="002557C1">
        <w:rPr>
          <w:lang w:val="en-US"/>
        </w:rPr>
        <w:t>A</w:t>
      </w:r>
      <w:r w:rsidR="009A60EC" w:rsidRPr="002557C1">
        <w:rPr>
          <w:lang w:val="en-US"/>
        </w:rPr>
        <w:t xml:space="preserve"> respective increase of +5.65% and +1.75% was registered </w:t>
      </w:r>
      <w:r w:rsidR="00F21E27" w:rsidRPr="002557C1">
        <w:rPr>
          <w:lang w:val="en-US"/>
        </w:rPr>
        <w:t xml:space="preserve">in Tuscany </w:t>
      </w:r>
      <w:r w:rsidR="009A60EC" w:rsidRPr="002557C1">
        <w:rPr>
          <w:lang w:val="en-US"/>
        </w:rPr>
        <w:t xml:space="preserve">for the 2014 and 2015 birth cohorts, </w:t>
      </w:r>
      <w:r w:rsidR="00F21E27" w:rsidRPr="002557C1">
        <w:rPr>
          <w:lang w:val="en-US"/>
        </w:rPr>
        <w:t>similarly</w:t>
      </w:r>
      <w:r w:rsidR="009A60EC" w:rsidRPr="002557C1">
        <w:rPr>
          <w:lang w:val="en-US"/>
        </w:rPr>
        <w:t xml:space="preserve"> to </w:t>
      </w:r>
      <w:r w:rsidR="00F21E27" w:rsidRPr="002557C1">
        <w:rPr>
          <w:lang w:val="en-US"/>
        </w:rPr>
        <w:t>what observed at</w:t>
      </w:r>
      <w:r w:rsidR="009A60EC" w:rsidRPr="002557C1">
        <w:rPr>
          <w:lang w:val="en-US"/>
        </w:rPr>
        <w:t xml:space="preserve"> national </w:t>
      </w:r>
      <w:r w:rsidR="00F21E27" w:rsidRPr="002557C1">
        <w:rPr>
          <w:lang w:val="en-US"/>
        </w:rPr>
        <w:t>level</w:t>
      </w:r>
      <w:r w:rsidR="00341760" w:rsidRPr="002557C1">
        <w:rPr>
          <w:lang w:val="en-US"/>
        </w:rPr>
        <w:t xml:space="preserve"> (</w:t>
      </w:r>
      <w:r w:rsidR="00C26508">
        <w:rPr>
          <w:lang w:val="en-US"/>
        </w:rPr>
        <w:t>T</w:t>
      </w:r>
      <w:r w:rsidR="00341760" w:rsidRPr="002557C1">
        <w:rPr>
          <w:lang w:val="en-US"/>
        </w:rPr>
        <w:t>able 1)</w:t>
      </w:r>
      <w:r w:rsidR="009A60EC" w:rsidRPr="002557C1">
        <w:rPr>
          <w:lang w:val="en-US"/>
        </w:rPr>
        <w:t xml:space="preserve">. As a result, one-dose measles VC </w:t>
      </w:r>
      <w:r w:rsidR="00F21E27" w:rsidRPr="002557C1">
        <w:rPr>
          <w:lang w:val="en-US"/>
        </w:rPr>
        <w:t>has exceeded</w:t>
      </w:r>
      <w:r w:rsidR="009A60EC" w:rsidRPr="002557C1">
        <w:rPr>
          <w:lang w:val="en-US"/>
        </w:rPr>
        <w:t xml:space="preserve"> the World Health Organization target of 95%, for these birth cohorts.</w:t>
      </w:r>
    </w:p>
    <w:p w14:paraId="7A4A84A3" w14:textId="77777777" w:rsidR="00415131" w:rsidRPr="002557C1" w:rsidRDefault="00415131">
      <w:pPr>
        <w:rPr>
          <w:lang w:val="en-US"/>
        </w:rPr>
      </w:pPr>
    </w:p>
    <w:p w14:paraId="17CF58A7" w14:textId="33F48508" w:rsidR="00415131" w:rsidRPr="002557C1" w:rsidRDefault="00415131" w:rsidP="00415131">
      <w:pPr>
        <w:rPr>
          <w:b/>
        </w:rPr>
      </w:pPr>
      <w:r w:rsidRPr="002557C1">
        <w:rPr>
          <w:b/>
        </w:rPr>
        <w:t>Table 1: Measles vaccine coverage in Italy and Tuscany region, by birth cohort and year of data collection</w:t>
      </w:r>
    </w:p>
    <w:tbl>
      <w:tblPr>
        <w:tblStyle w:val="Grigliatabella"/>
        <w:tblW w:w="0" w:type="auto"/>
        <w:tblLook w:val="04A0" w:firstRow="1" w:lastRow="0" w:firstColumn="1" w:lastColumn="0" w:noHBand="0" w:noVBand="1"/>
      </w:tblPr>
      <w:tblGrid>
        <w:gridCol w:w="1202"/>
        <w:gridCol w:w="1452"/>
        <w:gridCol w:w="1306"/>
        <w:gridCol w:w="1514"/>
        <w:gridCol w:w="1362"/>
        <w:gridCol w:w="1470"/>
        <w:gridCol w:w="1322"/>
      </w:tblGrid>
      <w:tr w:rsidR="00415131" w:rsidRPr="002557C1" w14:paraId="0C22EAD4" w14:textId="77777777" w:rsidTr="00B665D9">
        <w:trPr>
          <w:trHeight w:val="290"/>
        </w:trPr>
        <w:tc>
          <w:tcPr>
            <w:tcW w:w="1380" w:type="dxa"/>
            <w:vMerge w:val="restart"/>
            <w:hideMark/>
          </w:tcPr>
          <w:p w14:paraId="0888C6D4" w14:textId="77777777" w:rsidR="00415131" w:rsidRPr="002557C1" w:rsidRDefault="00415131" w:rsidP="00B665D9">
            <w:pPr>
              <w:rPr>
                <w:b/>
                <w:bCs/>
              </w:rPr>
            </w:pPr>
            <w:r w:rsidRPr="002557C1">
              <w:rPr>
                <w:b/>
                <w:bCs/>
              </w:rPr>
              <w:lastRenderedPageBreak/>
              <w:t>Birth cohort</w:t>
            </w:r>
          </w:p>
        </w:tc>
        <w:tc>
          <w:tcPr>
            <w:tcW w:w="3180" w:type="dxa"/>
            <w:gridSpan w:val="2"/>
            <w:noWrap/>
            <w:hideMark/>
          </w:tcPr>
          <w:p w14:paraId="0240636C" w14:textId="77777777" w:rsidR="00415131" w:rsidRPr="002557C1" w:rsidRDefault="00415131" w:rsidP="00B665D9">
            <w:pPr>
              <w:jc w:val="center"/>
              <w:rPr>
                <w:b/>
                <w:bCs/>
              </w:rPr>
            </w:pPr>
            <w:r w:rsidRPr="002557C1">
              <w:rPr>
                <w:b/>
                <w:bCs/>
              </w:rPr>
              <w:t>Measles vaccine coverage 2018</w:t>
            </w:r>
          </w:p>
        </w:tc>
        <w:tc>
          <w:tcPr>
            <w:tcW w:w="3320" w:type="dxa"/>
            <w:gridSpan w:val="2"/>
            <w:noWrap/>
            <w:hideMark/>
          </w:tcPr>
          <w:p w14:paraId="7B32E6BF" w14:textId="77777777" w:rsidR="00415131" w:rsidRPr="002557C1" w:rsidRDefault="00415131" w:rsidP="00B665D9">
            <w:pPr>
              <w:jc w:val="center"/>
              <w:rPr>
                <w:b/>
                <w:bCs/>
              </w:rPr>
            </w:pPr>
            <w:r w:rsidRPr="002557C1">
              <w:rPr>
                <w:b/>
                <w:bCs/>
              </w:rPr>
              <w:t>Measles vaccine coverage 2017</w:t>
            </w:r>
          </w:p>
        </w:tc>
        <w:tc>
          <w:tcPr>
            <w:tcW w:w="3220" w:type="dxa"/>
            <w:gridSpan w:val="2"/>
            <w:noWrap/>
            <w:hideMark/>
          </w:tcPr>
          <w:p w14:paraId="6ACB1649" w14:textId="77777777" w:rsidR="00415131" w:rsidRPr="002557C1" w:rsidRDefault="00415131" w:rsidP="00B665D9">
            <w:pPr>
              <w:jc w:val="center"/>
              <w:rPr>
                <w:b/>
                <w:bCs/>
              </w:rPr>
            </w:pPr>
            <w:r w:rsidRPr="002557C1">
              <w:rPr>
                <w:b/>
                <w:bCs/>
              </w:rPr>
              <w:t>Measles vaccine coverage 2016</w:t>
            </w:r>
          </w:p>
        </w:tc>
      </w:tr>
      <w:tr w:rsidR="00415131" w:rsidRPr="002557C1" w14:paraId="4D91D594" w14:textId="77777777" w:rsidTr="00B665D9">
        <w:trPr>
          <w:trHeight w:val="290"/>
        </w:trPr>
        <w:tc>
          <w:tcPr>
            <w:tcW w:w="1380" w:type="dxa"/>
            <w:vMerge/>
            <w:hideMark/>
          </w:tcPr>
          <w:p w14:paraId="329787AE" w14:textId="77777777" w:rsidR="00415131" w:rsidRPr="002557C1" w:rsidRDefault="00415131" w:rsidP="00B665D9">
            <w:pPr>
              <w:rPr>
                <w:b/>
                <w:bCs/>
              </w:rPr>
            </w:pPr>
          </w:p>
        </w:tc>
        <w:tc>
          <w:tcPr>
            <w:tcW w:w="1676" w:type="dxa"/>
            <w:noWrap/>
            <w:hideMark/>
          </w:tcPr>
          <w:p w14:paraId="7A3CEEAE" w14:textId="77777777" w:rsidR="00415131" w:rsidRPr="002557C1" w:rsidRDefault="00415131" w:rsidP="00B665D9">
            <w:pPr>
              <w:jc w:val="center"/>
              <w:rPr>
                <w:b/>
                <w:bCs/>
              </w:rPr>
            </w:pPr>
            <w:r w:rsidRPr="002557C1">
              <w:rPr>
                <w:b/>
                <w:bCs/>
              </w:rPr>
              <w:t>Tuscany</w:t>
            </w:r>
          </w:p>
        </w:tc>
        <w:tc>
          <w:tcPr>
            <w:tcW w:w="1504" w:type="dxa"/>
            <w:noWrap/>
            <w:hideMark/>
          </w:tcPr>
          <w:p w14:paraId="0E9D8C90" w14:textId="77777777" w:rsidR="00415131" w:rsidRPr="002557C1" w:rsidRDefault="00415131" w:rsidP="00B665D9">
            <w:pPr>
              <w:jc w:val="center"/>
              <w:rPr>
                <w:b/>
                <w:bCs/>
              </w:rPr>
            </w:pPr>
            <w:r w:rsidRPr="002557C1">
              <w:rPr>
                <w:b/>
                <w:bCs/>
              </w:rPr>
              <w:t>Italy</w:t>
            </w:r>
          </w:p>
        </w:tc>
        <w:tc>
          <w:tcPr>
            <w:tcW w:w="1750" w:type="dxa"/>
            <w:noWrap/>
            <w:hideMark/>
          </w:tcPr>
          <w:p w14:paraId="4D2633D3" w14:textId="77777777" w:rsidR="00415131" w:rsidRPr="002557C1" w:rsidRDefault="00415131" w:rsidP="00B665D9">
            <w:pPr>
              <w:jc w:val="center"/>
              <w:rPr>
                <w:b/>
                <w:bCs/>
              </w:rPr>
            </w:pPr>
            <w:r w:rsidRPr="002557C1">
              <w:rPr>
                <w:b/>
                <w:bCs/>
              </w:rPr>
              <w:t>Tuscany</w:t>
            </w:r>
          </w:p>
        </w:tc>
        <w:tc>
          <w:tcPr>
            <w:tcW w:w="1570" w:type="dxa"/>
            <w:noWrap/>
            <w:hideMark/>
          </w:tcPr>
          <w:p w14:paraId="4D9EF261" w14:textId="77777777" w:rsidR="00415131" w:rsidRPr="002557C1" w:rsidRDefault="00415131" w:rsidP="00B665D9">
            <w:pPr>
              <w:jc w:val="center"/>
              <w:rPr>
                <w:b/>
                <w:bCs/>
              </w:rPr>
            </w:pPr>
            <w:r w:rsidRPr="002557C1">
              <w:rPr>
                <w:b/>
                <w:bCs/>
              </w:rPr>
              <w:t>Italy</w:t>
            </w:r>
          </w:p>
        </w:tc>
        <w:tc>
          <w:tcPr>
            <w:tcW w:w="1697" w:type="dxa"/>
            <w:noWrap/>
            <w:hideMark/>
          </w:tcPr>
          <w:p w14:paraId="65C54D13" w14:textId="77777777" w:rsidR="00415131" w:rsidRPr="002557C1" w:rsidRDefault="00415131" w:rsidP="00B665D9">
            <w:pPr>
              <w:jc w:val="center"/>
              <w:rPr>
                <w:b/>
                <w:bCs/>
              </w:rPr>
            </w:pPr>
            <w:r w:rsidRPr="002557C1">
              <w:rPr>
                <w:b/>
                <w:bCs/>
              </w:rPr>
              <w:t>Tuscany</w:t>
            </w:r>
          </w:p>
        </w:tc>
        <w:tc>
          <w:tcPr>
            <w:tcW w:w="1523" w:type="dxa"/>
            <w:noWrap/>
            <w:hideMark/>
          </w:tcPr>
          <w:p w14:paraId="5D2AC9F0" w14:textId="77777777" w:rsidR="00415131" w:rsidRPr="002557C1" w:rsidRDefault="00415131" w:rsidP="00B665D9">
            <w:pPr>
              <w:jc w:val="center"/>
              <w:rPr>
                <w:b/>
                <w:bCs/>
              </w:rPr>
            </w:pPr>
            <w:r w:rsidRPr="002557C1">
              <w:rPr>
                <w:b/>
                <w:bCs/>
              </w:rPr>
              <w:t>Italy</w:t>
            </w:r>
          </w:p>
        </w:tc>
      </w:tr>
      <w:tr w:rsidR="00415131" w:rsidRPr="002557C1" w14:paraId="4198C75A" w14:textId="77777777" w:rsidTr="00B665D9">
        <w:trPr>
          <w:trHeight w:val="290"/>
        </w:trPr>
        <w:tc>
          <w:tcPr>
            <w:tcW w:w="1380" w:type="dxa"/>
            <w:noWrap/>
            <w:hideMark/>
          </w:tcPr>
          <w:p w14:paraId="6EBB5CFD" w14:textId="77777777" w:rsidR="00415131" w:rsidRPr="002557C1" w:rsidRDefault="00415131" w:rsidP="00B665D9">
            <w:pPr>
              <w:rPr>
                <w:b/>
              </w:rPr>
            </w:pPr>
            <w:r w:rsidRPr="002557C1">
              <w:rPr>
                <w:b/>
              </w:rPr>
              <w:t>2014</w:t>
            </w:r>
          </w:p>
        </w:tc>
        <w:tc>
          <w:tcPr>
            <w:tcW w:w="1676" w:type="dxa"/>
            <w:noWrap/>
            <w:hideMark/>
          </w:tcPr>
          <w:p w14:paraId="24EB4807" w14:textId="77777777" w:rsidR="00415131" w:rsidRPr="002557C1" w:rsidRDefault="00415131" w:rsidP="00B665D9">
            <w:pPr>
              <w:jc w:val="center"/>
            </w:pPr>
            <w:r w:rsidRPr="002557C1">
              <w:t>95.03%</w:t>
            </w:r>
          </w:p>
        </w:tc>
        <w:tc>
          <w:tcPr>
            <w:tcW w:w="1504" w:type="dxa"/>
            <w:noWrap/>
            <w:hideMark/>
          </w:tcPr>
          <w:p w14:paraId="71370098" w14:textId="77777777" w:rsidR="00415131" w:rsidRPr="002557C1" w:rsidRDefault="00415131" w:rsidP="00B665D9">
            <w:pPr>
              <w:jc w:val="center"/>
            </w:pPr>
            <w:r w:rsidRPr="002557C1">
              <w:t>94.93%</w:t>
            </w:r>
          </w:p>
        </w:tc>
        <w:tc>
          <w:tcPr>
            <w:tcW w:w="1750" w:type="dxa"/>
            <w:noWrap/>
            <w:hideMark/>
          </w:tcPr>
          <w:p w14:paraId="661EAF11" w14:textId="77777777" w:rsidR="00415131" w:rsidRPr="002557C1" w:rsidRDefault="00415131" w:rsidP="00B665D9">
            <w:pPr>
              <w:jc w:val="center"/>
            </w:pPr>
            <w:r w:rsidRPr="002557C1">
              <w:t>91.91%</w:t>
            </w:r>
          </w:p>
        </w:tc>
        <w:tc>
          <w:tcPr>
            <w:tcW w:w="1570" w:type="dxa"/>
            <w:noWrap/>
            <w:hideMark/>
          </w:tcPr>
          <w:p w14:paraId="422F1616" w14:textId="77777777" w:rsidR="00415131" w:rsidRPr="002557C1" w:rsidRDefault="00415131" w:rsidP="00B665D9">
            <w:pPr>
              <w:jc w:val="center"/>
            </w:pPr>
            <w:r w:rsidRPr="002557C1">
              <w:t>92.4%</w:t>
            </w:r>
          </w:p>
        </w:tc>
        <w:tc>
          <w:tcPr>
            <w:tcW w:w="1697" w:type="dxa"/>
            <w:noWrap/>
            <w:hideMark/>
          </w:tcPr>
          <w:p w14:paraId="236F2DF3" w14:textId="77777777" w:rsidR="00415131" w:rsidRPr="002557C1" w:rsidRDefault="00415131" w:rsidP="00B665D9">
            <w:pPr>
              <w:jc w:val="center"/>
            </w:pPr>
            <w:r w:rsidRPr="002557C1">
              <w:t>89.38%</w:t>
            </w:r>
          </w:p>
        </w:tc>
        <w:tc>
          <w:tcPr>
            <w:tcW w:w="1523" w:type="dxa"/>
            <w:noWrap/>
            <w:hideMark/>
          </w:tcPr>
          <w:p w14:paraId="7B428297" w14:textId="77777777" w:rsidR="00415131" w:rsidRPr="002557C1" w:rsidRDefault="00415131" w:rsidP="00B665D9">
            <w:pPr>
              <w:jc w:val="center"/>
            </w:pPr>
            <w:r w:rsidRPr="002557C1">
              <w:t>87.26%</w:t>
            </w:r>
          </w:p>
        </w:tc>
      </w:tr>
      <w:tr w:rsidR="00415131" w:rsidRPr="002557C1" w14:paraId="19C81C08" w14:textId="77777777" w:rsidTr="00B665D9">
        <w:trPr>
          <w:trHeight w:val="290"/>
        </w:trPr>
        <w:tc>
          <w:tcPr>
            <w:tcW w:w="1380" w:type="dxa"/>
            <w:noWrap/>
            <w:hideMark/>
          </w:tcPr>
          <w:p w14:paraId="1D24A223" w14:textId="77777777" w:rsidR="00415131" w:rsidRPr="002557C1" w:rsidRDefault="00415131" w:rsidP="00B665D9">
            <w:pPr>
              <w:rPr>
                <w:b/>
              </w:rPr>
            </w:pPr>
            <w:r w:rsidRPr="002557C1">
              <w:rPr>
                <w:b/>
              </w:rPr>
              <w:t>2015</w:t>
            </w:r>
          </w:p>
        </w:tc>
        <w:tc>
          <w:tcPr>
            <w:tcW w:w="1676" w:type="dxa"/>
            <w:noWrap/>
            <w:hideMark/>
          </w:tcPr>
          <w:p w14:paraId="216CD569" w14:textId="77777777" w:rsidR="00415131" w:rsidRPr="002557C1" w:rsidRDefault="00415131" w:rsidP="00B665D9">
            <w:pPr>
              <w:jc w:val="center"/>
            </w:pPr>
            <w:r w:rsidRPr="002557C1">
              <w:t>95.26%</w:t>
            </w:r>
          </w:p>
        </w:tc>
        <w:tc>
          <w:tcPr>
            <w:tcW w:w="1504" w:type="dxa"/>
            <w:noWrap/>
            <w:hideMark/>
          </w:tcPr>
          <w:p w14:paraId="6743D590" w14:textId="77777777" w:rsidR="00415131" w:rsidRPr="002557C1" w:rsidRDefault="00415131" w:rsidP="00B665D9">
            <w:pPr>
              <w:jc w:val="center"/>
            </w:pPr>
            <w:r w:rsidRPr="002557C1">
              <w:t>95.19%</w:t>
            </w:r>
          </w:p>
        </w:tc>
        <w:tc>
          <w:tcPr>
            <w:tcW w:w="1750" w:type="dxa"/>
            <w:noWrap/>
            <w:hideMark/>
          </w:tcPr>
          <w:p w14:paraId="3064ECE6" w14:textId="77777777" w:rsidR="00415131" w:rsidRPr="002557C1" w:rsidRDefault="00415131" w:rsidP="00B665D9">
            <w:pPr>
              <w:jc w:val="center"/>
            </w:pPr>
            <w:r w:rsidRPr="002557C1">
              <w:t>93.51%</w:t>
            </w:r>
          </w:p>
        </w:tc>
        <w:tc>
          <w:tcPr>
            <w:tcW w:w="1570" w:type="dxa"/>
            <w:noWrap/>
            <w:hideMark/>
          </w:tcPr>
          <w:p w14:paraId="2AE10980" w14:textId="77777777" w:rsidR="00415131" w:rsidRPr="002557C1" w:rsidRDefault="00415131" w:rsidP="00B665D9">
            <w:pPr>
              <w:jc w:val="center"/>
            </w:pPr>
            <w:r w:rsidRPr="002557C1">
              <w:t>91.84%</w:t>
            </w:r>
          </w:p>
        </w:tc>
        <w:tc>
          <w:tcPr>
            <w:tcW w:w="1697" w:type="dxa"/>
            <w:noWrap/>
            <w:hideMark/>
          </w:tcPr>
          <w:p w14:paraId="16363417" w14:textId="77777777" w:rsidR="00415131" w:rsidRPr="002557C1" w:rsidRDefault="00415131" w:rsidP="00B665D9">
            <w:pPr>
              <w:jc w:val="center"/>
            </w:pPr>
            <w:r w:rsidRPr="002557C1">
              <w:t>-</w:t>
            </w:r>
          </w:p>
        </w:tc>
        <w:tc>
          <w:tcPr>
            <w:tcW w:w="1523" w:type="dxa"/>
            <w:noWrap/>
            <w:hideMark/>
          </w:tcPr>
          <w:p w14:paraId="38791FDC" w14:textId="77777777" w:rsidR="00415131" w:rsidRPr="002557C1" w:rsidRDefault="00415131" w:rsidP="00B665D9">
            <w:pPr>
              <w:jc w:val="center"/>
            </w:pPr>
            <w:r w:rsidRPr="002557C1">
              <w:t>-</w:t>
            </w:r>
          </w:p>
        </w:tc>
      </w:tr>
      <w:tr w:rsidR="00415131" w:rsidRPr="002557C1" w14:paraId="74A8D757" w14:textId="77777777" w:rsidTr="00B665D9">
        <w:trPr>
          <w:trHeight w:val="290"/>
        </w:trPr>
        <w:tc>
          <w:tcPr>
            <w:tcW w:w="1380" w:type="dxa"/>
            <w:noWrap/>
            <w:hideMark/>
          </w:tcPr>
          <w:p w14:paraId="2CE821F8" w14:textId="77777777" w:rsidR="00415131" w:rsidRPr="002557C1" w:rsidRDefault="00415131" w:rsidP="00B665D9">
            <w:pPr>
              <w:rPr>
                <w:b/>
              </w:rPr>
            </w:pPr>
            <w:r w:rsidRPr="002557C1">
              <w:rPr>
                <w:b/>
              </w:rPr>
              <w:t>2016</w:t>
            </w:r>
          </w:p>
        </w:tc>
        <w:tc>
          <w:tcPr>
            <w:tcW w:w="1676" w:type="dxa"/>
            <w:noWrap/>
            <w:hideMark/>
          </w:tcPr>
          <w:p w14:paraId="606BF05F" w14:textId="77777777" w:rsidR="00415131" w:rsidRPr="002557C1" w:rsidRDefault="00415131" w:rsidP="00B665D9">
            <w:pPr>
              <w:jc w:val="center"/>
            </w:pPr>
            <w:r w:rsidRPr="002557C1">
              <w:t>95.32%</w:t>
            </w:r>
          </w:p>
        </w:tc>
        <w:tc>
          <w:tcPr>
            <w:tcW w:w="1504" w:type="dxa"/>
            <w:noWrap/>
            <w:hideMark/>
          </w:tcPr>
          <w:p w14:paraId="27F15F14" w14:textId="77777777" w:rsidR="00415131" w:rsidRPr="002557C1" w:rsidRDefault="00415131" w:rsidP="00B665D9">
            <w:pPr>
              <w:jc w:val="center"/>
            </w:pPr>
            <w:r w:rsidRPr="002557C1">
              <w:t>93.22%</w:t>
            </w:r>
          </w:p>
        </w:tc>
        <w:tc>
          <w:tcPr>
            <w:tcW w:w="1750" w:type="dxa"/>
            <w:noWrap/>
            <w:hideMark/>
          </w:tcPr>
          <w:p w14:paraId="71D951B0" w14:textId="77777777" w:rsidR="00415131" w:rsidRPr="002557C1" w:rsidRDefault="00415131" w:rsidP="00B665D9">
            <w:pPr>
              <w:jc w:val="center"/>
            </w:pPr>
            <w:r w:rsidRPr="002557C1">
              <w:t>-</w:t>
            </w:r>
          </w:p>
        </w:tc>
        <w:tc>
          <w:tcPr>
            <w:tcW w:w="1570" w:type="dxa"/>
            <w:noWrap/>
            <w:hideMark/>
          </w:tcPr>
          <w:p w14:paraId="391FBB75" w14:textId="77777777" w:rsidR="00415131" w:rsidRPr="002557C1" w:rsidRDefault="00415131" w:rsidP="00B665D9">
            <w:pPr>
              <w:jc w:val="center"/>
            </w:pPr>
            <w:r w:rsidRPr="002557C1">
              <w:t>-</w:t>
            </w:r>
          </w:p>
        </w:tc>
        <w:tc>
          <w:tcPr>
            <w:tcW w:w="1697" w:type="dxa"/>
            <w:noWrap/>
            <w:hideMark/>
          </w:tcPr>
          <w:p w14:paraId="11674E59" w14:textId="77777777" w:rsidR="00415131" w:rsidRPr="002557C1" w:rsidRDefault="00415131" w:rsidP="00B665D9">
            <w:pPr>
              <w:jc w:val="center"/>
            </w:pPr>
            <w:r w:rsidRPr="002557C1">
              <w:t>-</w:t>
            </w:r>
          </w:p>
        </w:tc>
        <w:tc>
          <w:tcPr>
            <w:tcW w:w="1523" w:type="dxa"/>
            <w:noWrap/>
            <w:hideMark/>
          </w:tcPr>
          <w:p w14:paraId="433573D0" w14:textId="77777777" w:rsidR="00415131" w:rsidRPr="002557C1" w:rsidRDefault="00415131" w:rsidP="00B665D9">
            <w:pPr>
              <w:jc w:val="center"/>
            </w:pPr>
            <w:r w:rsidRPr="002557C1">
              <w:t>-</w:t>
            </w:r>
          </w:p>
        </w:tc>
      </w:tr>
    </w:tbl>
    <w:p w14:paraId="0C5A0A36" w14:textId="77777777" w:rsidR="00415131" w:rsidRPr="002557C1" w:rsidRDefault="00415131" w:rsidP="00415131">
      <w:r w:rsidRPr="002557C1">
        <w:rPr>
          <w:i/>
        </w:rPr>
        <w:t xml:space="preserve">Source: </w:t>
      </w:r>
      <w:proofErr w:type="spellStart"/>
      <w:r w:rsidRPr="002557C1">
        <w:rPr>
          <w:i/>
        </w:rPr>
        <w:t>Regione</w:t>
      </w:r>
      <w:proofErr w:type="spellEnd"/>
      <w:r w:rsidRPr="002557C1">
        <w:rPr>
          <w:i/>
        </w:rPr>
        <w:t xml:space="preserve"> Toscana and Ministry of Health</w:t>
      </w:r>
    </w:p>
    <w:p w14:paraId="754678C7" w14:textId="77777777" w:rsidR="00415131" w:rsidRPr="002557C1" w:rsidRDefault="00415131"/>
    <w:p w14:paraId="2B946F38" w14:textId="433D921E" w:rsidR="00A2189D" w:rsidRPr="002557C1" w:rsidRDefault="00F21E27" w:rsidP="00A2189D">
      <w:pPr>
        <w:rPr>
          <w:lang w:val="en-US"/>
        </w:rPr>
      </w:pPr>
      <w:r w:rsidRPr="002557C1">
        <w:t>During</w:t>
      </w:r>
      <w:r w:rsidR="00101A2A" w:rsidRPr="002557C1">
        <w:rPr>
          <w:lang w:val="en-US"/>
        </w:rPr>
        <w:t xml:space="preserve"> 2018, </w:t>
      </w:r>
      <w:r w:rsidRPr="002557C1">
        <w:rPr>
          <w:lang w:val="en-US"/>
        </w:rPr>
        <w:t>LHUs in Tuscany</w:t>
      </w:r>
      <w:r w:rsidR="006B1E50" w:rsidRPr="002557C1">
        <w:rPr>
          <w:lang w:val="en-US"/>
        </w:rPr>
        <w:t xml:space="preserve"> embarked </w:t>
      </w:r>
      <w:r w:rsidR="005E6C77">
        <w:rPr>
          <w:lang w:val="en-US"/>
        </w:rPr>
        <w:t>on</w:t>
      </w:r>
      <w:r w:rsidR="006B1E50" w:rsidRPr="002557C1">
        <w:rPr>
          <w:lang w:val="en-US"/>
        </w:rPr>
        <w:t xml:space="preserve"> an intense activity of cleaning and updating the </w:t>
      </w:r>
      <w:proofErr w:type="spellStart"/>
      <w:r w:rsidR="006B1E50" w:rsidRPr="002557C1">
        <w:rPr>
          <w:lang w:val="en-US"/>
        </w:rPr>
        <w:t>rIIS</w:t>
      </w:r>
      <w:proofErr w:type="spellEnd"/>
      <w:r w:rsidR="006B1E50" w:rsidRPr="002557C1">
        <w:rPr>
          <w:lang w:val="en-US"/>
        </w:rPr>
        <w:t>. Systematic</w:t>
      </w:r>
      <w:r w:rsidR="00101A2A" w:rsidRPr="002557C1">
        <w:rPr>
          <w:lang w:val="en-US"/>
        </w:rPr>
        <w:t xml:space="preserve"> scrutin</w:t>
      </w:r>
      <w:r w:rsidR="006B1E50" w:rsidRPr="002557C1">
        <w:rPr>
          <w:lang w:val="en-US"/>
        </w:rPr>
        <w:t>y of the</w:t>
      </w:r>
      <w:r w:rsidR="00101A2A" w:rsidRPr="002557C1">
        <w:rPr>
          <w:lang w:val="en-US"/>
        </w:rPr>
        <w:t xml:space="preserve"> </w:t>
      </w:r>
      <w:proofErr w:type="spellStart"/>
      <w:r w:rsidR="00101A2A" w:rsidRPr="002557C1">
        <w:rPr>
          <w:lang w:val="en-US"/>
        </w:rPr>
        <w:t>rIIS</w:t>
      </w:r>
      <w:proofErr w:type="spellEnd"/>
      <w:r w:rsidR="00101A2A" w:rsidRPr="002557C1">
        <w:rPr>
          <w:lang w:val="en-US"/>
        </w:rPr>
        <w:t xml:space="preserve"> </w:t>
      </w:r>
      <w:r w:rsidR="006B1E50" w:rsidRPr="002557C1">
        <w:rPr>
          <w:lang w:val="en-US"/>
        </w:rPr>
        <w:t>led to the identification of 1</w:t>
      </w:r>
      <w:r w:rsidR="004A3625" w:rsidRPr="002557C1">
        <w:rPr>
          <w:lang w:val="en-US"/>
        </w:rPr>
        <w:t>,</w:t>
      </w:r>
      <w:r w:rsidR="006B1E50" w:rsidRPr="002557C1">
        <w:rPr>
          <w:lang w:val="en-US"/>
        </w:rPr>
        <w:t xml:space="preserve">528 unvaccinated/partly vaccinated </w:t>
      </w:r>
      <w:r w:rsidR="004A3625" w:rsidRPr="002557C1">
        <w:rPr>
          <w:lang w:val="en-US"/>
        </w:rPr>
        <w:t xml:space="preserve">children, </w:t>
      </w:r>
      <w:r w:rsidR="007B3C42" w:rsidRPr="002557C1">
        <w:rPr>
          <w:lang w:val="en-US"/>
        </w:rPr>
        <w:t xml:space="preserve">representing 6.6% </w:t>
      </w:r>
      <w:r w:rsidR="004A3625" w:rsidRPr="002557C1">
        <w:rPr>
          <w:lang w:val="en-US"/>
        </w:rPr>
        <w:t xml:space="preserve">of 23,321 </w:t>
      </w:r>
      <w:r w:rsidR="007B3C42" w:rsidRPr="002557C1">
        <w:rPr>
          <w:lang w:val="en-US"/>
        </w:rPr>
        <w:t>children in</w:t>
      </w:r>
      <w:r w:rsidR="006B1E50" w:rsidRPr="002557C1">
        <w:rPr>
          <w:lang w:val="en-US"/>
        </w:rPr>
        <w:t xml:space="preserve"> </w:t>
      </w:r>
      <w:r w:rsidR="002501D1" w:rsidRPr="002557C1">
        <w:rPr>
          <w:lang w:val="en-US"/>
        </w:rPr>
        <w:t xml:space="preserve">the </w:t>
      </w:r>
      <w:r w:rsidR="006B1E50" w:rsidRPr="002557C1">
        <w:rPr>
          <w:lang w:val="en-US"/>
        </w:rPr>
        <w:t>2016</w:t>
      </w:r>
      <w:r w:rsidR="002501D1" w:rsidRPr="002557C1">
        <w:rPr>
          <w:lang w:val="en-US"/>
        </w:rPr>
        <w:t xml:space="preserve"> birth cohort</w:t>
      </w:r>
      <w:r w:rsidR="004A3625" w:rsidRPr="002557C1">
        <w:rPr>
          <w:lang w:val="en-US"/>
        </w:rPr>
        <w:t xml:space="preserve"> in the region</w:t>
      </w:r>
      <w:r w:rsidR="00B860CF" w:rsidRPr="002557C1">
        <w:rPr>
          <w:lang w:val="en-US"/>
        </w:rPr>
        <w:fldChar w:fldCharType="begin" w:fldLock="1"/>
      </w:r>
      <w:r w:rsidR="001A1881">
        <w:rPr>
          <w:lang w:val="en-US"/>
        </w:rPr>
        <w:instrText>ADDIN CSL_CITATION {"citationItems":[{"id":"ITEM-1","itemData":{"URL":"http://www.uslsudest.toscana.it/attachments/article/70/allegato-A.pdf","accessed":{"date-parts":[["2019","8","9"]]},"author":[{"dropping-particle":"","family":"Regione Toscana","given":"","non-dropping-particle":"","parse-names":false,"suffix":""}],"id":"ITEM-1","issued":{"date-parts":[["2019"]]},"title":"Sintesi coperture vaccinali Regione Toscana al 31/12/2018","type":"webpage"},"uris":["http://www.mendeley.com/documents/?uuid=62fefd0e-ce3c-404c-91c6-2edb336c3eda","http://www.mendeley.com/documents/?uuid=2eb1cf50-2239-4693-af50-55d6533032d5"]}],"mendeley":{"formattedCitation":"[6]","plainTextFormattedCitation":"[6]","previouslyFormattedCitation":"[6]"},"properties":{"noteIndex":0},"schema":"https://github.com/citation-style-language/schema/raw/master/csl-citation.json"}</w:instrText>
      </w:r>
      <w:r w:rsidR="00B860CF" w:rsidRPr="002557C1">
        <w:rPr>
          <w:lang w:val="en-US"/>
        </w:rPr>
        <w:fldChar w:fldCharType="separate"/>
      </w:r>
      <w:r w:rsidR="00A47731" w:rsidRPr="00A47731">
        <w:rPr>
          <w:noProof/>
          <w:lang w:val="en-US"/>
        </w:rPr>
        <w:t>[6]</w:t>
      </w:r>
      <w:r w:rsidR="00B860CF" w:rsidRPr="002557C1">
        <w:rPr>
          <w:lang w:val="en-US"/>
        </w:rPr>
        <w:fldChar w:fldCharType="end"/>
      </w:r>
      <w:r w:rsidR="00B860CF" w:rsidRPr="002557C1">
        <w:rPr>
          <w:lang w:val="en-US"/>
        </w:rPr>
        <w:t xml:space="preserve">. </w:t>
      </w:r>
      <w:r w:rsidRPr="002557C1">
        <w:rPr>
          <w:lang w:val="en-US"/>
        </w:rPr>
        <w:t>I</w:t>
      </w:r>
      <w:r w:rsidR="004A3625" w:rsidRPr="002557C1">
        <w:rPr>
          <w:lang w:val="en-US"/>
        </w:rPr>
        <w:t xml:space="preserve">nformation on the reason for incomplete vaccination status was available for 1,503 (98.4%). For a </w:t>
      </w:r>
      <w:r w:rsidR="00A2189D" w:rsidRPr="002557C1">
        <w:rPr>
          <w:lang w:val="en-US"/>
        </w:rPr>
        <w:t>relevant</w:t>
      </w:r>
      <w:r w:rsidR="004A3625" w:rsidRPr="002557C1">
        <w:rPr>
          <w:lang w:val="en-US"/>
        </w:rPr>
        <w:t xml:space="preserve"> number of children (206; 13.7%), administrative issues were at the origin of incomplete vaccination records, such as transfers out of the region, unknown residence or </w:t>
      </w:r>
      <w:r w:rsidRPr="002557C1">
        <w:rPr>
          <w:lang w:val="en-US"/>
        </w:rPr>
        <w:t>lack of</w:t>
      </w:r>
      <w:r w:rsidR="004A3625" w:rsidRPr="002557C1">
        <w:rPr>
          <w:lang w:val="en-US"/>
        </w:rPr>
        <w:t xml:space="preserve"> individual vaccination records</w:t>
      </w:r>
      <w:r w:rsidRPr="002557C1">
        <w:rPr>
          <w:lang w:val="en-US"/>
        </w:rPr>
        <w:t xml:space="preserve"> for recently arrived migrants</w:t>
      </w:r>
      <w:r w:rsidR="004A3625" w:rsidRPr="002557C1">
        <w:rPr>
          <w:lang w:val="en-US"/>
        </w:rPr>
        <w:t xml:space="preserve"> (Figure 1). </w:t>
      </w:r>
      <w:r w:rsidR="00A2189D" w:rsidRPr="002557C1">
        <w:rPr>
          <w:lang w:val="en-US"/>
        </w:rPr>
        <w:t>While few were already vaccinated/immune, for a substantial number of children catch-up vaccination had been initiated</w:t>
      </w:r>
      <w:r w:rsidRPr="002557C1">
        <w:rPr>
          <w:lang w:val="en-US"/>
        </w:rPr>
        <w:t xml:space="preserve"> by the end of 2018</w:t>
      </w:r>
      <w:r w:rsidR="00A2189D" w:rsidRPr="002557C1">
        <w:rPr>
          <w:lang w:val="en-US"/>
        </w:rPr>
        <w:t xml:space="preserve"> (259; 17.2%). Reasoning along the vaccine hesitancy </w:t>
      </w:r>
      <w:r w:rsidR="00020BB4" w:rsidRPr="002557C1">
        <w:rPr>
          <w:lang w:val="en-US"/>
        </w:rPr>
        <w:t>spectrum</w:t>
      </w:r>
      <w:r w:rsidR="006B242B" w:rsidRPr="002557C1">
        <w:rPr>
          <w:lang w:val="en-US"/>
        </w:rPr>
        <w:fldChar w:fldCharType="begin" w:fldLock="1"/>
      </w:r>
      <w:r w:rsidR="001A1881">
        <w:rPr>
          <w:lang w:val="en-US"/>
        </w:rPr>
        <w:instrText>ADDIN CSL_CITATION {"citationItems":[{"id":"ITEM-1","itemData":{"DOI":"10.1016/J.VACCINE.2015.04.036","ISSN":"0264-410X","abstract":"The SAGE Working Group on Vaccine Hesitancy concluded that vaccine hesitancy refers to delay in acceptance or refusal of vaccination despite availability of vaccination services. Vaccine hesitancy is complex and context specific, varying across time, place and vaccines. It is influenced by factors such as complacency, convenience and confidence. The Working Group retained the term ‘vaccine’ rather than ‘vaccination’ hesitancy, although the latter more correctly implies the broader range of immunization concerns, as vaccine hesitancy is the more commonly used term. While high levels of hesitancy lead to low vaccine demand, low levels of hesitancy do not necessarily mean high vaccine demand. The Vaccine Hesitancy Determinants Matrix displays the factors influencing the behavioral decision to accept, delay or reject some or all vaccines under three categories: contextual, individual and group, and vaccine/vaccination-specific influences.","author":[{"dropping-particle":"","family":"MacDonald","given":"Noni E.","non-dropping-particle":"","parse-names":false,"suffix":""}],"container-title":"Vaccine","id":"ITEM-1","issue":"34","issued":{"date-parts":[["2015","8","14"]]},"page":"4161-4164","publisher":"Elsevier","title":"Vaccine hesitancy: Definition, scope and determinants","type":"article-journal","volume":"33"},"uris":["http://www.mendeley.com/documents/?uuid=7a8da1f9-2ab3-373a-96b6-882fb0c44bc7","http://www.mendeley.com/documents/?uuid=8f925699-670c-49b7-ab96-9be08c73883b"]}],"mendeley":{"formattedCitation":"[7]","plainTextFormattedCitation":"[7]","previouslyFormattedCitation":"[7]"},"properties":{"noteIndex":0},"schema":"https://github.com/citation-style-language/schema/raw/master/csl-citation.json"}</w:instrText>
      </w:r>
      <w:r w:rsidR="006B242B" w:rsidRPr="002557C1">
        <w:rPr>
          <w:lang w:val="en-US"/>
        </w:rPr>
        <w:fldChar w:fldCharType="separate"/>
      </w:r>
      <w:r w:rsidR="00A47731" w:rsidRPr="00A47731">
        <w:rPr>
          <w:noProof/>
          <w:lang w:val="en-US"/>
        </w:rPr>
        <w:t>[7]</w:t>
      </w:r>
      <w:r w:rsidR="006B242B" w:rsidRPr="002557C1">
        <w:rPr>
          <w:lang w:val="en-US"/>
        </w:rPr>
        <w:fldChar w:fldCharType="end"/>
      </w:r>
      <w:r w:rsidR="00A2189D" w:rsidRPr="002557C1">
        <w:rPr>
          <w:lang w:val="en-US"/>
        </w:rPr>
        <w:t>, temporary refusal, not traceable/contactable parents or those that did not attend the appointment with immunization services, could be categorized as belonging to the vaccine</w:t>
      </w:r>
      <w:r w:rsidR="005E6C77">
        <w:rPr>
          <w:lang w:val="en-US"/>
        </w:rPr>
        <w:t>-</w:t>
      </w:r>
      <w:r w:rsidR="00A2189D" w:rsidRPr="002557C1">
        <w:rPr>
          <w:lang w:val="en-US"/>
        </w:rPr>
        <w:t xml:space="preserve">hesitant/vaccine skeptics population group. Altogether, children </w:t>
      </w:r>
      <w:r w:rsidR="00F73F65" w:rsidRPr="002557C1">
        <w:rPr>
          <w:lang w:val="en-US"/>
        </w:rPr>
        <w:t>fitting</w:t>
      </w:r>
      <w:r w:rsidR="00A2189D" w:rsidRPr="002557C1">
        <w:rPr>
          <w:lang w:val="en-US"/>
        </w:rPr>
        <w:t xml:space="preserve"> these categories constituted the 47.3% (711) of the sample</w:t>
      </w:r>
      <w:r w:rsidR="00820083" w:rsidRPr="002557C1">
        <w:rPr>
          <w:lang w:val="en-US"/>
        </w:rPr>
        <w:t>, and thus its largest quota, corresponding to the 3% of the entire birth</w:t>
      </w:r>
      <w:r w:rsidR="005E6C77">
        <w:rPr>
          <w:lang w:val="en-US"/>
        </w:rPr>
        <w:t xml:space="preserve"> </w:t>
      </w:r>
      <w:r w:rsidR="00820083" w:rsidRPr="002557C1">
        <w:rPr>
          <w:lang w:val="en-US"/>
        </w:rPr>
        <w:t xml:space="preserve">cohort. Final refusal </w:t>
      </w:r>
      <w:r w:rsidR="00F35249" w:rsidRPr="002557C1">
        <w:rPr>
          <w:lang w:val="en-US"/>
        </w:rPr>
        <w:t xml:space="preserve">was </w:t>
      </w:r>
      <w:r w:rsidR="00820083" w:rsidRPr="002557C1">
        <w:rPr>
          <w:lang w:val="en-US"/>
        </w:rPr>
        <w:t>16.8% (253) of the sample, corresponding to 1.1% of the birth-cohort.</w:t>
      </w:r>
    </w:p>
    <w:p w14:paraId="787B73CF" w14:textId="77777777" w:rsidR="005A0D8A" w:rsidRPr="002557C1" w:rsidRDefault="005A0D8A">
      <w:pPr>
        <w:rPr>
          <w:lang w:val="en-US"/>
        </w:rPr>
      </w:pPr>
    </w:p>
    <w:p w14:paraId="3316BC71" w14:textId="77777777" w:rsidR="000C4037" w:rsidRPr="002557C1" w:rsidRDefault="005A0D8A" w:rsidP="00033FBA">
      <w:pPr>
        <w:outlineLvl w:val="0"/>
        <w:rPr>
          <w:b/>
        </w:rPr>
      </w:pPr>
      <w:r w:rsidRPr="002557C1">
        <w:rPr>
          <w:b/>
        </w:rPr>
        <w:t>Figure 1. Reasons for lack/incomplete immunization, birth cohort 2016, Tuscany, 2018 (n=1503)</w:t>
      </w:r>
    </w:p>
    <w:p w14:paraId="0A4818CA" w14:textId="77777777" w:rsidR="005A0D8A" w:rsidRPr="002557C1" w:rsidRDefault="005A0D8A">
      <w:pPr>
        <w:rPr>
          <w:noProof/>
          <w:lang w:eastAsia="en-GB"/>
        </w:rPr>
      </w:pPr>
      <w:r w:rsidRPr="002557C1">
        <w:rPr>
          <w:noProof/>
          <w:lang w:eastAsia="en-GB"/>
        </w:rPr>
        <w:drawing>
          <wp:inline distT="0" distB="0" distL="0" distR="0" wp14:anchorId="32878C46" wp14:editId="151D3572">
            <wp:extent cx="4572635" cy="274320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572635" cy="2743200"/>
                    </a:xfrm>
                    <a:prstGeom prst="rect">
                      <a:avLst/>
                    </a:prstGeom>
                    <a:noFill/>
                  </pic:spPr>
                </pic:pic>
              </a:graphicData>
            </a:graphic>
          </wp:inline>
        </w:drawing>
      </w:r>
    </w:p>
    <w:p w14:paraId="0AEBB9C7" w14:textId="77777777" w:rsidR="005A0D8A" w:rsidRPr="002557C1" w:rsidRDefault="005A0D8A">
      <w:pPr>
        <w:rPr>
          <w:noProof/>
          <w:lang w:eastAsia="en-GB"/>
        </w:rPr>
      </w:pPr>
    </w:p>
    <w:p w14:paraId="1042CA35" w14:textId="226DA45C" w:rsidR="00F44B0F" w:rsidRPr="002557C1" w:rsidRDefault="00DE7693" w:rsidP="00DE7693">
      <w:pPr>
        <w:rPr>
          <w:noProof/>
          <w:lang w:eastAsia="en-GB"/>
        </w:rPr>
      </w:pPr>
      <w:r w:rsidRPr="002557C1">
        <w:rPr>
          <w:noProof/>
          <w:lang w:eastAsia="en-GB"/>
        </w:rPr>
        <w:t>I</w:t>
      </w:r>
      <w:r w:rsidR="00A578D3" w:rsidRPr="002557C1">
        <w:rPr>
          <w:noProof/>
          <w:lang w:eastAsia="en-GB"/>
        </w:rPr>
        <w:t>n recent years vaccine hesitancy</w:t>
      </w:r>
      <w:r w:rsidRPr="002557C1">
        <w:rPr>
          <w:noProof/>
          <w:lang w:eastAsia="en-GB"/>
        </w:rPr>
        <w:t xml:space="preserve"> has been mon</w:t>
      </w:r>
      <w:r w:rsidR="00A578D3" w:rsidRPr="002557C1">
        <w:rPr>
          <w:noProof/>
          <w:lang w:eastAsia="en-GB"/>
        </w:rPr>
        <w:t>itored in Italy t</w:t>
      </w:r>
      <w:r w:rsidR="00C26508">
        <w:rPr>
          <w:noProof/>
          <w:lang w:eastAsia="en-GB"/>
        </w:rPr>
        <w:t>h</w:t>
      </w:r>
      <w:r w:rsidR="00A578D3" w:rsidRPr="002557C1">
        <w:rPr>
          <w:noProof/>
          <w:lang w:eastAsia="en-GB"/>
        </w:rPr>
        <w:t>rough standardi</w:t>
      </w:r>
      <w:r w:rsidR="005E6C77">
        <w:rPr>
          <w:noProof/>
          <w:lang w:eastAsia="en-GB"/>
        </w:rPr>
        <w:t>z</w:t>
      </w:r>
      <w:r w:rsidR="00A578D3" w:rsidRPr="002557C1">
        <w:rPr>
          <w:noProof/>
          <w:lang w:eastAsia="en-GB"/>
        </w:rPr>
        <w:t xml:space="preserve">ed </w:t>
      </w:r>
      <w:r w:rsidRPr="002557C1">
        <w:rPr>
          <w:noProof/>
          <w:lang w:eastAsia="en-GB"/>
        </w:rPr>
        <w:t xml:space="preserve">surveys </w:t>
      </w:r>
      <w:r w:rsidR="007B3C42" w:rsidRPr="002557C1">
        <w:rPr>
          <w:noProof/>
          <w:lang w:eastAsia="en-GB"/>
        </w:rPr>
        <w:t>on</w:t>
      </w:r>
      <w:r w:rsidRPr="002557C1">
        <w:rPr>
          <w:noProof/>
          <w:lang w:eastAsia="en-GB"/>
        </w:rPr>
        <w:t xml:space="preserve"> parents</w:t>
      </w:r>
      <w:r w:rsidR="004E5924" w:rsidRPr="002557C1">
        <w:rPr>
          <w:noProof/>
          <w:lang w:eastAsia="en-GB"/>
        </w:rPr>
        <w:t>’</w:t>
      </w:r>
      <w:r w:rsidRPr="002557C1">
        <w:rPr>
          <w:noProof/>
          <w:lang w:eastAsia="en-GB"/>
        </w:rPr>
        <w:t xml:space="preserve"> attitude</w:t>
      </w:r>
      <w:r w:rsidR="005E6C77">
        <w:rPr>
          <w:noProof/>
          <w:lang w:eastAsia="en-GB"/>
        </w:rPr>
        <w:t>s</w:t>
      </w:r>
      <w:r w:rsidRPr="002557C1">
        <w:rPr>
          <w:noProof/>
          <w:lang w:eastAsia="en-GB"/>
        </w:rPr>
        <w:t xml:space="preserve">. In 2016, 15.6% of the </w:t>
      </w:r>
      <w:r w:rsidR="00A578D3" w:rsidRPr="002557C1">
        <w:rPr>
          <w:noProof/>
          <w:lang w:eastAsia="en-GB"/>
        </w:rPr>
        <w:t>interviewed individuals</w:t>
      </w:r>
      <w:r w:rsidRPr="002557C1">
        <w:rPr>
          <w:noProof/>
          <w:lang w:eastAsia="en-GB"/>
        </w:rPr>
        <w:t xml:space="preserve"> were </w:t>
      </w:r>
      <w:r w:rsidR="00A578D3" w:rsidRPr="002557C1">
        <w:rPr>
          <w:noProof/>
          <w:lang w:eastAsia="en-GB"/>
        </w:rPr>
        <w:t>classified</w:t>
      </w:r>
      <w:r w:rsidRPr="002557C1">
        <w:rPr>
          <w:noProof/>
          <w:lang w:eastAsia="en-GB"/>
        </w:rPr>
        <w:t xml:space="preserve"> as vaccine</w:t>
      </w:r>
      <w:r w:rsidR="005E6C77">
        <w:rPr>
          <w:noProof/>
          <w:lang w:eastAsia="en-GB"/>
        </w:rPr>
        <w:t>-</w:t>
      </w:r>
      <w:r w:rsidRPr="002557C1">
        <w:rPr>
          <w:noProof/>
          <w:lang w:eastAsia="en-GB"/>
        </w:rPr>
        <w:t xml:space="preserve">hesitant and 0.7% </w:t>
      </w:r>
      <w:r w:rsidR="00A578D3" w:rsidRPr="002557C1">
        <w:rPr>
          <w:noProof/>
          <w:lang w:eastAsia="en-GB"/>
        </w:rPr>
        <w:t>actively opposing vaccination</w:t>
      </w:r>
      <w:r w:rsidR="004E5924" w:rsidRPr="002557C1">
        <w:rPr>
          <w:noProof/>
          <w:lang w:eastAsia="en-GB"/>
        </w:rPr>
        <w:fldChar w:fldCharType="begin" w:fldLock="1"/>
      </w:r>
      <w:r w:rsidR="001A1881">
        <w:rPr>
          <w:noProof/>
          <w:lang w:eastAsia="en-GB"/>
        </w:rPr>
        <w:instrText>ADDIN CSL_CITATION {"citationItems":[{"id":"ITEM-1","itemData":{"DOI":"10.1016/J.VACCINE.2017.12.074","ISSN":"0264-410X","abstract":"In Italy, in 2016, we conducted a cross-sectional survey to estimate vaccine hesitancy and investigate its determinants among parents of children aged 16–36 months. Data on parental attitudes and beliefs about vaccinations were collected through a questionnaire administered online or self-administered at pediatricians’ offices and nurseries. Parents were classified as pro-vaccine, vaccine-hesitant or anti-vaccine, according to self-reported tetanus and measles vaccination status of their child. Multivariable logistic regression was used to investigate factors associated with hesitancy. A total of 3130 questionnaires were analysed: 83.7% of parents were pro-vaccine, 15.6% vaccine-hesitant and 0.7% anti-vaccine. Safety concerns are the main reported reason for refusing (38.1%) or interrupting (42.4%) vaccination. Anti-vaccine and hesitant parents are significantly more afraid than pro-vaccine parents of short-term (85.7 and 79.7% vs 60.4%) and long-term (95.2 and 72.3% vs 43.7%) vaccine adverse reactions. Most pro-vaccine and hesitant parents agree about the benefits of vaccinations. Family pediatricians are considered a reliable source of information by most pro-vaccine and hesitant parents (96.9 and 83.3% respectively), against 45% of anti-vaccine parents. The main factors associated with hesitancy were found to be: not having received from a paediatrician a recommendation to fully vaccinate their child [adjusted odds ratio (AOR): 3.21, 95% CI: 2.14–4.79], having received discordant opinions on vaccinations (AOR: 1.64, 95% CI: 1.11–2.43), having met parents of children who experienced serious adverse reactions (AOR: 1.49, 95% CI: 1.03–2.15), and mainly using non-traditional medical treatments (AOR: 2.05, 95% CI: 1.31–3.19). Vaccine safety is perceived as a concern by all parents, although more so by hesitant and anti-vaccine parents. Similarly to pro-vaccine parents, hesitant parents consider vaccination an important prevention tool and trust their family pediatricians, suggesting that they could benefit from appropriate communication interventions. Training health professionals and providing homogenous information about vaccinations, in line with national recommendations, are crucial for responding to their concerns.","author":[{"dropping-particle":"","family":"Giambi","given":"Cristina","non-dropping-particle":"","parse-names":false,"suffix":""},{"dropping-particle":"","family":"Fabiani","given":"Massimo","non-dropping-particle":"","parse-names":false,"suffix":""},{"dropping-particle":"","family":"D'Ancona","given":"Fortunato","non-dropping-particle":"","parse-names":false,"suffix":""},{"dropping-particle":"","family":"Ferrara","given":"Lorenza","non-dropping-particle":"","parse-names":false,"suffix":""},{"dropping-particle":"","family":"Fiacchini","given":"Daniel","non-dropping-particle":"","parse-names":false,"suffix":""},{"dropping-particle":"","family":"Gallo","given":"Tolinda","non-dropping-particle":"","parse-names":false,"suffix":""},{"dropping-particle":"","family":"Martinelli","given":"Domenico","non-dropping-particle":"","parse-names":false,"suffix":""},{"dropping-particle":"","family":"Pascucci","given":"Maria Grazia","non-dropping-particle":"","parse-names":false,"suffix":""},{"dropping-particle":"","family":"Prato","given":"Rosa","non-dropping-particle":"","parse-names":false,"suffix":""},{"dropping-particle":"","family":"Filia","given":"Antonietta","non-dropping-particle":"","parse-names":false,"suffix":""},{"dropping-particle":"","family":"Bella","given":"Antonino","non-dropping-particle":"","parse-names":false,"suffix":""},{"dropping-particle":"","family":"Manso","given":"Martina","non-dropping-particle":"Del","parse-names":false,"suffix":""},{"dropping-particle":"","family":"Rizzo","given":"Caterina","non-dropping-particle":"","parse-names":false,"suffix":""},{"dropping-particle":"","family":"Rota","given":"Maria Cristina","non-dropping-particle":"","parse-names":false,"suffix":""}],"container-title":"Vaccine","id":"ITEM-1","issue":"6","issued":{"date-parts":[["2018","2","1"]]},"page":"779-787","publisher":"Elsevier","title":"Parental vaccine hesitancy in Italy – Results from a national survey","type":"article-journal","volume":"36"},"uris":["http://www.mendeley.com/documents/?uuid=a7bea63f-1bcb-37cd-b82b-29b9d4d0671e","http://www.mendeley.com/documents/?uuid=9b9be481-62b1-40cf-9681-d61053a3c9cf"]}],"mendeley":{"formattedCitation":"[8]","plainTextFormattedCitation":"[8]","previouslyFormattedCitation":"[8]"},"properties":{"noteIndex":0},"schema":"https://github.com/citation-style-language/schema/raw/master/csl-citation.json"}</w:instrText>
      </w:r>
      <w:r w:rsidR="004E5924" w:rsidRPr="002557C1">
        <w:rPr>
          <w:noProof/>
          <w:lang w:eastAsia="en-GB"/>
        </w:rPr>
        <w:fldChar w:fldCharType="separate"/>
      </w:r>
      <w:r w:rsidR="00A47731" w:rsidRPr="00A47731">
        <w:rPr>
          <w:noProof/>
          <w:lang w:eastAsia="en-GB"/>
        </w:rPr>
        <w:t>[8]</w:t>
      </w:r>
      <w:r w:rsidR="004E5924" w:rsidRPr="002557C1">
        <w:rPr>
          <w:noProof/>
          <w:lang w:eastAsia="en-GB"/>
        </w:rPr>
        <w:fldChar w:fldCharType="end"/>
      </w:r>
      <w:r w:rsidR="004E5924" w:rsidRPr="002557C1">
        <w:rPr>
          <w:noProof/>
          <w:lang w:eastAsia="en-GB"/>
        </w:rPr>
        <w:t>. In 2018, according to a new round of the survey, hesitant parents were 11.5% (p &lt;0.001) and anti-va</w:t>
      </w:r>
      <w:r w:rsidR="00A578D3" w:rsidRPr="002557C1">
        <w:rPr>
          <w:noProof/>
          <w:lang w:eastAsia="en-GB"/>
        </w:rPr>
        <w:t>ccine</w:t>
      </w:r>
      <w:r w:rsidR="004E5924" w:rsidRPr="002557C1">
        <w:rPr>
          <w:noProof/>
          <w:lang w:eastAsia="en-GB"/>
        </w:rPr>
        <w:t xml:space="preserve"> 0.5% (difference was not statistically significant)</w:t>
      </w:r>
      <w:r w:rsidR="004E5924" w:rsidRPr="002557C1">
        <w:rPr>
          <w:noProof/>
          <w:lang w:eastAsia="en-GB"/>
        </w:rPr>
        <w:fldChar w:fldCharType="begin" w:fldLock="1"/>
      </w:r>
      <w:r w:rsidR="001A1881">
        <w:rPr>
          <w:noProof/>
          <w:lang w:eastAsia="en-GB"/>
        </w:rPr>
        <w:instrText>ADDIN CSL_CITATION {"citationItems":[{"id":"ITEM-1","itemData":{"DOI":"10.2807/1560-7917.ES.2019.24.26.1900371","ISSN":"1560-7917","abstract":"Italy introduced a national law extending the number of compulsory vaccines from four to 10 in July 2017. The implementation placed a further burden on immunisation centres as they were required to cover the increased demand of vaccination by the parents of unvaccinated children. Vaccine coverage (VC) estimated 6 months and 1 year later, at 24 and 30 months (same birth cohort), had increased for all vaccines. At 24 months of age, measles VC increased from 87.3% in 2016 to 91.8% in 2017 and 94.1% at 30 months of age as at June 2018. In six of 21 regions and autonomous provinces, VC for measles was &amp;gt;95%. Despite the implementation of this law, vaccine hesitancy is still a problem in Italy and the political and social debate on mandatory vaccination is ongoing. Regardless of the policy to be adopted in the future, strategies to maintain high vaccination rates and the related herd immunity should be considered, including adequate communication to the population and the implementation of electronic immunisation registries.","author":[{"dropping-particle":"","family":"D’Ancona","given":"Fortunato","non-dropping-particle":"","parse-names":false,"suffix":""},{"dropping-particle":"","family":"D’Amario","given":"Claudio","non-dropping-particle":"","parse-names":false,"suffix":""},{"dropping-particle":"","family":"Maraglino","given":"Francesco","non-dropping-particle":"","parse-names":false,"suffix":""},{"dropping-particle":"","family":"Rezza","given":"Giovanni","non-dropping-particle":"","parse-names":false,"suffix":""},{"dropping-particle":"","family":"Iannazzo","given":"Stefania","non-dropping-particle":"","parse-names":false,"suffix":""}],"container-title":"Eurosurveillance","id":"ITEM-1","issue":"26","issued":{"date-parts":[["2019","6","27"]]},"page":"1900371","publisher":"European Centre for Disease Prevention and Control","title":"The law on compulsory vaccination in Italy: an update 2 years after the introduction","type":"article-journal","volume":"24"},"uris":["http://www.mendeley.com/documents/?uuid=a917842e-a13a-4323-a496-5cc8dfb6afc6","http://www.mendeley.com/documents/?uuid=ccbe92c2-202e-33f9-80be-9c6d57412fe6"]}],"mendeley":{"formattedCitation":"[3]","plainTextFormattedCitation":"[3]","previouslyFormattedCitation":"[3]"},"properties":{"noteIndex":0},"schema":"https://github.com/citation-style-language/schema/raw/master/csl-citation.json"}</w:instrText>
      </w:r>
      <w:r w:rsidR="004E5924" w:rsidRPr="002557C1">
        <w:rPr>
          <w:noProof/>
          <w:lang w:eastAsia="en-GB"/>
        </w:rPr>
        <w:fldChar w:fldCharType="separate"/>
      </w:r>
      <w:r w:rsidR="00A47731" w:rsidRPr="00A47731">
        <w:rPr>
          <w:noProof/>
          <w:lang w:eastAsia="en-GB"/>
        </w:rPr>
        <w:t>[3]</w:t>
      </w:r>
      <w:r w:rsidR="004E5924" w:rsidRPr="002557C1">
        <w:rPr>
          <w:noProof/>
          <w:lang w:eastAsia="en-GB"/>
        </w:rPr>
        <w:fldChar w:fldCharType="end"/>
      </w:r>
      <w:r w:rsidR="004E5924" w:rsidRPr="002557C1">
        <w:rPr>
          <w:noProof/>
          <w:lang w:eastAsia="en-GB"/>
        </w:rPr>
        <w:t>.</w:t>
      </w:r>
      <w:r w:rsidR="00A578D3" w:rsidRPr="002557C1">
        <w:rPr>
          <w:noProof/>
          <w:lang w:eastAsia="en-GB"/>
        </w:rPr>
        <w:t xml:space="preserve"> </w:t>
      </w:r>
      <w:r w:rsidR="00AD5238" w:rsidRPr="002557C1">
        <w:rPr>
          <w:noProof/>
          <w:lang w:eastAsia="en-GB"/>
        </w:rPr>
        <w:t xml:space="preserve">These data, </w:t>
      </w:r>
      <w:r w:rsidR="00FA3EB2" w:rsidRPr="002557C1">
        <w:rPr>
          <w:noProof/>
          <w:lang w:eastAsia="en-GB"/>
        </w:rPr>
        <w:t>in light of</w:t>
      </w:r>
      <w:r w:rsidR="00AD5238" w:rsidRPr="002557C1">
        <w:rPr>
          <w:noProof/>
          <w:lang w:eastAsia="en-GB"/>
        </w:rPr>
        <w:t xml:space="preserve"> what </w:t>
      </w:r>
      <w:r w:rsidR="00FA3EB2" w:rsidRPr="002557C1">
        <w:rPr>
          <w:noProof/>
          <w:lang w:eastAsia="en-GB"/>
        </w:rPr>
        <w:t>we observed</w:t>
      </w:r>
      <w:r w:rsidR="00AD5238" w:rsidRPr="002557C1">
        <w:rPr>
          <w:noProof/>
          <w:lang w:eastAsia="en-GB"/>
        </w:rPr>
        <w:t xml:space="preserve"> in Tuscany, may suggest that vaccine mandates may have push part of the hesitant parents to vaccinate </w:t>
      </w:r>
      <w:r w:rsidR="00FA3EB2" w:rsidRPr="002557C1">
        <w:rPr>
          <w:noProof/>
          <w:lang w:eastAsia="en-GB"/>
        </w:rPr>
        <w:t xml:space="preserve">their children </w:t>
      </w:r>
      <w:r w:rsidR="00AD5238" w:rsidRPr="002557C1">
        <w:rPr>
          <w:noProof/>
          <w:lang w:eastAsia="en-GB"/>
        </w:rPr>
        <w:t xml:space="preserve">without further delay. </w:t>
      </w:r>
      <w:r w:rsidR="007B3C42" w:rsidRPr="002557C1">
        <w:rPr>
          <w:noProof/>
          <w:lang w:eastAsia="en-GB"/>
        </w:rPr>
        <w:t>T</w:t>
      </w:r>
      <w:r w:rsidR="00F44B0F" w:rsidRPr="002557C1">
        <w:rPr>
          <w:noProof/>
          <w:lang w:eastAsia="en-GB"/>
        </w:rPr>
        <w:t xml:space="preserve">he </w:t>
      </w:r>
      <w:r w:rsidR="00AD5238" w:rsidRPr="002557C1">
        <w:rPr>
          <w:noProof/>
          <w:lang w:eastAsia="en-GB"/>
        </w:rPr>
        <w:t xml:space="preserve">remaining </w:t>
      </w:r>
      <w:r w:rsidR="00F44B0F" w:rsidRPr="002557C1">
        <w:rPr>
          <w:noProof/>
          <w:lang w:eastAsia="en-GB"/>
        </w:rPr>
        <w:t>quota of vaccine</w:t>
      </w:r>
      <w:r w:rsidR="005E6C77">
        <w:rPr>
          <w:noProof/>
          <w:lang w:eastAsia="en-GB"/>
        </w:rPr>
        <w:t>-</w:t>
      </w:r>
      <w:r w:rsidR="00F44B0F" w:rsidRPr="002557C1">
        <w:rPr>
          <w:noProof/>
          <w:lang w:eastAsia="en-GB"/>
        </w:rPr>
        <w:t>hesitant parents</w:t>
      </w:r>
      <w:r w:rsidR="00AD5238" w:rsidRPr="002557C1">
        <w:rPr>
          <w:noProof/>
          <w:lang w:eastAsia="en-GB"/>
        </w:rPr>
        <w:t xml:space="preserve"> </w:t>
      </w:r>
      <w:r w:rsidR="00AD5238" w:rsidRPr="002557C1">
        <w:rPr>
          <w:noProof/>
          <w:lang w:eastAsia="en-GB"/>
        </w:rPr>
        <w:lastRenderedPageBreak/>
        <w:t>(6.6%) detected through the catch-up actions has been partially and progressively regained</w:t>
      </w:r>
      <w:r w:rsidR="00F35249" w:rsidRPr="002557C1">
        <w:rPr>
          <w:noProof/>
          <w:lang w:eastAsia="en-GB"/>
        </w:rPr>
        <w:t>, allowing to reach the 95% threshold</w:t>
      </w:r>
      <w:r w:rsidR="003D56B1" w:rsidRPr="002557C1">
        <w:rPr>
          <w:noProof/>
          <w:lang w:eastAsia="en-GB"/>
        </w:rPr>
        <w:t>.</w:t>
      </w:r>
      <w:r w:rsidR="00AD5238" w:rsidRPr="002557C1">
        <w:rPr>
          <w:noProof/>
          <w:lang w:eastAsia="en-GB"/>
        </w:rPr>
        <w:t xml:space="preserve"> Fully-refusing parents represent only 1.1% of the target population, in line with the evidence that strong anti-vaccine sentiment is present in less than 1% of Italian parents. </w:t>
      </w:r>
    </w:p>
    <w:p w14:paraId="6D540E98" w14:textId="6F5B1ACD" w:rsidR="005A0D8A" w:rsidRPr="002557C1" w:rsidRDefault="003D56B1" w:rsidP="00DE7693">
      <w:pPr>
        <w:rPr>
          <w:noProof/>
          <w:lang w:eastAsia="en-GB"/>
        </w:rPr>
      </w:pPr>
      <w:r w:rsidRPr="002557C1">
        <w:rPr>
          <w:noProof/>
          <w:lang w:eastAsia="en-GB"/>
        </w:rPr>
        <w:t>I</w:t>
      </w:r>
      <w:r w:rsidR="00A578D3" w:rsidRPr="002557C1">
        <w:rPr>
          <w:noProof/>
          <w:lang w:eastAsia="en-GB"/>
        </w:rPr>
        <w:t>t has been argued that mandatory vaccination</w:t>
      </w:r>
      <w:r w:rsidR="00F44B0F" w:rsidRPr="002557C1">
        <w:rPr>
          <w:noProof/>
          <w:lang w:eastAsia="en-GB"/>
        </w:rPr>
        <w:t xml:space="preserve"> may boost anti-vaccine </w:t>
      </w:r>
      <w:r w:rsidR="00FA3EB2" w:rsidRPr="002557C1">
        <w:rPr>
          <w:noProof/>
          <w:lang w:eastAsia="en-GB"/>
        </w:rPr>
        <w:t>sentiments</w:t>
      </w:r>
      <w:r w:rsidR="00F44B0F" w:rsidRPr="002557C1">
        <w:rPr>
          <w:noProof/>
          <w:lang w:eastAsia="en-GB"/>
        </w:rPr>
        <w:t xml:space="preserve"> and </w:t>
      </w:r>
      <w:r w:rsidRPr="002557C1">
        <w:rPr>
          <w:noProof/>
          <w:lang w:eastAsia="en-GB"/>
        </w:rPr>
        <w:t>determine</w:t>
      </w:r>
      <w:r w:rsidR="00F44B0F" w:rsidRPr="002557C1">
        <w:rPr>
          <w:noProof/>
          <w:lang w:eastAsia="en-GB"/>
        </w:rPr>
        <w:t xml:space="preserve"> an increase</w:t>
      </w:r>
      <w:r w:rsidRPr="002557C1">
        <w:rPr>
          <w:noProof/>
          <w:lang w:eastAsia="en-GB"/>
        </w:rPr>
        <w:t xml:space="preserve"> in</w:t>
      </w:r>
      <w:r w:rsidR="00F44B0F" w:rsidRPr="002557C1">
        <w:rPr>
          <w:noProof/>
          <w:lang w:eastAsia="en-GB"/>
        </w:rPr>
        <w:t xml:space="preserve"> vaccine</w:t>
      </w:r>
      <w:r w:rsidR="005E6C77">
        <w:rPr>
          <w:noProof/>
          <w:lang w:eastAsia="en-GB"/>
        </w:rPr>
        <w:t>-</w:t>
      </w:r>
      <w:r w:rsidR="00F44B0F" w:rsidRPr="002557C1">
        <w:rPr>
          <w:noProof/>
          <w:lang w:eastAsia="en-GB"/>
        </w:rPr>
        <w:t>hesitant individuals</w:t>
      </w:r>
      <w:r w:rsidR="003A39E8" w:rsidRPr="002557C1">
        <w:rPr>
          <w:noProof/>
          <w:lang w:eastAsia="en-GB"/>
        </w:rPr>
        <w:t xml:space="preserve"> in a </w:t>
      </w:r>
      <w:r w:rsidRPr="002557C1">
        <w:rPr>
          <w:noProof/>
          <w:lang w:eastAsia="en-GB"/>
        </w:rPr>
        <w:t xml:space="preserve">given population </w:t>
      </w:r>
      <w:r w:rsidRPr="002557C1">
        <w:rPr>
          <w:noProof/>
          <w:lang w:eastAsia="en-GB"/>
        </w:rPr>
        <w:fldChar w:fldCharType="begin" w:fldLock="1"/>
      </w:r>
      <w:r w:rsidR="001A1881">
        <w:rPr>
          <w:noProof/>
          <w:lang w:eastAsia="en-GB"/>
        </w:rPr>
        <w:instrText>ADDIN CSL_CITATION {"citationItems":[{"id":"ITEM-1","itemData":{"author":[{"dropping-particle":"","family":"Omer","given":"SB","non-dropping-particle":"","parse-names":false,"suffix":""},{"dropping-particle":"","family":"Betsch","given":"C","non-dropping-particle":"","parse-names":false,"suffix":""},{"dropping-particle":"","family":"Leask","given":"J","non-dropping-particle":"","parse-names":false,"suffix":""}],"container-title":"Nature","id":"ITEM-1","issued":{"date-parts":[["2019"]]},"title":"Mandate vaccination with care","type":"article-journal","volume":"571"},"uris":["http://www.mendeley.com/documents/?uuid=bfbb1d42-8e81-37f8-b081-ade3da2fd165","http://www.mendeley.com/documents/?uuid=01b9f4f8-a3e9-4068-98b4-162c6b33ad71"]},{"id":"ITEM-2","itemData":{"DOI":"10.1016/J.VACCINE.2018.08.042","ISSN":"0264-410X","abstract":"Globally, infant and childhood vaccine uptake rates are not high enough to control vaccine preventable diseases, with outbreaks occurring even in high-income countries. This has led a number of high-, middle-and low income countries to enact, strengthen or contemplate mandatory infant and/or childhood immunization to try to address the gap. Mandatory immunization that reduces or eliminates individual choice is often controversial. There is no standard approach to mandatory immunization. What vaccines are included, age groups covered, program flexibility and rigidity e.g. opportunities for opting out, penalties or incentives, degree of enforcement, and whether a compensation program for causally associated serious adverse events following immunization exists vary widely. We present an overview of mandatory immunization with examples in two high- and one low-income countries to illustrate variations, summarize limited outcome data related to mandatory immunization, and suggest key elements to consider when contemplating mandatory infant and/or child immunization. Before moving forward with mandatory immunization, governments need to assure financial sustainability, uninterrupted supply and equitable access to all the population. Other interventions may be more effective and less intrusive than mandatory. If mandatory is implemented, this needs to be tailored to fit the context and the country’s culture.","author":[{"dropping-particle":"","family":"MacDonald","given":"Noni E.","non-dropping-particle":"","parse-names":false,"suffix":""},{"dropping-particle":"","family":"Harmon","given":"Shawn","non-dropping-particle":"","parse-names":false,"suffix":""},{"dropping-particle":"","family":"Dube","given":"Eve","non-dropping-particle":"","parse-names":false,"suffix":""},{"dropping-particle":"","family":"Steenbeek","given":"Audrey","non-dropping-particle":"","parse-names":false,"suffix":""},{"dropping-particle":"","family":"Crowcroft","given":"Natasha","non-dropping-particle":"","parse-names":false,"suffix":""},{"dropping-particle":"","family":"Opel","given":"Douglas J.","non-dropping-particle":"","parse-names":false,"suffix":""},{"dropping-particle":"","family":"Faour","given":"David","non-dropping-particle":"","parse-names":false,"suffix":""},{"dropping-particle":"","family":"Leask","given":"Julie","non-dropping-particle":"","parse-names":false,"suffix":""},{"dropping-particle":"","family":"Butler","given":"Robb","non-dropping-particle":"","parse-names":false,"suffix":""}],"container-title":"Vaccine","id":"ITEM-2","issue":"39","issued":{"date-parts":[["2018","9","18"]]},"page":"5811-5818","publisher":"Elsevier","title":"Mandatory infant &amp; childhood immunization: Rationales, issues and knowledge gaps","type":"article-journal","volume":"36"},"uris":["http://www.mendeley.com/documents/?uuid=c3427558-85a8-3900-bf12-6e6dc084d029"]}],"mendeley":{"formattedCitation":"[5,9]","plainTextFormattedCitation":"[5,9]","previouslyFormattedCitation":"[5,9]"},"properties":{"noteIndex":0},"schema":"https://github.com/citation-style-language/schema/raw/master/csl-citation.json"}</w:instrText>
      </w:r>
      <w:r w:rsidRPr="002557C1">
        <w:rPr>
          <w:noProof/>
          <w:lang w:eastAsia="en-GB"/>
        </w:rPr>
        <w:fldChar w:fldCharType="separate"/>
      </w:r>
      <w:r w:rsidR="004266AC" w:rsidRPr="004266AC">
        <w:rPr>
          <w:noProof/>
          <w:lang w:eastAsia="en-GB"/>
        </w:rPr>
        <w:t>[5,9]</w:t>
      </w:r>
      <w:r w:rsidRPr="002557C1">
        <w:rPr>
          <w:noProof/>
          <w:lang w:eastAsia="en-GB"/>
        </w:rPr>
        <w:fldChar w:fldCharType="end"/>
      </w:r>
      <w:r w:rsidRPr="002557C1">
        <w:rPr>
          <w:noProof/>
          <w:lang w:eastAsia="en-GB"/>
        </w:rPr>
        <w:t>. However</w:t>
      </w:r>
      <w:r w:rsidR="00F44B0F" w:rsidRPr="002557C1">
        <w:rPr>
          <w:noProof/>
          <w:lang w:eastAsia="en-GB"/>
        </w:rPr>
        <w:t xml:space="preserve">, this seems not to </w:t>
      </w:r>
      <w:r w:rsidRPr="002557C1">
        <w:rPr>
          <w:noProof/>
          <w:lang w:eastAsia="en-GB"/>
        </w:rPr>
        <w:t>have been</w:t>
      </w:r>
      <w:r w:rsidR="00F44B0F" w:rsidRPr="002557C1">
        <w:rPr>
          <w:noProof/>
          <w:lang w:eastAsia="en-GB"/>
        </w:rPr>
        <w:t xml:space="preserve"> the case in Italy</w:t>
      </w:r>
      <w:r w:rsidRPr="002557C1">
        <w:rPr>
          <w:noProof/>
          <w:lang w:eastAsia="en-GB"/>
        </w:rPr>
        <w:t>, where the h</w:t>
      </w:r>
      <w:r w:rsidR="003A39E8" w:rsidRPr="002557C1">
        <w:rPr>
          <w:noProof/>
          <w:lang w:eastAsia="en-GB"/>
        </w:rPr>
        <w:t>e</w:t>
      </w:r>
      <w:r w:rsidRPr="002557C1">
        <w:rPr>
          <w:noProof/>
          <w:lang w:eastAsia="en-GB"/>
        </w:rPr>
        <w:t>ightened attention to vaccination following the mandatory law may have counterbalanced the spread of misinformation that c</w:t>
      </w:r>
      <w:r w:rsidR="00BB7BBF">
        <w:rPr>
          <w:noProof/>
          <w:lang w:eastAsia="en-GB"/>
        </w:rPr>
        <w:t>h</w:t>
      </w:r>
      <w:r w:rsidRPr="002557C1">
        <w:rPr>
          <w:noProof/>
          <w:lang w:eastAsia="en-GB"/>
        </w:rPr>
        <w:t>aracteri</w:t>
      </w:r>
      <w:r w:rsidR="00BB7BBF">
        <w:rPr>
          <w:noProof/>
          <w:lang w:eastAsia="en-GB"/>
        </w:rPr>
        <w:t>z</w:t>
      </w:r>
      <w:r w:rsidRPr="002557C1">
        <w:rPr>
          <w:noProof/>
          <w:lang w:eastAsia="en-GB"/>
        </w:rPr>
        <w:t>ed the earlier years</w:t>
      </w:r>
      <w:r w:rsidRPr="002557C1">
        <w:rPr>
          <w:noProof/>
          <w:lang w:eastAsia="en-GB"/>
        </w:rPr>
        <w:fldChar w:fldCharType="begin" w:fldLock="1"/>
      </w:r>
      <w:r w:rsidR="00A47731">
        <w:rPr>
          <w:noProof/>
          <w:lang w:eastAsia="en-GB"/>
        </w:rPr>
        <w:instrText>ADDIN CSL_CITATION {"citationItems":[{"id":"ITEM-1","itemData":{"DOI":"10.1016/j.vaccine.2017.07.029","ISSN":"18732518","PMID":"28736200","abstract":"Measles, mumps and rubella (MMR) vaccination coverage in Italy has been decreasing starting from 2012 and, at the present, none of the Italian regions has achieved the goal of 95% coverage target. A decision of the Court of Justice of Rimini in March 2012 that awarded vaccine-injury compensation for a case of autism has been indicated as a probable trigger event leading to a reduction of vaccine confidence in Italy. The aim of the study was to explore the relationship between MMR vaccination coverage to online search trends and social network activity on the topic “autism and MMR vaccine”, during the period 2010–2015. A significant inverse correlation was found between MMR vaccination coverage and Internet search activity, tweets and Facebook posts. New media might have played a role in spreading misinformation. Media monitoring could be useful to assess the level of vaccine hesitancy and to plan and target effective information campaigns.","author":[{"dropping-particle":"","family":"Aquino","given":"Francesco","non-dropping-particle":"","parse-names":false,"suffix":""},{"dropping-particle":"","family":"Donzelli","given":"Gabriele","non-dropping-particle":"","parse-names":false,"suffix":""},{"dropping-particle":"","family":"Franco","given":"Emanuela","non-dropping-particle":"De","parse-names":false,"suffix":""},{"dropping-particle":"","family":"Privitera","given":"Gaetano","non-dropping-particle":"","parse-names":false,"suffix":""},{"dropping-particle":"","family":"Lopalco","given":"Pier Luigi","non-dropping-particle":"","parse-names":false,"suffix":""},{"dropping-particle":"","family":"Carducci","given":"Annalaura","non-dropping-particle":"","parse-names":false,"suffix":""}],"container-title":"Vaccine","id":"ITEM-1","issue":"35","issued":{"date-parts":[["2017"]]},"page":"4494-4498","publisher":"Elsevier Ltd","title":"The web and public confidence in MMR vaccination in Italy","type":"article-journal","volume":"35"},"uris":["http://www.mendeley.com/documents/?uuid=2fe7b729-5599-4bd6-9e55-69a1310f67ed","http://www.mendeley.com/documents/?uuid=95589dee-0903-4db4-83fe-156726b587a5"]}],"mendeley":{"formattedCitation":"[10]","plainTextFormattedCitation":"[10]","previouslyFormattedCitation":"[10]"},"properties":{"noteIndex":0},"schema":"https://github.com/citation-style-language/schema/raw/master/csl-citation.json"}</w:instrText>
      </w:r>
      <w:r w:rsidRPr="002557C1">
        <w:rPr>
          <w:noProof/>
          <w:lang w:eastAsia="en-GB"/>
        </w:rPr>
        <w:fldChar w:fldCharType="separate"/>
      </w:r>
      <w:r w:rsidR="00A47731" w:rsidRPr="00A47731">
        <w:rPr>
          <w:noProof/>
          <w:lang w:eastAsia="en-GB"/>
        </w:rPr>
        <w:t>[10]</w:t>
      </w:r>
      <w:r w:rsidRPr="002557C1">
        <w:rPr>
          <w:noProof/>
          <w:lang w:eastAsia="en-GB"/>
        </w:rPr>
        <w:fldChar w:fldCharType="end"/>
      </w:r>
      <w:r w:rsidRPr="002557C1">
        <w:rPr>
          <w:noProof/>
          <w:lang w:eastAsia="en-GB"/>
        </w:rPr>
        <w:t xml:space="preserve">. </w:t>
      </w:r>
      <w:r w:rsidR="00FA3EB2" w:rsidRPr="002557C1">
        <w:rPr>
          <w:noProof/>
          <w:lang w:eastAsia="en-GB"/>
        </w:rPr>
        <w:t>In the Tuscany experience</w:t>
      </w:r>
      <w:r w:rsidR="00341760" w:rsidRPr="002557C1">
        <w:rPr>
          <w:noProof/>
          <w:lang w:eastAsia="en-GB"/>
        </w:rPr>
        <w:t xml:space="preserve"> that we reported above</w:t>
      </w:r>
      <w:r w:rsidR="00FA3EB2" w:rsidRPr="002557C1">
        <w:rPr>
          <w:noProof/>
          <w:lang w:eastAsia="en-GB"/>
        </w:rPr>
        <w:t xml:space="preserve">, </w:t>
      </w:r>
      <w:r w:rsidR="00BB7BBF">
        <w:rPr>
          <w:noProof/>
          <w:lang w:eastAsia="en-GB"/>
        </w:rPr>
        <w:t xml:space="preserve">a </w:t>
      </w:r>
      <w:r w:rsidR="00FA3EB2" w:rsidRPr="002557C1">
        <w:rPr>
          <w:noProof/>
          <w:lang w:eastAsia="en-GB"/>
        </w:rPr>
        <w:t xml:space="preserve">strong anti-vaccine </w:t>
      </w:r>
      <w:r w:rsidR="00F35249" w:rsidRPr="002557C1">
        <w:rPr>
          <w:noProof/>
          <w:lang w:eastAsia="en-GB"/>
        </w:rPr>
        <w:t xml:space="preserve">attitude </w:t>
      </w:r>
      <w:r w:rsidR="00744CDE" w:rsidRPr="002557C1">
        <w:rPr>
          <w:noProof/>
          <w:lang w:eastAsia="en-GB"/>
        </w:rPr>
        <w:t>affects about 1% of parents. The remaining quota of vaccine skeptic parents (about 3% of the target population) are those requiring a major effort by public he</w:t>
      </w:r>
      <w:r w:rsidR="00F35249" w:rsidRPr="002557C1">
        <w:rPr>
          <w:noProof/>
          <w:lang w:eastAsia="en-GB"/>
        </w:rPr>
        <w:t>a</w:t>
      </w:r>
      <w:r w:rsidR="00744CDE" w:rsidRPr="002557C1">
        <w:rPr>
          <w:noProof/>
          <w:lang w:eastAsia="en-GB"/>
        </w:rPr>
        <w:t xml:space="preserve">lth services to be engaged to assure </w:t>
      </w:r>
      <w:r w:rsidR="00F35249" w:rsidRPr="002557C1">
        <w:rPr>
          <w:noProof/>
          <w:lang w:eastAsia="en-GB"/>
        </w:rPr>
        <w:t xml:space="preserve">and maintain </w:t>
      </w:r>
      <w:r w:rsidR="00744CDE" w:rsidRPr="002557C1">
        <w:rPr>
          <w:noProof/>
          <w:lang w:eastAsia="en-GB"/>
        </w:rPr>
        <w:t>herd immunity.</w:t>
      </w:r>
    </w:p>
    <w:p w14:paraId="4CC0D807" w14:textId="0CAAB0D7" w:rsidR="005A0D8A" w:rsidRPr="002557C1" w:rsidRDefault="003D56B1">
      <w:pPr>
        <w:rPr>
          <w:noProof/>
          <w:lang w:eastAsia="en-GB"/>
        </w:rPr>
      </w:pPr>
      <w:r w:rsidRPr="002557C1">
        <w:rPr>
          <w:noProof/>
          <w:lang w:eastAsia="en-GB"/>
        </w:rPr>
        <w:t>While change in atti</w:t>
      </w:r>
      <w:r w:rsidR="003A39E8" w:rsidRPr="002557C1">
        <w:rPr>
          <w:noProof/>
          <w:lang w:eastAsia="en-GB"/>
        </w:rPr>
        <w:t>t</w:t>
      </w:r>
      <w:r w:rsidRPr="002557C1">
        <w:rPr>
          <w:noProof/>
          <w:lang w:eastAsia="en-GB"/>
        </w:rPr>
        <w:t>ude towards vaccination and vaccine hesitancy are key indicator</w:t>
      </w:r>
      <w:r w:rsidR="00050CF7" w:rsidRPr="002557C1">
        <w:rPr>
          <w:noProof/>
          <w:lang w:eastAsia="en-GB"/>
        </w:rPr>
        <w:t>s</w:t>
      </w:r>
      <w:r w:rsidRPr="002557C1">
        <w:rPr>
          <w:noProof/>
          <w:lang w:eastAsia="en-GB"/>
        </w:rPr>
        <w:t xml:space="preserve"> worth monitoring alongside </w:t>
      </w:r>
      <w:r w:rsidR="00341760" w:rsidRPr="002557C1">
        <w:rPr>
          <w:noProof/>
          <w:lang w:eastAsia="en-GB"/>
        </w:rPr>
        <w:t>vaccine coverage</w:t>
      </w:r>
      <w:r w:rsidRPr="002557C1">
        <w:rPr>
          <w:noProof/>
          <w:lang w:eastAsia="en-GB"/>
        </w:rPr>
        <w:t xml:space="preserve">, </w:t>
      </w:r>
      <w:r w:rsidR="00341760" w:rsidRPr="002557C1">
        <w:rPr>
          <w:noProof/>
          <w:lang w:eastAsia="en-GB"/>
        </w:rPr>
        <w:t>there are other</w:t>
      </w:r>
      <w:r w:rsidRPr="002557C1">
        <w:rPr>
          <w:noProof/>
          <w:lang w:eastAsia="en-GB"/>
        </w:rPr>
        <w:t xml:space="preserve"> </w:t>
      </w:r>
      <w:r w:rsidR="00050CF7" w:rsidRPr="002557C1">
        <w:rPr>
          <w:noProof/>
          <w:lang w:eastAsia="en-GB"/>
        </w:rPr>
        <w:t>significant</w:t>
      </w:r>
      <w:r w:rsidRPr="002557C1">
        <w:rPr>
          <w:noProof/>
          <w:lang w:eastAsia="en-GB"/>
        </w:rPr>
        <w:t xml:space="preserve"> </w:t>
      </w:r>
      <w:r w:rsidR="00050CF7" w:rsidRPr="002557C1">
        <w:rPr>
          <w:noProof/>
          <w:lang w:eastAsia="en-GB"/>
        </w:rPr>
        <w:t>outcome</w:t>
      </w:r>
      <w:r w:rsidR="00341760" w:rsidRPr="002557C1">
        <w:rPr>
          <w:noProof/>
          <w:lang w:eastAsia="en-GB"/>
        </w:rPr>
        <w:t>s</w:t>
      </w:r>
      <w:r w:rsidRPr="002557C1">
        <w:rPr>
          <w:noProof/>
          <w:lang w:eastAsia="en-GB"/>
        </w:rPr>
        <w:t xml:space="preserve"> of the mandatory law </w:t>
      </w:r>
      <w:r w:rsidR="00341760" w:rsidRPr="002557C1">
        <w:rPr>
          <w:noProof/>
          <w:lang w:eastAsia="en-GB"/>
        </w:rPr>
        <w:t>that are not</w:t>
      </w:r>
      <w:r w:rsidRPr="002557C1">
        <w:rPr>
          <w:noProof/>
          <w:lang w:eastAsia="en-GB"/>
        </w:rPr>
        <w:t xml:space="preserve"> as easy to assess. </w:t>
      </w:r>
      <w:r w:rsidR="00B95042" w:rsidRPr="002557C1">
        <w:rPr>
          <w:noProof/>
          <w:lang w:eastAsia="en-GB"/>
        </w:rPr>
        <w:t>Since the mandatory law became effective in 2017, regional and local health authorities in Tuscany and elsewhere in the country, have embarked in systematic review and validation of their rIIS, to verify entries, cleaning databases and entering missing information. These activities have been essential to allow identification of the unvaccinated/partly vaccinated children for catch-up immuni</w:t>
      </w:r>
      <w:r w:rsidR="00BB7BBF">
        <w:rPr>
          <w:noProof/>
          <w:lang w:eastAsia="en-GB"/>
        </w:rPr>
        <w:t>z</w:t>
      </w:r>
      <w:r w:rsidR="00B95042" w:rsidRPr="002557C1">
        <w:rPr>
          <w:noProof/>
          <w:lang w:eastAsia="en-GB"/>
        </w:rPr>
        <w:t xml:space="preserve">ations, but have also been instrumental for a substantial improvement of the completeness and accuracy of the rIIS. </w:t>
      </w:r>
      <w:r w:rsidR="00BB7BBF">
        <w:rPr>
          <w:noProof/>
          <w:lang w:eastAsia="en-GB"/>
        </w:rPr>
        <w:t>Besides</w:t>
      </w:r>
      <w:r w:rsidR="00744CDE" w:rsidRPr="002557C1">
        <w:rPr>
          <w:noProof/>
          <w:lang w:eastAsia="en-GB"/>
        </w:rPr>
        <w:t xml:space="preserve">, parents of unvaccinated children have been forced by the law to contact vaccination officers for undergoing vaccine counselling. </w:t>
      </w:r>
      <w:r w:rsidR="00B95042" w:rsidRPr="002557C1">
        <w:rPr>
          <w:noProof/>
          <w:lang w:eastAsia="en-GB"/>
        </w:rPr>
        <w:t>As a result, more children have completed the reco</w:t>
      </w:r>
      <w:r w:rsidR="00744CDE" w:rsidRPr="002557C1">
        <w:rPr>
          <w:noProof/>
          <w:lang w:eastAsia="en-GB"/>
        </w:rPr>
        <w:t>m</w:t>
      </w:r>
      <w:r w:rsidR="00B95042" w:rsidRPr="002557C1">
        <w:rPr>
          <w:noProof/>
          <w:lang w:eastAsia="en-GB"/>
        </w:rPr>
        <w:t>mended vaccination schedule, and health authorities can rely on their monitoring systems to assess the impact of the interventions and to better plan for future initiatives.</w:t>
      </w:r>
      <w:r w:rsidR="00744CDE" w:rsidRPr="002557C1">
        <w:rPr>
          <w:noProof/>
          <w:lang w:eastAsia="en-GB"/>
        </w:rPr>
        <w:t xml:space="preserve"> Such efforts might be considered as a major outcome of the mandatory law.</w:t>
      </w:r>
      <w:r w:rsidR="00341760" w:rsidRPr="002557C1">
        <w:rPr>
          <w:noProof/>
          <w:lang w:eastAsia="en-GB"/>
        </w:rPr>
        <w:t xml:space="preserve"> In our opinion, mandates did not </w:t>
      </w:r>
      <w:r w:rsidR="00F35249" w:rsidRPr="002557C1">
        <w:rPr>
          <w:noProof/>
          <w:lang w:eastAsia="en-GB"/>
        </w:rPr>
        <w:t xml:space="preserve">only </w:t>
      </w:r>
      <w:r w:rsidR="00341760" w:rsidRPr="002557C1">
        <w:rPr>
          <w:noProof/>
          <w:lang w:eastAsia="en-GB"/>
        </w:rPr>
        <w:t xml:space="preserve">affect hesitant parents, but forced local health services to allocate more resources to immunisation activities and to be more </w:t>
      </w:r>
      <w:r w:rsidR="00F35249" w:rsidRPr="002557C1">
        <w:rPr>
          <w:noProof/>
          <w:lang w:eastAsia="en-GB"/>
        </w:rPr>
        <w:t>effective</w:t>
      </w:r>
      <w:r w:rsidR="00341760" w:rsidRPr="002557C1">
        <w:rPr>
          <w:noProof/>
          <w:lang w:eastAsia="en-GB"/>
        </w:rPr>
        <w:t xml:space="preserve"> as a whole. </w:t>
      </w:r>
    </w:p>
    <w:p w14:paraId="1D2C534C" w14:textId="7EF23837" w:rsidR="00095168" w:rsidRPr="002557C1" w:rsidRDefault="00B95042">
      <w:pPr>
        <w:rPr>
          <w:noProof/>
          <w:lang w:eastAsia="en-GB"/>
        </w:rPr>
      </w:pPr>
      <w:r w:rsidRPr="002557C1">
        <w:rPr>
          <w:noProof/>
          <w:lang w:eastAsia="en-GB"/>
        </w:rPr>
        <w:t xml:space="preserve">When </w:t>
      </w:r>
      <w:r w:rsidR="006B242B" w:rsidRPr="002557C1">
        <w:rPr>
          <w:noProof/>
          <w:lang w:eastAsia="en-GB"/>
        </w:rPr>
        <w:t>contemplating</w:t>
      </w:r>
      <w:r w:rsidRPr="002557C1">
        <w:rPr>
          <w:noProof/>
          <w:lang w:eastAsia="en-GB"/>
        </w:rPr>
        <w:t xml:space="preserve">, planning and assessing mandatory vaccination policies, public health </w:t>
      </w:r>
      <w:r w:rsidR="00341760" w:rsidRPr="002557C1">
        <w:rPr>
          <w:noProof/>
          <w:lang w:eastAsia="en-GB"/>
        </w:rPr>
        <w:t>decision</w:t>
      </w:r>
      <w:r w:rsidR="00BB7BBF">
        <w:rPr>
          <w:noProof/>
          <w:lang w:eastAsia="en-GB"/>
        </w:rPr>
        <w:t>-</w:t>
      </w:r>
      <w:r w:rsidR="00341760" w:rsidRPr="002557C1">
        <w:rPr>
          <w:noProof/>
          <w:lang w:eastAsia="en-GB"/>
        </w:rPr>
        <w:t xml:space="preserve">makers </w:t>
      </w:r>
      <w:r w:rsidRPr="002557C1">
        <w:rPr>
          <w:noProof/>
          <w:lang w:eastAsia="en-GB"/>
        </w:rPr>
        <w:t xml:space="preserve">should consider also the broader implications of such </w:t>
      </w:r>
      <w:r w:rsidR="00095168" w:rsidRPr="002557C1">
        <w:rPr>
          <w:noProof/>
          <w:lang w:eastAsia="en-GB"/>
        </w:rPr>
        <w:t>strategies, not only for the population but</w:t>
      </w:r>
      <w:r w:rsidR="006B242B" w:rsidRPr="002557C1">
        <w:rPr>
          <w:noProof/>
          <w:lang w:eastAsia="en-GB"/>
        </w:rPr>
        <w:t xml:space="preserve"> also for</w:t>
      </w:r>
      <w:r w:rsidR="00095168" w:rsidRPr="002557C1">
        <w:rPr>
          <w:noProof/>
          <w:lang w:eastAsia="en-GB"/>
        </w:rPr>
        <w:t xml:space="preserve"> health services, as these may lead to a virtuous circle of improved quality</w:t>
      </w:r>
      <w:r w:rsidR="006B242B" w:rsidRPr="002557C1">
        <w:rPr>
          <w:noProof/>
          <w:lang w:eastAsia="en-GB"/>
        </w:rPr>
        <w:t>,</w:t>
      </w:r>
      <w:r w:rsidR="00095168" w:rsidRPr="002557C1">
        <w:rPr>
          <w:noProof/>
          <w:lang w:eastAsia="en-GB"/>
        </w:rPr>
        <w:t xml:space="preserve"> improved trust</w:t>
      </w:r>
      <w:r w:rsidR="006B242B" w:rsidRPr="002557C1">
        <w:rPr>
          <w:noProof/>
          <w:lang w:eastAsia="en-GB"/>
        </w:rPr>
        <w:t xml:space="preserve"> and enhanced vaccine resili</w:t>
      </w:r>
      <w:r w:rsidR="00BB7BBF">
        <w:rPr>
          <w:noProof/>
          <w:lang w:eastAsia="en-GB"/>
        </w:rPr>
        <w:t>e</w:t>
      </w:r>
      <w:r w:rsidR="006B242B" w:rsidRPr="002557C1">
        <w:rPr>
          <w:noProof/>
          <w:lang w:eastAsia="en-GB"/>
        </w:rPr>
        <w:t>nce</w:t>
      </w:r>
      <w:r w:rsidR="00095168" w:rsidRPr="002557C1">
        <w:rPr>
          <w:noProof/>
          <w:lang w:eastAsia="en-GB"/>
        </w:rPr>
        <w:t>.</w:t>
      </w:r>
    </w:p>
    <w:p w14:paraId="48843A6A" w14:textId="77777777" w:rsidR="00B95042" w:rsidRPr="002557C1" w:rsidRDefault="00B95042">
      <w:pPr>
        <w:rPr>
          <w:noProof/>
          <w:lang w:eastAsia="en-GB"/>
        </w:rPr>
      </w:pPr>
    </w:p>
    <w:p w14:paraId="13C1CA01" w14:textId="77777777" w:rsidR="00095168" w:rsidRPr="009A0829" w:rsidRDefault="00095168" w:rsidP="00033FBA">
      <w:pPr>
        <w:outlineLvl w:val="0"/>
        <w:rPr>
          <w:b/>
          <w:noProof/>
          <w:lang w:val="it-IT" w:eastAsia="en-GB"/>
        </w:rPr>
      </w:pPr>
      <w:r w:rsidRPr="009A0829">
        <w:rPr>
          <w:b/>
          <w:noProof/>
          <w:lang w:val="it-IT" w:eastAsia="en-GB"/>
        </w:rPr>
        <w:t>References</w:t>
      </w:r>
    </w:p>
    <w:p w14:paraId="53CCB702" w14:textId="0E6F5163" w:rsidR="001A1881" w:rsidRPr="001A1881" w:rsidRDefault="00095168" w:rsidP="001A1881">
      <w:pPr>
        <w:widowControl w:val="0"/>
        <w:autoSpaceDE w:val="0"/>
        <w:autoSpaceDN w:val="0"/>
        <w:adjustRightInd w:val="0"/>
        <w:spacing w:line="240" w:lineRule="auto"/>
        <w:ind w:left="640" w:hanging="640"/>
        <w:rPr>
          <w:rFonts w:ascii="Calibri" w:hAnsi="Calibri" w:cs="Calibri"/>
          <w:noProof/>
          <w:szCs w:val="24"/>
        </w:rPr>
      </w:pPr>
      <w:r w:rsidRPr="002557C1">
        <w:rPr>
          <w:noProof/>
          <w:lang w:eastAsia="en-GB"/>
        </w:rPr>
        <w:fldChar w:fldCharType="begin" w:fldLock="1"/>
      </w:r>
      <w:r w:rsidRPr="002557C1">
        <w:rPr>
          <w:noProof/>
          <w:lang w:val="it-IT" w:eastAsia="en-GB"/>
        </w:rPr>
        <w:instrText xml:space="preserve">ADDIN Mendeley Bibliography CSL_BIBLIOGRAPHY </w:instrText>
      </w:r>
      <w:r w:rsidRPr="002557C1">
        <w:rPr>
          <w:noProof/>
          <w:lang w:eastAsia="en-GB"/>
        </w:rPr>
        <w:fldChar w:fldCharType="separate"/>
      </w:r>
      <w:r w:rsidR="001A1881" w:rsidRPr="009A0829">
        <w:rPr>
          <w:rFonts w:ascii="Calibri" w:hAnsi="Calibri" w:cs="Calibri"/>
          <w:noProof/>
          <w:szCs w:val="24"/>
          <w:lang w:val="it-IT"/>
        </w:rPr>
        <w:t>[1]</w:t>
      </w:r>
      <w:r w:rsidR="001A1881" w:rsidRPr="009A0829">
        <w:rPr>
          <w:rFonts w:ascii="Calibri" w:hAnsi="Calibri" w:cs="Calibri"/>
          <w:noProof/>
          <w:szCs w:val="24"/>
          <w:lang w:val="it-IT"/>
        </w:rPr>
        <w:tab/>
        <w:t xml:space="preserve">Ministero della Salute [Ministry of Health]. Decreto legge 7 giugno 2017, n. 73, Disposizioni urgenti in materia di prevenzione vaccinale, come modificato dalla Legge di conversione 31 luglio 2017, n. 119. </w:t>
      </w:r>
      <w:r w:rsidR="001A1881" w:rsidRPr="001A1881">
        <w:rPr>
          <w:rFonts w:ascii="Calibri" w:hAnsi="Calibri" w:cs="Calibri"/>
          <w:noProof/>
          <w:szCs w:val="24"/>
        </w:rPr>
        <w:t>[Decree Law 7 June 2017, n. 73, Urgent provisions on vaccination prevention, as amended by the conversion law July 31, 2017] 2017. http://www.trovanorme.salute.gov.it/norme/dettaglioAtto?id=60201 (accessed August 6, 2019).</w:t>
      </w:r>
    </w:p>
    <w:p w14:paraId="6F9599FF" w14:textId="77777777" w:rsidR="001A1881" w:rsidRPr="009A0829" w:rsidRDefault="001A1881" w:rsidP="001A1881">
      <w:pPr>
        <w:widowControl w:val="0"/>
        <w:autoSpaceDE w:val="0"/>
        <w:autoSpaceDN w:val="0"/>
        <w:adjustRightInd w:val="0"/>
        <w:spacing w:line="240" w:lineRule="auto"/>
        <w:ind w:left="640" w:hanging="640"/>
        <w:rPr>
          <w:rFonts w:ascii="Calibri" w:hAnsi="Calibri" w:cs="Calibri"/>
          <w:noProof/>
          <w:szCs w:val="24"/>
          <w:lang w:val="it-IT"/>
        </w:rPr>
      </w:pPr>
      <w:r w:rsidRPr="009A0829">
        <w:rPr>
          <w:rFonts w:ascii="Calibri" w:hAnsi="Calibri" w:cs="Calibri"/>
          <w:noProof/>
          <w:szCs w:val="24"/>
          <w:lang w:val="it-IT"/>
        </w:rPr>
        <w:t>[2]</w:t>
      </w:r>
      <w:r w:rsidRPr="009A0829">
        <w:rPr>
          <w:rFonts w:ascii="Calibri" w:hAnsi="Calibri" w:cs="Calibri"/>
          <w:noProof/>
          <w:szCs w:val="24"/>
          <w:lang w:val="it-IT"/>
        </w:rPr>
        <w:tab/>
        <w:t>Ministero della Salute. Piano Nazionale Prevenzione Vaccinale PNPV 2016-2018 2017.</w:t>
      </w:r>
    </w:p>
    <w:p w14:paraId="5941B669" w14:textId="77777777" w:rsidR="001A1881" w:rsidRPr="009A0829" w:rsidRDefault="001A1881" w:rsidP="001A1881">
      <w:pPr>
        <w:widowControl w:val="0"/>
        <w:autoSpaceDE w:val="0"/>
        <w:autoSpaceDN w:val="0"/>
        <w:adjustRightInd w:val="0"/>
        <w:spacing w:line="240" w:lineRule="auto"/>
        <w:ind w:left="640" w:hanging="640"/>
        <w:rPr>
          <w:rFonts w:ascii="Calibri" w:hAnsi="Calibri" w:cs="Calibri"/>
          <w:noProof/>
          <w:szCs w:val="24"/>
          <w:lang w:val="it-IT"/>
        </w:rPr>
      </w:pPr>
      <w:r w:rsidRPr="001A1881">
        <w:rPr>
          <w:rFonts w:ascii="Calibri" w:hAnsi="Calibri" w:cs="Calibri"/>
          <w:noProof/>
          <w:szCs w:val="24"/>
        </w:rPr>
        <w:t>[3]</w:t>
      </w:r>
      <w:r w:rsidRPr="001A1881">
        <w:rPr>
          <w:rFonts w:ascii="Calibri" w:hAnsi="Calibri" w:cs="Calibri"/>
          <w:noProof/>
          <w:szCs w:val="24"/>
        </w:rPr>
        <w:tab/>
        <w:t xml:space="preserve">D’Ancona F, D’Amario C, Maraglino F, Rezza G, Iannazzo S. The law on compulsory vaccination in Italy: an update 2 years after the introduction. </w:t>
      </w:r>
      <w:r w:rsidRPr="009A0829">
        <w:rPr>
          <w:rFonts w:ascii="Calibri" w:hAnsi="Calibri" w:cs="Calibri"/>
          <w:noProof/>
          <w:szCs w:val="24"/>
          <w:lang w:val="it-IT"/>
        </w:rPr>
        <w:t>Eurosurveillance 2019;24:1900371. doi:10.2807/1560-7917.ES.2019.24.26.1900371.</w:t>
      </w:r>
    </w:p>
    <w:p w14:paraId="48FFADD7" w14:textId="77777777" w:rsidR="001A1881" w:rsidRPr="009A0829" w:rsidRDefault="001A1881" w:rsidP="001A1881">
      <w:pPr>
        <w:widowControl w:val="0"/>
        <w:autoSpaceDE w:val="0"/>
        <w:autoSpaceDN w:val="0"/>
        <w:adjustRightInd w:val="0"/>
        <w:spacing w:line="240" w:lineRule="auto"/>
        <w:ind w:left="640" w:hanging="640"/>
        <w:rPr>
          <w:rFonts w:ascii="Calibri" w:hAnsi="Calibri" w:cs="Calibri"/>
          <w:noProof/>
          <w:szCs w:val="24"/>
          <w:lang w:val="it-IT"/>
        </w:rPr>
      </w:pPr>
      <w:r w:rsidRPr="009A0829">
        <w:rPr>
          <w:rFonts w:ascii="Calibri" w:hAnsi="Calibri" w:cs="Calibri"/>
          <w:noProof/>
          <w:szCs w:val="24"/>
          <w:lang w:val="it-IT"/>
        </w:rPr>
        <w:t>[4]</w:t>
      </w:r>
      <w:r w:rsidRPr="009A0829">
        <w:rPr>
          <w:rFonts w:ascii="Calibri" w:hAnsi="Calibri" w:cs="Calibri"/>
          <w:noProof/>
          <w:szCs w:val="24"/>
          <w:lang w:val="it-IT"/>
        </w:rPr>
        <w:tab/>
        <w:t>Ministero della Salute. Le coperture vaccinali dell’età pediatrica e dell’adolescente n.d. www.salute.gov.it/imgs/C_17_tavole_20_allegati_iitemAllegati_3_fileAllegati_itemFile_7_file.pdf (accessed August 7, 2019).</w:t>
      </w:r>
    </w:p>
    <w:p w14:paraId="13BCE6D4" w14:textId="77777777" w:rsidR="001A1881" w:rsidRPr="001A1881" w:rsidRDefault="001A1881" w:rsidP="001A1881">
      <w:pPr>
        <w:widowControl w:val="0"/>
        <w:autoSpaceDE w:val="0"/>
        <w:autoSpaceDN w:val="0"/>
        <w:adjustRightInd w:val="0"/>
        <w:spacing w:line="240" w:lineRule="auto"/>
        <w:ind w:left="640" w:hanging="640"/>
        <w:rPr>
          <w:rFonts w:ascii="Calibri" w:hAnsi="Calibri" w:cs="Calibri"/>
          <w:noProof/>
          <w:szCs w:val="24"/>
        </w:rPr>
      </w:pPr>
      <w:r w:rsidRPr="001A1881">
        <w:rPr>
          <w:rFonts w:ascii="Calibri" w:hAnsi="Calibri" w:cs="Calibri"/>
          <w:noProof/>
          <w:szCs w:val="24"/>
        </w:rPr>
        <w:t>[5]</w:t>
      </w:r>
      <w:r w:rsidRPr="001A1881">
        <w:rPr>
          <w:rFonts w:ascii="Calibri" w:hAnsi="Calibri" w:cs="Calibri"/>
          <w:noProof/>
          <w:szCs w:val="24"/>
        </w:rPr>
        <w:tab/>
        <w:t>MacDonald NE, Harmon S, Dube E, Steenbeek A, Crowcroft N, Opel DJ, et al. Mandatory infant &amp; childhood immunization: Rationales, issues and knowledge gaps. Vaccine 2018;36:5811–8. doi:10.1016/J.VACCINE.2018.08.042.</w:t>
      </w:r>
    </w:p>
    <w:p w14:paraId="50EFFEB3" w14:textId="77777777" w:rsidR="001A1881" w:rsidRPr="009A0829" w:rsidRDefault="001A1881" w:rsidP="001A1881">
      <w:pPr>
        <w:widowControl w:val="0"/>
        <w:autoSpaceDE w:val="0"/>
        <w:autoSpaceDN w:val="0"/>
        <w:adjustRightInd w:val="0"/>
        <w:spacing w:line="240" w:lineRule="auto"/>
        <w:ind w:left="640" w:hanging="640"/>
        <w:rPr>
          <w:rFonts w:ascii="Calibri" w:hAnsi="Calibri" w:cs="Calibri"/>
          <w:noProof/>
          <w:szCs w:val="24"/>
          <w:lang w:val="it-IT"/>
        </w:rPr>
      </w:pPr>
      <w:r w:rsidRPr="009A0829">
        <w:rPr>
          <w:rFonts w:ascii="Calibri" w:hAnsi="Calibri" w:cs="Calibri"/>
          <w:noProof/>
          <w:szCs w:val="24"/>
          <w:lang w:val="it-IT"/>
        </w:rPr>
        <w:lastRenderedPageBreak/>
        <w:t>[6]</w:t>
      </w:r>
      <w:r w:rsidRPr="009A0829">
        <w:rPr>
          <w:rFonts w:ascii="Calibri" w:hAnsi="Calibri" w:cs="Calibri"/>
          <w:noProof/>
          <w:szCs w:val="24"/>
          <w:lang w:val="it-IT"/>
        </w:rPr>
        <w:tab/>
        <w:t>Regione Toscana. Sintesi coperture vaccinali Regione Toscana al 31/12/2018 2019. http://www.uslsudest.toscana.it/attachments/article/70/allegato-A.pdf (accessed August 9, 2019).</w:t>
      </w:r>
    </w:p>
    <w:p w14:paraId="220AEEE6" w14:textId="77777777" w:rsidR="001A1881" w:rsidRPr="009A0829" w:rsidRDefault="001A1881" w:rsidP="001A1881">
      <w:pPr>
        <w:widowControl w:val="0"/>
        <w:autoSpaceDE w:val="0"/>
        <w:autoSpaceDN w:val="0"/>
        <w:adjustRightInd w:val="0"/>
        <w:spacing w:line="240" w:lineRule="auto"/>
        <w:ind w:left="640" w:hanging="640"/>
        <w:rPr>
          <w:rFonts w:ascii="Calibri" w:hAnsi="Calibri" w:cs="Calibri"/>
          <w:noProof/>
          <w:szCs w:val="24"/>
          <w:lang w:val="it-IT"/>
        </w:rPr>
      </w:pPr>
      <w:r w:rsidRPr="009A0829">
        <w:rPr>
          <w:rFonts w:ascii="Calibri" w:hAnsi="Calibri" w:cs="Calibri"/>
          <w:noProof/>
          <w:szCs w:val="24"/>
          <w:lang w:val="it-IT"/>
        </w:rPr>
        <w:t>[7]</w:t>
      </w:r>
      <w:r w:rsidRPr="009A0829">
        <w:rPr>
          <w:rFonts w:ascii="Calibri" w:hAnsi="Calibri" w:cs="Calibri"/>
          <w:noProof/>
          <w:szCs w:val="24"/>
          <w:lang w:val="it-IT"/>
        </w:rPr>
        <w:tab/>
        <w:t>MacDonald NE. Vaccine hesitancy: Definition, scope and determinants. Vaccine 2015;33:4161–4. doi:10.1016/J.VACCINE.2015.04.036.</w:t>
      </w:r>
    </w:p>
    <w:p w14:paraId="187BA72D" w14:textId="77777777" w:rsidR="001A1881" w:rsidRPr="001A1881" w:rsidRDefault="001A1881" w:rsidP="001A1881">
      <w:pPr>
        <w:widowControl w:val="0"/>
        <w:autoSpaceDE w:val="0"/>
        <w:autoSpaceDN w:val="0"/>
        <w:adjustRightInd w:val="0"/>
        <w:spacing w:line="240" w:lineRule="auto"/>
        <w:ind w:left="640" w:hanging="640"/>
        <w:rPr>
          <w:rFonts w:ascii="Calibri" w:hAnsi="Calibri" w:cs="Calibri"/>
          <w:noProof/>
          <w:szCs w:val="24"/>
        </w:rPr>
      </w:pPr>
      <w:r w:rsidRPr="009A0829">
        <w:rPr>
          <w:rFonts w:ascii="Calibri" w:hAnsi="Calibri" w:cs="Calibri"/>
          <w:noProof/>
          <w:szCs w:val="24"/>
          <w:lang w:val="it-IT"/>
        </w:rPr>
        <w:t>[8]</w:t>
      </w:r>
      <w:r w:rsidRPr="009A0829">
        <w:rPr>
          <w:rFonts w:ascii="Calibri" w:hAnsi="Calibri" w:cs="Calibri"/>
          <w:noProof/>
          <w:szCs w:val="24"/>
          <w:lang w:val="it-IT"/>
        </w:rPr>
        <w:tab/>
        <w:t xml:space="preserve">Giambi C, Fabiani M, D’Ancona F, Ferrara L, Fiacchini D, Gallo T, et al. </w:t>
      </w:r>
      <w:r w:rsidRPr="001A1881">
        <w:rPr>
          <w:rFonts w:ascii="Calibri" w:hAnsi="Calibri" w:cs="Calibri"/>
          <w:noProof/>
          <w:szCs w:val="24"/>
        </w:rPr>
        <w:t>Parental vaccine hesitancy in Italy – Results from a national survey. Vaccine 2018;36:779–87. doi:10.1016/J.VACCINE.2017.12.074.</w:t>
      </w:r>
    </w:p>
    <w:p w14:paraId="5AC936F9" w14:textId="77777777" w:rsidR="001A1881" w:rsidRPr="001A1881" w:rsidRDefault="001A1881" w:rsidP="001A1881">
      <w:pPr>
        <w:widowControl w:val="0"/>
        <w:autoSpaceDE w:val="0"/>
        <w:autoSpaceDN w:val="0"/>
        <w:adjustRightInd w:val="0"/>
        <w:spacing w:line="240" w:lineRule="auto"/>
        <w:ind w:left="640" w:hanging="640"/>
        <w:rPr>
          <w:rFonts w:ascii="Calibri" w:hAnsi="Calibri" w:cs="Calibri"/>
          <w:noProof/>
          <w:szCs w:val="24"/>
        </w:rPr>
      </w:pPr>
      <w:r w:rsidRPr="001A1881">
        <w:rPr>
          <w:rFonts w:ascii="Calibri" w:hAnsi="Calibri" w:cs="Calibri"/>
          <w:noProof/>
          <w:szCs w:val="24"/>
        </w:rPr>
        <w:t>[9]</w:t>
      </w:r>
      <w:r w:rsidRPr="001A1881">
        <w:rPr>
          <w:rFonts w:ascii="Calibri" w:hAnsi="Calibri" w:cs="Calibri"/>
          <w:noProof/>
          <w:szCs w:val="24"/>
        </w:rPr>
        <w:tab/>
        <w:t>Omer S, Betsch C, Leask J. Mandate vaccination with care. Nature 2019;571.</w:t>
      </w:r>
    </w:p>
    <w:p w14:paraId="744ECF30" w14:textId="77777777" w:rsidR="001A1881" w:rsidRPr="001A1881" w:rsidRDefault="001A1881" w:rsidP="001A1881">
      <w:pPr>
        <w:widowControl w:val="0"/>
        <w:autoSpaceDE w:val="0"/>
        <w:autoSpaceDN w:val="0"/>
        <w:adjustRightInd w:val="0"/>
        <w:spacing w:line="240" w:lineRule="auto"/>
        <w:ind w:left="640" w:hanging="640"/>
        <w:rPr>
          <w:rFonts w:ascii="Calibri" w:hAnsi="Calibri" w:cs="Calibri"/>
          <w:noProof/>
        </w:rPr>
      </w:pPr>
      <w:r w:rsidRPr="001A1881">
        <w:rPr>
          <w:rFonts w:ascii="Calibri" w:hAnsi="Calibri" w:cs="Calibri"/>
          <w:noProof/>
          <w:szCs w:val="24"/>
        </w:rPr>
        <w:t>[10]</w:t>
      </w:r>
      <w:r w:rsidRPr="001A1881">
        <w:rPr>
          <w:rFonts w:ascii="Calibri" w:hAnsi="Calibri" w:cs="Calibri"/>
          <w:noProof/>
          <w:szCs w:val="24"/>
        </w:rPr>
        <w:tab/>
        <w:t>Aquino F, Donzelli G, De Franco E, Privitera G, Lopalco PL, Carducci A. The web and public confidence in MMR vaccination in Italy. Vaccine 2017;35:4494–8. doi:10.1016/j.vaccine.2017.07.029.</w:t>
      </w:r>
    </w:p>
    <w:p w14:paraId="29A1780E" w14:textId="660AD474" w:rsidR="005A0D8A" w:rsidRPr="005A0D8A" w:rsidRDefault="00095168" w:rsidP="004266AC">
      <w:pPr>
        <w:widowControl w:val="0"/>
        <w:autoSpaceDE w:val="0"/>
        <w:autoSpaceDN w:val="0"/>
        <w:adjustRightInd w:val="0"/>
        <w:spacing w:line="240" w:lineRule="auto"/>
        <w:ind w:left="640" w:hanging="640"/>
      </w:pPr>
      <w:r w:rsidRPr="002557C1">
        <w:rPr>
          <w:noProof/>
          <w:lang w:eastAsia="en-GB"/>
        </w:rPr>
        <w:fldChar w:fldCharType="end"/>
      </w:r>
    </w:p>
    <w:sectPr w:rsidR="005A0D8A" w:rsidRPr="005A0D8A">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altName w:val="Arial"/>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9551D"/>
    <w:multiLevelType w:val="multilevel"/>
    <w:tmpl w:val="DF0417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59B6"/>
    <w:rsid w:val="00020BB4"/>
    <w:rsid w:val="00033FBA"/>
    <w:rsid w:val="00050CF7"/>
    <w:rsid w:val="00053330"/>
    <w:rsid w:val="0009407A"/>
    <w:rsid w:val="00095168"/>
    <w:rsid w:val="000961FA"/>
    <w:rsid w:val="000C4037"/>
    <w:rsid w:val="000C5F94"/>
    <w:rsid w:val="000C604B"/>
    <w:rsid w:val="000D755E"/>
    <w:rsid w:val="000F35A1"/>
    <w:rsid w:val="00101A2A"/>
    <w:rsid w:val="001373A0"/>
    <w:rsid w:val="00156AE2"/>
    <w:rsid w:val="00183245"/>
    <w:rsid w:val="00185FE5"/>
    <w:rsid w:val="001A1881"/>
    <w:rsid w:val="001B43AB"/>
    <w:rsid w:val="00204D69"/>
    <w:rsid w:val="00213B5F"/>
    <w:rsid w:val="00235B7F"/>
    <w:rsid w:val="002501D1"/>
    <w:rsid w:val="002557C1"/>
    <w:rsid w:val="002674C5"/>
    <w:rsid w:val="002D2712"/>
    <w:rsid w:val="0030200B"/>
    <w:rsid w:val="00341760"/>
    <w:rsid w:val="00366498"/>
    <w:rsid w:val="00386E17"/>
    <w:rsid w:val="003A39E8"/>
    <w:rsid w:val="003A5627"/>
    <w:rsid w:val="003C2B34"/>
    <w:rsid w:val="003D0325"/>
    <w:rsid w:val="003D56B1"/>
    <w:rsid w:val="004072AE"/>
    <w:rsid w:val="00415131"/>
    <w:rsid w:val="004266AC"/>
    <w:rsid w:val="00442788"/>
    <w:rsid w:val="004A3625"/>
    <w:rsid w:val="004E1140"/>
    <w:rsid w:val="004E5924"/>
    <w:rsid w:val="004E6771"/>
    <w:rsid w:val="004F5326"/>
    <w:rsid w:val="00540FD6"/>
    <w:rsid w:val="005447F0"/>
    <w:rsid w:val="005A0D8A"/>
    <w:rsid w:val="005C135D"/>
    <w:rsid w:val="005E6C77"/>
    <w:rsid w:val="005F6744"/>
    <w:rsid w:val="0063403D"/>
    <w:rsid w:val="00693231"/>
    <w:rsid w:val="006B1E50"/>
    <w:rsid w:val="006B242B"/>
    <w:rsid w:val="006B590A"/>
    <w:rsid w:val="00713EB6"/>
    <w:rsid w:val="00744CDE"/>
    <w:rsid w:val="00795A30"/>
    <w:rsid w:val="007B3C42"/>
    <w:rsid w:val="00820083"/>
    <w:rsid w:val="00852C28"/>
    <w:rsid w:val="008572E6"/>
    <w:rsid w:val="008A2466"/>
    <w:rsid w:val="008A308E"/>
    <w:rsid w:val="008A5BE3"/>
    <w:rsid w:val="008C639A"/>
    <w:rsid w:val="008D0F13"/>
    <w:rsid w:val="00932A89"/>
    <w:rsid w:val="009732DF"/>
    <w:rsid w:val="009A0829"/>
    <w:rsid w:val="009A60EC"/>
    <w:rsid w:val="009F3EF3"/>
    <w:rsid w:val="009F4E5A"/>
    <w:rsid w:val="00A2189D"/>
    <w:rsid w:val="00A36370"/>
    <w:rsid w:val="00A442E6"/>
    <w:rsid w:val="00A47731"/>
    <w:rsid w:val="00A50BFF"/>
    <w:rsid w:val="00A578D3"/>
    <w:rsid w:val="00A849F3"/>
    <w:rsid w:val="00A94014"/>
    <w:rsid w:val="00AB217A"/>
    <w:rsid w:val="00AD5238"/>
    <w:rsid w:val="00B860CF"/>
    <w:rsid w:val="00B95042"/>
    <w:rsid w:val="00BA79E2"/>
    <w:rsid w:val="00BB7BBF"/>
    <w:rsid w:val="00C26508"/>
    <w:rsid w:val="00CA6DF8"/>
    <w:rsid w:val="00CD038F"/>
    <w:rsid w:val="00D00E61"/>
    <w:rsid w:val="00D67B5E"/>
    <w:rsid w:val="00DE7693"/>
    <w:rsid w:val="00E24023"/>
    <w:rsid w:val="00E30977"/>
    <w:rsid w:val="00E3425D"/>
    <w:rsid w:val="00E70C54"/>
    <w:rsid w:val="00ED2A17"/>
    <w:rsid w:val="00EF37C0"/>
    <w:rsid w:val="00F21E27"/>
    <w:rsid w:val="00F259B6"/>
    <w:rsid w:val="00F268CC"/>
    <w:rsid w:val="00F35249"/>
    <w:rsid w:val="00F44B0F"/>
    <w:rsid w:val="00F6789C"/>
    <w:rsid w:val="00F73F65"/>
    <w:rsid w:val="00F74B08"/>
    <w:rsid w:val="00F75E2B"/>
    <w:rsid w:val="00F81D5C"/>
    <w:rsid w:val="00FA3EB2"/>
    <w:rsid w:val="00FC1C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B225813"/>
  <w15:chartTrackingRefBased/>
  <w15:docId w15:val="{D07B04C0-EAF7-4A7F-A00A-99FDF7C3C0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1">
    <w:name w:val="heading 1"/>
    <w:basedOn w:val="Normale"/>
    <w:link w:val="Titolo1Carattere"/>
    <w:uiPriority w:val="9"/>
    <w:qFormat/>
    <w:rsid w:val="008572E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semiHidden/>
    <w:unhideWhenUsed/>
    <w:rsid w:val="00ED2A17"/>
    <w:rPr>
      <w:color w:val="0000FF"/>
      <w:u w:val="single"/>
    </w:rPr>
  </w:style>
  <w:style w:type="table" w:styleId="Grigliatabella">
    <w:name w:val="Table Grid"/>
    <w:basedOn w:val="Tabellanormale"/>
    <w:uiPriority w:val="39"/>
    <w:rsid w:val="003C2B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imandocommento">
    <w:name w:val="annotation reference"/>
    <w:basedOn w:val="Carpredefinitoparagrafo"/>
    <w:uiPriority w:val="99"/>
    <w:semiHidden/>
    <w:unhideWhenUsed/>
    <w:rsid w:val="004072AE"/>
    <w:rPr>
      <w:sz w:val="16"/>
      <w:szCs w:val="16"/>
    </w:rPr>
  </w:style>
  <w:style w:type="paragraph" w:styleId="Testocommento">
    <w:name w:val="annotation text"/>
    <w:basedOn w:val="Normale"/>
    <w:link w:val="TestocommentoCarattere"/>
    <w:uiPriority w:val="99"/>
    <w:semiHidden/>
    <w:unhideWhenUsed/>
    <w:rsid w:val="004072AE"/>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4072AE"/>
    <w:rPr>
      <w:sz w:val="20"/>
      <w:szCs w:val="20"/>
    </w:rPr>
  </w:style>
  <w:style w:type="paragraph" w:styleId="Soggettocommento">
    <w:name w:val="annotation subject"/>
    <w:basedOn w:val="Testocommento"/>
    <w:next w:val="Testocommento"/>
    <w:link w:val="SoggettocommentoCarattere"/>
    <w:uiPriority w:val="99"/>
    <w:semiHidden/>
    <w:unhideWhenUsed/>
    <w:rsid w:val="004072AE"/>
    <w:rPr>
      <w:b/>
      <w:bCs/>
    </w:rPr>
  </w:style>
  <w:style w:type="character" w:customStyle="1" w:styleId="SoggettocommentoCarattere">
    <w:name w:val="Soggetto commento Carattere"/>
    <w:basedOn w:val="TestocommentoCarattere"/>
    <w:link w:val="Soggettocommento"/>
    <w:uiPriority w:val="99"/>
    <w:semiHidden/>
    <w:rsid w:val="004072AE"/>
    <w:rPr>
      <w:b/>
      <w:bCs/>
      <w:sz w:val="20"/>
      <w:szCs w:val="20"/>
    </w:rPr>
  </w:style>
  <w:style w:type="paragraph" w:styleId="Testofumetto">
    <w:name w:val="Balloon Text"/>
    <w:basedOn w:val="Normale"/>
    <w:link w:val="TestofumettoCarattere"/>
    <w:uiPriority w:val="99"/>
    <w:semiHidden/>
    <w:unhideWhenUsed/>
    <w:rsid w:val="004072AE"/>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4072AE"/>
    <w:rPr>
      <w:rFonts w:ascii="Segoe UI" w:hAnsi="Segoe UI" w:cs="Segoe UI"/>
      <w:sz w:val="18"/>
      <w:szCs w:val="18"/>
    </w:rPr>
  </w:style>
  <w:style w:type="character" w:styleId="Collegamentovisitato">
    <w:name w:val="FollowedHyperlink"/>
    <w:basedOn w:val="Carpredefinitoparagrafo"/>
    <w:uiPriority w:val="99"/>
    <w:semiHidden/>
    <w:unhideWhenUsed/>
    <w:rsid w:val="00B860CF"/>
    <w:rPr>
      <w:color w:val="954F72" w:themeColor="followedHyperlink"/>
      <w:u w:val="single"/>
    </w:rPr>
  </w:style>
  <w:style w:type="paragraph" w:styleId="Revisione">
    <w:name w:val="Revision"/>
    <w:hidden/>
    <w:uiPriority w:val="99"/>
    <w:semiHidden/>
    <w:rsid w:val="00033FBA"/>
    <w:pPr>
      <w:spacing w:after="0" w:line="240" w:lineRule="auto"/>
    </w:pPr>
  </w:style>
  <w:style w:type="character" w:customStyle="1" w:styleId="Titolo1Carattere">
    <w:name w:val="Titolo 1 Carattere"/>
    <w:basedOn w:val="Carpredefinitoparagrafo"/>
    <w:link w:val="Titolo1"/>
    <w:uiPriority w:val="9"/>
    <w:rsid w:val="008572E6"/>
    <w:rPr>
      <w:rFonts w:ascii="Times New Roman" w:eastAsia="Times New Roman" w:hAnsi="Times New Roman" w:cs="Times New Roman"/>
      <w:b/>
      <w:bCs/>
      <w:kern w:val="36"/>
      <w:sz w:val="48"/>
      <w:szCs w:val="4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2857876">
      <w:bodyDiv w:val="1"/>
      <w:marLeft w:val="0"/>
      <w:marRight w:val="0"/>
      <w:marTop w:val="0"/>
      <w:marBottom w:val="0"/>
      <w:divBdr>
        <w:top w:val="none" w:sz="0" w:space="0" w:color="auto"/>
        <w:left w:val="none" w:sz="0" w:space="0" w:color="auto"/>
        <w:bottom w:val="none" w:sz="0" w:space="0" w:color="auto"/>
        <w:right w:val="none" w:sz="0" w:space="0" w:color="auto"/>
      </w:divBdr>
      <w:divsChild>
        <w:div w:id="2249961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83891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804156">
      <w:bodyDiv w:val="1"/>
      <w:marLeft w:val="0"/>
      <w:marRight w:val="0"/>
      <w:marTop w:val="0"/>
      <w:marBottom w:val="0"/>
      <w:divBdr>
        <w:top w:val="none" w:sz="0" w:space="0" w:color="auto"/>
        <w:left w:val="none" w:sz="0" w:space="0" w:color="auto"/>
        <w:bottom w:val="none" w:sz="0" w:space="0" w:color="auto"/>
        <w:right w:val="none" w:sz="0" w:space="0" w:color="auto"/>
      </w:divBdr>
    </w:div>
    <w:div w:id="1041973886">
      <w:bodyDiv w:val="1"/>
      <w:marLeft w:val="0"/>
      <w:marRight w:val="0"/>
      <w:marTop w:val="0"/>
      <w:marBottom w:val="0"/>
      <w:divBdr>
        <w:top w:val="none" w:sz="0" w:space="0" w:color="auto"/>
        <w:left w:val="none" w:sz="0" w:space="0" w:color="auto"/>
        <w:bottom w:val="none" w:sz="0" w:space="0" w:color="auto"/>
        <w:right w:val="none" w:sz="0" w:space="0" w:color="auto"/>
      </w:divBdr>
      <w:divsChild>
        <w:div w:id="20873335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27963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4523685">
      <w:bodyDiv w:val="1"/>
      <w:marLeft w:val="0"/>
      <w:marRight w:val="0"/>
      <w:marTop w:val="0"/>
      <w:marBottom w:val="0"/>
      <w:divBdr>
        <w:top w:val="none" w:sz="0" w:space="0" w:color="auto"/>
        <w:left w:val="none" w:sz="0" w:space="0" w:color="auto"/>
        <w:bottom w:val="none" w:sz="0" w:space="0" w:color="auto"/>
        <w:right w:val="none" w:sz="0" w:space="0" w:color="auto"/>
      </w:divBdr>
      <w:divsChild>
        <w:div w:id="1751660890">
          <w:marLeft w:val="0"/>
          <w:marRight w:val="0"/>
          <w:marTop w:val="0"/>
          <w:marBottom w:val="0"/>
          <w:divBdr>
            <w:top w:val="none" w:sz="0" w:space="0" w:color="auto"/>
            <w:left w:val="none" w:sz="0" w:space="0" w:color="auto"/>
            <w:bottom w:val="none" w:sz="0" w:space="0" w:color="auto"/>
            <w:right w:val="none" w:sz="0" w:space="0" w:color="auto"/>
          </w:divBdr>
        </w:div>
      </w:divsChild>
    </w:div>
    <w:div w:id="1169325967">
      <w:bodyDiv w:val="1"/>
      <w:marLeft w:val="0"/>
      <w:marRight w:val="0"/>
      <w:marTop w:val="0"/>
      <w:marBottom w:val="0"/>
      <w:divBdr>
        <w:top w:val="none" w:sz="0" w:space="0" w:color="auto"/>
        <w:left w:val="none" w:sz="0" w:space="0" w:color="auto"/>
        <w:bottom w:val="none" w:sz="0" w:space="0" w:color="auto"/>
        <w:right w:val="none" w:sz="0" w:space="0" w:color="auto"/>
      </w:divBdr>
    </w:div>
    <w:div w:id="1187913629">
      <w:bodyDiv w:val="1"/>
      <w:marLeft w:val="0"/>
      <w:marRight w:val="0"/>
      <w:marTop w:val="0"/>
      <w:marBottom w:val="0"/>
      <w:divBdr>
        <w:top w:val="none" w:sz="0" w:space="0" w:color="auto"/>
        <w:left w:val="none" w:sz="0" w:space="0" w:color="auto"/>
        <w:bottom w:val="none" w:sz="0" w:space="0" w:color="auto"/>
        <w:right w:val="none" w:sz="0" w:space="0" w:color="auto"/>
      </w:divBdr>
    </w:div>
    <w:div w:id="1574970169">
      <w:bodyDiv w:val="1"/>
      <w:marLeft w:val="0"/>
      <w:marRight w:val="0"/>
      <w:marTop w:val="0"/>
      <w:marBottom w:val="0"/>
      <w:divBdr>
        <w:top w:val="none" w:sz="0" w:space="0" w:color="auto"/>
        <w:left w:val="none" w:sz="0" w:space="0" w:color="auto"/>
        <w:bottom w:val="none" w:sz="0" w:space="0" w:color="auto"/>
        <w:right w:val="none" w:sz="0" w:space="0" w:color="auto"/>
      </w:divBdr>
    </w:div>
    <w:div w:id="1948347680">
      <w:bodyDiv w:val="1"/>
      <w:marLeft w:val="0"/>
      <w:marRight w:val="0"/>
      <w:marTop w:val="0"/>
      <w:marBottom w:val="0"/>
      <w:divBdr>
        <w:top w:val="none" w:sz="0" w:space="0" w:color="auto"/>
        <w:left w:val="none" w:sz="0" w:space="0" w:color="auto"/>
        <w:bottom w:val="none" w:sz="0" w:space="0" w:color="auto"/>
        <w:right w:val="none" w:sz="0" w:space="0" w:color="auto"/>
      </w:divBdr>
    </w:div>
    <w:div w:id="2044790776">
      <w:bodyDiv w:val="1"/>
      <w:marLeft w:val="0"/>
      <w:marRight w:val="0"/>
      <w:marTop w:val="0"/>
      <w:marBottom w:val="0"/>
      <w:divBdr>
        <w:top w:val="none" w:sz="0" w:space="0" w:color="auto"/>
        <w:left w:val="none" w:sz="0" w:space="0" w:color="auto"/>
        <w:bottom w:val="none" w:sz="0" w:space="0" w:color="auto"/>
        <w:right w:val="none" w:sz="0" w:space="0" w:color="auto"/>
      </w:divBdr>
      <w:divsChild>
        <w:div w:id="1807776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15976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7712E9-11E5-4B6D-9B67-ABDDC4F804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1662</Words>
  <Characters>44681</Characters>
  <Application>Microsoft Office Word</Application>
  <DocSecurity>0</DocSecurity>
  <Lines>372</Lines>
  <Paragraphs>92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46251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LARA TAVOSCHI</dc:creator>
  <cp:keywords/>
  <dc:description/>
  <cp:lastModifiedBy>LARA TAVOSCHI</cp:lastModifiedBy>
  <cp:revision>3</cp:revision>
  <dcterms:created xsi:type="dcterms:W3CDTF">2020-01-13T09:49:00Z</dcterms:created>
  <dcterms:modified xsi:type="dcterms:W3CDTF">2020-01-13T09:50:00Z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http://www.zotero.org/styles/elsevier-vancouver</vt:lpwstr>
  </property>
  <property fmtid="{D5CDD505-2E9C-101B-9397-08002B2CF9AE}" pid="4" name="Mendeley Unique User Id_1">
    <vt:lpwstr>be22bf85-d6b1-36e0-91c9-e1c4a2c26699</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http://www.zotero.org/styles/chicago-author-date</vt:lpwstr>
  </property>
  <property fmtid="{D5CDD505-2E9C-101B-9397-08002B2CF9AE}" pid="10" name="Mendeley Recent Style Name 2_1">
    <vt:lpwstr>Chicago Manual of Style 17th edition (author-date)</vt:lpwstr>
  </property>
  <property fmtid="{D5CDD505-2E9C-101B-9397-08002B2CF9AE}" pid="11" name="Mendeley Recent Style Id 3_1">
    <vt:lpwstr>http://www.zotero.org/styles/harvard-cite-them-right</vt:lpwstr>
  </property>
  <property fmtid="{D5CDD505-2E9C-101B-9397-08002B2CF9AE}" pid="12" name="Mendeley Recent Style Name 3_1">
    <vt:lpwstr>Cite Them Right 10th edition - Harvard</vt:lpwstr>
  </property>
  <property fmtid="{D5CDD505-2E9C-101B-9397-08002B2CF9AE}" pid="13" name="Mendeley Recent Style Id 4_1">
    <vt:lpwstr>http://www.zotero.org/styles/elsevier-vancouver</vt:lpwstr>
  </property>
  <property fmtid="{D5CDD505-2E9C-101B-9397-08002B2CF9AE}" pid="14" name="Mendeley Recent Style Name 4_1">
    <vt:lpwstr>Elsevier - Vancouver</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8th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