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0025A3" w14:textId="39AAD859" w:rsidR="009246AD" w:rsidRDefault="004D2BA9" w:rsidP="002259A7">
      <w:pPr>
        <w:pStyle w:val="BATitle"/>
        <w:jc w:val="left"/>
      </w:pPr>
      <w:bookmarkStart w:id="0" w:name="_Hlk161236385"/>
      <w:r w:rsidRPr="004D2BA9">
        <w:t>Fostering bioplastics circularity through hydrothermal treatments: degradation behavior and products</w:t>
      </w:r>
      <w:bookmarkEnd w:id="0"/>
    </w:p>
    <w:p w14:paraId="6CB0B6DA" w14:textId="6F6B729E" w:rsidR="009246AD" w:rsidRPr="00221CD5" w:rsidRDefault="00221CD5" w:rsidP="00AB34C5">
      <w:pPr>
        <w:pStyle w:val="BBAuthorName"/>
        <w:jc w:val="left"/>
        <w:rPr>
          <w:lang w:val="it-IT"/>
        </w:rPr>
      </w:pPr>
      <w:r w:rsidRPr="00221CD5">
        <w:rPr>
          <w:rFonts w:ascii="Cambria" w:hAnsi="Cambria"/>
          <w:szCs w:val="24"/>
          <w:lang w:val="it-IT"/>
        </w:rPr>
        <w:t>Filippo Marchelli</w:t>
      </w:r>
      <w:proofErr w:type="gramStart"/>
      <w:r w:rsidRPr="00221CD5">
        <w:rPr>
          <w:rFonts w:ascii="Cambria" w:hAnsi="Cambria"/>
          <w:szCs w:val="24"/>
          <w:vertAlign w:val="superscript"/>
          <w:lang w:val="it-IT"/>
        </w:rPr>
        <w:t>1,</w:t>
      </w:r>
      <w:r w:rsidRPr="00221CD5">
        <w:rPr>
          <w:rFonts w:ascii="Cambria" w:hAnsi="Cambria"/>
          <w:szCs w:val="24"/>
          <w:lang w:val="it-IT"/>
        </w:rPr>
        <w:t>*</w:t>
      </w:r>
      <w:proofErr w:type="gramEnd"/>
      <w:r w:rsidRPr="00221CD5">
        <w:rPr>
          <w:rFonts w:ascii="Cambria" w:hAnsi="Cambria"/>
          <w:szCs w:val="24"/>
          <w:vertAlign w:val="superscript"/>
          <w:lang w:val="it-IT"/>
        </w:rPr>
        <w:t>,</w:t>
      </w:r>
      <w:r w:rsidRPr="00221CD5">
        <w:rPr>
          <w:vertAlign w:val="superscript"/>
          <w:lang w:val="it-IT"/>
        </w:rPr>
        <w:t>‡</w:t>
      </w:r>
      <w:r w:rsidRPr="00221CD5">
        <w:rPr>
          <w:rFonts w:ascii="Cambria" w:hAnsi="Cambria"/>
          <w:szCs w:val="24"/>
          <w:lang w:val="it-IT"/>
        </w:rPr>
        <w:t>, Marco Mattonai</w:t>
      </w:r>
      <w:r w:rsidRPr="00221CD5">
        <w:rPr>
          <w:rFonts w:ascii="Cambria" w:hAnsi="Cambria"/>
          <w:szCs w:val="24"/>
          <w:vertAlign w:val="superscript"/>
          <w:lang w:val="it-IT"/>
        </w:rPr>
        <w:t>2,</w:t>
      </w:r>
      <w:r w:rsidR="00F97274">
        <w:rPr>
          <w:rFonts w:ascii="Cambria" w:hAnsi="Cambria"/>
          <w:szCs w:val="24"/>
          <w:vertAlign w:val="superscript"/>
          <w:lang w:val="it-IT"/>
        </w:rPr>
        <w:t>3,</w:t>
      </w:r>
      <w:r w:rsidRPr="00221CD5">
        <w:rPr>
          <w:rFonts w:ascii="Cambria" w:hAnsi="Cambria"/>
          <w:szCs w:val="24"/>
          <w:lang w:val="it-IT"/>
        </w:rPr>
        <w:t>*</w:t>
      </w:r>
      <w:r w:rsidRPr="00221CD5">
        <w:rPr>
          <w:rFonts w:ascii="Cambria" w:hAnsi="Cambria"/>
          <w:szCs w:val="24"/>
          <w:vertAlign w:val="superscript"/>
          <w:lang w:val="it-IT"/>
        </w:rPr>
        <w:t>,</w:t>
      </w:r>
      <w:r w:rsidRPr="00221CD5">
        <w:rPr>
          <w:vertAlign w:val="superscript"/>
          <w:lang w:val="it-IT"/>
        </w:rPr>
        <w:t>‡</w:t>
      </w:r>
      <w:r w:rsidRPr="00221CD5">
        <w:rPr>
          <w:rFonts w:ascii="Cambria" w:hAnsi="Cambria"/>
          <w:szCs w:val="24"/>
          <w:lang w:val="it-IT"/>
        </w:rPr>
        <w:t>, Roberta Ferrentino</w:t>
      </w:r>
      <w:r w:rsidRPr="00221CD5">
        <w:rPr>
          <w:rFonts w:ascii="Cambria" w:hAnsi="Cambria"/>
          <w:szCs w:val="24"/>
          <w:vertAlign w:val="superscript"/>
          <w:lang w:val="it-IT"/>
        </w:rPr>
        <w:t>1</w:t>
      </w:r>
      <w:r w:rsidRPr="00221CD5">
        <w:rPr>
          <w:rFonts w:ascii="Cambria" w:hAnsi="Cambria"/>
          <w:szCs w:val="24"/>
          <w:lang w:val="it-IT"/>
        </w:rPr>
        <w:t>, Jacopo La Nasa</w:t>
      </w:r>
      <w:r w:rsidRPr="00221CD5">
        <w:rPr>
          <w:rFonts w:ascii="Cambria" w:hAnsi="Cambria"/>
          <w:szCs w:val="24"/>
          <w:vertAlign w:val="superscript"/>
          <w:lang w:val="it-IT"/>
        </w:rPr>
        <w:t>2</w:t>
      </w:r>
      <w:r w:rsidRPr="00221CD5">
        <w:rPr>
          <w:rFonts w:ascii="Cambria" w:hAnsi="Cambria"/>
          <w:szCs w:val="24"/>
          <w:lang w:val="it-IT"/>
        </w:rPr>
        <w:t>, Natalia Pecorelli</w:t>
      </w:r>
      <w:r w:rsidRPr="00221CD5">
        <w:rPr>
          <w:rFonts w:ascii="Cambria" w:hAnsi="Cambria"/>
          <w:szCs w:val="24"/>
          <w:vertAlign w:val="superscript"/>
          <w:lang w:val="it-IT"/>
        </w:rPr>
        <w:t>2</w:t>
      </w:r>
      <w:r w:rsidRPr="00221CD5">
        <w:rPr>
          <w:rFonts w:ascii="Cambria" w:hAnsi="Cambria"/>
          <w:szCs w:val="24"/>
          <w:lang w:val="it-IT"/>
        </w:rPr>
        <w:t>, Francesca Modugno</w:t>
      </w:r>
      <w:r w:rsidRPr="00221CD5">
        <w:rPr>
          <w:rFonts w:ascii="Cambria" w:hAnsi="Cambria"/>
          <w:szCs w:val="24"/>
          <w:vertAlign w:val="superscript"/>
          <w:lang w:val="it-IT"/>
        </w:rPr>
        <w:t>2</w:t>
      </w:r>
      <w:r w:rsidRPr="00221CD5">
        <w:rPr>
          <w:rFonts w:ascii="Cambria" w:hAnsi="Cambria"/>
          <w:szCs w:val="24"/>
          <w:lang w:val="it-IT"/>
        </w:rPr>
        <w:t>, Gianni Andreottola</w:t>
      </w:r>
      <w:r w:rsidRPr="00221CD5">
        <w:rPr>
          <w:rFonts w:ascii="Cambria" w:hAnsi="Cambria"/>
          <w:szCs w:val="24"/>
          <w:vertAlign w:val="superscript"/>
          <w:lang w:val="it-IT"/>
        </w:rPr>
        <w:t>1</w:t>
      </w:r>
      <w:r w:rsidRPr="00221CD5">
        <w:rPr>
          <w:rFonts w:ascii="Cambria" w:hAnsi="Cambria"/>
          <w:szCs w:val="24"/>
          <w:lang w:val="it-IT"/>
        </w:rPr>
        <w:t>, Erika Ribechini</w:t>
      </w:r>
      <w:r w:rsidRPr="00221CD5">
        <w:rPr>
          <w:rFonts w:ascii="Cambria" w:hAnsi="Cambria"/>
          <w:szCs w:val="24"/>
          <w:vertAlign w:val="superscript"/>
          <w:lang w:val="it-IT"/>
        </w:rPr>
        <w:t>2</w:t>
      </w:r>
      <w:r w:rsidRPr="00221CD5">
        <w:rPr>
          <w:rFonts w:ascii="Cambria" w:hAnsi="Cambria"/>
          <w:szCs w:val="24"/>
          <w:lang w:val="it-IT"/>
        </w:rPr>
        <w:t>, Luca Fiori</w:t>
      </w:r>
      <w:r w:rsidRPr="00221CD5">
        <w:rPr>
          <w:rFonts w:ascii="Cambria" w:hAnsi="Cambria"/>
          <w:szCs w:val="24"/>
          <w:vertAlign w:val="superscript"/>
          <w:lang w:val="it-IT"/>
        </w:rPr>
        <w:t>1</w:t>
      </w:r>
      <w:r w:rsidR="00B70E0B">
        <w:rPr>
          <w:rFonts w:ascii="Cambria" w:hAnsi="Cambria"/>
          <w:szCs w:val="24"/>
          <w:vertAlign w:val="superscript"/>
          <w:lang w:val="it-IT"/>
        </w:rPr>
        <w:t>,</w:t>
      </w:r>
      <w:r w:rsidR="00F0156F">
        <w:rPr>
          <w:rFonts w:ascii="Cambria" w:hAnsi="Cambria"/>
          <w:szCs w:val="24"/>
          <w:vertAlign w:val="superscript"/>
          <w:lang w:val="it-IT"/>
        </w:rPr>
        <w:t>4</w:t>
      </w:r>
      <w:r w:rsidR="00B70E0B" w:rsidRPr="00B70E0B">
        <w:rPr>
          <w:rFonts w:ascii="Cambria" w:hAnsi="Cambria"/>
          <w:szCs w:val="24"/>
          <w:lang w:val="it-IT"/>
        </w:rPr>
        <w:t>*</w:t>
      </w:r>
    </w:p>
    <w:p w14:paraId="4C213746" w14:textId="2F2D7053" w:rsidR="00221CD5" w:rsidRDefault="00221CD5" w:rsidP="00221CD5">
      <w:pPr>
        <w:pStyle w:val="BCAuthorAddress"/>
        <w:jc w:val="left"/>
      </w:pPr>
      <w:r w:rsidRPr="00221CD5">
        <w:rPr>
          <w:vertAlign w:val="superscript"/>
        </w:rPr>
        <w:t>1</w:t>
      </w:r>
      <w:r>
        <w:t xml:space="preserve"> Department of Civil, Environmental and Mechanical Engineering, University of Trento, </w:t>
      </w:r>
      <w:r w:rsidR="00564ED3">
        <w:t>V</w:t>
      </w:r>
      <w:r>
        <w:t>ia Mesiano 77, 38123 Trento (Italy)</w:t>
      </w:r>
    </w:p>
    <w:p w14:paraId="788E0732" w14:textId="0122089A" w:rsidR="00F97274" w:rsidRDefault="00221CD5" w:rsidP="00F97274">
      <w:pPr>
        <w:pStyle w:val="BCAuthorAddress"/>
        <w:jc w:val="left"/>
      </w:pPr>
      <w:r w:rsidRPr="00221CD5">
        <w:rPr>
          <w:vertAlign w:val="superscript"/>
        </w:rPr>
        <w:t>2</w:t>
      </w:r>
      <w:r>
        <w:t xml:space="preserve"> Department of Chemistry and Industrial Chemistry, University of Pisa, </w:t>
      </w:r>
      <w:r w:rsidR="00564ED3">
        <w:t>V</w:t>
      </w:r>
      <w:r>
        <w:t>ia G. Moruzzi 13, 56124 Pisa (Italy)</w:t>
      </w:r>
    </w:p>
    <w:p w14:paraId="31525DF5" w14:textId="6E45D7B9" w:rsidR="00221CD5" w:rsidRDefault="00F97274" w:rsidP="000F5503">
      <w:pPr>
        <w:pStyle w:val="BIEmailAddress"/>
      </w:pPr>
      <w:r w:rsidRPr="00762D54">
        <w:rPr>
          <w:vertAlign w:val="superscript"/>
        </w:rPr>
        <w:t>3</w:t>
      </w:r>
      <w:r>
        <w:t xml:space="preserve"> </w:t>
      </w:r>
      <w:r w:rsidRPr="00762D54">
        <w:t xml:space="preserve">Interuniversity Consortium of Materials Science and Technology, </w:t>
      </w:r>
      <w:r w:rsidR="00AB72A3" w:rsidRPr="00013115">
        <w:t>Via Giuseppe Giusti 9, 50121 Firenze</w:t>
      </w:r>
      <w:r w:rsidR="00AB72A3">
        <w:t xml:space="preserve"> (</w:t>
      </w:r>
      <w:r w:rsidR="00AB72A3" w:rsidRPr="00762D54">
        <w:t>Italy</w:t>
      </w:r>
      <w:r w:rsidR="00AB72A3">
        <w:t>)</w:t>
      </w:r>
    </w:p>
    <w:p w14:paraId="5010A99B" w14:textId="21811857" w:rsidR="00F0156F" w:rsidRPr="00A74F87" w:rsidRDefault="00F0156F" w:rsidP="002B15F9">
      <w:pPr>
        <w:pStyle w:val="AIReceivedDate"/>
      </w:pPr>
      <w:r w:rsidRPr="002B15F9">
        <w:rPr>
          <w:b w:val="0"/>
          <w:vertAlign w:val="superscript"/>
        </w:rPr>
        <w:t xml:space="preserve">4 </w:t>
      </w:r>
      <w:r w:rsidR="00A74F87" w:rsidRPr="002B15F9">
        <w:rPr>
          <w:b w:val="0"/>
        </w:rPr>
        <w:t>Center Agriculture Food Environment (C3A), University of Trento,</w:t>
      </w:r>
      <w:r w:rsidR="00564ED3" w:rsidRPr="00564ED3">
        <w:t xml:space="preserve"> </w:t>
      </w:r>
      <w:r w:rsidR="00564ED3" w:rsidRPr="00564ED3">
        <w:rPr>
          <w:b w:val="0"/>
        </w:rPr>
        <w:t>Via Edmund Mach 1</w:t>
      </w:r>
      <w:r w:rsidR="00564ED3">
        <w:rPr>
          <w:b w:val="0"/>
        </w:rPr>
        <w:t xml:space="preserve">, </w:t>
      </w:r>
      <w:r w:rsidR="00564ED3" w:rsidRPr="00564ED3">
        <w:rPr>
          <w:b w:val="0"/>
        </w:rPr>
        <w:t>38098</w:t>
      </w:r>
      <w:r w:rsidR="00A74F87" w:rsidRPr="002B15F9">
        <w:rPr>
          <w:b w:val="0"/>
        </w:rPr>
        <w:t xml:space="preserve"> San Michele </w:t>
      </w:r>
      <w:proofErr w:type="spellStart"/>
      <w:r w:rsidR="00A74F87" w:rsidRPr="002B15F9">
        <w:rPr>
          <w:b w:val="0"/>
        </w:rPr>
        <w:t>all’Adige</w:t>
      </w:r>
      <w:proofErr w:type="spellEnd"/>
      <w:r w:rsidR="00A74F87" w:rsidRPr="002B15F9">
        <w:rPr>
          <w:b w:val="0"/>
        </w:rPr>
        <w:t xml:space="preserve"> </w:t>
      </w:r>
      <w:r w:rsidR="00A74F87">
        <w:rPr>
          <w:b w:val="0"/>
        </w:rPr>
        <w:t>(</w:t>
      </w:r>
      <w:r w:rsidR="00A74F87" w:rsidRPr="002B15F9">
        <w:rPr>
          <w:b w:val="0"/>
        </w:rPr>
        <w:t>Italy</w:t>
      </w:r>
      <w:r w:rsidR="00A74F87">
        <w:rPr>
          <w:b w:val="0"/>
        </w:rPr>
        <w:t>)</w:t>
      </w:r>
    </w:p>
    <w:p w14:paraId="5882C7C4" w14:textId="2DBE530D" w:rsidR="00683131" w:rsidRPr="00A764EF" w:rsidRDefault="00AB34C5" w:rsidP="00683131">
      <w:pPr>
        <w:pStyle w:val="FACorrespondingAuthorFootnote"/>
        <w:spacing w:after="0"/>
        <w:jc w:val="left"/>
      </w:pPr>
      <w:r>
        <w:t>KEYWORDS</w:t>
      </w:r>
      <w:r w:rsidR="00221CD5">
        <w:t>. A</w:t>
      </w:r>
      <w:r w:rsidR="00221CD5" w:rsidRPr="00221CD5">
        <w:t>nalytical pyrolysis;</w:t>
      </w:r>
      <w:r w:rsidR="00AA09F0">
        <w:t xml:space="preserve"> circular bioeconomy;</w:t>
      </w:r>
      <w:r w:rsidR="00221CD5" w:rsidRPr="00221CD5">
        <w:t xml:space="preserve"> hydrothermal carbonization; mass spectrometry</w:t>
      </w:r>
      <w:r w:rsidR="00221CD5">
        <w:t>;</w:t>
      </w:r>
      <w:r w:rsidR="00221CD5" w:rsidRPr="00221CD5">
        <w:t xml:space="preserve"> </w:t>
      </w:r>
      <w:r w:rsidR="00AA09F0">
        <w:t xml:space="preserve">platform chemicals; </w:t>
      </w:r>
      <w:r w:rsidR="00221CD5" w:rsidRPr="00221CD5">
        <w:t>polybutylene succinate; polylactic acid; thermal hydrolysis</w:t>
      </w:r>
      <w:r w:rsidR="00221CD5">
        <w:t>.</w:t>
      </w:r>
    </w:p>
    <w:p w14:paraId="7A3005A7" w14:textId="77777777" w:rsidR="00767657" w:rsidRDefault="00767657">
      <w:pPr>
        <w:spacing w:after="0"/>
        <w:jc w:val="left"/>
      </w:pPr>
      <w:r>
        <w:br w:type="page"/>
      </w:r>
    </w:p>
    <w:p w14:paraId="3ADFDC6A" w14:textId="6F2BAB7E" w:rsidR="00767657" w:rsidRPr="00EB0316" w:rsidRDefault="00AB34C5" w:rsidP="00EB0316">
      <w:pPr>
        <w:pStyle w:val="BDAbstract"/>
      </w:pPr>
      <w:r>
        <w:lastRenderedPageBreak/>
        <w:t xml:space="preserve">ABSTRACT. </w:t>
      </w:r>
      <w:r w:rsidR="00221CD5" w:rsidRPr="00221CD5">
        <w:t xml:space="preserve">Bioplastics are produced in growing amounts due to their environmental benefits, but their disposal routes remain ambiguous. </w:t>
      </w:r>
      <w:r w:rsidR="00977BCA">
        <w:t>A hydrothermal treatment (</w:t>
      </w:r>
      <w:r w:rsidR="00977BCA" w:rsidRPr="00221CD5">
        <w:t>HT</w:t>
      </w:r>
      <w:r w:rsidR="00977BCA">
        <w:t>)</w:t>
      </w:r>
      <w:r w:rsidR="00977BCA" w:rsidRPr="00221CD5">
        <w:t xml:space="preserve"> may be a sustainable </w:t>
      </w:r>
      <w:r w:rsidR="00977BCA">
        <w:t>process</w:t>
      </w:r>
      <w:r w:rsidR="00977BCA" w:rsidRPr="00221CD5">
        <w:t xml:space="preserve"> to improve the fate of waste </w:t>
      </w:r>
      <w:r w:rsidR="00A37EEB">
        <w:t>bioplastics</w:t>
      </w:r>
      <w:r w:rsidR="00977BCA" w:rsidRPr="00221CD5">
        <w:t xml:space="preserve">, but nearly no information is available </w:t>
      </w:r>
      <w:r w:rsidR="00F97274">
        <w:t>on how they respond to it</w:t>
      </w:r>
      <w:r w:rsidR="00977BCA" w:rsidRPr="00221CD5">
        <w:t>.</w:t>
      </w:r>
      <w:r w:rsidR="00977BCA">
        <w:t xml:space="preserve"> </w:t>
      </w:r>
      <w:r w:rsidR="00221CD5" w:rsidRPr="00221CD5">
        <w:t xml:space="preserve">In this work, HT of biodegradable </w:t>
      </w:r>
      <w:r w:rsidR="00A37EEB">
        <w:t>bioplastics</w:t>
      </w:r>
      <w:r w:rsidR="00221CD5" w:rsidRPr="00221CD5">
        <w:t xml:space="preserve"> was </w:t>
      </w:r>
      <w:proofErr w:type="gramStart"/>
      <w:r w:rsidR="00221CD5" w:rsidRPr="00221CD5">
        <w:t>performed</w:t>
      </w:r>
      <w:proofErr w:type="gramEnd"/>
      <w:r w:rsidR="00221CD5" w:rsidRPr="00221CD5">
        <w:t xml:space="preserve"> and the resulting solid and liquid products were characterized by elemental analysis, analytical pyrolysis</w:t>
      </w:r>
      <w:r w:rsidR="006A430F">
        <w:t>-</w:t>
      </w:r>
      <w:r w:rsidR="00221CD5" w:rsidRPr="00221CD5">
        <w:t>based techniques, ion chromatography and gas chromatography coupled with mass spectrometry. We selected tableware based on polylactic acid (PLA), cellulose, and Mater-Bi®, and performed HT at 160</w:t>
      </w:r>
      <w:r w:rsidR="00004907">
        <w:t>-</w:t>
      </w:r>
      <w:r w:rsidR="00221CD5" w:rsidRPr="00221CD5">
        <w:t>200 °C. Mater-Bi® was identified as a mixture of PLA and polybutylene succinate (PBS). Higher treatment temperatures enhanced the solubilization, which was very marked for PLA and Mater-</w:t>
      </w:r>
      <w:r w:rsidR="0043447A">
        <w:t>B</w:t>
      </w:r>
      <w:r w:rsidR="0043447A" w:rsidRPr="00221CD5">
        <w:t>i</w:t>
      </w:r>
      <w:r w:rsidR="00221CD5" w:rsidRPr="00221CD5">
        <w:t xml:space="preserve">® and minor for cellulose. Characterization of the solid residues revealed that PLA and Mater-Bi® were quantitatively degraded at 180 °C and above, while cellulose could never be fully degraded. </w:t>
      </w:r>
      <w:r w:rsidR="0043447A">
        <w:t>The a</w:t>
      </w:r>
      <w:r w:rsidR="00221CD5" w:rsidRPr="00221CD5">
        <w:t xml:space="preserve">nalysis of the aqueous phases from the HT of PLA and Mater-Bi® revealed the presence of an array of oligomers of PLA and PBS at low temperatures, and of the corresponding monomers </w:t>
      </w:r>
      <w:r w:rsidR="00201FB9">
        <w:t xml:space="preserve">(lactic acid and succinic acid) </w:t>
      </w:r>
      <w:r w:rsidR="00221CD5" w:rsidRPr="00221CD5">
        <w:t>at high temperatures</w:t>
      </w:r>
      <w:r w:rsidR="006A430F">
        <w:t xml:space="preserve">: their recovery could represent a way to give new life to </w:t>
      </w:r>
      <w:r w:rsidR="00722D99">
        <w:t xml:space="preserve">waste </w:t>
      </w:r>
      <w:r w:rsidR="00A37EEB">
        <w:t>bioplastics</w:t>
      </w:r>
      <w:r w:rsidR="006A430F">
        <w:t>.</w:t>
      </w:r>
      <w:r w:rsidR="00767657">
        <w:rPr>
          <w:b/>
          <w:bCs/>
        </w:rPr>
        <w:br w:type="page"/>
      </w:r>
    </w:p>
    <w:p w14:paraId="13C8D880" w14:textId="1F55D52D" w:rsidR="00221CD5" w:rsidRPr="00480CAD" w:rsidRDefault="00221CD5" w:rsidP="00480CAD">
      <w:pPr>
        <w:pStyle w:val="TAMainText"/>
        <w:rPr>
          <w:b/>
          <w:bCs/>
        </w:rPr>
      </w:pPr>
      <w:r w:rsidRPr="00480CAD">
        <w:rPr>
          <w:b/>
          <w:bCs/>
        </w:rPr>
        <w:lastRenderedPageBreak/>
        <w:t>1. INTRODUCTION</w:t>
      </w:r>
    </w:p>
    <w:p w14:paraId="1B265BB4" w14:textId="3B771E36" w:rsidR="00221CD5" w:rsidRPr="00221CD5" w:rsidRDefault="00221CD5" w:rsidP="00480CAD">
      <w:pPr>
        <w:pStyle w:val="TAMainText"/>
      </w:pPr>
      <w:r w:rsidRPr="00221CD5">
        <w:t>Plastic materials have catalyzed the development of our societies in the last century and are ubiquitous in our lives. The increasing awareness over their unsustainable origin and often impactful disposal has fostered attention towards greener alternatives, such as the so-called “bioplastics”. In the most common acceptation, the word “bioplastics” identifies polymeric materials with mechanical properties comparable to those of traditional plastics but obtained from renewable sources (“bio-based”) and biodegradable. Favored by their environmental benefits and sometimes by policies, bioplastics production has experienced a significant increase in recent years, expected to continue in the near future</w:t>
      </w:r>
      <w:r w:rsidRPr="00221CD5">
        <w:fldChar w:fldCharType="begin" w:fldLock="1"/>
      </w:r>
      <w:r w:rsidR="001D0EF2">
        <w:instrText>ADDIN CSL_CITATION {"citationItems":[{"id":"ITEM-1","itemData":{"URL":"https://www.european-bioplastics.org/market/","accessed":{"date-parts":[["2023","3","22"]]},"id":"ITEM-1","issued":{"date-parts":[["0"]]},"title":"Market – European Bioplastics e.V.","type":"webpage"},"uris":["http://www.mendeley.com/documents/?uuid=de019dfe-792d-375d-95cf-3cf4fdd27ed3"]}],"mendeley":{"formattedCitation":"&lt;sup&gt;1&lt;/sup&gt;","plainTextFormattedCitation":"1","previouslyFormattedCitation":"&lt;sup&gt;1&lt;/sup&gt;"},"properties":{"noteIndex":0},"schema":"https://github.com/citation-style-language/schema/raw/master/csl-citation.json"}</w:instrText>
      </w:r>
      <w:r w:rsidRPr="00221CD5">
        <w:fldChar w:fldCharType="separate"/>
      </w:r>
      <w:r w:rsidR="00C046F0" w:rsidRPr="00C046F0">
        <w:rPr>
          <w:noProof/>
          <w:vertAlign w:val="superscript"/>
        </w:rPr>
        <w:t>1</w:t>
      </w:r>
      <w:r w:rsidRPr="00221CD5">
        <w:fldChar w:fldCharType="end"/>
      </w:r>
      <w:r w:rsidRPr="00221CD5">
        <w:t>, though not without controversies</w:t>
      </w:r>
      <w:r w:rsidRPr="00221CD5">
        <w:fldChar w:fldCharType="begin" w:fldLock="1"/>
      </w:r>
      <w:r w:rsidR="001D0EF2">
        <w:instrText>ADDIN CSL_CITATION {"citationItems":[{"id":"ITEM-1","itemData":{"DOI":"10.1016/J.WASMAN.2022.12.022","ISSN":"0956-053X","PMID":"36577275","abstract":"This opinion paper offers a scientific view on the current debate of the place of biodegradable plastics as part of the solution to deal with the growing plastic pollution in the world's soil, aquatic, and marine compartments. Based on the current scientific literature, we focus on the current limits to prove plastic biodegradability and to assess the toxicity of commercially used biobased and biodegradable plastics in natural environments. We also discuss the relevance of biodegradable plastics for selected applications with respect to their use and end of life. In particular, we underlined that there is no universal biodegradability of plastics in any ecosystem, that considering the environment as a waste treatment system is not acceptable, and that the use of compostable plastics requires adaptation of existing organic waste collection and treatment channels.","author":[{"dropping-particle":"","family":"Paul-Pont","given":"Ika","non-dropping-particle":"","parse-names":false,"suffix":""},{"dropping-particle":"","family":"Ghiglione","given":"Jean François","non-dropping-particle":"","parse-names":false,"suffix":""},{"dropping-particle":"","family":"Gastaldi","given":"Emmanuelle","non-dropping-particle":"","parse-names":false,"suffix":""},{"dropping-particle":"","family":"Halle","given":"Alexandra","non-dropping-particle":"Ter","parse-names":false,"suffix":""},{"dropping-particle":"","family":"Huvet","given":"Arnaud","non-dropping-particle":"","parse-names":false,"suffix":""},{"dropping-particle":"","family":"Bruzaud","given":"Stéphane","non-dropping-particle":"","parse-names":false,"suffix":""},{"dropping-particle":"","family":"Lagarde","given":"Fabienne","non-dropping-particle":"","parse-names":false,"suffix":""},{"dropping-particle":"","family":"Galgani","given":"François","non-dropping-particle":"","parse-names":false,"suffix":""},{"dropping-particle":"","family":"Duflos","given":"Guillaume","non-dropping-particle":"","parse-names":false,"suffix":""},{"dropping-particle":"","family":"George","given":"Matthieu","non-dropping-particle":"","parse-names":false,"suffix":""},{"dropping-particle":"","family":"Fabre","given":"Pascale","non-dropping-particle":"","parse-names":false,"suffix":""}],"container-title":"Waste Management","id":"ITEM-1","issued":{"date-parts":[["2023","2","15"]]},"page":"242-248","publisher":"Pergamon","title":"Discussion about suitable applications for biodegradable plastics regarding their sources, uses and end of life","type":"article-journal","volume":"157"},"uris":["http://www.mendeley.com/documents/?uuid=3bca4858-5246-3926-94d5-fc0ebfe63044"]}],"mendeley":{"formattedCitation":"&lt;sup&gt;2&lt;/sup&gt;","plainTextFormattedCitation":"2","previouslyFormattedCitation":"&lt;sup&gt;2&lt;/sup&gt;"},"properties":{"noteIndex":0},"schema":"https://github.com/citation-style-language/schema/raw/master/csl-citation.json"}</w:instrText>
      </w:r>
      <w:r w:rsidRPr="00221CD5">
        <w:fldChar w:fldCharType="separate"/>
      </w:r>
      <w:r w:rsidR="00C046F0" w:rsidRPr="00C046F0">
        <w:rPr>
          <w:noProof/>
          <w:vertAlign w:val="superscript"/>
        </w:rPr>
        <w:t>2</w:t>
      </w:r>
      <w:r w:rsidRPr="00221CD5">
        <w:fldChar w:fldCharType="end"/>
      </w:r>
      <w:r w:rsidRPr="00221CD5">
        <w:t xml:space="preserve">. Bioplastics are especially employed for short-life applications such as food packaging and single-use items, although in the EU </w:t>
      </w:r>
      <w:r w:rsidR="00A37EEB">
        <w:t>various</w:t>
      </w:r>
      <w:r w:rsidRPr="00221CD5">
        <w:t xml:space="preserve"> categories of single-use plastic items have recently been banned, regardless of their biodegradability</w:t>
      </w:r>
      <w:r w:rsidRPr="00221CD5">
        <w:fldChar w:fldCharType="begin" w:fldLock="1"/>
      </w:r>
      <w:r w:rsidR="001D0EF2">
        <w:instrText>ADDIN CSL_CITATION {"citationItems":[{"id":"ITEM-1","itemData":{"DOI":"10.1016/J.WASMAN.2023.03.042","ISSN":"0956-053X","abstract":"To address environmental pollution by plastic litter, the European Union adopted EU Directive 2019/904, the so called “Single-Use Plastics Directive” (SUPD), which bans several single-use plastic products and addresses additional items with measures such as extended producer responsibility and obligatory requirements for product redesign. This study assessed the potential of the SUPD to reduce litter pollution in the environment with three scenarios. The “best case” scenario assumed that all measures of the SUPD completely prevent targeted items from getting into the environment. Another scenario assumed that no measures besides bans were effective. An intermediate scenario assumed partial effectiveness of measures. Data of almost 5,000 sampling events from citizen science protocols (Plastic Pirates, International Coastal Cleanup, Marine Litter Watch) and the OSPAR protocol were used to analyse litter at riversides and coastlines in Germany and the European Union. 44 to 68% of litter items in citizen science protocols consisted of single-use plastics (cigarette butts were the most prominent items). At coastlines sampled by the OSPAR protocol, fishing gear and undefined plastics prevailed. The scenario analysis revealed that substantial litter reductions could be achieved in the “best case” scenario (upwards of 40%), while the intermediate scenario resulted in litter reductions of 13 to 25%. The marginal effect of the “only bans” scenario achieved a reduction of 2–6% in Germany and the European Union, respectively. Thus, depending on implementation and enforcement, the current SUPD can be an important first step, yet further legislative actions are needed to effectively prevent plastic waste pollution.","author":[{"dropping-particle":"","family":"Kiessling","given":"Tim","non-dropping-particle":"","parse-names":false,"suffix":""},{"dropping-particle":"","family":"Hinzmann","given":"Mandy","non-dropping-particle":"","parse-names":false,"suffix":""},{"dropping-particle":"","family":"Mederake","given":"Linda","non-dropping-particle":"","parse-names":false,"suffix":""},{"dropping-particle":"","family":"Dittmann","given":"Sinja","non-dropping-particle":"","parse-names":false,"suffix":""},{"dropping-particle":"","family":"Brennecke","given":"Dennis","non-dropping-particle":"","parse-names":false,"suffix":""},{"dropping-particle":"","family":"Böhm-Beck","given":"Marianne","non-dropping-particle":"","parse-names":false,"suffix":""},{"dropping-particle":"","family":"Knickmeier","given":"Katrin","non-dropping-particle":"","parse-names":false,"suffix":""},{"dropping-particle":"","family":"Thiel","given":"Martin","non-dropping-particle":"","parse-names":false,"suffix":""}],"container-title":"Waste Management","id":"ITEM-1","issued":{"date-parts":[["2023","6","1"]]},"page":"106-118","publisher":"Pergamon","title":"What potential does the EU Single-Use Plastics Directive have for reducing plastic pollution at coastlines and riversides? An evaluation based on citizen science data","type":"article-journal","volume":"164"},"uris":["http://www.mendeley.com/documents/?uuid=86a6510e-b0d4-3f60-819a-91d95e77aa80"]}],"mendeley":{"formattedCitation":"&lt;sup&gt;3&lt;/sup&gt;","plainTextFormattedCitation":"3","previouslyFormattedCitation":"&lt;sup&gt;3&lt;/sup&gt;"},"properties":{"noteIndex":0},"schema":"https://github.com/citation-style-language/schema/raw/master/csl-citation.json"}</w:instrText>
      </w:r>
      <w:r w:rsidRPr="00221CD5">
        <w:fldChar w:fldCharType="separate"/>
      </w:r>
      <w:r w:rsidR="00C046F0" w:rsidRPr="00C046F0">
        <w:rPr>
          <w:noProof/>
          <w:vertAlign w:val="superscript"/>
        </w:rPr>
        <w:t>3</w:t>
      </w:r>
      <w:r w:rsidRPr="00221CD5">
        <w:fldChar w:fldCharType="end"/>
      </w:r>
      <w:r w:rsidRPr="00221CD5">
        <w:t>.</w:t>
      </w:r>
    </w:p>
    <w:p w14:paraId="2998BA85" w14:textId="72A5C0ED" w:rsidR="00221CD5" w:rsidRPr="00221CD5" w:rsidRDefault="00221CD5" w:rsidP="00480CAD">
      <w:pPr>
        <w:pStyle w:val="TAMainText"/>
      </w:pPr>
      <w:r w:rsidRPr="00221CD5">
        <w:t xml:space="preserve">As more bioplastics are produced, more bioplastic waste will have to be disposed of. Due to their biodegradability, policies usually advise collecting and disposing of bioplastic waste together with the organic fraction of municipal solid waste (OFMSW). The OFMSW treatment plants that employ the best available techniques (BAT) </w:t>
      </w:r>
      <w:r w:rsidR="00A37EEB">
        <w:t>combine</w:t>
      </w:r>
      <w:r w:rsidRPr="00221CD5">
        <w:t xml:space="preserve"> anaerobic digestion and composting, achieving energy and material valorization with high efficiency and relatively low residence times, down to a minimum of 1.5 months. The regulations on the biodegradability of bioplastics (such as ISO 14855), instead, are based on composting tests </w:t>
      </w:r>
      <w:r w:rsidR="00A37EEB">
        <w:t xml:space="preserve">lasting </w:t>
      </w:r>
      <w:r w:rsidRPr="00221CD5">
        <w:t xml:space="preserve">6 months. </w:t>
      </w:r>
      <w:r w:rsidR="00A37EEB">
        <w:t>Consequently</w:t>
      </w:r>
      <w:r w:rsidRPr="00221CD5">
        <w:t>, bioplastics often do not degrade as rapidly as required in OFMSW treatment plants</w:t>
      </w:r>
      <w:r w:rsidRPr="00221CD5">
        <w:fldChar w:fldCharType="begin" w:fldLock="1"/>
      </w:r>
      <w:r w:rsidR="001D0EF2">
        <w:instrText>ADDIN CSL_CITATION {"citationItems":[{"id":"ITEM-1","itemData":{"DOI":"10.1016/J.ETI.2021.101393","ISSN":"2352-1864","abstract":"The “European Strategy for plastics” approved by the European Union aims at drastically reducing the use of plastic materials derived from fossil resources, especially single use plastic (SUP). As a consequence, the adoption of biodegradable plastics is forced by different national regulations, especially in France and Italy which banned the usage of single use plastics. Being classified as biodegradable and compostable, the major part of these materials is often collected with the Organic Fraction of Municipal Solid Wastes (OFMSW), basically due by food waste, and sent to biological treatment plants, namely composting and anaerobic digestion for bioenergy recovery or their combination. This study tested the specific methane production and the relative kinetics of the most common single use biodegradable items (carrier bag, cutlery and plates), available on the market. It was demonstrated that sugar cane cellulosic pulp materials have good methane production of 390 LCH4/kgTVS and a kinetic which is consistent with the anaerobic digestion's residence time typically applied for OFMSW. On the contrary, starch-based bioplastic and PLA materials remained almost undegraded after 250 days and showed low specific methane production yields in the range 100–200​ LCH4/kgTVS. The adoption of acidic and basic pretreatments improved the anaerobic digestion performances of starch-based bioplastic and PLA samples. Materials made of poly-hydroxy-alkanoates (PHA) showed higher methane production rates, up to 402 LCH4/kgTVS in short residence times (around 10 days), which make them adequate to be treated together with food waste in anaerobic digestion plants.","author":[{"dropping-particle":"","family":"Battista","given":"Federico","non-dropping-particle":"","parse-names":false,"suffix":""},{"dropping-particle":"","family":"Frison","given":"Nicola","non-dropping-particle":"","parse-names":false,"suffix":""},{"dropping-particle":"","family":"Bolzonella","given":"David","non-dropping-particle":"","parse-names":false,"suffix":""}],"container-title":"Environmental Technology &amp; Innovation","id":"ITEM-1","issued":{"date-parts":[["2021","5","1"]]},"page":"101393","publisher":"Elsevier","title":"Can bioplastics be treated in conventional anaerobic digesters for food waste treatment?","type":"article-journal","volume":"22"},"uris":["http://www.mendeley.com/documents/?uuid=cab793eb-d09a-3cb1-b721-cc46e11c2055"]},{"id":"ITEM-2","itemData":{"DOI":"10.1016/J.JECE.2023.109424","ISSN":"2213-3437","abstract":"Bioplastics are currently and increasingly used as substitutes of conventional plastics; furthermore, they are mainly utilised in order to cope with problems related to plastic-based pollution. Certified international standard methods identify the criteria a bioplastic must comply with in order to be labelled as compostable and/or biodegradable. In addition, this is particularly the case when operating under the conditions that are expected in full-scale waste facilities. However, biodegradation in natural environments occurs under a manifold of different conditions, such that the aim of research studies is to estimate the extent to which a bioplastic can biodegrade under simulated natural conditions. For this reason, specific indexes are used to quantitatively estimate the degree of degradation. In the present paper, a description of the standard methods, research methods, and the indexes used to assess the biodegradability of bioplastics under different environmental conditions is provided. By summarising the results obtained by this study, it can be concluded that: (i) biopolymers claimed as biodegradable bioplastics may not degrade in full-scale plants due to the fact that the process conditions present in industrial waste treatment plants cannot completely reproduced at lab-scale; (ii) the static conditions set by the standard methods are not representative of the dynamic processes that occur in natural or industrial environments; and (iii) experimental tests are difficult to compare to one other due to the differences in the multitude of matrixes that can be used (i.e., inocula, soils, and biopolymers).","author":[{"dropping-particle":"","family":"Folino","given":"Adele","non-dropping-particle":"","parse-names":false,"suffix":""},{"dropping-particle":"","family":"Pangallo","given":"Domenica","non-dropping-particle":"","parse-names":false,"suffix":""},{"dropping-particle":"","family":"Calabrò","given":"Paolo Salvatore","non-dropping-particle":"","parse-names":false,"suffix":""}],"container-title":"Journal of Environmental Chemical Engineering","id":"ITEM-2","issue":"2","issued":{"date-parts":[["2023","4","1"]]},"page":"109424","publisher":"Elsevier","title":"Assessing bioplastics biodegradability by standard and research methods: Current trends and open issues","type":"article-journal","volume":"11"},"uris":["http://www.mendeley.com/documents/?uuid=9fd66131-966b-3624-9e43-92c0ab9a9116"]},{"id":"ITEM-3","itemData":{"DOI":"10.1016/J.BIOTECHADV.2022.107916","ISSN":"0734-9750","PMID":"35122986","abstract":"Growing concern regarding non-biodegradable plastics and the impact of these materials on the environment has promoted interest in biodegradable plastics. The intensification of separate biowastes collection in most European countries has also contributed to the development of biodegradable plastics, and the subject of their end-of-life is becoming a key issue. To date, there has been relatively little research to evaluate the biodegradability of biodegradable plastics by anaerobic digestion (AD) compared to industrial and home composting. However, anaerobic digestion is a particularly promising strategy for treating biodegradable organic wastes in the context of circular waste management. This critical review aims to provide an in-depth update of anaerobic digestion of biodegradable plastics by providing a summary of the literature regarding process performance, parameters affecting biodegradability, the microorganisms involved, and some of the strategies (e.g., pretreatment, additives, and inoculum acclimation) used to enhance the degradation rate of biodegradable plastics. In addition, a critical section is dedicated to suggestions and recommendations for the development of biodegradable plastics sector and their treatment in anaerobic digestion.","author":[{"dropping-particle":"","family":"Cazaudehore","given":"G.","non-dropping-particle":"","parse-names":false,"suffix":""},{"dropping-particle":"","family":"Guyoneaud","given":"R.","non-dropping-particle":"","parse-names":false,"suffix":""},{"dropping-particle":"","family":"Evon","given":"P.","non-dropping-particle":"","parse-names":false,"suffix":""},{"dropping-particle":"","family":"Martin-Closas","given":"L.","non-dropping-particle":"","parse-names":false,"suffix":""},{"dropping-particle":"","family":"Pelacho","given":"A. M.","non-dropping-particle":"","parse-names":false,"suffix":""},{"dropping-particle":"","family":"Raynaud","given":"C.","non-dropping-particle":"","parse-names":false,"suffix":""},{"dropping-particle":"","family":"Monlau","given":"F.","non-dropping-particle":"","parse-names":false,"suffix":""}],"container-title":"Biotechnology Advances","id":"ITEM-3","issued":{"date-parts":[["2022","5","1"]]},"page":"107916","publisher":"Elsevier","title":"Can anaerobic digestion be a suitable end-of-life scenario for biodegradable plastics? A critical review of the current situation, hurdles, and challenges","type":"article-journal","volume":"56"},"uris":["http://www.mendeley.com/documents/?uuid=2d3ad578-b51f-3bcc-b531-ef979b8132aa"]},{"id":"ITEM-4","itemData":{"DOI":"10.1021/acssuschemeng.1c01424","ISSN":"2168-0485","author":[{"dropping-particle":"","family":"Samantaray","given":"Paresh Kumar","non-dropping-particle":"","parse-names":false,"suffix":""},{"dropping-particle":"","family":"Little","given":"Alastair","non-dropping-particle":"","parse-names":false,"suffix":""},{"dropping-particle":"","family":"Wemyss","given":"Alan M.","non-dropping-particle":"","parse-names":false,"suffix":""},{"dropping-particle":"","family":"Iacovidou","given":"Eleni","non-dropping-particle":"","parse-names":false,"suffix":""},{"dropping-particle":"","family":"Wan","given":"Chaoying","non-dropping-particle":"","parse-names":false,"suffix":""}],"container-title":"ACS Sustainable Chemistry &amp; Engineering","id":"ITEM-4","issue":"28","issued":{"date-parts":[["2021","7","19"]]},"page":"9151-9164","title":"Design and Control of Compostability in Synthetic Biopolyesters","type":"article-journal","volume":"9"},"uris":["http://www.mendeley.com/documents/?uuid=c18897bd-803f-432b-bba8-3042368ee7fd"]}],"mendeley":{"formattedCitation":"&lt;sup&gt;4–7&lt;/sup&gt;","plainTextFormattedCitation":"4–7","previouslyFormattedCitation":"&lt;sup&gt;4–7&lt;/sup&gt;"},"properties":{"noteIndex":0},"schema":"https://github.com/citation-style-language/schema/raw/master/csl-citation.json"}</w:instrText>
      </w:r>
      <w:r w:rsidRPr="00221CD5">
        <w:fldChar w:fldCharType="separate"/>
      </w:r>
      <w:r w:rsidR="00C046F0" w:rsidRPr="00C046F0">
        <w:rPr>
          <w:noProof/>
          <w:vertAlign w:val="superscript"/>
        </w:rPr>
        <w:t>4–7</w:t>
      </w:r>
      <w:r w:rsidRPr="00221CD5">
        <w:fldChar w:fldCharType="end"/>
      </w:r>
      <w:r w:rsidRPr="00221CD5">
        <w:t xml:space="preserve">, clogging operation units without becoming valuable products. Oftentimes, plant owners employ mechanical pre-treatments that separate plastics and bioplastics (essentially bags but also cutlery and crockery) and other coarse residues from the OFMSW, </w:t>
      </w:r>
      <w:r w:rsidR="00A37EEB">
        <w:t>destining</w:t>
      </w:r>
      <w:r w:rsidRPr="00221CD5">
        <w:t xml:space="preserve"> them to landfilling. This is a deprecated </w:t>
      </w:r>
      <w:r w:rsidRPr="00221CD5">
        <w:lastRenderedPageBreak/>
        <w:t>practice for biodegradable materials that damages the economic sustainability of the OFMSW plant</w:t>
      </w:r>
      <w:r w:rsidRPr="00221CD5">
        <w:fldChar w:fldCharType="begin" w:fldLock="1"/>
      </w:r>
      <w:r w:rsidR="001D0EF2">
        <w:instrText>ADDIN CSL_CITATION {"citationItems":[{"id":"ITEM-1","itemData":{"DOI":"10.1177/0734242X231181999","ISSN":"0734-242X","author":[{"dropping-particle":"","family":"Dolci","given":"Giovanni","non-dropping-particle":"","parse-names":false,"suffix":""},{"dropping-particle":"","family":"Rigamonti","given":"Lucia","non-dropping-particle":"","parse-names":false,"suffix":""},{"dropping-particle":"","family":"Grosso","given":"Mario","non-dropping-particle":"","parse-names":false,"suffix":""}],"container-title":"Waste Management &amp; Research: The Journal for a Sustainable Circular Economy","id":"ITEM-1","issue":"8","issued":{"date-parts":[["2023","8","15"]]},"page":"1281-1282","title":"The challenges of bioplastics in waste management","type":"article-journal","volume":"41"},"uris":["http://www.mendeley.com/documents/?uuid=b24866b7-fde5-4066-a269-d96d09dfeab8"]}],"mendeley":{"formattedCitation":"&lt;sup&gt;8&lt;/sup&gt;","plainTextFormattedCitation":"8","previouslyFormattedCitation":"&lt;sup&gt;8&lt;/sup&gt;"},"properties":{"noteIndex":0},"schema":"https://github.com/citation-style-language/schema/raw/master/csl-citation.json"}</w:instrText>
      </w:r>
      <w:r w:rsidRPr="00221CD5">
        <w:fldChar w:fldCharType="separate"/>
      </w:r>
      <w:r w:rsidR="00C046F0" w:rsidRPr="00C046F0">
        <w:rPr>
          <w:noProof/>
          <w:vertAlign w:val="superscript"/>
        </w:rPr>
        <w:t>8</w:t>
      </w:r>
      <w:r w:rsidRPr="00221CD5">
        <w:fldChar w:fldCharType="end"/>
      </w:r>
      <w:r w:rsidRPr="00221CD5">
        <w:t xml:space="preserve"> and is also harmful to the management of landfills, which should receive </w:t>
      </w:r>
      <w:r w:rsidR="00A16334" w:rsidRPr="00221CD5">
        <w:t xml:space="preserve">only </w:t>
      </w:r>
      <w:r w:rsidRPr="00221CD5">
        <w:t>stable and inert materials. Technological solutions are thus urgently needed to make bioplastics suitable for these plants or facilitate their upcycling</w:t>
      </w:r>
      <w:r w:rsidRPr="00221CD5">
        <w:fldChar w:fldCharType="begin" w:fldLock="1"/>
      </w:r>
      <w:r w:rsidR="001D0EF2">
        <w:instrText>ADDIN CSL_CITATION {"citationItems":[{"id":"ITEM-1","itemData":{"DOI":"10.1002/cssc.202101226","ISSN":"1864-5631","author":[{"dropping-particle":"","family":"Gioia","given":"Claudio","non-dropping-particle":"","parse-names":false,"suffix":""},{"dropping-particle":"","family":"Giacobazzi","given":"Greta","non-dropping-particle":"","parse-names":false,"suffix":""},{"dropping-particle":"","family":"Vannini","given":"Micaela","non-dropping-particle":"","parse-names":false,"suffix":""},{"dropping-particle":"","family":"Totaro","given":"Grazia","non-dropping-particle":"","parse-names":false,"suffix":""},{"dropping-particle":"","family":"Sisti","given":"Laura","non-dropping-particle":"","parse-names":false,"suffix":""},{"dropping-particle":"","family":"Colonna","given":"Martino","non-dropping-particle":"","parse-names":false,"suffix":""},{"dropping-particle":"","family":"Marchese","given":"Paola","non-dropping-particle":"","parse-names":false,"suffix":""},{"dropping-particle":"","family":"Celli","given":"Annamaria","non-dropping-particle":"","parse-names":false,"suffix":""}],"container-title":"ChemSusChem","id":"ITEM-1","issue":"19","issued":{"date-parts":[["2021","10","5"]]},"page":"4167-4175","title":"End of Life of Biodegradable Plastics: Composting versus Re/Upcycling","type":"article-journal","volume":"14"},"uris":["http://www.mendeley.com/documents/?uuid=5a89f5d8-bb5e-422e-b63b-edaf62596411"]}],"mendeley":{"formattedCitation":"&lt;sup&gt;9&lt;/sup&gt;","plainTextFormattedCitation":"9","previouslyFormattedCitation":"&lt;sup&gt;9&lt;/sup&gt;"},"properties":{"noteIndex":0},"schema":"https://github.com/citation-style-language/schema/raw/master/csl-citation.json"}</w:instrText>
      </w:r>
      <w:r w:rsidRPr="00221CD5">
        <w:fldChar w:fldCharType="separate"/>
      </w:r>
      <w:r w:rsidR="00C046F0" w:rsidRPr="00C046F0">
        <w:rPr>
          <w:noProof/>
          <w:vertAlign w:val="superscript"/>
        </w:rPr>
        <w:t>9</w:t>
      </w:r>
      <w:r w:rsidRPr="00221CD5">
        <w:fldChar w:fldCharType="end"/>
      </w:r>
      <w:r w:rsidRPr="00221CD5">
        <w:t>. The literature features some studies that achieve the former goal through chemical pre-treatments</w:t>
      </w:r>
      <w:r w:rsidRPr="00221CD5">
        <w:fldChar w:fldCharType="begin" w:fldLock="1"/>
      </w:r>
      <w:r w:rsidR="001D0EF2">
        <w:instrText>ADDIN CSL_CITATION {"citationItems":[{"id":"ITEM-1","itemData":{"DOI":"10.1016/J.BIOTECHADV.2022.107916","ISSN":"0734-9750","PMID":"35122986","abstract":"Growing concern regarding non-biodegradable plastics and the impact of these materials on the environment has promoted interest in biodegradable plastics. The intensification of separate biowastes collection in most European countries has also contributed to the development of biodegradable plastics, and the subject of their end-of-life is becoming a key issue. To date, there has been relatively little research to evaluate the biodegradability of biodegradable plastics by anaerobic digestion (AD) compared to industrial and home composting. However, anaerobic digestion is a particularly promising strategy for treating biodegradable organic wastes in the context of circular waste management. This critical review aims to provide an in-depth update of anaerobic digestion of biodegradable plastics by providing a summary of the literature regarding process performance, parameters affecting biodegradability, the microorganisms involved, and some of the strategies (e.g., pretreatment, additives, and inoculum acclimation) used to enhance the degradation rate of biodegradable plastics. In addition, a critical section is dedicated to suggestions and recommendations for the development of biodegradable plastics sector and their treatment in anaerobic digestion.","author":[{"dropping-particle":"","family":"Cazaudehore","given":"G.","non-dropping-particle":"","parse-names":false,"suffix":""},{"dropping-particle":"","family":"Guyoneaud","given":"R.","non-dropping-particle":"","parse-names":false,"suffix":""},{"dropping-particle":"","family":"Evon","given":"P.","non-dropping-particle":"","parse-names":false,"suffix":""},{"dropping-particle":"","family":"Martin-Closas","given":"L.","non-dropping-particle":"","parse-names":false,"suffix":""},{"dropping-particle":"","family":"Pelacho","given":"A. M.","non-dropping-particle":"","parse-names":false,"suffix":""},{"dropping-particle":"","family":"Raynaud","given":"C.","non-dropping-particle":"","parse-names":false,"suffix":""},{"dropping-particle":"","family":"Monlau","given":"F.","non-dropping-particle":"","parse-names":false,"suffix":""}],"container-title":"Biotechnology Advances","id":"ITEM-1","issued":{"date-parts":[["2022","5","1"]]},"page":"107916","publisher":"Elsevier","title":"Can anaerobic digestion be a suitable end-of-life scenario for biodegradable plastics? A critical review of the current situation, hurdles, and challenges","type":"article-journal","volume":"56"},"uris":["http://www.mendeley.com/documents/?uuid=2d3ad578-b51f-3bcc-b531-ef979b8132aa"]}],"mendeley":{"formattedCitation":"&lt;sup&gt;6&lt;/sup&gt;","plainTextFormattedCitation":"6","previouslyFormattedCitation":"&lt;sup&gt;6&lt;/sup&gt;"},"properties":{"noteIndex":0},"schema":"https://github.com/citation-style-language/schema/raw/master/csl-citation.json"}</w:instrText>
      </w:r>
      <w:r w:rsidRPr="00221CD5">
        <w:fldChar w:fldCharType="separate"/>
      </w:r>
      <w:r w:rsidR="00C046F0" w:rsidRPr="00C046F0">
        <w:rPr>
          <w:noProof/>
          <w:vertAlign w:val="superscript"/>
        </w:rPr>
        <w:t>6</w:t>
      </w:r>
      <w:r w:rsidRPr="00221CD5">
        <w:fldChar w:fldCharType="end"/>
      </w:r>
      <w:r w:rsidRPr="00221CD5">
        <w:t xml:space="preserve">, but a hydrothermal treatment (HT) could more easily fulfil them both only employing plain water. In the literature, this has only been shown by Mu et al., who studied the hydrothermal degradation of a type of commercial </w:t>
      </w:r>
      <w:r w:rsidR="00850191">
        <w:t>bioplastic</w:t>
      </w:r>
      <w:r w:rsidR="00850191" w:rsidRPr="00221CD5">
        <w:t xml:space="preserve"> </w:t>
      </w:r>
      <w:r w:rsidRPr="00221CD5">
        <w:t>under various operating conditions</w:t>
      </w:r>
      <w:r w:rsidRPr="00221CD5">
        <w:fldChar w:fldCharType="begin" w:fldLock="1"/>
      </w:r>
      <w:r w:rsidR="001D0EF2">
        <w:instrText>ADDIN CSL_CITATION {"citationItems":[{"id":"ITEM-1","itemData":{"DOI":"10.1016/j.wasman.2021.03.044","ISSN":"0956053X","author":[{"dropping-particle":"","family":"Mu","given":"Lan","non-dropping-particle":"","parse-names":false,"suffix":""},{"dropping-particle":"","family":"Zhang","given":"Lei","non-dropping-particle":"","parse-names":false,"suffix":""},{"dropping-particle":"","family":"Ma","given":"Jiao","non-dropping-particle":"","parse-names":false,"suffix":""},{"dropping-particle":"","family":"Zhu","given":"Kongyun","non-dropping-particle":"","parse-names":false,"suffix":""},{"dropping-particle":"","family":"Chen","given":"Chuanshuai","non-dropping-particle":"","parse-names":false,"suffix":""},{"dropping-particle":"","family":"Li","given":"Aimin","non-dropping-particle":"","parse-names":false,"suffix":""}],"container-title":"Waste Management","id":"ITEM-1","issued":{"date-parts":[["2021","5"]]},"page":"585-596","title":"Enhanced biomethanization of waste polylactic acid plastic by mild hydrothermal pretreatment: Taguchi orthogonal optimization and kinetics modeling","type":"article-journal","volume":"126"},"uris":["http://www.mendeley.com/documents/?uuid=7d5f312d-ace0-4e6a-937c-2d7984759b47"]}],"mendeley":{"formattedCitation":"&lt;sup&gt;10&lt;/sup&gt;","plainTextFormattedCitation":"10","previouslyFormattedCitation":"&lt;sup&gt;10&lt;/sup&gt;"},"properties":{"noteIndex":0},"schema":"https://github.com/citation-style-language/schema/raw/master/csl-citation.json"}</w:instrText>
      </w:r>
      <w:r w:rsidRPr="00221CD5">
        <w:fldChar w:fldCharType="separate"/>
      </w:r>
      <w:r w:rsidR="00C046F0" w:rsidRPr="00C046F0">
        <w:rPr>
          <w:noProof/>
          <w:vertAlign w:val="superscript"/>
        </w:rPr>
        <w:t>10</w:t>
      </w:r>
      <w:r w:rsidRPr="00221CD5">
        <w:fldChar w:fldCharType="end"/>
      </w:r>
      <w:r w:rsidRPr="00221CD5">
        <w:t xml:space="preserve">, pointing out the efficacy of this treatment for a subsequent anaerobic digestion. </w:t>
      </w:r>
    </w:p>
    <w:p w14:paraId="633847A5" w14:textId="31EB9C31" w:rsidR="00221CD5" w:rsidRPr="00221CD5" w:rsidRDefault="00221CD5" w:rsidP="00480CAD">
      <w:pPr>
        <w:pStyle w:val="TAMainText"/>
      </w:pPr>
      <w:r w:rsidRPr="00221CD5">
        <w:rPr>
          <w:lang w:val="de-DE"/>
        </w:rPr>
        <w:t>HTs</w:t>
      </w:r>
      <w:r w:rsidRPr="00221CD5">
        <w:fldChar w:fldCharType="begin" w:fldLock="1"/>
      </w:r>
      <w:r w:rsidR="001D0EF2">
        <w:rPr>
          <w:lang w:val="de-DE"/>
        </w:rPr>
        <w:instrText>ADDIN CSL_CITATION {"citationItems":[{"id":"ITEM-1","itemData":{"DOI":"10.1016/J.SCITOTENV.2023.163920","ISSN":"0048-9697","abstract":"Biomass is a renewable and carbon-neutral resource with good features for producing biofuels, biochemicals, and biomaterials. Among the different technologies developed to date to convert biomass into such commodities, hydrothermal conversion (HC) is a very appealing and sustainable option, affording marketable gaseous (primarily containing H2, CO, CH4, and CO2), liquid (biofuels, aqueous phase carbohydrates, and inorganics), and solid products (energy-dense biofuels (up to 30 MJ/kg) with excellent functionality and strength). Given these prospects, this publication first-time puts together essential information on the HC of lignocellulosic and algal biomasses covering all the steps involved. Particularly, this work reports and comments on the most important properties (e.g., physiochemical and fuel properties) of all these products from a holistic and practical perspective. It also gathers vital information addressing selecting and using different downstream/upgrading processes to convert HC reaction products into marketable biofuels (HHV up to 46 MJ/kg), biochemicals (yield &gt;90 %), and biomaterials (great functionality and surface area up to 3600 m2/g). As a result of this practical vision, this work not only comments on and summarizes the most important properties of these products but also analyzes and discusses present and future applications, establishing an invaluable link between product properties and market needs to push HC technologies transition from the laboratory to the industry. Such a practical and pioneering approach paves the way for the future development, commercialization and industrialization of HC technologies to develop holistic and zero-waste biorefinery processes.","author":[{"dropping-particle":"","family":"Zhou","given":"Yingdong","non-dropping-particle":"","parse-names":false,"suffix":""},{"dropping-particle":"","family":"Remón","given":"Javier","non-dropping-particle":"","parse-names":false,"suffix":""},{"dropping-particle":"","family":"Pang","given":"Xiaoyan","non-dropping-particle":"","parse-names":false,"suffix":""},{"dropping-particle":"","family":"Jiang","given":"Zhicheng","non-dropping-particle":"","parse-names":false,"suffix":""},{"dropping-particle":"","family":"Liu","given":"Haiteng","non-dropping-particle":"","parse-names":false,"suffix":""},{"dropping-particle":"","family":"Ding","given":"Wei","non-dropping-particle":"","parse-names":false,"suffix":""}],"container-title":"Science of The Total Environment","id":"ITEM-1","issued":{"date-parts":[["2023","8","15"]]},"page":"163920","publisher":"Elsevier","title":"Hydrothermal conversion of biomass to fuels, chemicals and materials: A review holistically connecting product properties and marketable applications","type":"article-journal","volume":"886"},"uris":["http://www.mendeley.com/documents/?uuid=93454dcc-fb8e-362b-b855-79d5e34ca6e6"]}],"mendeley":{"formattedCitation":"&lt;sup&gt;11&lt;/sup&gt;","plainTextFormattedCitation":"11","previouslyFormattedCitation":"&lt;sup&gt;11&lt;/sup&gt;"},"properties":{"noteIndex":0},"schema":"https://github.com/citation-style-language/schema/raw/master/csl-citation.json"}</w:instrText>
      </w:r>
      <w:r w:rsidRPr="00221CD5">
        <w:fldChar w:fldCharType="separate"/>
      </w:r>
      <w:r w:rsidR="00C046F0" w:rsidRPr="00C046F0">
        <w:rPr>
          <w:noProof/>
          <w:vertAlign w:val="superscript"/>
          <w:lang w:val="de-DE"/>
        </w:rPr>
        <w:t>11</w:t>
      </w:r>
      <w:r w:rsidRPr="00221CD5">
        <w:fldChar w:fldCharType="end"/>
      </w:r>
      <w:r w:rsidRPr="00221CD5">
        <w:rPr>
          <w:lang w:val="de-DE"/>
        </w:rPr>
        <w:t xml:space="preserve"> </w:t>
      </w:r>
      <w:proofErr w:type="spellStart"/>
      <w:r w:rsidRPr="00221CD5">
        <w:rPr>
          <w:lang w:val="de-DE"/>
        </w:rPr>
        <w:t>include</w:t>
      </w:r>
      <w:proofErr w:type="spellEnd"/>
      <w:r w:rsidRPr="00221CD5">
        <w:rPr>
          <w:lang w:val="de-DE"/>
        </w:rPr>
        <w:t xml:space="preserve"> thermal </w:t>
      </w:r>
      <w:proofErr w:type="spellStart"/>
      <w:r w:rsidRPr="00221CD5">
        <w:rPr>
          <w:lang w:val="de-DE"/>
        </w:rPr>
        <w:t>hydrolysis</w:t>
      </w:r>
      <w:proofErr w:type="spellEnd"/>
      <w:r w:rsidRPr="00221CD5">
        <w:rPr>
          <w:lang w:val="de-DE"/>
        </w:rPr>
        <w:t xml:space="preserve"> (140-180 °C) and hydrothermal </w:t>
      </w:r>
      <w:proofErr w:type="spellStart"/>
      <w:r w:rsidRPr="00221CD5">
        <w:rPr>
          <w:lang w:val="de-DE"/>
        </w:rPr>
        <w:t>carbonization</w:t>
      </w:r>
      <w:proofErr w:type="spellEnd"/>
      <w:r w:rsidRPr="00221CD5">
        <w:rPr>
          <w:lang w:val="de-DE"/>
        </w:rPr>
        <w:t xml:space="preserve"> (180</w:t>
      </w:r>
      <w:r w:rsidRPr="00221CD5">
        <w:rPr>
          <w:lang w:val="de-DE"/>
        </w:rPr>
        <w:noBreakHyphen/>
        <w:t xml:space="preserve">250 °C). </w:t>
      </w:r>
      <w:r w:rsidRPr="00221CD5">
        <w:t>Both are performed in liquid water under autogenous pressure, thus not requiring a prior feedstock drying phase. In these conditions, liquid water solvent capability and dissociation equilibrium cons</w:t>
      </w:r>
      <w:r w:rsidR="004D4CC5">
        <w:t>tant</w:t>
      </w:r>
      <w:r w:rsidRPr="00221CD5">
        <w:t xml:space="preserve"> increase, facilitating the degradation of complex biomass molecules (or even of traditional plastics</w:t>
      </w:r>
      <w:r w:rsidRPr="00221CD5">
        <w:fldChar w:fldCharType="begin" w:fldLock="1"/>
      </w:r>
      <w:r w:rsidR="001D0EF2">
        <w:instrText>ADDIN CSL_CITATION {"citationItems":[{"id":"ITEM-1","itemData":{"DOI":"10.1016/J.SCP.2023.100991","ISSN":"2352-5541","abstract":"Concentration of plastic waste is increasing rapidly in the environment posing serious threats to the lives of all species and emerging ecological instability. Increased consumption of plastic goods, the ability to generate high revenue, and less availability of recycling methods shift the focus on the plastic economy. Various strategies have been employed to mitigate this problem but the conversion of plastic waste to energy-rich fuels is more promising and can be more supportive in the future. Mechanical recycling, incineration, pyrolysis, and hydrothermal treatment are the conversion technologies that have been adopted over the passage of time for energy production applications. For the success of all these waste to energy technologies, they need to reduce their capital costs and generate some additional revenues may be in form of fuels or other by-products. Thus the circular economy approach can be used to solve the increasing waste problem and to moderate the increasing energy demand by the conversation of waste into energy. In this article details, discussion has been carried out on all the waste to energy conversion technologies in the context of circular economy perspective by highlighting the important research gaps to solidify the new directions for future studies.","author":[{"dropping-particle":"","family":"Mumtaz","given":"Hamza","non-dropping-particle":"","parse-names":false,"suffix":""},{"dropping-particle":"","family":"Sobek","given":"Szymon","non-dropping-particle":"","parse-names":false,"suffix":""},{"dropping-particle":"","family":"Werle","given":"Sebastian","non-dropping-particle":"","parse-names":false,"suffix":""},{"dropping-particle":"","family":"Sajdak","given":"Marcin","non-dropping-particle":"","parse-names":false,"suffix":""},{"dropping-particle":"","family":"Muzyka","given":"Roksana","non-dropping-particle":"","parse-names":false,"suffix":""}],"container-title":"Sustainable Chemistry and Pharmacy","id":"ITEM-1","issued":{"date-parts":[["2023","5","1"]]},"page":"100991","publisher":"Elsevier","title":"Hydrothermal treatment of plastic waste within a circular economy perspective","type":"article-journal","volume":"32"},"uris":["http://www.mendeley.com/documents/?uuid=0804fe7f-df4c-387a-86e6-0b15e499841f"]}],"mendeley":{"formattedCitation":"&lt;sup&gt;12&lt;/sup&gt;","plainTextFormattedCitation":"12","previouslyFormattedCitation":"&lt;sup&gt;12&lt;/sup&gt;"},"properties":{"noteIndex":0},"schema":"https://github.com/citation-style-language/schema/raw/master/csl-citation.json"}</w:instrText>
      </w:r>
      <w:r w:rsidRPr="00221CD5">
        <w:fldChar w:fldCharType="separate"/>
      </w:r>
      <w:r w:rsidR="00C046F0" w:rsidRPr="00C046F0">
        <w:rPr>
          <w:noProof/>
          <w:vertAlign w:val="superscript"/>
        </w:rPr>
        <w:t>12</w:t>
      </w:r>
      <w:r w:rsidRPr="00221CD5">
        <w:fldChar w:fldCharType="end"/>
      </w:r>
      <w:r w:rsidRPr="00221CD5">
        <w:t xml:space="preserve">) and converting them into simpler compounds. HTs are nowadays recognized as valuable aids to </w:t>
      </w:r>
      <w:r w:rsidR="00580F5F">
        <w:t>anaerobic digestion</w:t>
      </w:r>
      <w:r w:rsidRPr="00221CD5">
        <w:t xml:space="preserve">: the Cambi process, based on </w:t>
      </w:r>
      <w:r w:rsidR="001A63A2">
        <w:t>thermal hydrolysis</w:t>
      </w:r>
      <w:r w:rsidRPr="00221CD5">
        <w:t xml:space="preserve"> at 150-165</w:t>
      </w:r>
      <w:r w:rsidR="004D4CC5">
        <w:t> </w:t>
      </w:r>
      <w:r w:rsidRPr="00221CD5">
        <w:t>°C, is widespread in commercial wastewater treatment plants</w:t>
      </w:r>
      <w:r w:rsidRPr="00221CD5">
        <w:fldChar w:fldCharType="begin" w:fldLock="1"/>
      </w:r>
      <w:r w:rsidR="001D0EF2">
        <w:instrText>ADDIN CSL_CITATION {"citationItems":[{"id":"ITEM-1","itemData":{"DOI":"10.1016/B978-0-323-90178-9.00020-2","ISBN":"9780323901789","abstract":"Sustainability and circular economy have become two keywords in the field of wastewater treatment. Sustainable technologies that convert “waste to wealth” and promote “resource recovery” are driving today’s wastewater industry. Sludge generated from wastewater treatment plants is considered waste that requires disposal at a cost. The United States Environmental Protection Agency (EPA) published a regulation, known as the EPA Biosolids Rule, for the treatment and disposal of sewage sludge. According to the rule, sewage sludge treated to Class A levels can be used beneficially as a fertilizer or soil amendment. Advanced anaerobic digestion (AAD) with the thermal hydrolysis process (THP) is the leading technology for producing Class A biosolids, with the Norwegian company Cambi (CambiTHP) as the most prevalent supplier for THP systems. The THP ensures the sustainable and safe disposal of sludge free of pathogens and promoting a circular economy. In some sewage treatment plants (STP) with CambiTHP, the biosolids produced can be sold as a fertilizer or soil amendment to farmers and other buyers, generating revenue for the plants. In addition, CambiTHP increases the production of energy from the downstream anaerobic digestion (AD) process, reduces the required digester volume, and decreases the volume of biosolids to be handled or transported while improving its quality. Overall, STPs using CambiTHP have a significantly lower operational cost of sludge treatment and disposal than the conventional sludge treatment process without CambiTHP.","author":[{"dropping-particle":"","family":"Sahu","given":"Ashish K.","non-dropping-particle":"","parse-names":false,"suffix":""},{"dropping-particle":"","family":"Mitra","given":"Indra","non-dropping-particle":"","parse-names":false,"suffix":""},{"dropping-particle":"","family":"Kleiven","given":"Harald","non-dropping-particle":"","parse-names":false,"suffix":""},{"dropping-particle":"","family":"Holte","given":"Hans Rasmus","non-dropping-particle":"","parse-names":false,"suffix":""},{"dropping-particle":"","family":"Svensson","given":"Kine","non-dropping-particle":"","parse-names":false,"suffix":""}],"container-title":"Clean Energy and Resource Recovery: Wastewater Treatment Plants as Biorefineries, Volume 2","id":"ITEM-1","issued":{"date-parts":[["2022","1","1"]]},"page":"405-422","publisher":"Elsevier","title":"Cambi Thermal Hydrolysis Process (CambiTHP) for sewage sludge treatment","type":"article-journal"},"uris":["http://www.mendeley.com/documents/?uuid=66041b41-05ad-3081-8df3-8f5a629814e3"]}],"mendeley":{"formattedCitation":"&lt;sup&gt;13&lt;/sup&gt;","plainTextFormattedCitation":"13","previouslyFormattedCitation":"&lt;sup&gt;13&lt;/sup&gt;"},"properties":{"noteIndex":0},"schema":"https://github.com/citation-style-language/schema/raw/master/csl-citation.json"}</w:instrText>
      </w:r>
      <w:r w:rsidRPr="00221CD5">
        <w:fldChar w:fldCharType="separate"/>
      </w:r>
      <w:r w:rsidR="00C046F0" w:rsidRPr="00C046F0">
        <w:rPr>
          <w:noProof/>
          <w:vertAlign w:val="superscript"/>
        </w:rPr>
        <w:t>13</w:t>
      </w:r>
      <w:r w:rsidRPr="00221CD5">
        <w:fldChar w:fldCharType="end"/>
      </w:r>
      <w:r w:rsidRPr="00221CD5">
        <w:t xml:space="preserve"> and is also possibly effective in mitigating the adverse effects of </w:t>
      </w:r>
      <w:proofErr w:type="spellStart"/>
      <w:r w:rsidRPr="00221CD5">
        <w:t>nanoplastics</w:t>
      </w:r>
      <w:proofErr w:type="spellEnd"/>
      <w:r w:rsidRPr="00221CD5">
        <w:t xml:space="preserve"> in sludge</w:t>
      </w:r>
      <w:r w:rsidRPr="00221CD5">
        <w:fldChar w:fldCharType="begin" w:fldLock="1"/>
      </w:r>
      <w:r w:rsidR="001D0EF2">
        <w:instrText>ADDIN CSL_CITATION {"citationItems":[{"id":"ITEM-1","itemData":{"DOI":"10.1021/acssuschemeng.3c01349","ISSN":"2168-0485","author":[{"dropping-particle":"","family":"Mirsoleimani Azizi","given":"Seyed Mohammad","non-dropping-particle":"","parse-names":false,"suffix":""},{"dropping-particle":"","family":"Zakaria","given":"Basem S.","non-dropping-particle":"","parse-names":false,"suffix":""},{"dropping-particle":"","family":"Haffiez","given":"Nervana","non-dropping-particle":"","parse-names":false,"suffix":""},{"dropping-particle":"","family":"Dhar","given":"Bipro Ranjan","non-dropping-particle":"","parse-names":false,"suffix":""}],"container-title":"ACS Sustainable Chemistry &amp; Engineering","id":"ITEM-1","issue":"18","issued":{"date-parts":[["2023","5","8"]]},"page":"7253-7262","title":"Sludge Thermal Hydrolysis for Mitigating Oxidative Stress of Polystyrene Nanoplastics in Anaerobic Digestion: Significance of the Solids Content","type":"article-journal","volume":"11"},"uris":["http://www.mendeley.com/documents/?uuid=c8cca283-18c4-4465-8181-1823db22bd3f"]}],"mendeley":{"formattedCitation":"&lt;sup&gt;14&lt;/sup&gt;","plainTextFormattedCitation":"14","previouslyFormattedCitation":"&lt;sup&gt;14&lt;/sup&gt;"},"properties":{"noteIndex":0},"schema":"https://github.com/citation-style-language/schema/raw/master/csl-citation.json"}</w:instrText>
      </w:r>
      <w:r w:rsidRPr="00221CD5">
        <w:fldChar w:fldCharType="separate"/>
      </w:r>
      <w:r w:rsidR="00C046F0" w:rsidRPr="00C046F0">
        <w:rPr>
          <w:noProof/>
          <w:vertAlign w:val="superscript"/>
        </w:rPr>
        <w:t>14</w:t>
      </w:r>
      <w:r w:rsidRPr="00221CD5">
        <w:fldChar w:fldCharType="end"/>
      </w:r>
      <w:r w:rsidRPr="00221CD5">
        <w:t xml:space="preserve">. Notably, a prior </w:t>
      </w:r>
      <w:r w:rsidR="001A63A2">
        <w:t>hydrothermal carbonization</w:t>
      </w:r>
      <w:r w:rsidR="001A63A2" w:rsidRPr="00221CD5">
        <w:t xml:space="preserve"> </w:t>
      </w:r>
      <w:r w:rsidRPr="00221CD5">
        <w:t xml:space="preserve">of OFMSW can increase the biogas yield and production rate in </w:t>
      </w:r>
      <w:r w:rsidR="00580F5F">
        <w:t>anaerobic digestion</w:t>
      </w:r>
      <w:r w:rsidRPr="00221CD5">
        <w:fldChar w:fldCharType="begin" w:fldLock="1"/>
      </w:r>
      <w:r w:rsidR="001D0EF2">
        <w:instrText>ADDIN CSL_CITATION {"citationItems":[{"id":"ITEM-1","itemData":{"DOI":"10.1021/acs.energyfuels.1c01681","ISSN":"0887-0624","abstract":"Hydrothermal carbonization is emerging as a promising eco-friendly technology for the management of wet biomass wastes through energy recovery. It avoids drying of the feedstock and operates at a much lower temperature than conventional thermal conversion technologies, giving rise to a carbonaceous solid, hydrochar, of improved fuel quality with respect to the starting biomass. However, the aqueous fraction resulting from this process, the so-called process water, represents a troublesome secondary waste requiring effective treatment because of the high chemical oxygen demand and the presence of varying amounts of nutrients. Anaerobic digestion appears as a potential solution allowing significant reduction of the organic load while producing methane-rich biogas, thus contributing to energy recovery. Integrating hydrothermal carbonization and anaerobic digestion is gaining interest in the literature. This review compiles the reported studies on the application of hydrothermal carbonization coupled with anaerobic digestion for energy recovery of different biomass wastes, analyzing the energy balances. The main characteristics of the resulting HC and the methanogenic potential of the process waters are reviewed in connection with the operating conditions, as well as the possibility of nutrient recovery. Life cycle assessment and economic studies are included.","author":[{"dropping-particle":"","family":"Ipiales","given":"R. P.","non-dropping-particle":"","parse-names":false,"suffix":""},{"dropping-particle":"","family":"la Rubia","given":"M. A.","non-dropping-particle":"de","parse-names":false,"suffix":""},{"dropping-particle":"","family":"Diaz","given":"E.","non-dropping-particle":"","parse-names":false,"suffix":""},{"dropping-particle":"","family":"Mohedano","given":"A. F.","non-dropping-particle":"","parse-names":false,"suffix":""},{"dropping-particle":"","family":"Rodriguez","given":"Juan J.","non-dropping-particle":"","parse-names":false,"suffix":""}],"container-title":"Energy &amp; Fuels","id":"ITEM-1","issue":"21","issued":{"date-parts":[["2021","11","4"]]},"page":"17032-17050","publisher":"American Chemical Society","title":"Integration of Hydrothermal Carbonization and Anaerobic Digestion for Energy Recovery of Biomass Waste: An Overview","type":"article-journal","volume":"35"},"uris":["http://www.mendeley.com/documents/?uuid=53421c43-34e0-39de-8ae5-565cbd350912"]}],"mendeley":{"formattedCitation":"&lt;sup&gt;15&lt;/sup&gt;","plainTextFormattedCitation":"15","previouslyFormattedCitation":"&lt;sup&gt;15&lt;/sup&gt;"},"properties":{"noteIndex":0},"schema":"https://github.com/citation-style-language/schema/raw/master/csl-citation.json"}</w:instrText>
      </w:r>
      <w:r w:rsidRPr="00221CD5">
        <w:fldChar w:fldCharType="separate"/>
      </w:r>
      <w:r w:rsidR="00C046F0" w:rsidRPr="00C046F0">
        <w:rPr>
          <w:noProof/>
          <w:vertAlign w:val="superscript"/>
        </w:rPr>
        <w:t>15</w:t>
      </w:r>
      <w:r w:rsidRPr="00221CD5">
        <w:fldChar w:fldCharType="end"/>
      </w:r>
      <w:r w:rsidRPr="00221CD5">
        <w:t xml:space="preserve">. </w:t>
      </w:r>
      <w:r w:rsidR="001A63A2">
        <w:t>Hyd</w:t>
      </w:r>
      <w:r w:rsidR="00115145">
        <w:t>r</w:t>
      </w:r>
      <w:r w:rsidR="001A63A2">
        <w:t>othermal carbonization</w:t>
      </w:r>
      <w:r w:rsidR="001A63A2" w:rsidRPr="00221CD5">
        <w:t xml:space="preserve"> </w:t>
      </w:r>
      <w:r w:rsidRPr="00221CD5">
        <w:t>products are a carbonaceous solid, possibly suitable for further upgrading or energy recovery through thermochemical processes or even use as a soil improver, and an aqueous phase rich in chemicals of industrial interest, such as 5-</w:t>
      </w:r>
      <w:r w:rsidR="00580F5F">
        <w:t>h</w:t>
      </w:r>
      <w:r w:rsidR="00580F5F" w:rsidRPr="00580F5F">
        <w:t>ydroxymethylfurfural</w:t>
      </w:r>
      <w:r w:rsidRPr="00221CD5">
        <w:t xml:space="preserve"> and </w:t>
      </w:r>
      <w:proofErr w:type="spellStart"/>
      <w:r w:rsidRPr="00221CD5">
        <w:t>levulinic</w:t>
      </w:r>
      <w:proofErr w:type="spellEnd"/>
      <w:r w:rsidRPr="00221CD5">
        <w:t xml:space="preserve"> acid. HTs also sterilize wastes, which may be indispensable for some applications</w:t>
      </w:r>
      <w:r w:rsidRPr="00221CD5">
        <w:fldChar w:fldCharType="begin" w:fldLock="1"/>
      </w:r>
      <w:r w:rsidR="001D0EF2">
        <w:instrText>ADDIN CSL_CITATION {"citationItems":[{"id":"ITEM-1","itemData":{"DOI":"10.1021/acssuschemeng.2c00160","ISSN":"2168-0485","abstract":"In light of the global climate crisis and commitments toward net-zero carbon emissions, this Perspective evaluates the current status of developments in recycling methods and bioplastics to identify long-term sustainable alternatives. The recycling and product application of major medical plastics, including poly(vinyl chloride) (PVC), polyethylene (PE), polypropylene (PP), and polystyrene (PS), are discussed, and their circular potential is evaluated. Researchers are actively investigating bioplastics to solve present concerns and curb the global increase in greenhouse gas (GHG) emissions from petroleum-based plastics. Current recycling methods for PE and PP can be scaled up, and bioversions of plastics, such as bio-PE and bio-PP, can be used as a long-term sustainable solutions to realize their circular potential. As an alternative to PVC and PS, materials with inefficient recycling methods, recent promising bioplastics such as polyurethane (PU) and poly(lactic acid) (PLA) have a competitive performance. Our Perspective recognizes the need for further research on issues such as integrated recycling processes and the possibility of commercializing bioplastics.","author":[{"dropping-particle":"","family":"Jiang","given":"Dai-Hua","non-dropping-particle":"","parse-names":false,"suffix":""},{"dropping-particle":"","family":"Satoh","given":"Toshifumi","non-dropping-particle":"","parse-names":false,"suffix":""},{"dropping-particle":"","family":"Tung","given":"Shih Huang","non-dropping-particle":"","parse-names":false,"suffix":""},{"dropping-particle":"","family":"Kuo","given":"Chi-Ching","non-dropping-particle":"","parse-names":false,"suffix":""}],"container-title":"ACS Sustainable Chemistry &amp; Engineering","id":"ITEM-1","issue":"15","issued":{"date-parts":[["2022","4","18"]]},"page":"4792-4806","publisher":"American Chemical Society","title":"Sustainable Alternatives to Nondegradable Medical Plastics","type":"article-journal","volume":"10"},"uris":["http://www.mendeley.com/documents/?uuid=df55b7eb-a540-3c97-825b-95388f499d23"]}],"mendeley":{"formattedCitation":"&lt;sup&gt;16&lt;/sup&gt;","plainTextFormattedCitation":"16","previouslyFormattedCitation":"&lt;sup&gt;16&lt;/sup&gt;"},"properties":{"noteIndex":0},"schema":"https://github.com/citation-style-language/schema/raw/master/csl-citation.json"}</w:instrText>
      </w:r>
      <w:r w:rsidRPr="00221CD5">
        <w:fldChar w:fldCharType="separate"/>
      </w:r>
      <w:r w:rsidR="00C046F0" w:rsidRPr="00C046F0">
        <w:rPr>
          <w:noProof/>
          <w:vertAlign w:val="superscript"/>
        </w:rPr>
        <w:t>16</w:t>
      </w:r>
      <w:r w:rsidRPr="00221CD5">
        <w:fldChar w:fldCharType="end"/>
      </w:r>
      <w:r w:rsidRPr="00221CD5">
        <w:t>, and can allow nutrient recovery</w:t>
      </w:r>
      <w:r w:rsidRPr="00221CD5">
        <w:fldChar w:fldCharType="begin" w:fldLock="1"/>
      </w:r>
      <w:r w:rsidR="001D0EF2">
        <w:instrText>ADDIN CSL_CITATION {"citationItems":[{"id":"ITEM-1","itemData":{"DOI":"10.1021/acssuschemeng.0c04229","ISSN":"2168-0485","abstract":"In this study, the fate of carbon and nutrient elements, nitrogen, phosphorus, and potassium, was investigated during the hydrothermal carbonization (HTC) of three model solutions with different nutrient concentrations to mimic biogas residues from silage and cattle manure. The HTC was conducted at 180 °C, 220 °C, 240 °C, and 260 °C for 3 h reaction time. ICP-OES, GC, IC, and chemical analysis methods were utilized to measure fertilizing elements in HTC products. The distribution of nutrients between HTC product phases was significantly influenced by the compositions of the initial feedstock before HTC. The incorporation of nitrogen to the hydrochar (HC) depends on the nitrogen-containing compounds during HTC; the chemical bonding was the main mechanism for the incorporation of NH4-N into the HC during HTC, the sorption of NH4-N to the HC occurred, however, to a lesser extent (0.8% to 7.4%). Most of the NO3-N stayed in the process water (PW) during HTC (78% to 87%), and the sorption (adsorption/salts precipitation) was confirmed to be the main mechanism for the recovery of NO3-N to the HC during HTC. The uptake of N to the HC is limited and depends on the availability of the carbon network in the HC, the correlation coefficient between HC formation and the recovery of bonded N to the HC showed a high linear regression coefficient R2 = 0.90-0.91. However, the recovery of N to the HC via sorption showed less correlation to the HC formation during HTC (R2 = 0.35-0.54). Most of the dissolved K+ (99%) stayed in the PW during HTC. Due to the absence of metal associations in this work, most of the dissolved PO43- (99%) stayed in the PW during HTC, which proves that controlling metal cations in the feedstock before HTC has a considerable influence on the distribution of phosphate between the PW and HC.","author":[{"dropping-particle":"","family":"Alhnidi","given":"Muhammad-Jamal","non-dropping-particle":"","parse-names":false,"suffix":""},{"dropping-particle":"","family":"Wüst","given":"Dominik","non-dropping-particle":"","parse-names":false,"suffix":""},{"dropping-particle":"","family":"Funke","given":"Axel","non-dropping-particle":"","parse-names":false,"suffix":""},{"dropping-particle":"","family":"Hang","given":"Liu","non-dropping-particle":"","parse-names":false,"suffix":""},{"dropping-particle":"","family":"Kruse","given":"Andrea","non-dropping-particle":"","parse-names":false,"suffix":""}],"container-title":"ACS Sustainable Chemistry &amp; Engineering","id":"ITEM-1","issue":"41","issued":{"date-parts":[["2020","10","19"]]},"page":"15507-15516","publisher":"American Chemical Society","title":"Fate of Nitrogen, Phosphate, and Potassium during Hydrothermal Carbonization and the Potential for Nutrient Recovery","type":"article-journal","volume":"8"},"uris":["http://www.mendeley.com/documents/?uuid=9b1a262a-3e1c-3502-b562-b17a73e2fd81"]}],"mendeley":{"formattedCitation":"&lt;sup&gt;17&lt;/sup&gt;","plainTextFormattedCitation":"17","previouslyFormattedCitation":"&lt;sup&gt;17&lt;/sup&gt;"},"properties":{"noteIndex":0},"schema":"https://github.com/citation-style-language/schema/raw/master/csl-citation.json"}</w:instrText>
      </w:r>
      <w:r w:rsidRPr="00221CD5">
        <w:fldChar w:fldCharType="separate"/>
      </w:r>
      <w:r w:rsidR="00C046F0" w:rsidRPr="00C046F0">
        <w:rPr>
          <w:noProof/>
          <w:vertAlign w:val="superscript"/>
        </w:rPr>
        <w:t>17</w:t>
      </w:r>
      <w:r w:rsidRPr="00221CD5">
        <w:fldChar w:fldCharType="end"/>
      </w:r>
      <w:r w:rsidRPr="00221CD5">
        <w:t>.</w:t>
      </w:r>
    </w:p>
    <w:p w14:paraId="01218227" w14:textId="48551A7D" w:rsidR="00221CD5" w:rsidRPr="00221CD5" w:rsidRDefault="00221CD5" w:rsidP="00480CAD">
      <w:pPr>
        <w:pStyle w:val="TAMainText"/>
      </w:pPr>
      <w:r w:rsidRPr="00221CD5">
        <w:lastRenderedPageBreak/>
        <w:t xml:space="preserve">As for other biopolymers, HT may be a valuable route to rapidly degrade bioplastics and facilitate their </w:t>
      </w:r>
      <w:r w:rsidR="00580F5F">
        <w:t>anaerobic digestion</w:t>
      </w:r>
      <w:r w:rsidRPr="00221CD5">
        <w:t xml:space="preserve"> or synthesize added-value products. Nonetheless, to the best of our knowledge, the literature features only one study on the HT of bioplastics</w:t>
      </w:r>
      <w:r w:rsidRPr="00221CD5">
        <w:fldChar w:fldCharType="begin" w:fldLock="1"/>
      </w:r>
      <w:r w:rsidR="001D0EF2">
        <w:instrText>ADDIN CSL_CITATION {"citationItems":[{"id":"ITEM-1","itemData":{"DOI":"10.1016/j.wasman.2021.03.044","ISSN":"0956053X","author":[{"dropping-particle":"","family":"Mu","given":"Lan","non-dropping-particle":"","parse-names":false,"suffix":""},{"dropping-particle":"","family":"Zhang","given":"Lei","non-dropping-particle":"","parse-names":false,"suffix":""},{"dropping-particle":"","family":"Ma","given":"Jiao","non-dropping-particle":"","parse-names":false,"suffix":""},{"dropping-particle":"","family":"Zhu","given":"Kongyun","non-dropping-particle":"","parse-names":false,"suffix":""},{"dropping-particle":"","family":"Chen","given":"Chuanshuai","non-dropping-particle":"","parse-names":false,"suffix":""},{"dropping-particle":"","family":"Li","given":"Aimin","non-dropping-particle":"","parse-names":false,"suffix":""}],"container-title":"Waste Management","id":"ITEM-1","issued":{"date-parts":[["2021","5"]]},"page":"585-596","title":"Enhanced biomethanization of waste polylactic acid plastic by mild hydrothermal pretreatment: Taguchi orthogonal optimization and kinetics modeling","type":"article-journal","volume":"126"},"uris":["http://www.mendeley.com/documents/?uuid=7d5f312d-ace0-4e6a-937c-2d7984759b47"]}],"mendeley":{"formattedCitation":"&lt;sup&gt;10&lt;/sup&gt;","plainTextFormattedCitation":"10","previouslyFormattedCitation":"&lt;sup&gt;10&lt;/sup&gt;"},"properties":{"noteIndex":0},"schema":"https://github.com/citation-style-language/schema/raw/master/csl-citation.json"}</w:instrText>
      </w:r>
      <w:r w:rsidRPr="00221CD5">
        <w:fldChar w:fldCharType="separate"/>
      </w:r>
      <w:r w:rsidR="00C046F0" w:rsidRPr="00C046F0">
        <w:rPr>
          <w:noProof/>
          <w:vertAlign w:val="superscript"/>
        </w:rPr>
        <w:t>10</w:t>
      </w:r>
      <w:r w:rsidRPr="00221CD5">
        <w:fldChar w:fldCharType="end"/>
      </w:r>
      <w:r w:rsidRPr="00221CD5">
        <w:t xml:space="preserve"> (in addition to </w:t>
      </w:r>
      <w:r w:rsidR="00AB72A3">
        <w:t>a couple of recent studies</w:t>
      </w:r>
      <w:r w:rsidRPr="00221CD5">
        <w:t xml:space="preserve"> focused on cellulose diacetate</w:t>
      </w:r>
      <w:r w:rsidR="00AB72A3">
        <w:t xml:space="preserve"> from the eyewear industry</w:t>
      </w:r>
      <w:r w:rsidRPr="00221CD5">
        <w:fldChar w:fldCharType="begin" w:fldLock="1"/>
      </w:r>
      <w:r w:rsidR="00842BA8">
        <w:instrText>ADDIN CSL_CITATION {"citationItems":[{"id":"ITEM-1","itemData":{"DOI":"10.31025/2611-4135/2023.18275","ISSN":"2611-4135","abstract":"Bioplastics are increasingly replacing traditional plastics in many sectors, but the legislative and operative frameworks for their disposal remain unclear: they should be collected and treated together with the organic fraction of municipal solid waste (OFMSW), but often do not biodegrade satisfactorily in the plants that treat OFMSW. This work focuses on a type of cellulose diacetate employed in the eyewear industry to analyse hydrothermal carbonization (HTC) as a pre-treatment before anaerobic digestion (AD). The results show that HTC can hydrolyse this bioplastic even at moderate temperatures, reaching an almost total dissolution in the liquid phase at 210 °C and, at higher temperatures, producing hydrochar. When the HTC slurry obtained at 210 °C is fed to mesophilic or thermophilic AD, both the amount and the production rate of biogas are enhanced compared to the raw bioplastic. In particular, in thermophilic conditions, the amount of produced biogas undergoes at least a threefold increase compared to the untreated cellulose diacetate. Thus, this work confirms that a prior HTC step may be a suitable approach to enhance the disposal and energy recovery of bioplastics through AD.","author":[{"dropping-particle":"","family":"Marchelli","given":"Filippo","non-dropping-particle":"","parse-names":false,"suffix":""},{"dropping-particle":"","family":"Ferrentino","given":"Roberta","non-dropping-particle":"","parse-names":false,"suffix":""},{"dropping-particle":"","family":"Ischia","given":"Giulia","non-dropping-particle":"","parse-names":false,"suffix":""},{"dropping-particle":"","family":"Calvi","given":"Marco","non-dropping-particle":"","parse-names":false,"suffix":""},{"dropping-particle":"","family":"Andreottola","given":"Gianni","non-dropping-particle":"","parse-names":false,"suffix":""},{"dropping-particle":"","family":"Fiori","given":"Luca","non-dropping-particle":"","parse-names":false,"suffix":""}],"container-title":"Detritus","id":"ITEM-1","issue":"23","issued":{"date-parts":[["2023","6","30"]]},"page":"35-42","title":"Valorisation of eyewear bioplastics through HTC and anaerobic digestion: Preliminary results","type":"article-journal","volume":"23"},"uris":["http://www.mendeley.com/documents/?uuid=d08d5b01-b2ad-4c52-8172-12ae492a292a"]},{"id":"ITEM-2","itemData":{"DOI":"10.1021/acs.iecr.3c04162","ISSN":"0888-5885","abstract":"Cellulose acetate waste from eyewear industry is produced in considerable amounts, and its biodegradability is not straightforward due to the presence of plasticizers and the slow kinetics of deace...","author":[{"dropping-particle":"","family":"Bracciale","given":"Maria Paola","non-dropping-particle":"","parse-names":false,"suffix":""},{"dropping-particle":"","family":"Caprariis","given":"Benedetta","non-dropping-particle":"de","parse-names":false,"suffix":""},{"dropping-particle":"","family":"Musivand","given":"Sogand","non-dropping-particle":"","parse-names":false,"suffix":""},{"dropping-particle":"","family":"Damizia","given":"Martina","non-dropping-particle":"","parse-names":false,"suffix":""},{"dropping-particle":"","family":"Filippis","given":"Paolo","non-dropping-particle":"De","parse-names":false,"suffix":""}],"container-title":"Industrial &amp; Engineering Chemistry Research","id":"ITEM-2","issue":"12","issued":{"date-parts":[["2024","3","27"]]},"page":"5078-5088","publisher":"American Chemical Society","title":"Chemical Recycling of Cellulose Acetate Eyewear Industry Waste by Hydrothermal Treatment","type":"article-journal","volume":"63"},"uris":["http://www.mendeley.com/documents/?uuid=78f3766c-4a7b-304c-970a-426801854a3a"]}],"mendeley":{"formattedCitation":"&lt;sup&gt;18,19&lt;/sup&gt;","plainTextFormattedCitation":"18,19","previouslyFormattedCitation":"&lt;sup&gt;18,19&lt;/sup&gt;"},"properties":{"noteIndex":0},"schema":"https://github.com/citation-style-language/schema/raw/master/csl-citation.json"}</w:instrText>
      </w:r>
      <w:r w:rsidRPr="00221CD5">
        <w:fldChar w:fldCharType="separate"/>
      </w:r>
      <w:r w:rsidR="00842BA8" w:rsidRPr="00842BA8">
        <w:rPr>
          <w:noProof/>
          <w:vertAlign w:val="superscript"/>
        </w:rPr>
        <w:t>18,19</w:t>
      </w:r>
      <w:r w:rsidRPr="00221CD5">
        <w:fldChar w:fldCharType="end"/>
      </w:r>
      <w:r w:rsidRPr="00221CD5">
        <w:t>) and before applying the treatment to real waste bioplastic</w:t>
      </w:r>
      <w:r w:rsidR="004D4CC5">
        <w:t>s</w:t>
      </w:r>
      <w:r w:rsidRPr="00221CD5">
        <w:t xml:space="preserve"> (or even to a mixture comprising other types of organic waste), the fundamentals of the degradation </w:t>
      </w:r>
      <w:r w:rsidR="00543408">
        <w:t>behavior</w:t>
      </w:r>
      <w:r w:rsidR="00543408" w:rsidRPr="00221CD5">
        <w:t xml:space="preserve"> </w:t>
      </w:r>
      <w:r w:rsidRPr="00221CD5">
        <w:t>and the qualities of the obtained products must be ascertained. In this framework, the aim of this work is to investigate the effect of a HT on three biodegradable commercial tableware products, based on polylactic acid (PLA), Mater-Bi® (MB) and cellulose</w:t>
      </w:r>
      <w:r w:rsidR="004D4CC5">
        <w:t xml:space="preserve"> (CELL)</w:t>
      </w:r>
      <w:r w:rsidRPr="00221CD5">
        <w:t>. Given the possible influence of additives on the degradation mechanisms, we also analyzed the behavior of pure PLA as a reference.</w:t>
      </w:r>
    </w:p>
    <w:p w14:paraId="7D8AB348" w14:textId="4DCEB385" w:rsidR="00221CD5" w:rsidRPr="00221CD5" w:rsidRDefault="00221CD5" w:rsidP="00480CAD">
      <w:pPr>
        <w:pStyle w:val="TAMainText"/>
      </w:pPr>
      <w:r w:rsidRPr="00221CD5">
        <w:t>The three materials were selected as representative by virtue of their market penetration. PLA is nowadays the most technologically established and abundantly produced bioplastic: in 2022, it represented 20.7% of the global production of bio-based plastics, and 40.2% of biodegradable plastics</w:t>
      </w:r>
      <w:r w:rsidRPr="00221CD5">
        <w:fldChar w:fldCharType="begin" w:fldLock="1"/>
      </w:r>
      <w:r w:rsidR="001D0EF2">
        <w:instrText>ADDIN CSL_CITATION {"citationItems":[{"id":"ITEM-1","itemData":{"URL":"https://www.european-bioplastics.org/market/","accessed":{"date-parts":[["2023","3","22"]]},"id":"ITEM-1","issued":{"date-parts":[["0"]]},"title":"Market – European Bioplastics e.V.","type":"webpage"},"uris":["http://www.mendeley.com/documents/?uuid=de019dfe-792d-375d-95cf-3cf4fdd27ed3"]}],"mendeley":{"formattedCitation":"&lt;sup&gt;1&lt;/sup&gt;","plainTextFormattedCitation":"1","previouslyFormattedCitation":"&lt;sup&gt;1&lt;/sup&gt;"},"properties":{"noteIndex":0},"schema":"https://github.com/citation-style-language/schema/raw/master/csl-citation.json"}</w:instrText>
      </w:r>
      <w:r w:rsidRPr="00221CD5">
        <w:fldChar w:fldCharType="separate"/>
      </w:r>
      <w:r w:rsidR="00C046F0" w:rsidRPr="00C046F0">
        <w:rPr>
          <w:noProof/>
          <w:vertAlign w:val="superscript"/>
        </w:rPr>
        <w:t>1</w:t>
      </w:r>
      <w:r w:rsidRPr="00221CD5">
        <w:fldChar w:fldCharType="end"/>
      </w:r>
      <w:r w:rsidRPr="00221CD5">
        <w:t>. Its production, applications and end-of-life have been summarized by various reviews</w:t>
      </w:r>
      <w:r w:rsidRPr="00221CD5">
        <w:fldChar w:fldCharType="begin" w:fldLock="1"/>
      </w:r>
      <w:r w:rsidR="00842BA8">
        <w:instrText>ADDIN CSL_CITATION {"citationItems":[{"id":"ITEM-1","itemData":{"DOI":"10.1007/S10311-023-01564-8","ISBN":"0123456789","ISSN":"1610-3661","abstract":"Global pollution by plastics derived from petroleum has fostered the development of carbon–neutral, biodegradable bioplastics synthesized from renewable resources such as modern biomass, yet knowledge on the impact of bioplastics on ecosystems is limited. Here we review the polylactic acid plastic with focus on synthesis, biodegradability tuning, environmental conversion to microplastics, and impact on microbes, algae, phytoplankton, zooplankton, annelids, mollusk and fish. Polylactic acid is a low weight semi-crystalline bioplastic used in agriculture, medicine, packaging and textile. Polylactic acid is one of the most widely used biopolymers, accounting for 33% of all bioplastics produced in 2021. Although biodegradable in vivo, polylactic acid is not completely degradable under natural environmental conditions, notably under&amp;nbsp;aquatic&amp;nbsp;conditions. Polylactic acid disintegrates into microplastics faster than petroleum-based plastics and may pose severe threats to the exposed biota.","author":[{"dropping-particle":"","family":"Ali","given":"Wajid","non-dropping-particle":"","parse-names":false,"suffix":""},{"dropping-particle":"","family":"Ali","given":"Hazrat","non-dropping-particle":"","parse-names":false,"suffix":""},{"dropping-particle":"","family":"Gillani","given":"Sayed","non-dropping-particle":"","parse-names":false,"suffix":""},{"dropping-particle":"","family":"Zinck","given":"Philippe","non-dropping-particle":"","parse-names":false,"suffix":""},{"dropping-particle":"","family":"Souissi","given":"Sami","non-dropping-particle":"","parse-names":false,"suffix":""}],"container-title":"Environmental Chemistry Letters 2023 21:3","id":"ITEM-1","issue":"3","issued":{"date-parts":[["2023","1","25"]]},"page":"1761-1786","publisher":"Springer","title":"Polylactic acid synthesis, biodegradability, conversion to microplastics and toxicity: a review","type":"article-journal","volume":"21"},"uris":["http://www.mendeley.com/documents/?uuid=a367b237-922a-3082-997e-ecec96dfe99f"]},{"id":"ITEM-2","itemData":{"DOI":"10.1016/J.IJBIOMAC.2023.123715","ISSN":"0141-8130","PMID":"36801278","abstract":"Plastics play an essential role in food packaging; their primary function is to preserve the nature of the food, ensure adequate shelf life and ensure food safety. Plastics are being produced on a global scale in excess of 320 million tonnes annually, with demand rising to reflect the material in wide range of applications. Nowadays, the packaging industry is a significant consumer of synthetic plastic made from fossil fuels. Petrochemical-based plastics are regarded as the preferred material for packaging. Nonetheless, using these plastics in large quantities results in a long-standing environment. Environmental pollution and the depletion of fossil fuels have prompted researchers and manufacturers to develop eco-friendly biodegradable polymers to replace petrochemical-based polymers. As a result, the production of eco-friendly food packaging material has sparked increased interest as a viable alternative to petrochemical-based polymers. Polylactic acid (PLA) is one of the compostable thermoplastic biopolymers that is biodegradable and renewable in nature. High-molecular-weight PLA can be used to produce fibres, flexible, non-wovens, hard and durable materials (100,000 Da or even higher).The chapter focuses on food packaging techniques, food industry waste, biopolymers, their classification, PLA synthesis, the importance of PLA properties for food packaging, and technologies used to process PLA in food packaging.","author":[{"dropping-particle":"","family":"Swetha","given":"T. Angelin","non-dropping-particle":"","parse-names":false,"suffix":""},{"dropping-particle":"","family":"Bora","given":"Abhispa","non-dropping-particle":"","parse-names":false,"suffix":""},{"dropping-particle":"","family":"Mohanrasu","given":"K.","non-dropping-particle":"","parse-names":false,"suffix":""},{"dropping-particle":"","family":"Balaji","given":"P.","non-dropping-particle":"","parse-names":false,"suffix":""},{"dropping-particle":"","family":"Raja","given":"Rathinam","non-dropping-particle":"","parse-names":false,"suffix":""},{"dropping-particle":"","family":"Ponnuchamy","given":"Kumar","non-dropping-particle":"","parse-names":false,"suffix":""},{"dropping-particle":"","family":"Muthusamy","given":"Govarthanan","non-dropping-particle":"","parse-names":false,"suffix":""},{"dropping-particle":"","family":"Arun","given":"A.","non-dropping-particle":"","parse-names":false,"suffix":""}],"container-title":"International Journal of Biological Macromolecules","id":"ITEM-2","issued":{"date-parts":[["2023","4","15"]]},"page":"123715","publisher":"Elsevier","title":"A comprehensive review on polylactic acid (PLA) – Synthesis, processing and application in food packaging","type":"article-journal","volume":"234"},"uris":["http://www.mendeley.com/documents/?uuid=547ce47e-0a89-3e3b-8561-b298b78f64a6"]}],"mendeley":{"formattedCitation":"&lt;sup&gt;20,21&lt;/sup&gt;","plainTextFormattedCitation":"20,21","previouslyFormattedCitation":"&lt;sup&gt;20,21&lt;/sup&gt;"},"properties":{"noteIndex":0},"schema":"https://github.com/citation-style-language/schema/raw/master/csl-citation.json"}</w:instrText>
      </w:r>
      <w:r w:rsidRPr="00221CD5">
        <w:fldChar w:fldCharType="separate"/>
      </w:r>
      <w:r w:rsidR="00842BA8" w:rsidRPr="00842BA8">
        <w:rPr>
          <w:noProof/>
          <w:vertAlign w:val="superscript"/>
        </w:rPr>
        <w:t>20,21</w:t>
      </w:r>
      <w:r w:rsidRPr="00221CD5">
        <w:fldChar w:fldCharType="end"/>
      </w:r>
      <w:r w:rsidRPr="00221CD5">
        <w:t>. Mater-</w:t>
      </w:r>
      <w:r w:rsidR="005F5FFE">
        <w:t>B</w:t>
      </w:r>
      <w:r w:rsidRPr="00221CD5">
        <w:t xml:space="preserve">i® is the commercial name of several </w:t>
      </w:r>
      <w:r w:rsidR="004D4CC5">
        <w:t xml:space="preserve">biodegradable </w:t>
      </w:r>
      <w:r w:rsidRPr="00221CD5">
        <w:t xml:space="preserve">polymers mainly based on corn starch, produced by the Italian company </w:t>
      </w:r>
      <w:proofErr w:type="spellStart"/>
      <w:r w:rsidRPr="00221CD5">
        <w:t>Novamont</w:t>
      </w:r>
      <w:proofErr w:type="spellEnd"/>
      <w:r w:rsidRPr="00221CD5">
        <w:t>. The exact formulation of MB is not disclosed and different blends are available</w:t>
      </w:r>
      <w:r w:rsidRPr="00221CD5">
        <w:fldChar w:fldCharType="begin" w:fldLock="1"/>
      </w:r>
      <w:r w:rsidR="00842BA8">
        <w:instrText>ADDIN CSL_CITATION {"citationItems":[{"id":"ITEM-1","itemData":{"DOI":"10.1016/J.COMPOSITESA.2015.08.023","ISSN":"1359-835X","abstract":"This paper focuses on the analysis of thermal and mechanical properties of novel biocomposites of Alfa fibers dispersed in a bioplastic of the Mater-Bi® type in relation with their morphology. These biocomposites obtained by twin screw extrusion were injection molded. Mater-Bi® is a commercial biodegradable thermoplastic based on poly(butylene terephthalate-co-butylene adipate) and starch. Raw and alkali treated Alfa fibers were used as reinforcement. Thermal analysis showed significant increase of the crystallization rate with the incorporation of Alfa fibers and enhancement of thermal stability by alkali treatment. Modulus and tensile strength of biocomposites also increased whereas toughness and elongation at break decreased upon increasing the fibers fraction. Scanning electron microscopy (SEM) on fractured surfaces indicated good adhesion between the matrix and the treated or untreated Alfa fibers.","author":[{"dropping-particle":"","family":"Elfehri Borchani","given":"Karama","non-dropping-particle":"","parse-names":false,"suffix":""},{"dropping-particle":"","family":"Carrot","given":"Christian","non-dropping-particle":"","parse-names":false,"suffix":""},{"dropping-particle":"","family":"Jaziri","given":"Mohamed","non-dropping-particle":"","parse-names":false,"suffix":""}],"container-title":"Composites Part A: Applied Science and Manufacturing","id":"ITEM-1","issued":{"date-parts":[["2015","11","1"]]},"page":"371-379","publisher":"Elsevier","title":"Biocomposites of Alfa fibers dispersed in the Mater-Bi® type bioplastic: Morphology, mechanical and thermal properties","type":"article-journal","volume":"78"},"uris":["http://www.mendeley.com/documents/?uuid=3dc12c69-2267-3457-9c8f-16f05a3715bd"]}],"mendeley":{"formattedCitation":"&lt;sup&gt;22&lt;/sup&gt;","plainTextFormattedCitation":"22","previouslyFormattedCitation":"&lt;sup&gt;22&lt;/sup&gt;"},"properties":{"noteIndex":0},"schema":"https://github.com/citation-style-language/schema/raw/master/csl-citation.json"}</w:instrText>
      </w:r>
      <w:r w:rsidRPr="00221CD5">
        <w:fldChar w:fldCharType="separate"/>
      </w:r>
      <w:r w:rsidR="00842BA8" w:rsidRPr="00842BA8">
        <w:rPr>
          <w:noProof/>
          <w:vertAlign w:val="superscript"/>
        </w:rPr>
        <w:t>22</w:t>
      </w:r>
      <w:r w:rsidRPr="00221CD5">
        <w:fldChar w:fldCharType="end"/>
      </w:r>
      <w:r w:rsidRPr="00221CD5">
        <w:t xml:space="preserve">, with diverse applications: shopping and waste bags, disposable cutleries, food and mulching films, etc. Finally, cellulose is technically not a bioplastic; its mechanical properties and waterproofing are inferior to those of bioplastics, but its advantages include lower complexity </w:t>
      </w:r>
      <w:r w:rsidR="004D4CC5">
        <w:t>in</w:t>
      </w:r>
      <w:r w:rsidRPr="00221CD5">
        <w:t xml:space="preserve"> the production process and faster biological degradation. It is hence employed to produce disposable items. Contrary to PLA and MB, unprocessed cellulose behavior under hydrothermal conditions has been the subject of many studies. </w:t>
      </w:r>
    </w:p>
    <w:p w14:paraId="7076AD9C" w14:textId="3E5E039E" w:rsidR="00221CD5" w:rsidRDefault="00221CD5" w:rsidP="00480CAD">
      <w:pPr>
        <w:pStyle w:val="TAMainText"/>
      </w:pPr>
      <w:r w:rsidRPr="00221CD5">
        <w:lastRenderedPageBreak/>
        <w:t xml:space="preserve">We subjected the samples to </w:t>
      </w:r>
      <w:r w:rsidR="00456461">
        <w:t xml:space="preserve">a </w:t>
      </w:r>
      <w:r w:rsidRPr="00221CD5">
        <w:t xml:space="preserve">HT under three different temperatures, separately and in mixture, assessing the yields of the products. The starting materials and the liquid and solid products were </w:t>
      </w:r>
      <w:r w:rsidR="00CC6313">
        <w:t>characterized by multiple</w:t>
      </w:r>
      <w:r w:rsidRPr="00221CD5">
        <w:t xml:space="preserve"> analytical techniques, employed to understand the </w:t>
      </w:r>
      <w:r w:rsidR="00004907">
        <w:t xml:space="preserve">degradation </w:t>
      </w:r>
      <w:proofErr w:type="gramStart"/>
      <w:r w:rsidR="00004907">
        <w:t>behavior</w:t>
      </w:r>
      <w:proofErr w:type="gramEnd"/>
      <w:r w:rsidRPr="00221CD5">
        <w:t xml:space="preserve"> and identify possible valuable products, which can ultimately help identify the most suitable valorization pathway.</w:t>
      </w:r>
    </w:p>
    <w:p w14:paraId="5AF4307E" w14:textId="77777777" w:rsidR="00C046F0" w:rsidRPr="00221CD5" w:rsidRDefault="00C046F0" w:rsidP="00C046F0">
      <w:pPr>
        <w:pStyle w:val="TAMainText"/>
        <w:spacing w:after="240"/>
        <w:ind w:firstLine="0"/>
        <w:jc w:val="left"/>
        <w:rPr>
          <w:b/>
          <w:bCs/>
        </w:rPr>
      </w:pPr>
    </w:p>
    <w:p w14:paraId="13EF21D3" w14:textId="77777777" w:rsidR="00221CD5" w:rsidRPr="00221CD5" w:rsidRDefault="00221CD5" w:rsidP="00221CD5">
      <w:pPr>
        <w:pStyle w:val="TAMainText"/>
        <w:spacing w:after="240"/>
        <w:ind w:firstLine="0"/>
        <w:jc w:val="left"/>
        <w:rPr>
          <w:b/>
          <w:bCs/>
        </w:rPr>
      </w:pPr>
      <w:r w:rsidRPr="00221CD5">
        <w:rPr>
          <w:b/>
          <w:bCs/>
        </w:rPr>
        <w:t>2. MATERIALS AND METHODS</w:t>
      </w:r>
    </w:p>
    <w:p w14:paraId="623E5696" w14:textId="066A8EA4" w:rsidR="00221CD5" w:rsidRPr="00221CD5" w:rsidRDefault="00221CD5" w:rsidP="00480CAD">
      <w:pPr>
        <w:pStyle w:val="TAMainText"/>
        <w:rPr>
          <w:b/>
          <w:bCs/>
        </w:rPr>
      </w:pPr>
      <w:r w:rsidRPr="00221CD5">
        <w:rPr>
          <w:b/>
          <w:bCs/>
        </w:rPr>
        <w:t>2.</w:t>
      </w:r>
      <w:r w:rsidR="00CC6313">
        <w:rPr>
          <w:b/>
          <w:bCs/>
        </w:rPr>
        <w:t>1</w:t>
      </w:r>
      <w:r w:rsidRPr="00221CD5">
        <w:rPr>
          <w:b/>
          <w:bCs/>
        </w:rPr>
        <w:t xml:space="preserve">. Samples. </w:t>
      </w:r>
      <w:r w:rsidRPr="00221CD5">
        <w:t xml:space="preserve">The products used in the present work were purchased online from the company </w:t>
      </w:r>
      <w:proofErr w:type="spellStart"/>
      <w:r w:rsidRPr="00221CD5">
        <w:t>Ekoe</w:t>
      </w:r>
      <w:proofErr w:type="spellEnd"/>
      <w:r w:rsidRPr="00221CD5">
        <w:t xml:space="preserve"> (</w:t>
      </w:r>
      <w:hyperlink r:id="rId8" w:history="1">
        <w:r w:rsidRPr="00221CD5">
          <w:rPr>
            <w:rStyle w:val="Collegamentoipertestuale"/>
          </w:rPr>
          <w:t>www.ekoe.org</w:t>
        </w:r>
      </w:hyperlink>
      <w:r w:rsidRPr="00221CD5">
        <w:t>). Three items were selected: spoons in crystallized polylactic acid (</w:t>
      </w:r>
      <w:proofErr w:type="spellStart"/>
      <w:r w:rsidRPr="00221CD5">
        <w:t>cPLA</w:t>
      </w:r>
      <w:proofErr w:type="spellEnd"/>
      <w:r w:rsidRPr="00221CD5">
        <w:t xml:space="preserve">), forks in MB, and bowls in cellulose pulp. All the sampled </w:t>
      </w:r>
      <w:r w:rsidR="00F12004" w:rsidRPr="00221CD5">
        <w:t xml:space="preserve">products </w:t>
      </w:r>
      <w:r w:rsidRPr="00221CD5">
        <w:t>are labelled as compostable according to the Italian regulation UNI EN 13432/02. Additionally, the cellulose bowls are certified as compostable by TUV Austria. According to the</w:t>
      </w:r>
      <w:r w:rsidR="007D454E">
        <w:t xml:space="preserve"> official</w:t>
      </w:r>
      <w:r w:rsidRPr="00221CD5">
        <w:t xml:space="preserve"> product data sheets, the </w:t>
      </w:r>
      <w:proofErr w:type="spellStart"/>
      <w:r w:rsidRPr="00221CD5">
        <w:t>cPLA</w:t>
      </w:r>
      <w:proofErr w:type="spellEnd"/>
      <w:r w:rsidRPr="00221CD5">
        <w:t xml:space="preserve"> spoons can tolerate temperatures up to 90 °C for an unspecified time, the MB forks can withstand 70 °C for 120 min, and the cellulose bowls can be kept at 120 °C for 30 min. Some analyses were also run on pure polylactic acid (</w:t>
      </w:r>
      <w:proofErr w:type="spellStart"/>
      <w:r w:rsidRPr="00221CD5">
        <w:t>pPLA</w:t>
      </w:r>
      <w:proofErr w:type="spellEnd"/>
      <w:r w:rsidRPr="00221CD5">
        <w:t xml:space="preserve">, Sigma-Aldrich) as a reference material. </w:t>
      </w:r>
      <w:r w:rsidR="003B5B4C">
        <w:t>The moisture content of the materials was assessed by leaving them in a</w:t>
      </w:r>
      <w:r w:rsidR="002B15F9">
        <w:t>n</w:t>
      </w:r>
      <w:r w:rsidR="003B5B4C">
        <w:t xml:space="preserve"> </w:t>
      </w:r>
      <w:r w:rsidR="000614A6">
        <w:t>oven</w:t>
      </w:r>
      <w:r w:rsidR="003B5B4C">
        <w:t xml:space="preserve"> at 105 °C overnight: </w:t>
      </w:r>
      <w:proofErr w:type="spellStart"/>
      <w:r w:rsidRPr="00944463">
        <w:t>p</w:t>
      </w:r>
      <w:r w:rsidR="000C5E0E">
        <w:t>P</w:t>
      </w:r>
      <w:r w:rsidRPr="00944463">
        <w:t>LA</w:t>
      </w:r>
      <w:proofErr w:type="spellEnd"/>
      <w:r w:rsidRPr="00944463">
        <w:t xml:space="preserve">, </w:t>
      </w:r>
      <w:proofErr w:type="spellStart"/>
      <w:r w:rsidRPr="00944463">
        <w:t>cPLA</w:t>
      </w:r>
      <w:proofErr w:type="spellEnd"/>
      <w:r w:rsidRPr="00944463">
        <w:t xml:space="preserve"> and MB showed virtually null moisture contents, whereas the moisture content of cellulose bowls was 7.4 ± 0.2 %.</w:t>
      </w:r>
    </w:p>
    <w:p w14:paraId="0C8C9FAC" w14:textId="06FD0FCB" w:rsidR="00221CD5" w:rsidRPr="00221CD5" w:rsidRDefault="00221CD5" w:rsidP="00480CAD">
      <w:pPr>
        <w:pStyle w:val="TAMainText"/>
      </w:pPr>
      <w:r w:rsidRPr="00221CD5">
        <w:t>The bioplastics were first characterized in terms of their ash content and elemental composition. The ash content was determined by placing a sample of the chosen bioplastic in a muffle at 550</w:t>
      </w:r>
      <w:r w:rsidR="00BF1B38">
        <w:t> </w:t>
      </w:r>
      <w:r w:rsidRPr="00221CD5">
        <w:t xml:space="preserve">°C for 6 hours. The mass fraction of carbon, hydrogen and nitrogen was determined via a LECO 628 Elemental Analyzer in accordance with ASTM D-5375; the oxygen content was determined by difference with the amounts of C, H, </w:t>
      </w:r>
      <w:proofErr w:type="gramStart"/>
      <w:r w:rsidRPr="00221CD5">
        <w:t>N</w:t>
      </w:r>
      <w:proofErr w:type="gramEnd"/>
      <w:r w:rsidRPr="00221CD5">
        <w:t xml:space="preserve"> and ash. Each analysis was performed at least in duplicate. </w:t>
      </w:r>
      <w:r w:rsidRPr="00221CD5">
        <w:lastRenderedPageBreak/>
        <w:t>The bioplastics were also characterized by evolved gas analysis-mass spectrometry (EGA-MS) and analytical pyrolysis-gas chromatography-mass spectrometry (</w:t>
      </w:r>
      <w:proofErr w:type="spellStart"/>
      <w:r w:rsidRPr="00221CD5">
        <w:t>Py</w:t>
      </w:r>
      <w:proofErr w:type="spellEnd"/>
      <w:r w:rsidRPr="00221CD5">
        <w:t>-GC/MS) to obtain information on their thermal properties and molecular composition</w:t>
      </w:r>
      <w:r w:rsidR="004A5FA1">
        <w:t xml:space="preserve">, </w:t>
      </w:r>
      <w:r w:rsidR="004A5FA1" w:rsidRPr="00221CD5">
        <w:t>and by X-ray fluorescence (XRF) to assess the presence of inorganics</w:t>
      </w:r>
      <w:r w:rsidRPr="00221CD5">
        <w:t xml:space="preserve">. </w:t>
      </w:r>
      <w:r w:rsidRPr="006C74E9">
        <w:t xml:space="preserve">Details on the experimental parameters for </w:t>
      </w:r>
      <w:r w:rsidR="006C74E9">
        <w:t xml:space="preserve">EGA-MS and </w:t>
      </w:r>
      <w:proofErr w:type="spellStart"/>
      <w:r w:rsidR="006C74E9">
        <w:t>Py</w:t>
      </w:r>
      <w:proofErr w:type="spellEnd"/>
      <w:r w:rsidR="006C74E9">
        <w:t>-GC/MS</w:t>
      </w:r>
      <w:r w:rsidRPr="006C74E9">
        <w:t xml:space="preserve"> are provided in sections</w:t>
      </w:r>
      <w:r w:rsidR="00BA67EE">
        <w:t xml:space="preserve"> 2.5 and 2.6</w:t>
      </w:r>
      <w:r w:rsidR="00E6562F">
        <w:t>, respectively,</w:t>
      </w:r>
      <w:r w:rsidR="004A56A4">
        <w:t xml:space="preserve"> while info on </w:t>
      </w:r>
      <w:r w:rsidR="004A5FA1">
        <w:t xml:space="preserve">XRF and </w:t>
      </w:r>
      <w:r w:rsidR="004A56A4">
        <w:t>data processing are reported in Supplementary Material</w:t>
      </w:r>
      <w:r w:rsidRPr="006C74E9">
        <w:t>.</w:t>
      </w:r>
    </w:p>
    <w:p w14:paraId="7B9CD326" w14:textId="066CC328" w:rsidR="00221CD5" w:rsidRDefault="00221CD5" w:rsidP="00480CAD">
      <w:pPr>
        <w:pStyle w:val="TAMainText"/>
      </w:pPr>
      <w:r w:rsidRPr="00221CD5">
        <w:t>Before the experiments, the bioplastics were cut into smaller pieces, with their largest dimension equal to 1-2 cm, to facilitate their placement into the HT reactor. However, contrary to the study of Mu et al.</w:t>
      </w:r>
      <w:r w:rsidRPr="00221CD5">
        <w:fldChar w:fldCharType="begin" w:fldLock="1"/>
      </w:r>
      <w:r w:rsidR="001D0EF2">
        <w:instrText>ADDIN CSL_CITATION {"citationItems":[{"id":"ITEM-1","itemData":{"DOI":"10.1016/j.wasman.2021.03.044","ISSN":"0956053X","author":[{"dropping-particle":"","family":"Mu","given":"Lan","non-dropping-particle":"","parse-names":false,"suffix":""},{"dropping-particle":"","family":"Zhang","given":"Lei","non-dropping-particle":"","parse-names":false,"suffix":""},{"dropping-particle":"","family":"Ma","given":"Jiao","non-dropping-particle":"","parse-names":false,"suffix":""},{"dropping-particle":"","family":"Zhu","given":"Kongyun","non-dropping-particle":"","parse-names":false,"suffix":""},{"dropping-particle":"","family":"Chen","given":"Chuanshuai","non-dropping-particle":"","parse-names":false,"suffix":""},{"dropping-particle":"","family":"Li","given":"Aimin","non-dropping-particle":"","parse-names":false,"suffix":""}],"container-title":"Waste Management","id":"ITEM-1","issued":{"date-parts":[["2021","5"]]},"page":"585-596","title":"Enhanced biomethanization of waste polylactic acid plastic by mild hydrothermal pretreatment: Taguchi orthogonal optimization and kinetics modeling","type":"article-journal","volume":"126"},"uris":["http://www.mendeley.com/documents/?uuid=7d5f312d-ace0-4e6a-937c-2d7984759b47"]}],"mendeley":{"formattedCitation":"&lt;sup&gt;10&lt;/sup&gt;","plainTextFormattedCitation":"10","previouslyFormattedCitation":"&lt;sup&gt;10&lt;/sup&gt;"},"properties":{"noteIndex":0},"schema":"https://github.com/citation-style-language/schema/raw/master/csl-citation.json"}</w:instrText>
      </w:r>
      <w:r w:rsidRPr="00221CD5">
        <w:fldChar w:fldCharType="separate"/>
      </w:r>
      <w:r w:rsidR="00C046F0" w:rsidRPr="00C046F0">
        <w:rPr>
          <w:noProof/>
          <w:vertAlign w:val="superscript"/>
        </w:rPr>
        <w:t>10</w:t>
      </w:r>
      <w:r w:rsidRPr="00221CD5">
        <w:fldChar w:fldCharType="end"/>
      </w:r>
      <w:r w:rsidRPr="00221CD5">
        <w:t>, the materials were not crushed prior to the treatment, making the results more scalable to a realistic industrial scenario. Their original shape and the employed fragments are shown in Fig</w:t>
      </w:r>
      <w:r w:rsidR="006478C5">
        <w:t>ure</w:t>
      </w:r>
      <w:r w:rsidRPr="00221CD5">
        <w:t xml:space="preserve"> 1.</w:t>
      </w:r>
    </w:p>
    <w:p w14:paraId="1B2E0132" w14:textId="1E6EABB2" w:rsidR="00767657" w:rsidRPr="00221CD5" w:rsidRDefault="0006712F" w:rsidP="00944463">
      <w:pPr>
        <w:pStyle w:val="TAMainText"/>
        <w:spacing w:after="240"/>
        <w:ind w:firstLine="0"/>
      </w:pPr>
      <w:r w:rsidRPr="00221CD5">
        <w:rPr>
          <w:b/>
          <w:bCs/>
        </w:rPr>
        <w:t>2.</w:t>
      </w:r>
      <w:r w:rsidR="00CC6313">
        <w:rPr>
          <w:b/>
          <w:bCs/>
        </w:rPr>
        <w:t>2</w:t>
      </w:r>
      <w:r w:rsidRPr="00221CD5">
        <w:rPr>
          <w:b/>
          <w:bCs/>
        </w:rPr>
        <w:t>. Hydrothermal treatment (HT).</w:t>
      </w:r>
      <w:r w:rsidRPr="00221CD5">
        <w:t xml:space="preserve"> Experiments were performed in a non-stirred batch reactor with a total internal volume of 2 L (aside for the tests involving </w:t>
      </w:r>
      <w:proofErr w:type="spellStart"/>
      <w:r w:rsidRPr="00221CD5">
        <w:t>pPLA</w:t>
      </w:r>
      <w:proofErr w:type="spellEnd"/>
      <w:r w:rsidRPr="00221CD5">
        <w:t>, which were instead run in an analogous reactor with a 50 mL volume). Detailed information about the reactor</w:t>
      </w:r>
      <w:r w:rsidR="007D454E">
        <w:t xml:space="preserve"> and the experimental procedure</w:t>
      </w:r>
      <w:r w:rsidRPr="00221CD5">
        <w:t xml:space="preserve"> are available </w:t>
      </w:r>
      <w:r w:rsidR="007C3BD6">
        <w:t xml:space="preserve">in a </w:t>
      </w:r>
      <w:r w:rsidRPr="00221CD5">
        <w:t>previous publication</w:t>
      </w:r>
      <w:r w:rsidRPr="000F5503">
        <w:rPr>
          <w:vertAlign w:val="superscript"/>
        </w:rPr>
        <w:fldChar w:fldCharType="begin" w:fldLock="1"/>
      </w:r>
      <w:r w:rsidR="00842BA8">
        <w:rPr>
          <w:vertAlign w:val="superscript"/>
        </w:rPr>
        <w:instrText>ADDIN CSL_CITATION {"citationItems":[{"id":"ITEM-1","itemData":{"DOI":"10.3303/CET1865008","abstract":"Copyright © 2018, AIDIC Servizi S.r.l. HydroThermal Carbonization (HTC) is a thermochemical process capable of converting wet biomass into a carbon-enriched solid, commonly referred to as hydrochar. Hydrochar finds application as bio-fuel, soil improver and for the production of carbon-advanced materials. In recent years, interest in HTC technology has grown significantly, in terms of both scientific research and industrial development. The HTC process consists of several reactions occurring both in series and in parallel: hydrolysis, dehydration, decarboxylation, condensation, aromatization, and others. Some reactions are known to be exothermic, while others are endothermic. Knowing the enthalpy of the “whole” HTC reaction would be beneficial in terms of both process design and energy calculations, in particular to evaluate the process heat duty. Unfortunately, such kind of information is barely available in the literature: some data have been obtained at the “micro-scale” using differential scanning calorimetry (DSC), with the limits of using a few milligrams of (usually heterogeneous) biomass per trial, while punctual data at larger scale are actually missing. In order to fill this gap, we designed and constructed in-house a 2 L batch reactor equipped with four thermocouples - placed at different heights inside the reactor - and capable to withstand pressures up to 140 bar and temperatures up to 300 °C. The reactor, controlled in temperature, is heated by four electrical resistances (1 kW each) and thermally insulated. An electric power meter allows monitoring and recording the electrical consumption during HTC trials. Thermal trials were performed with the bench-scale reactor fed with only water to provide a baseline for calculations. HTC trials were then performed using biomasses, namely organic fraction of municipal solid waste and agave pulp. At the different HTC operating conditions investigated (residence time: 3 h; reactor filling degree: 67 %; temperatures: 180, 220, and 250 °C; dry biomass to water ratio: 0.10 and 0.15), our data testify that the “whole” HTC reaction is exothermic, and the heat released by the reaction increases with temperature. The design of such a reactor and the data obtained so far encourage an in-depth analysis of the enthalpy of the HTC reaction for different biomasses and at various operating conditions.","author":[{"dropping-particle":"","family":"Merzari","given":"Fabio","non-dropping-particle":"","parse-names":false,"suffix":""},{"dropping-particle":"","family":"Lucian","given":"Michela","non-dropping-particle":"","parse-names":false,"suffix":""},{"dropping-particle":"","family":"Volpe","given":"Maurizio","non-dropping-particle":"","parse-names":false,"suffix":""},{"dropping-particle":"","family":"Andreottola","given":"Gianni","non-dropping-particle":"","parse-names":false,"suffix":""},{"dropping-particle":"","family":"Fiori","given":"Luca","non-dropping-particle":"","parse-names":false,"suffix":""}],"container-title":"Chemical Engineering Transactions","id":"ITEM-1","issue":"July","issued":{"date-parts":[["2018"]]},"page":"43-48","title":"Hydrothermal carbonization of biomass: Design of a bench-Scale reactor for evaluating the heat of reaction","type":"article-journal","volume":"65"},"uris":["http://www.mendeley.com/documents/?uuid=2acd61de-6c94-495a-93d5-4a0ca830998b","http://www.mendeley.com/documents/?uuid=9d794348-f704-4896-852e-7267beef99bc"]}],"mendeley":{"formattedCitation":"&lt;sup&gt;23&lt;/sup&gt;","plainTextFormattedCitation":"23","previouslyFormattedCitation":"&lt;sup&gt;23&lt;/sup&gt;"},"properties":{"noteIndex":0},"schema":"https://github.com/citation-style-language/schema/raw/master/csl-citation.json"}</w:instrText>
      </w:r>
      <w:r w:rsidRPr="000F5503">
        <w:rPr>
          <w:vertAlign w:val="superscript"/>
        </w:rPr>
        <w:fldChar w:fldCharType="separate"/>
      </w:r>
      <w:r w:rsidR="00842BA8" w:rsidRPr="00842BA8">
        <w:rPr>
          <w:noProof/>
          <w:vertAlign w:val="superscript"/>
        </w:rPr>
        <w:t>23</w:t>
      </w:r>
      <w:r w:rsidRPr="000F5503">
        <w:rPr>
          <w:vertAlign w:val="superscript"/>
        </w:rPr>
        <w:fldChar w:fldCharType="end"/>
      </w:r>
      <w:r w:rsidRPr="00221CD5">
        <w:t xml:space="preserve">. </w:t>
      </w:r>
      <w:r w:rsidR="007C3BD6">
        <w:t xml:space="preserve">Each material and a 1:1:1 mixture of </w:t>
      </w:r>
      <w:proofErr w:type="spellStart"/>
      <w:r w:rsidR="007C3BD6">
        <w:t>cPLA</w:t>
      </w:r>
      <w:proofErr w:type="spellEnd"/>
      <w:r w:rsidR="007C3BD6">
        <w:t xml:space="preserve">, MB and CELL (labeled MIX) </w:t>
      </w:r>
      <w:r w:rsidR="00031DF7">
        <w:t xml:space="preserve">were </w:t>
      </w:r>
      <w:r w:rsidR="007C3BD6">
        <w:t>tested at 160, 180 and 200 °C, with e</w:t>
      </w:r>
      <w:r w:rsidR="007C3BD6" w:rsidRPr="00221CD5">
        <w:t>ach test performed</w:t>
      </w:r>
      <w:r w:rsidR="007C3BD6" w:rsidRPr="00480CAD">
        <w:t xml:space="preserve"> at least</w:t>
      </w:r>
      <w:r w:rsidR="007C3BD6" w:rsidRPr="00221CD5">
        <w:t xml:space="preserve"> twice.</w:t>
      </w:r>
      <w:r w:rsidR="00674BB8">
        <w:t xml:space="preserve"> These temperatures may ensure a partial or total hydrolysis of the bioplastics without generating toxic compounds that would hinder a subsequent valorization through anaerobic digestion</w:t>
      </w:r>
      <w:r w:rsidR="004204E5">
        <w:fldChar w:fldCharType="begin" w:fldLock="1"/>
      </w:r>
      <w:r w:rsidR="00AB72A3">
        <w:instrText>ADDIN CSL_CITATION {"citationItems":[{"id":"ITEM-1","itemData":{"DOI":"10.1021/acs.energyfuels.1c01681","ISSN":"0887-0624","abstract":"Hydrothermal carbonization is emerging as a promising eco-friendly technology for the management of wet biomass wastes through energy recovery. It avoids drying of the feedstock and operates at a much lower temperature than conventional thermal conversion technologies, giving rise to a carbonaceous solid, hydrochar, of improved fuel quality with respect to the starting biomass. However, the aqueous fraction resulting from this process, the so-called process water, represents a troublesome secondary waste requiring effective treatment because of the high chemical oxygen demand and the presence of varying amounts of nutrients. Anaerobic digestion appears as a potential solution allowing significant reduction of the organic load while producing methane-rich biogas, thus contributing to energy recovery. Integrating hydrothermal carbonization and anaerobic digestion is gaining interest in the literature. This review compiles the reported studies on the application of hydrothermal carbonization coupled with anaerobic digestion for energy recovery of different biomass wastes, analyzing the energy balances. The main characteristics of the resulting HC and the methanogenic potential of the process waters are reviewed in connection with the operating conditions, as well as the possibility of nutrient recovery. Life cycle assessment and economic studies are included.","author":[{"dropping-particle":"","family":"Ipiales","given":"R. P.","non-dropping-particle":"","parse-names":false,"suffix":""},{"dropping-particle":"","family":"la Rubia","given":"M. A.","non-dropping-particle":"de","parse-names":false,"suffix":""},{"dropping-particle":"","family":"Diaz","given":"E.","non-dropping-particle":"","parse-names":false,"suffix":""},{"dropping-particle":"","family":"Mohedano","given":"A. F.","non-dropping-particle":"","parse-names":false,"suffix":""},{"dropping-particle":"","family":"Rodriguez","given":"Juan J.","non-dropping-particle":"","parse-names":false,"suffix":""}],"container-title":"Energy &amp; Fuels","id":"ITEM-1","issue":"21","issued":{"date-parts":[["2021","11","4"]]},"page":"17032-17050","publisher":"American Chemical Society","title":"Integration of Hydrothermal Carbonization and Anaerobic Digestion for Energy Recovery of Biomass Waste: An Overview","type":"article-journal","volume":"35"},"uris":["http://www.mendeley.com/documents/?uuid=53421c43-34e0-39de-8ae5-565cbd350912"]}],"mendeley":{"formattedCitation":"&lt;sup&gt;15&lt;/sup&gt;","plainTextFormattedCitation":"15","previouslyFormattedCitation":"&lt;sup&gt;15&lt;/sup&gt;"},"properties":{"noteIndex":0},"schema":"https://github.com/citation-style-language/schema/raw/master/csl-citation.json"}</w:instrText>
      </w:r>
      <w:r w:rsidR="004204E5">
        <w:fldChar w:fldCharType="separate"/>
      </w:r>
      <w:r w:rsidR="004204E5" w:rsidRPr="004204E5">
        <w:rPr>
          <w:noProof/>
          <w:vertAlign w:val="superscript"/>
        </w:rPr>
        <w:t>15</w:t>
      </w:r>
      <w:r w:rsidR="004204E5">
        <w:fldChar w:fldCharType="end"/>
      </w:r>
      <w:r w:rsidR="00130A8A">
        <w:t xml:space="preserve"> and are</w:t>
      </w:r>
      <w:r w:rsidR="00D461D9" w:rsidRPr="00D461D9">
        <w:t xml:space="preserve"> not too severe so as to favor a possible integration of the </w:t>
      </w:r>
      <w:r w:rsidR="00D461D9">
        <w:t>HT</w:t>
      </w:r>
      <w:r w:rsidR="00D461D9" w:rsidRPr="00D461D9">
        <w:t xml:space="preserve"> within the OFMSW treatment plant</w:t>
      </w:r>
      <w:r w:rsidR="00674BB8">
        <w:t>.</w:t>
      </w:r>
      <w:r w:rsidR="007C3BD6">
        <w:t xml:space="preserve"> The tests are labelled through abbreviations with the form MMTTT: MM is the material acronym, while TTT is the treatment temperature. The tests were performed employing</w:t>
      </w:r>
      <w:r w:rsidRPr="00221CD5">
        <w:t xml:space="preserve"> 100 g of </w:t>
      </w:r>
      <w:r w:rsidR="007C3BD6">
        <w:t>solids</w:t>
      </w:r>
      <w:r w:rsidRPr="00221CD5">
        <w:t xml:space="preserve"> and 1 </w:t>
      </w:r>
      <w:r w:rsidR="00674BB8">
        <w:t>kg</w:t>
      </w:r>
      <w:r w:rsidR="00674BB8" w:rsidRPr="00221CD5">
        <w:t xml:space="preserve"> </w:t>
      </w:r>
      <w:r w:rsidRPr="00221CD5">
        <w:t>of tap water</w:t>
      </w:r>
      <w:r w:rsidR="007C3BD6">
        <w:t>.</w:t>
      </w:r>
      <w:r w:rsidRPr="00221CD5">
        <w:t xml:space="preserve"> The reactor was maintained at the chosen temperature for 1 h. At the end of the cooling phase, the produced gas was let flow in a </w:t>
      </w:r>
      <w:r w:rsidRPr="00221CD5">
        <w:lastRenderedPageBreak/>
        <w:t xml:space="preserve">transparent column, filled with liquid water and closed at the top, allowing </w:t>
      </w:r>
      <w:r w:rsidR="00AA09F0">
        <w:t>measuring</w:t>
      </w:r>
      <w:r w:rsidRPr="00221CD5">
        <w:t xml:space="preserve"> its volume. The </w:t>
      </w:r>
      <w:r w:rsidR="0098382A">
        <w:t xml:space="preserve">reactor </w:t>
      </w:r>
      <w:r w:rsidRPr="00221CD5">
        <w:t>content</w:t>
      </w:r>
      <w:r w:rsidR="007C3BD6">
        <w:t xml:space="preserve"> was then collected and</w:t>
      </w:r>
      <w:r w:rsidRPr="00221CD5">
        <w:t xml:space="preserve"> placed in a plastic bottle stored at 4 °C. </w:t>
      </w:r>
    </w:p>
    <w:p w14:paraId="4A5D435A" w14:textId="77777777" w:rsidR="00221CD5" w:rsidRPr="00221CD5" w:rsidRDefault="00221CD5" w:rsidP="00221CD5">
      <w:pPr>
        <w:pStyle w:val="TAMainText"/>
        <w:spacing w:after="240"/>
        <w:ind w:firstLine="0"/>
        <w:jc w:val="left"/>
      </w:pPr>
      <w:r w:rsidRPr="00221CD5">
        <w:rPr>
          <w:noProof/>
        </w:rPr>
        <w:drawing>
          <wp:inline distT="0" distB="0" distL="0" distR="0" wp14:anchorId="5D048150" wp14:editId="10E1CF54">
            <wp:extent cx="6120130" cy="1514475"/>
            <wp:effectExtent l="0" t="0" r="0" b="9525"/>
            <wp:docPr id="44226056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1514475"/>
                    </a:xfrm>
                    <a:prstGeom prst="rect">
                      <a:avLst/>
                    </a:prstGeom>
                    <a:noFill/>
                    <a:ln>
                      <a:noFill/>
                    </a:ln>
                  </pic:spPr>
                </pic:pic>
              </a:graphicData>
            </a:graphic>
          </wp:inline>
        </w:drawing>
      </w:r>
    </w:p>
    <w:p w14:paraId="7CF9229E" w14:textId="1C9CAF9E" w:rsidR="00767657" w:rsidRPr="00767657" w:rsidRDefault="00221CD5" w:rsidP="00944463">
      <w:pPr>
        <w:pStyle w:val="VAFigureCaption"/>
      </w:pPr>
      <w:r w:rsidRPr="00221CD5">
        <w:rPr>
          <w:b/>
          <w:bCs/>
        </w:rPr>
        <w:t>Figure 1</w:t>
      </w:r>
      <w:r w:rsidRPr="00221CD5">
        <w:t xml:space="preserve">. </w:t>
      </w:r>
      <w:proofErr w:type="spellStart"/>
      <w:r w:rsidRPr="00221CD5">
        <w:t>cPLA</w:t>
      </w:r>
      <w:proofErr w:type="spellEnd"/>
      <w:r w:rsidRPr="00221CD5">
        <w:t xml:space="preserve"> spoons (left), MB forks (center), </w:t>
      </w:r>
      <w:r w:rsidR="00037B5E">
        <w:t xml:space="preserve">and </w:t>
      </w:r>
      <w:r w:rsidRPr="00221CD5">
        <w:t>cellulose bowls (right).</w:t>
      </w:r>
    </w:p>
    <w:p w14:paraId="62D20570" w14:textId="7EFA7163" w:rsidR="00221CD5" w:rsidRPr="00221CD5" w:rsidRDefault="00221CD5" w:rsidP="00480CAD">
      <w:pPr>
        <w:pStyle w:val="TAMainText"/>
      </w:pPr>
      <w:r w:rsidRPr="00221CD5">
        <w:rPr>
          <w:b/>
          <w:bCs/>
        </w:rPr>
        <w:t>2.</w:t>
      </w:r>
      <w:r w:rsidR="00CC6313">
        <w:rPr>
          <w:b/>
          <w:bCs/>
        </w:rPr>
        <w:t>3</w:t>
      </w:r>
      <w:r w:rsidRPr="00221CD5">
        <w:rPr>
          <w:b/>
          <w:bCs/>
        </w:rPr>
        <w:t>. HT products yields.</w:t>
      </w:r>
      <w:r w:rsidRPr="00221CD5">
        <w:t xml:space="preserve"> The mass</w:t>
      </w:r>
      <w:r w:rsidR="007C3BD6">
        <w:t xml:space="preserve"> yield</w:t>
      </w:r>
      <w:r w:rsidRPr="00221CD5">
        <w:t xml:space="preserve"> of the gas phase</w:t>
      </w:r>
      <w:r w:rsidR="007C3BD6">
        <w:t xml:space="preserve"> (GY)</w:t>
      </w:r>
      <w:r w:rsidRPr="00221CD5">
        <w:t xml:space="preserve"> was calculated from its volume through the ideal gas law, assuming that it was entirely composed of CO</w:t>
      </w:r>
      <w:r w:rsidRPr="00221CD5">
        <w:rPr>
          <w:vertAlign w:val="subscript"/>
        </w:rPr>
        <w:t>2</w:t>
      </w:r>
      <w:r w:rsidR="003B5B4C" w:rsidRPr="002B15F9">
        <w:t>, which is a reasonable approximation</w:t>
      </w:r>
      <w:r w:rsidRPr="00221CD5">
        <w:fldChar w:fldCharType="begin" w:fldLock="1"/>
      </w:r>
      <w:r w:rsidR="00842BA8">
        <w:instrText>ADDIN CSL_CITATION {"citationItems":[{"id":"ITEM-1","itemData":{"DOI":"10.1039/C5GC02296G","ISSN":"1463-9270","abstract":"Most valorization processes for biomass waste require dry raw material or at least a relatively low amount of residual humidity. In contrast, hydrothermal carbonization (HTC) is a valorization process for lignocellulosic biomass which uses water as a reaction medium. The product, hydrochar, can be used as dry solid fuel making the post-process drying procedure much more energy-efficient. Herein, three lignocellulosic biomass waste feedstocks, i.e. the organic fraction of municipal solid waste (OFMSW), orange peel waste (OPW) and the residues of a pepper plantation, were processed by HTC on a ton scale and the product evaluated as solid fuel in form of pellets for domestic use (EN ISO 17225). A critical property of the product is the ash content which has to be adjusted by post-treatment. Ash content below the established limit was achieved by acid treatment with sulfuric acid. An implementation of the treatment into the pilot plant is straightforward. An organic liquid fraction was obtained as an additional effluent in the pilot plant depending on the biomass feedstock. For instance, limonene in a mixture with other monoterpenes was separated when orange peel waste was processed, constituting approximately 3 wt% of the dry matter. It is further shown at laboratory scale that the monoterpene mixture can be directly used or can easily be transformed into para-cymene, a fragrance compound, by catalytic dehydrogenation. Therefore, the HTC process can be considered as a source for valuable apolar platform molecules derived from lignocellulosic biomass waste in addition to the production of hydrochar.","author":[{"dropping-particle":"","family":"Burguete","given":"Pedro","non-dropping-particle":"","parse-names":false,"suffix":""},{"dropping-particle":"","family":"Corma","given":"Avelino","non-dropping-particle":"","parse-names":false,"suffix":""},{"dropping-particle":"","family":"Hitzl","given":"Martin","non-dropping-particle":"","parse-names":false,"suffix":""},{"dropping-particle":"","family":"Modrego","given":"Rubén","non-dropping-particle":"","parse-names":false,"suffix":""},{"dropping-particle":"","family":"Ponce","given":"Estefanía","non-dropping-particle":"","parse-names":false,"suffix":""},{"dropping-particle":"","family":"Renz","given":"Michael","non-dropping-particle":"","parse-names":false,"suffix":""}],"container-title":"Green Chemistry","id":"ITEM-1","issue":"4","issued":{"date-parts":[["2016","2","12"]]},"page":"1051-1060","publisher":"The Royal Society of Chemistry","title":"Fuel and chemicals from wet lignocellulosic biomass waste streams by hydrothermal carbonization","type":"article-journal","volume":"18"},"uris":["http://www.mendeley.com/documents/?uuid=29f50fa0-96e8-3013-aedf-0a8d175e1e98"]}],"mendeley":{"formattedCitation":"&lt;sup&gt;24&lt;/sup&gt;","plainTextFormattedCitation":"24","previouslyFormattedCitation":"&lt;sup&gt;24&lt;/sup&gt;"},"properties":{"noteIndex":0},"schema":"https://github.com/citation-style-language/schema/raw/master/csl-citation.json"}</w:instrText>
      </w:r>
      <w:r w:rsidRPr="00221CD5">
        <w:fldChar w:fldCharType="separate"/>
      </w:r>
      <w:r w:rsidR="00842BA8" w:rsidRPr="00842BA8">
        <w:rPr>
          <w:noProof/>
          <w:vertAlign w:val="superscript"/>
        </w:rPr>
        <w:t>24</w:t>
      </w:r>
      <w:r w:rsidRPr="00221CD5">
        <w:fldChar w:fldCharType="end"/>
      </w:r>
      <w:r w:rsidR="003B5B4C">
        <w:t xml:space="preserve"> that allows easily closing the mass balance</w:t>
      </w:r>
      <w:r w:rsidRPr="00221CD5">
        <w:t xml:space="preserve">. </w:t>
      </w:r>
    </w:p>
    <w:p w14:paraId="2E277B18" w14:textId="236CD64D" w:rsidR="00221CD5" w:rsidRPr="00221CD5" w:rsidRDefault="00221CD5" w:rsidP="00480CAD">
      <w:pPr>
        <w:pStyle w:val="TAMainText"/>
      </w:pPr>
      <w:r w:rsidRPr="00221CD5">
        <w:t xml:space="preserve">The macroscopic solid products were separated from the liquid phase employing a qualitative filter paper. The separated solids were then dried at 105 °C overnight and weighted, </w:t>
      </w:r>
      <w:r w:rsidR="00FA666C" w:rsidRPr="00221CD5">
        <w:t>to</w:t>
      </w:r>
      <w:r w:rsidRPr="00221CD5">
        <w:t xml:space="preserve"> calculate the solid yield (SY). For some specific tests, we also filtered the HT slurry with a 0.45 µm filter paper under vacuum to verify whether the qualitative filter paper was letting any significant amount of solid pass through, </w:t>
      </w:r>
      <w:r w:rsidR="007C3BD6">
        <w:t>without measuring</w:t>
      </w:r>
      <w:r w:rsidRPr="00221CD5">
        <w:t xml:space="preserve"> any additional separated solid. Finally, the liquid yield (LY) was calculated as the complement to one of </w:t>
      </w:r>
      <w:r w:rsidR="00CD4832">
        <w:t>GY and SY</w:t>
      </w:r>
      <w:r w:rsidRPr="00221CD5">
        <w:t>.</w:t>
      </w:r>
    </w:p>
    <w:p w14:paraId="3BAA26A7" w14:textId="441D68A6" w:rsidR="00221CD5" w:rsidRPr="00221CD5" w:rsidRDefault="00221CD5" w:rsidP="00480CAD">
      <w:pPr>
        <w:pStyle w:val="TAMainText"/>
      </w:pPr>
      <w:r w:rsidRPr="00221CD5">
        <w:rPr>
          <w:b/>
          <w:bCs/>
        </w:rPr>
        <w:t>2.</w:t>
      </w:r>
      <w:r w:rsidR="00CC6313">
        <w:rPr>
          <w:b/>
          <w:bCs/>
        </w:rPr>
        <w:t>4</w:t>
      </w:r>
      <w:r w:rsidRPr="00221CD5">
        <w:rPr>
          <w:b/>
          <w:bCs/>
        </w:rPr>
        <w:t xml:space="preserve">. HT products characterization. </w:t>
      </w:r>
      <w:r w:rsidR="00FA666C">
        <w:t>T</w:t>
      </w:r>
      <w:r w:rsidRPr="00221CD5">
        <w:t>he mass fraction</w:t>
      </w:r>
      <w:r w:rsidR="00297108">
        <w:t>s</w:t>
      </w:r>
      <w:r w:rsidRPr="00221CD5">
        <w:t xml:space="preserve"> of </w:t>
      </w:r>
      <w:r w:rsidR="00CC6313">
        <w:t>C, H</w:t>
      </w:r>
      <w:r w:rsidR="00FA666C">
        <w:t>,</w:t>
      </w:r>
      <w:r w:rsidR="00CC6313">
        <w:t xml:space="preserve"> </w:t>
      </w:r>
      <w:r w:rsidR="00FA666C">
        <w:t xml:space="preserve">O, </w:t>
      </w:r>
      <w:proofErr w:type="gramStart"/>
      <w:r w:rsidR="00CC6313">
        <w:t>N</w:t>
      </w:r>
      <w:proofErr w:type="gramEnd"/>
      <w:r w:rsidR="00FA666C">
        <w:t xml:space="preserve"> and ash</w:t>
      </w:r>
      <w:r w:rsidRPr="00221CD5">
        <w:t xml:space="preserve"> in the </w:t>
      </w:r>
      <w:r w:rsidR="000A2CB7">
        <w:t>filtered</w:t>
      </w:r>
      <w:r w:rsidR="000A2CB7" w:rsidRPr="00221CD5">
        <w:t xml:space="preserve"> </w:t>
      </w:r>
      <w:r w:rsidRPr="00221CD5">
        <w:t xml:space="preserve">solid products </w:t>
      </w:r>
      <w:r w:rsidR="00297108" w:rsidRPr="00221CD5">
        <w:t>w</w:t>
      </w:r>
      <w:r w:rsidR="00297108">
        <w:t>ere</w:t>
      </w:r>
      <w:r w:rsidR="00297108" w:rsidRPr="00221CD5">
        <w:t xml:space="preserve"> </w:t>
      </w:r>
      <w:r w:rsidRPr="00221CD5">
        <w:t>determined</w:t>
      </w:r>
      <w:r w:rsidR="00FA666C">
        <w:t xml:space="preserve"> a</w:t>
      </w:r>
      <w:r w:rsidR="00FA666C" w:rsidRPr="00221CD5">
        <w:t>s for the raw untreated samples</w:t>
      </w:r>
      <w:r w:rsidRPr="00221CD5">
        <w:t xml:space="preserve">. The solid residues were also characterized by EGA-MS and </w:t>
      </w:r>
      <w:proofErr w:type="spellStart"/>
      <w:r w:rsidRPr="00221CD5">
        <w:t>Py</w:t>
      </w:r>
      <w:proofErr w:type="spellEnd"/>
      <w:r w:rsidRPr="00221CD5">
        <w:t xml:space="preserve">-GC/MS to obtain information on their thermal stability and molecular composition, and by X-ray fluorescence (XRF) </w:t>
      </w:r>
      <w:r w:rsidR="00F95B18">
        <w:t>for</w:t>
      </w:r>
      <w:r w:rsidRPr="00221CD5">
        <w:t xml:space="preserve"> inorganics. </w:t>
      </w:r>
    </w:p>
    <w:p w14:paraId="0999B3D5" w14:textId="77B33A39" w:rsidR="00221CD5" w:rsidRPr="00221CD5" w:rsidRDefault="00221CD5" w:rsidP="00480CAD">
      <w:pPr>
        <w:pStyle w:val="TAMainText"/>
      </w:pPr>
      <w:r w:rsidRPr="00221CD5">
        <w:lastRenderedPageBreak/>
        <w:t>The HT liquor (i.e., the liquid product obtained after filtering away the solids) was characterized in terms of total organic carbon (TOC) via a FORMACS HT-</w:t>
      </w:r>
      <w:proofErr w:type="spellStart"/>
      <w:r w:rsidRPr="00221CD5">
        <w:t>iTOC</w:t>
      </w:r>
      <w:proofErr w:type="spellEnd"/>
      <w:r w:rsidRPr="00221CD5">
        <w:t xml:space="preserve"> analyzer (</w:t>
      </w:r>
      <w:proofErr w:type="spellStart"/>
      <w:r w:rsidRPr="00221CD5">
        <w:t>Skalar</w:t>
      </w:r>
      <w:proofErr w:type="spellEnd"/>
      <w:r w:rsidRPr="00221CD5">
        <w:t xml:space="preserve"> Analytical B.V., Netherlands). The total solids (TS) and non-volatile solids (NVS) in the liquor </w:t>
      </w:r>
      <w:r w:rsidR="00844673" w:rsidRPr="00221CD5">
        <w:t>w</w:t>
      </w:r>
      <w:r w:rsidR="00844673">
        <w:t>ere</w:t>
      </w:r>
      <w:r w:rsidR="00844673" w:rsidRPr="00221CD5">
        <w:t xml:space="preserve"> </w:t>
      </w:r>
      <w:r w:rsidRPr="00221CD5">
        <w:t xml:space="preserve">determined by placing a sample of it at 105 °C overnight and at 550 °C for 6 h, respectively. Information on the solubilized fractions of the bioplastics were obtained by characterizing the liquid fractions by ion chromatography (IC) and gas chromatography/mass spectrometry (GC/MS). </w:t>
      </w:r>
      <w:r w:rsidRPr="00BA67EE">
        <w:t xml:space="preserve">Details on the experimental parameters for </w:t>
      </w:r>
      <w:r w:rsidR="00757FCA">
        <w:t>IC and GC/MS</w:t>
      </w:r>
      <w:r w:rsidRPr="00BA67EE">
        <w:t xml:space="preserve"> are provided in section</w:t>
      </w:r>
      <w:r w:rsidR="00757FCA">
        <w:t xml:space="preserve"> 2.7 and Supplementary Material, respectively</w:t>
      </w:r>
      <w:r w:rsidRPr="00221CD5">
        <w:t>.</w:t>
      </w:r>
    </w:p>
    <w:p w14:paraId="689499B7" w14:textId="36BF13C3" w:rsidR="00221CD5" w:rsidRPr="00221CD5" w:rsidRDefault="00221CD5" w:rsidP="00480CAD">
      <w:pPr>
        <w:pStyle w:val="TAMainText"/>
        <w:spacing w:after="240"/>
        <w:ind w:firstLine="0"/>
      </w:pPr>
      <w:r w:rsidRPr="00221CD5">
        <w:rPr>
          <w:b/>
          <w:bCs/>
        </w:rPr>
        <w:t>2.</w:t>
      </w:r>
      <w:r w:rsidR="00CC6313">
        <w:rPr>
          <w:b/>
          <w:bCs/>
        </w:rPr>
        <w:t>5</w:t>
      </w:r>
      <w:r w:rsidRPr="00221CD5">
        <w:rPr>
          <w:b/>
          <w:bCs/>
        </w:rPr>
        <w:t>. Evolved gas analysis-mass spectrometry (EGA-MS).</w:t>
      </w:r>
      <w:r w:rsidRPr="00221CD5">
        <w:t xml:space="preserve"> </w:t>
      </w:r>
      <w:r w:rsidRPr="00221CD5">
        <w:rPr>
          <w:rFonts w:eastAsiaTheme="minorEastAsia"/>
        </w:rPr>
        <w:t xml:space="preserve">Analyses were performed with an EGA-PY/3030D microfurnace </w:t>
      </w:r>
      <w:proofErr w:type="spellStart"/>
      <w:r w:rsidRPr="00221CD5">
        <w:rPr>
          <w:rFonts w:eastAsiaTheme="minorEastAsia"/>
        </w:rPr>
        <w:t>pyrolyzer</w:t>
      </w:r>
      <w:proofErr w:type="spellEnd"/>
      <w:r w:rsidRPr="00221CD5">
        <w:rPr>
          <w:rFonts w:eastAsiaTheme="minorEastAsia"/>
        </w:rPr>
        <w:t xml:space="preserve"> (Frontier Laboratories, Japan) coupled to a </w:t>
      </w:r>
      <w:proofErr w:type="gramStart"/>
      <w:r w:rsidRPr="00221CD5">
        <w:rPr>
          <w:rFonts w:eastAsiaTheme="minorEastAsia"/>
        </w:rPr>
        <w:t>6890 gas</w:t>
      </w:r>
      <w:proofErr w:type="gramEnd"/>
      <w:r w:rsidRPr="00221CD5">
        <w:rPr>
          <w:rFonts w:eastAsiaTheme="minorEastAsia"/>
        </w:rPr>
        <w:t xml:space="preserve"> chromatograph and a 5973 mass spectrometric detector (Agilent Technologies, USA). </w:t>
      </w:r>
      <w:r w:rsidR="00CC6313">
        <w:rPr>
          <w:rFonts w:eastAsiaTheme="minorEastAsia"/>
        </w:rPr>
        <w:t>A</w:t>
      </w:r>
      <w:r w:rsidRPr="00221CD5">
        <w:rPr>
          <w:rFonts w:eastAsiaTheme="minorEastAsia"/>
        </w:rPr>
        <w:t xml:space="preserve">pproximately 100 µg of sample were inserted in the pyrolysis furnace, and the temperature was raised from 50 to 700 °C at 10 °C/min. </w:t>
      </w:r>
      <w:r w:rsidR="00AB72A3">
        <w:rPr>
          <w:rFonts w:eastAsiaTheme="minorEastAsia"/>
        </w:rPr>
        <w:t>The interface temperature was kept 100 °C above the furnace temperature, up to a maximum of 300 °C</w:t>
      </w:r>
      <w:r w:rsidR="00AB72A3" w:rsidRPr="00221CD5">
        <w:rPr>
          <w:rFonts w:eastAsiaTheme="minorEastAsia"/>
        </w:rPr>
        <w:t>.</w:t>
      </w:r>
      <w:r w:rsidR="00AB72A3">
        <w:rPr>
          <w:rFonts w:eastAsiaTheme="minorEastAsia"/>
        </w:rPr>
        <w:t xml:space="preserve"> </w:t>
      </w:r>
      <w:r w:rsidRPr="00221CD5">
        <w:rPr>
          <w:rFonts w:eastAsiaTheme="minorEastAsia"/>
        </w:rPr>
        <w:t>Evolved gases were</w:t>
      </w:r>
      <w:r w:rsidR="00CC6313">
        <w:rPr>
          <w:rFonts w:eastAsiaTheme="minorEastAsia"/>
        </w:rPr>
        <w:t xml:space="preserve"> carried by a helium flow (1 mL/min) to the GC injector (280 °C, 20:1) and through a deactivated stainless steel capillary tube (UADTM-2.5N, 3 m x 0.32 mm, Frontier Laboratories)</w:t>
      </w:r>
      <w:r w:rsidR="00AB72A3">
        <w:rPr>
          <w:rFonts w:eastAsiaTheme="minorEastAsia"/>
        </w:rPr>
        <w:t xml:space="preserve"> </w:t>
      </w:r>
      <w:r w:rsidR="00D461D9">
        <w:rPr>
          <w:rFonts w:eastAsiaTheme="minorEastAsia"/>
        </w:rPr>
        <w:t>to</w:t>
      </w:r>
      <w:r w:rsidR="00AB72A3">
        <w:rPr>
          <w:rFonts w:eastAsiaTheme="minorEastAsia"/>
        </w:rPr>
        <w:t xml:space="preserve"> the GC oven at 300 °C, reaching</w:t>
      </w:r>
      <w:r w:rsidR="00AB72A3" w:rsidDel="00AB72A3">
        <w:rPr>
          <w:rFonts w:eastAsiaTheme="minorEastAsia"/>
        </w:rPr>
        <w:t xml:space="preserve"> </w:t>
      </w:r>
      <w:r w:rsidR="00CC6313">
        <w:rPr>
          <w:rFonts w:eastAsiaTheme="minorEastAsia"/>
        </w:rPr>
        <w:t xml:space="preserve">the MS detector (EI positive mode, m/z range 35-500, ion source 230 °C, quadrupole 150 °C). </w:t>
      </w:r>
      <w:r w:rsidRPr="00221CD5">
        <w:rPr>
          <w:rFonts w:eastAsiaTheme="minorEastAsia"/>
        </w:rPr>
        <w:t xml:space="preserve"> </w:t>
      </w:r>
    </w:p>
    <w:p w14:paraId="27D9E92F" w14:textId="62DBF609" w:rsidR="00221CD5" w:rsidRPr="00221CD5" w:rsidRDefault="00221CD5" w:rsidP="00480CAD">
      <w:pPr>
        <w:pStyle w:val="TAMainText"/>
        <w:spacing w:after="240"/>
        <w:ind w:firstLine="0"/>
      </w:pPr>
      <w:r w:rsidRPr="00221CD5">
        <w:rPr>
          <w:b/>
          <w:bCs/>
        </w:rPr>
        <w:t>2.</w:t>
      </w:r>
      <w:r w:rsidR="00CC6313">
        <w:rPr>
          <w:b/>
          <w:bCs/>
        </w:rPr>
        <w:t>6</w:t>
      </w:r>
      <w:r w:rsidRPr="00221CD5">
        <w:rPr>
          <w:b/>
          <w:bCs/>
        </w:rPr>
        <w:t>. Analytical pyrolysis-gas chromatography/mass spectrometry (</w:t>
      </w:r>
      <w:proofErr w:type="spellStart"/>
      <w:r w:rsidRPr="00221CD5">
        <w:rPr>
          <w:b/>
          <w:bCs/>
        </w:rPr>
        <w:t>Py</w:t>
      </w:r>
      <w:proofErr w:type="spellEnd"/>
      <w:r w:rsidRPr="00221CD5">
        <w:rPr>
          <w:b/>
          <w:bCs/>
        </w:rPr>
        <w:t>-GC/MS)</w:t>
      </w:r>
      <w:r w:rsidRPr="00221CD5">
        <w:rPr>
          <w:rFonts w:eastAsiaTheme="minorEastAsia"/>
        </w:rPr>
        <w:t xml:space="preserve">. Analyses were performed with the same </w:t>
      </w:r>
      <w:proofErr w:type="spellStart"/>
      <w:r w:rsidRPr="00221CD5">
        <w:rPr>
          <w:rFonts w:eastAsiaTheme="minorEastAsia"/>
        </w:rPr>
        <w:t>pyrolyzer</w:t>
      </w:r>
      <w:proofErr w:type="spellEnd"/>
      <w:r w:rsidRPr="00221CD5">
        <w:rPr>
          <w:rFonts w:eastAsiaTheme="minorEastAsia"/>
        </w:rPr>
        <w:t xml:space="preserve"> model used for EGA-MS analyses, coupled to an </w:t>
      </w:r>
      <w:proofErr w:type="gramStart"/>
      <w:r w:rsidRPr="00221CD5">
        <w:rPr>
          <w:rFonts w:eastAsiaTheme="minorEastAsia"/>
        </w:rPr>
        <w:t>8890 gas</w:t>
      </w:r>
      <w:proofErr w:type="gramEnd"/>
      <w:r w:rsidRPr="00221CD5">
        <w:rPr>
          <w:rFonts w:eastAsiaTheme="minorEastAsia"/>
        </w:rPr>
        <w:t xml:space="preserve"> chromatograph and a 5977 mass spectrometric detector (Agilent Technologies, USA). </w:t>
      </w:r>
      <w:r w:rsidR="00CC6313">
        <w:rPr>
          <w:rFonts w:eastAsiaTheme="minorEastAsia"/>
        </w:rPr>
        <w:t>A</w:t>
      </w:r>
      <w:r w:rsidRPr="00221CD5">
        <w:rPr>
          <w:rFonts w:eastAsiaTheme="minorEastAsia"/>
        </w:rPr>
        <w:t>pproximately 100 µg of sample were instantaneously pyrolyzed at 600 °C</w:t>
      </w:r>
      <w:r w:rsidR="00AB72A3">
        <w:rPr>
          <w:rFonts w:eastAsiaTheme="minorEastAsia"/>
        </w:rPr>
        <w:t xml:space="preserve"> with interface temperature </w:t>
      </w:r>
      <w:r w:rsidR="00126650">
        <w:rPr>
          <w:rFonts w:eastAsiaTheme="minorEastAsia"/>
        </w:rPr>
        <w:t xml:space="preserve">set </w:t>
      </w:r>
      <w:r w:rsidR="009934D1">
        <w:rPr>
          <w:rFonts w:eastAsiaTheme="minorEastAsia"/>
        </w:rPr>
        <w:t>at</w:t>
      </w:r>
      <w:r w:rsidR="00126650">
        <w:rPr>
          <w:rFonts w:eastAsiaTheme="minorEastAsia"/>
        </w:rPr>
        <w:t xml:space="preserve"> </w:t>
      </w:r>
      <w:r w:rsidR="00AB72A3">
        <w:rPr>
          <w:rFonts w:eastAsiaTheme="minorEastAsia"/>
        </w:rPr>
        <w:t>280 °C</w:t>
      </w:r>
      <w:r w:rsidRPr="00221CD5">
        <w:rPr>
          <w:rFonts w:eastAsiaTheme="minorEastAsia"/>
        </w:rPr>
        <w:t xml:space="preserve">. Pyrolysis products were </w:t>
      </w:r>
      <w:r w:rsidR="00CC6313">
        <w:rPr>
          <w:rFonts w:eastAsiaTheme="minorEastAsia"/>
        </w:rPr>
        <w:t xml:space="preserve">carried by </w:t>
      </w:r>
      <w:r w:rsidR="00297108">
        <w:rPr>
          <w:rFonts w:eastAsiaTheme="minorEastAsia"/>
        </w:rPr>
        <w:t xml:space="preserve">a </w:t>
      </w:r>
      <w:r w:rsidR="00CC6313">
        <w:rPr>
          <w:rFonts w:eastAsiaTheme="minorEastAsia"/>
        </w:rPr>
        <w:t>helium flow (1 mL/min) to the GC injector (280 °C, split ratio 10:1)</w:t>
      </w:r>
      <w:r w:rsidRPr="00221CD5">
        <w:rPr>
          <w:rFonts w:eastAsiaTheme="minorEastAsia"/>
        </w:rPr>
        <w:t>. Separation of the pyrolysis products was achieved with an HP-</w:t>
      </w:r>
      <w:r w:rsidRPr="00221CD5">
        <w:rPr>
          <w:rFonts w:eastAsiaTheme="minorEastAsia"/>
        </w:rPr>
        <w:lastRenderedPageBreak/>
        <w:t xml:space="preserve">5MS capillary column (30 m x 0.25 mm, film thickness 0.25 µm, Agilent Technologies, USA) The temperature </w:t>
      </w:r>
      <w:r w:rsidR="00CC6313">
        <w:rPr>
          <w:rFonts w:eastAsiaTheme="minorEastAsia"/>
        </w:rPr>
        <w:t xml:space="preserve">program </w:t>
      </w:r>
      <w:r w:rsidRPr="00221CD5">
        <w:rPr>
          <w:rFonts w:eastAsiaTheme="minorEastAsia"/>
        </w:rPr>
        <w:t xml:space="preserve">of the GC oven was </w:t>
      </w:r>
      <w:r w:rsidR="00CC6313">
        <w:rPr>
          <w:rFonts w:eastAsiaTheme="minorEastAsia"/>
        </w:rPr>
        <w:t>as follows</w:t>
      </w:r>
      <w:r w:rsidRPr="00221CD5">
        <w:rPr>
          <w:rFonts w:eastAsiaTheme="minorEastAsia"/>
        </w:rPr>
        <w:t xml:space="preserve">: 40 °C isotherm for 5 min; 20 °C/min up to 310 °C, then isotherm for 30 min. The mass spectrometer was operated with the same parameters used for EGA-MS, </w:t>
      </w:r>
      <w:r w:rsidR="00CC6313">
        <w:rPr>
          <w:rFonts w:eastAsiaTheme="minorEastAsia"/>
        </w:rPr>
        <w:t>except the m/z range which was 35-600</w:t>
      </w:r>
      <w:r w:rsidRPr="00221CD5">
        <w:rPr>
          <w:rFonts w:eastAsiaTheme="minorEastAsia"/>
        </w:rPr>
        <w:t>.</w:t>
      </w:r>
    </w:p>
    <w:p w14:paraId="63DDD007" w14:textId="7D7E07EE" w:rsidR="00221CD5" w:rsidRPr="00221CD5" w:rsidRDefault="00221CD5" w:rsidP="00480CAD">
      <w:pPr>
        <w:pStyle w:val="TAMainText"/>
        <w:spacing w:after="240"/>
        <w:ind w:firstLine="0"/>
      </w:pPr>
      <w:r w:rsidRPr="00221CD5">
        <w:rPr>
          <w:b/>
          <w:bCs/>
        </w:rPr>
        <w:t>2.</w:t>
      </w:r>
      <w:r w:rsidR="00CC6313">
        <w:rPr>
          <w:b/>
          <w:bCs/>
        </w:rPr>
        <w:t>7</w:t>
      </w:r>
      <w:r w:rsidRPr="00221CD5">
        <w:rPr>
          <w:b/>
          <w:bCs/>
        </w:rPr>
        <w:t xml:space="preserve">. Ion chromatography (IC). </w:t>
      </w:r>
      <w:r w:rsidRPr="00221CD5">
        <w:rPr>
          <w:rFonts w:eastAsiaTheme="minorEastAsia"/>
        </w:rPr>
        <w:t xml:space="preserve">Experiments were performed with a </w:t>
      </w:r>
      <w:proofErr w:type="spellStart"/>
      <w:r w:rsidRPr="00221CD5">
        <w:rPr>
          <w:rFonts w:eastAsiaTheme="minorEastAsia"/>
        </w:rPr>
        <w:t>Dionex</w:t>
      </w:r>
      <w:proofErr w:type="spellEnd"/>
      <w:r w:rsidRPr="00221CD5">
        <w:rPr>
          <w:rFonts w:eastAsiaTheme="minorEastAsia"/>
        </w:rPr>
        <w:t xml:space="preserve"> Aquion RFIC ion chromatograph (</w:t>
      </w:r>
      <w:proofErr w:type="spellStart"/>
      <w:r w:rsidRPr="00221CD5">
        <w:rPr>
          <w:rFonts w:eastAsiaTheme="minorEastAsia"/>
        </w:rPr>
        <w:t>Thermo</w:t>
      </w:r>
      <w:proofErr w:type="spellEnd"/>
      <w:r w:rsidRPr="00221CD5">
        <w:rPr>
          <w:rFonts w:eastAsiaTheme="minorEastAsia"/>
        </w:rPr>
        <w:t xml:space="preserve"> Scientific, USA) equipped with an electrolytic potassium hydroxide (KOH) generator for the mobile phase, an ion exchange suppressor, and a conductivity detector. Injection volume was 1 mL in all experiments. The mobile phase (</w:t>
      </w:r>
      <w:proofErr w:type="spellStart"/>
      <w:r w:rsidRPr="00221CD5">
        <w:rPr>
          <w:rFonts w:eastAsiaTheme="minorEastAsia"/>
        </w:rPr>
        <w:t>bidistilled</w:t>
      </w:r>
      <w:proofErr w:type="spellEnd"/>
      <w:r w:rsidRPr="00221CD5">
        <w:rPr>
          <w:rFonts w:eastAsiaTheme="minorEastAsia"/>
        </w:rPr>
        <w:t xml:space="preserve"> water, 18.2 MΩ/mL) flow rate was 1 mL/min. Chromatographic separation was achieved with an Ion Pac AS27 column (4 mm x 250 mm, </w:t>
      </w:r>
      <w:proofErr w:type="spellStart"/>
      <w:r w:rsidRPr="00221CD5">
        <w:rPr>
          <w:rFonts w:eastAsiaTheme="minorEastAsia"/>
        </w:rPr>
        <w:t>Thermo</w:t>
      </w:r>
      <w:proofErr w:type="spellEnd"/>
      <w:r w:rsidRPr="00221CD5">
        <w:rPr>
          <w:rFonts w:eastAsiaTheme="minorEastAsia"/>
        </w:rPr>
        <w:t xml:space="preserve"> Scientific) equipped with an Ion Pac AG27 precolumn (4 mm x 50 mm, </w:t>
      </w:r>
      <w:proofErr w:type="spellStart"/>
      <w:r w:rsidRPr="00221CD5">
        <w:rPr>
          <w:rFonts w:eastAsiaTheme="minorEastAsia"/>
        </w:rPr>
        <w:t>Thermo</w:t>
      </w:r>
      <w:proofErr w:type="spellEnd"/>
      <w:r w:rsidRPr="00221CD5">
        <w:rPr>
          <w:rFonts w:eastAsiaTheme="minorEastAsia"/>
        </w:rPr>
        <w:t xml:space="preserve"> Scientific). Analyses were performed with the following KOH concentration program: 10 mM for 10 min, then 2.5 mM/min up to 45 mM, then 45 mM for 1 min. Re-equilibration time was 5 min. The ion suppressor current was held at 120 mA.</w:t>
      </w:r>
      <w:r w:rsidR="00CC6313">
        <w:rPr>
          <w:rFonts w:eastAsiaTheme="minorEastAsia"/>
        </w:rPr>
        <w:t xml:space="preserve"> Lactic acid (&gt; 90%, Sigma-Aldrich) and succinic acid (&gt; 99%, Sigma-Aldrich) were used to build calibration curves for quantitative analysis</w:t>
      </w:r>
      <w:r w:rsidR="00297108">
        <w:rPr>
          <w:rFonts w:eastAsiaTheme="minorEastAsia"/>
        </w:rPr>
        <w:t>.</w:t>
      </w:r>
    </w:p>
    <w:p w14:paraId="2094B91E" w14:textId="77777777" w:rsidR="007C3BD6" w:rsidRPr="00221CD5" w:rsidRDefault="007C3BD6" w:rsidP="00944463">
      <w:pPr>
        <w:pStyle w:val="TAMainText"/>
        <w:spacing w:after="240"/>
        <w:ind w:firstLine="0"/>
      </w:pPr>
    </w:p>
    <w:p w14:paraId="547D903C" w14:textId="77777777" w:rsidR="00221CD5" w:rsidRPr="00221CD5" w:rsidRDefault="00221CD5" w:rsidP="00221CD5">
      <w:pPr>
        <w:pStyle w:val="TAMainText"/>
        <w:spacing w:after="240"/>
        <w:ind w:firstLine="0"/>
        <w:jc w:val="left"/>
        <w:rPr>
          <w:b/>
          <w:bCs/>
        </w:rPr>
      </w:pPr>
      <w:r w:rsidRPr="00221CD5">
        <w:rPr>
          <w:b/>
          <w:bCs/>
        </w:rPr>
        <w:t>3. RESULTS AND DISCUSSION</w:t>
      </w:r>
    </w:p>
    <w:p w14:paraId="3E2E78FB" w14:textId="1F392DA3" w:rsidR="00767657" w:rsidRDefault="00221CD5" w:rsidP="00767657">
      <w:pPr>
        <w:pStyle w:val="TAMainText"/>
      </w:pPr>
      <w:r w:rsidRPr="00221CD5">
        <w:rPr>
          <w:b/>
          <w:bCs/>
        </w:rPr>
        <w:t>3.1. Samples characterization.</w:t>
      </w:r>
      <w:r w:rsidRPr="00221CD5">
        <w:t xml:space="preserve"> </w:t>
      </w:r>
      <w:r w:rsidR="00971570">
        <w:t xml:space="preserve">Table 1 </w:t>
      </w:r>
      <w:r w:rsidRPr="00221CD5">
        <w:t>presents the elemental composition of the four tested samples</w:t>
      </w:r>
      <w:r w:rsidR="0054215D">
        <w:t xml:space="preserve"> and the solid products from their HT</w:t>
      </w:r>
      <w:r w:rsidRPr="00221CD5">
        <w:t xml:space="preserve">. The compositions of </w:t>
      </w:r>
      <w:proofErr w:type="spellStart"/>
      <w:r w:rsidRPr="00221CD5">
        <w:t>pPLA</w:t>
      </w:r>
      <w:proofErr w:type="spellEnd"/>
      <w:r w:rsidRPr="00221CD5">
        <w:t xml:space="preserve"> and cellulose bowls are in agreement with their theoretical chemical formulas ((C</w:t>
      </w:r>
      <w:r w:rsidRPr="00944463">
        <w:rPr>
          <w:vertAlign w:val="subscript"/>
        </w:rPr>
        <w:t>3</w:t>
      </w:r>
      <w:r w:rsidRPr="00221CD5">
        <w:t>H</w:t>
      </w:r>
      <w:r w:rsidRPr="00944463">
        <w:rPr>
          <w:vertAlign w:val="subscript"/>
        </w:rPr>
        <w:t>4</w:t>
      </w:r>
      <w:r w:rsidRPr="00221CD5">
        <w:t>O</w:t>
      </w:r>
      <w:proofErr w:type="gramStart"/>
      <w:r w:rsidRPr="00944463">
        <w:rPr>
          <w:vertAlign w:val="subscript"/>
        </w:rPr>
        <w:t>2</w:t>
      </w:r>
      <w:r w:rsidRPr="00221CD5">
        <w:t>)</w:t>
      </w:r>
      <w:r w:rsidRPr="00944463">
        <w:rPr>
          <w:vertAlign w:val="subscript"/>
        </w:rPr>
        <w:t>n</w:t>
      </w:r>
      <w:proofErr w:type="gramEnd"/>
      <w:r w:rsidRPr="00221CD5">
        <w:t xml:space="preserve"> and (C</w:t>
      </w:r>
      <w:r w:rsidRPr="00944463">
        <w:rPr>
          <w:vertAlign w:val="subscript"/>
        </w:rPr>
        <w:t>6</w:t>
      </w:r>
      <w:r w:rsidRPr="00221CD5">
        <w:t>H</w:t>
      </w:r>
      <w:r w:rsidRPr="00944463">
        <w:rPr>
          <w:vertAlign w:val="subscript"/>
        </w:rPr>
        <w:t>10</w:t>
      </w:r>
      <w:r w:rsidRPr="00221CD5">
        <w:t>O</w:t>
      </w:r>
      <w:r w:rsidRPr="00944463">
        <w:rPr>
          <w:vertAlign w:val="subscript"/>
        </w:rPr>
        <w:t>5</w:t>
      </w:r>
      <w:r w:rsidRPr="00221CD5">
        <w:t>)</w:t>
      </w:r>
      <w:r w:rsidRPr="00944463">
        <w:rPr>
          <w:vertAlign w:val="subscript"/>
        </w:rPr>
        <w:t>n</w:t>
      </w:r>
      <w:r w:rsidRPr="00221CD5">
        <w:t xml:space="preserve">, respectively), while those of </w:t>
      </w:r>
      <w:proofErr w:type="spellStart"/>
      <w:r w:rsidRPr="00221CD5">
        <w:t>cPLA</w:t>
      </w:r>
      <w:proofErr w:type="spellEnd"/>
      <w:r w:rsidRPr="00221CD5">
        <w:t xml:space="preserve"> and MB are very similar to each other and to that of </w:t>
      </w:r>
      <w:proofErr w:type="spellStart"/>
      <w:r w:rsidRPr="00221CD5">
        <w:t>pPLA</w:t>
      </w:r>
      <w:proofErr w:type="spellEnd"/>
      <w:r w:rsidRPr="00221CD5">
        <w:t xml:space="preserve"> if considered on an ash-free basis. Both </w:t>
      </w:r>
      <w:proofErr w:type="spellStart"/>
      <w:r w:rsidRPr="00221CD5">
        <w:t>cPLA</w:t>
      </w:r>
      <w:proofErr w:type="spellEnd"/>
      <w:r w:rsidRPr="00221CD5">
        <w:t xml:space="preserve"> spoons and MB forks present significant amounts of ash, most likely </w:t>
      </w:r>
      <w:r w:rsidRPr="00221CD5">
        <w:lastRenderedPageBreak/>
        <w:t>additives to enhance the product mechanical properties and appearance.</w:t>
      </w:r>
      <w:r w:rsidR="0054215D">
        <w:t xml:space="preserve"> Comments on the trends of the HT solid products composition are provided in Section 3.3.</w:t>
      </w:r>
      <w:r w:rsidR="00767657" w:rsidRPr="00767657">
        <w:t xml:space="preserve"> </w:t>
      </w:r>
    </w:p>
    <w:p w14:paraId="6382D98E" w14:textId="77777777" w:rsidR="00EB0316" w:rsidRPr="00221CD5" w:rsidRDefault="00EB0316" w:rsidP="00EB0316">
      <w:pPr>
        <w:pStyle w:val="VDTableTitle"/>
      </w:pPr>
      <w:bookmarkStart w:id="1" w:name="_Ref133940364"/>
      <w:r w:rsidRPr="00221CD5">
        <w:rPr>
          <w:b/>
          <w:bCs/>
        </w:rPr>
        <w:t xml:space="preserve">Table </w:t>
      </w:r>
      <w:bookmarkEnd w:id="1"/>
      <w:r>
        <w:rPr>
          <w:b/>
          <w:bCs/>
        </w:rPr>
        <w:t>1</w:t>
      </w:r>
      <w:r w:rsidRPr="00221CD5">
        <w:rPr>
          <w:b/>
          <w:bCs/>
          <w:i/>
          <w:iCs/>
        </w:rPr>
        <w:t>.</w:t>
      </w:r>
      <w:r w:rsidRPr="00221CD5">
        <w:t xml:space="preserve"> Elemental characterization of the tested </w:t>
      </w:r>
      <w:r>
        <w:t>materials</w:t>
      </w:r>
      <w:r w:rsidRPr="00221CD5">
        <w:t xml:space="preserve"> and the solids obtained from their HT. The mass percentages are on a dry basis.</w:t>
      </w:r>
      <w:r>
        <w:t xml:space="preserve"> Each analysis was performed at least twice. Standard deviation </w:t>
      </w:r>
      <w:r w:rsidRPr="00DB649F">
        <w:t>≤</w:t>
      </w:r>
      <w:r>
        <w:t xml:space="preserve"> 0.1% except </w:t>
      </w:r>
      <w:proofErr w:type="gramStart"/>
      <w:r>
        <w:t>where</w:t>
      </w:r>
      <w:proofErr w:type="gramEnd"/>
      <w:r>
        <w:t xml:space="preserve"> noted explicitly. The oxygen mass fraction is calculated by difference with the other </w:t>
      </w:r>
      <w:proofErr w:type="gramStart"/>
      <w:r>
        <w:t>ones,</w:t>
      </w:r>
      <w:proofErr w:type="gramEnd"/>
      <w:r>
        <w:t xml:space="preserve"> thus its standard deviation is the sum of the others. The mass fraction of nitrogen (not shown) was </w:t>
      </w:r>
      <w:r w:rsidRPr="00DB649F">
        <w:t>≤</w:t>
      </w:r>
      <w:r>
        <w:t xml:space="preserve"> 0.1% in all cases.</w:t>
      </w:r>
    </w:p>
    <w:tbl>
      <w:tblPr>
        <w:tblStyle w:val="Grigliatabella"/>
        <w:tblW w:w="0" w:type="auto"/>
        <w:tblLook w:val="04A0" w:firstRow="1" w:lastRow="0" w:firstColumn="1" w:lastColumn="0" w:noHBand="0" w:noVBand="1"/>
      </w:tblPr>
      <w:tblGrid>
        <w:gridCol w:w="1109"/>
        <w:gridCol w:w="1507"/>
        <w:gridCol w:w="1207"/>
        <w:gridCol w:w="1559"/>
        <w:gridCol w:w="863"/>
        <w:gridCol w:w="1188"/>
      </w:tblGrid>
      <w:tr w:rsidR="00EB0316" w:rsidRPr="00221CD5" w14:paraId="581120F5" w14:textId="77777777" w:rsidTr="00413214">
        <w:trPr>
          <w:trHeight w:val="301"/>
        </w:trPr>
        <w:tc>
          <w:tcPr>
            <w:tcW w:w="0" w:type="auto"/>
            <w:vAlign w:val="center"/>
          </w:tcPr>
          <w:p w14:paraId="2DE111A0" w14:textId="77777777" w:rsidR="00EB0316" w:rsidRPr="000B4562" w:rsidRDefault="00EB0316" w:rsidP="00413214">
            <w:pPr>
              <w:pStyle w:val="TCTableBody"/>
              <w:rPr>
                <w:b/>
                <w:bCs/>
              </w:rPr>
            </w:pPr>
            <w:r w:rsidRPr="000B4562">
              <w:rPr>
                <w:b/>
                <w:bCs/>
              </w:rPr>
              <w:t>Material</w:t>
            </w:r>
          </w:p>
        </w:tc>
        <w:tc>
          <w:tcPr>
            <w:tcW w:w="1507" w:type="dxa"/>
          </w:tcPr>
          <w:p w14:paraId="2E6DF653" w14:textId="77777777" w:rsidR="00EB0316" w:rsidRPr="000B4562" w:rsidRDefault="00EB0316" w:rsidP="00413214">
            <w:pPr>
              <w:pStyle w:val="TCTableBody"/>
              <w:rPr>
                <w:b/>
                <w:bCs/>
              </w:rPr>
            </w:pPr>
            <w:r>
              <w:rPr>
                <w:b/>
                <w:bCs/>
              </w:rPr>
              <w:t>HT t</w:t>
            </w:r>
            <w:r w:rsidRPr="000B4562">
              <w:rPr>
                <w:b/>
                <w:bCs/>
              </w:rPr>
              <w:t>reatment temperature (°C)</w:t>
            </w:r>
          </w:p>
        </w:tc>
        <w:tc>
          <w:tcPr>
            <w:tcW w:w="1207" w:type="dxa"/>
            <w:vAlign w:val="center"/>
          </w:tcPr>
          <w:p w14:paraId="4B8FA7C4" w14:textId="77777777" w:rsidR="00EB0316" w:rsidRPr="000B4562" w:rsidRDefault="00EB0316" w:rsidP="00413214">
            <w:pPr>
              <w:pStyle w:val="TCTableBody"/>
              <w:rPr>
                <w:b/>
                <w:bCs/>
              </w:rPr>
            </w:pPr>
            <w:r w:rsidRPr="000B4562">
              <w:rPr>
                <w:b/>
                <w:bCs/>
              </w:rPr>
              <w:t>C (%)</w:t>
            </w:r>
          </w:p>
        </w:tc>
        <w:tc>
          <w:tcPr>
            <w:tcW w:w="1559" w:type="dxa"/>
            <w:vAlign w:val="center"/>
          </w:tcPr>
          <w:p w14:paraId="6123ED55" w14:textId="77777777" w:rsidR="00EB0316" w:rsidRPr="000B4562" w:rsidRDefault="00EB0316" w:rsidP="00413214">
            <w:pPr>
              <w:pStyle w:val="TCTableBody"/>
              <w:rPr>
                <w:b/>
                <w:bCs/>
              </w:rPr>
            </w:pPr>
            <w:r w:rsidRPr="000B4562">
              <w:rPr>
                <w:b/>
                <w:bCs/>
              </w:rPr>
              <w:t>H (%)</w:t>
            </w:r>
          </w:p>
        </w:tc>
        <w:tc>
          <w:tcPr>
            <w:tcW w:w="0" w:type="auto"/>
            <w:vAlign w:val="center"/>
          </w:tcPr>
          <w:p w14:paraId="3A54BBA2" w14:textId="77777777" w:rsidR="00EB0316" w:rsidRPr="000B4562" w:rsidRDefault="00EB0316" w:rsidP="00413214">
            <w:pPr>
              <w:pStyle w:val="TCTableBody"/>
              <w:rPr>
                <w:b/>
                <w:bCs/>
              </w:rPr>
            </w:pPr>
            <w:r w:rsidRPr="000B4562">
              <w:rPr>
                <w:b/>
                <w:bCs/>
              </w:rPr>
              <w:t>O (%)</w:t>
            </w:r>
          </w:p>
        </w:tc>
        <w:tc>
          <w:tcPr>
            <w:tcW w:w="0" w:type="auto"/>
            <w:vAlign w:val="center"/>
          </w:tcPr>
          <w:p w14:paraId="5FAF02F3" w14:textId="77777777" w:rsidR="00EB0316" w:rsidRPr="000B4562" w:rsidRDefault="00EB0316" w:rsidP="00413214">
            <w:pPr>
              <w:pStyle w:val="TCTableBody"/>
              <w:rPr>
                <w:b/>
                <w:bCs/>
              </w:rPr>
            </w:pPr>
            <w:r w:rsidRPr="000B4562">
              <w:rPr>
                <w:b/>
                <w:bCs/>
              </w:rPr>
              <w:t>Ash (%)</w:t>
            </w:r>
          </w:p>
        </w:tc>
      </w:tr>
      <w:tr w:rsidR="00EB0316" w:rsidRPr="00221CD5" w14:paraId="44AA5D8B" w14:textId="77777777" w:rsidTr="00413214">
        <w:trPr>
          <w:trHeight w:val="301"/>
        </w:trPr>
        <w:tc>
          <w:tcPr>
            <w:tcW w:w="0" w:type="auto"/>
            <w:vAlign w:val="center"/>
          </w:tcPr>
          <w:p w14:paraId="242A3A70" w14:textId="77777777" w:rsidR="00EB0316" w:rsidRPr="000B4562" w:rsidRDefault="00EB0316" w:rsidP="00413214">
            <w:pPr>
              <w:pStyle w:val="TCTableBody"/>
              <w:rPr>
                <w:b/>
                <w:bCs/>
              </w:rPr>
            </w:pPr>
            <w:proofErr w:type="spellStart"/>
            <w:r w:rsidRPr="000B4562">
              <w:rPr>
                <w:b/>
                <w:bCs/>
              </w:rPr>
              <w:t>pPLA</w:t>
            </w:r>
            <w:proofErr w:type="spellEnd"/>
          </w:p>
        </w:tc>
        <w:tc>
          <w:tcPr>
            <w:tcW w:w="0" w:type="auto"/>
          </w:tcPr>
          <w:p w14:paraId="03108F97" w14:textId="77777777" w:rsidR="00EB0316" w:rsidRPr="00221CD5" w:rsidRDefault="00EB0316" w:rsidP="00413214">
            <w:pPr>
              <w:pStyle w:val="TCTableBody"/>
            </w:pPr>
            <w:r w:rsidRPr="00221CD5">
              <w:t>Raw</w:t>
            </w:r>
          </w:p>
        </w:tc>
        <w:tc>
          <w:tcPr>
            <w:tcW w:w="1207" w:type="dxa"/>
            <w:vAlign w:val="center"/>
          </w:tcPr>
          <w:p w14:paraId="2D615079" w14:textId="77777777" w:rsidR="00EB0316" w:rsidRPr="00221CD5" w:rsidRDefault="00EB0316" w:rsidP="00413214">
            <w:pPr>
              <w:pStyle w:val="TCTableBody"/>
            </w:pPr>
            <w:r w:rsidRPr="00221CD5">
              <w:t>49.3</w:t>
            </w:r>
          </w:p>
        </w:tc>
        <w:tc>
          <w:tcPr>
            <w:tcW w:w="1559" w:type="dxa"/>
            <w:vAlign w:val="center"/>
          </w:tcPr>
          <w:p w14:paraId="095909C7" w14:textId="77777777" w:rsidR="00EB0316" w:rsidRPr="00221CD5" w:rsidRDefault="00EB0316" w:rsidP="00413214">
            <w:pPr>
              <w:pStyle w:val="TCTableBody"/>
            </w:pPr>
            <w:r w:rsidRPr="00221CD5">
              <w:t>6.1</w:t>
            </w:r>
          </w:p>
        </w:tc>
        <w:tc>
          <w:tcPr>
            <w:tcW w:w="0" w:type="auto"/>
            <w:vAlign w:val="center"/>
          </w:tcPr>
          <w:p w14:paraId="37D8DD47" w14:textId="77777777" w:rsidR="00EB0316" w:rsidRPr="00221CD5" w:rsidRDefault="00EB0316" w:rsidP="00413214">
            <w:pPr>
              <w:pStyle w:val="TCTableBody"/>
            </w:pPr>
            <w:r w:rsidRPr="00221CD5">
              <w:t>44.6</w:t>
            </w:r>
          </w:p>
        </w:tc>
        <w:tc>
          <w:tcPr>
            <w:tcW w:w="0" w:type="auto"/>
            <w:vAlign w:val="center"/>
          </w:tcPr>
          <w:p w14:paraId="15ADB94C" w14:textId="77777777" w:rsidR="00EB0316" w:rsidRPr="00221CD5" w:rsidRDefault="00EB0316" w:rsidP="00413214">
            <w:pPr>
              <w:pStyle w:val="TCTableBody"/>
            </w:pPr>
            <w:r w:rsidRPr="00221CD5">
              <w:t>0.0</w:t>
            </w:r>
          </w:p>
        </w:tc>
      </w:tr>
      <w:tr w:rsidR="00EB0316" w:rsidRPr="00221CD5" w14:paraId="6BA7984B" w14:textId="77777777" w:rsidTr="00413214">
        <w:trPr>
          <w:trHeight w:val="284"/>
        </w:trPr>
        <w:tc>
          <w:tcPr>
            <w:tcW w:w="0" w:type="auto"/>
            <w:vMerge w:val="restart"/>
            <w:vAlign w:val="center"/>
          </w:tcPr>
          <w:p w14:paraId="56D37B88" w14:textId="77777777" w:rsidR="00EB0316" w:rsidRPr="000B4562" w:rsidRDefault="00EB0316" w:rsidP="00413214">
            <w:pPr>
              <w:pStyle w:val="TCTableBody"/>
              <w:rPr>
                <w:b/>
                <w:bCs/>
              </w:rPr>
            </w:pPr>
            <w:proofErr w:type="spellStart"/>
            <w:r w:rsidRPr="000B4562">
              <w:rPr>
                <w:b/>
                <w:bCs/>
              </w:rPr>
              <w:t>cPLA</w:t>
            </w:r>
            <w:proofErr w:type="spellEnd"/>
          </w:p>
        </w:tc>
        <w:tc>
          <w:tcPr>
            <w:tcW w:w="0" w:type="auto"/>
          </w:tcPr>
          <w:p w14:paraId="0A36E8AD" w14:textId="77777777" w:rsidR="00EB0316" w:rsidRPr="00221CD5" w:rsidRDefault="00EB0316" w:rsidP="00413214">
            <w:pPr>
              <w:pStyle w:val="TCTableBody"/>
            </w:pPr>
            <w:r w:rsidRPr="00221CD5">
              <w:t>Raw</w:t>
            </w:r>
          </w:p>
        </w:tc>
        <w:tc>
          <w:tcPr>
            <w:tcW w:w="1207" w:type="dxa"/>
            <w:vAlign w:val="center"/>
          </w:tcPr>
          <w:p w14:paraId="7788E745" w14:textId="77777777" w:rsidR="00EB0316" w:rsidRPr="00221CD5" w:rsidRDefault="00EB0316" w:rsidP="00413214">
            <w:pPr>
              <w:pStyle w:val="TCTableBody"/>
            </w:pPr>
            <w:r w:rsidRPr="00221CD5">
              <w:t>41.2</w:t>
            </w:r>
          </w:p>
        </w:tc>
        <w:tc>
          <w:tcPr>
            <w:tcW w:w="1559" w:type="dxa"/>
            <w:vAlign w:val="center"/>
          </w:tcPr>
          <w:p w14:paraId="5A1D4BA2" w14:textId="77777777" w:rsidR="00EB0316" w:rsidRPr="00221CD5" w:rsidRDefault="00EB0316" w:rsidP="00413214">
            <w:pPr>
              <w:pStyle w:val="TCTableBody"/>
            </w:pPr>
            <w:r w:rsidRPr="00221CD5">
              <w:t>5.2</w:t>
            </w:r>
          </w:p>
        </w:tc>
        <w:tc>
          <w:tcPr>
            <w:tcW w:w="0" w:type="auto"/>
            <w:vAlign w:val="center"/>
          </w:tcPr>
          <w:p w14:paraId="30EB7293" w14:textId="77777777" w:rsidR="00EB0316" w:rsidRPr="00221CD5" w:rsidRDefault="00EB0316" w:rsidP="00413214">
            <w:pPr>
              <w:pStyle w:val="TCTableBody"/>
            </w:pPr>
            <w:r w:rsidRPr="00221CD5">
              <w:t>34.1</w:t>
            </w:r>
          </w:p>
        </w:tc>
        <w:tc>
          <w:tcPr>
            <w:tcW w:w="0" w:type="auto"/>
            <w:vAlign w:val="center"/>
          </w:tcPr>
          <w:p w14:paraId="53973A62" w14:textId="77777777" w:rsidR="00EB0316" w:rsidRPr="00221CD5" w:rsidRDefault="00EB0316" w:rsidP="00413214">
            <w:pPr>
              <w:pStyle w:val="TCTableBody"/>
            </w:pPr>
            <w:r w:rsidRPr="00221CD5">
              <w:t>19.5</w:t>
            </w:r>
          </w:p>
        </w:tc>
      </w:tr>
      <w:tr w:rsidR="00EB0316" w:rsidRPr="00221CD5" w14:paraId="68956DE7" w14:textId="77777777" w:rsidTr="00413214">
        <w:trPr>
          <w:trHeight w:val="284"/>
        </w:trPr>
        <w:tc>
          <w:tcPr>
            <w:tcW w:w="0" w:type="auto"/>
            <w:vMerge/>
            <w:vAlign w:val="center"/>
          </w:tcPr>
          <w:p w14:paraId="178A5528" w14:textId="77777777" w:rsidR="00EB0316" w:rsidRPr="000B4562" w:rsidRDefault="00EB0316" w:rsidP="00413214">
            <w:pPr>
              <w:pStyle w:val="TCTableBody"/>
              <w:rPr>
                <w:b/>
                <w:bCs/>
              </w:rPr>
            </w:pPr>
          </w:p>
        </w:tc>
        <w:tc>
          <w:tcPr>
            <w:tcW w:w="0" w:type="auto"/>
          </w:tcPr>
          <w:p w14:paraId="30F1A631" w14:textId="77777777" w:rsidR="00EB0316" w:rsidRPr="00221CD5" w:rsidRDefault="00EB0316" w:rsidP="00413214">
            <w:pPr>
              <w:pStyle w:val="TCTableBody"/>
            </w:pPr>
            <w:r w:rsidRPr="00221CD5">
              <w:t>160</w:t>
            </w:r>
          </w:p>
        </w:tc>
        <w:tc>
          <w:tcPr>
            <w:tcW w:w="1207" w:type="dxa"/>
            <w:vAlign w:val="bottom"/>
          </w:tcPr>
          <w:p w14:paraId="4181644B" w14:textId="77777777" w:rsidR="00EB0316" w:rsidRPr="00221CD5" w:rsidRDefault="00EB0316" w:rsidP="00413214">
            <w:pPr>
              <w:pStyle w:val="TCTableBody"/>
            </w:pPr>
            <w:r w:rsidRPr="00221CD5">
              <w:rPr>
                <w:lang w:val="it-IT"/>
              </w:rPr>
              <w:t>27.8</w:t>
            </w:r>
          </w:p>
        </w:tc>
        <w:tc>
          <w:tcPr>
            <w:tcW w:w="1559" w:type="dxa"/>
            <w:vAlign w:val="bottom"/>
          </w:tcPr>
          <w:p w14:paraId="1BF15775" w14:textId="77777777" w:rsidR="00EB0316" w:rsidRPr="00221CD5" w:rsidRDefault="00EB0316" w:rsidP="00413214">
            <w:pPr>
              <w:pStyle w:val="TCTableBody"/>
            </w:pPr>
            <w:r w:rsidRPr="00221CD5">
              <w:rPr>
                <w:lang w:val="it-IT"/>
              </w:rPr>
              <w:t>3.9 ± 0.2</w:t>
            </w:r>
          </w:p>
        </w:tc>
        <w:tc>
          <w:tcPr>
            <w:tcW w:w="0" w:type="auto"/>
            <w:vAlign w:val="bottom"/>
          </w:tcPr>
          <w:p w14:paraId="14B4DE8D" w14:textId="77777777" w:rsidR="00EB0316" w:rsidRPr="00221CD5" w:rsidRDefault="00EB0316" w:rsidP="00413214">
            <w:pPr>
              <w:pStyle w:val="TCTableBody"/>
            </w:pPr>
            <w:r w:rsidRPr="00221CD5">
              <w:rPr>
                <w:lang w:val="it-IT"/>
              </w:rPr>
              <w:t>10.8</w:t>
            </w:r>
          </w:p>
        </w:tc>
        <w:tc>
          <w:tcPr>
            <w:tcW w:w="0" w:type="auto"/>
            <w:vAlign w:val="center"/>
          </w:tcPr>
          <w:p w14:paraId="79CA7FCA" w14:textId="77777777" w:rsidR="00EB0316" w:rsidRPr="00221CD5" w:rsidRDefault="00EB0316" w:rsidP="00413214">
            <w:pPr>
              <w:pStyle w:val="TCTableBody"/>
            </w:pPr>
            <w:r w:rsidRPr="00221CD5">
              <w:t>57.4 ± 3.2</w:t>
            </w:r>
          </w:p>
        </w:tc>
      </w:tr>
      <w:tr w:rsidR="00EB0316" w:rsidRPr="00221CD5" w14:paraId="21FA8190" w14:textId="77777777" w:rsidTr="00413214">
        <w:trPr>
          <w:trHeight w:val="284"/>
        </w:trPr>
        <w:tc>
          <w:tcPr>
            <w:tcW w:w="0" w:type="auto"/>
            <w:vMerge/>
            <w:vAlign w:val="center"/>
          </w:tcPr>
          <w:p w14:paraId="47A62B22" w14:textId="77777777" w:rsidR="00EB0316" w:rsidRPr="000B4562" w:rsidRDefault="00EB0316" w:rsidP="00413214">
            <w:pPr>
              <w:pStyle w:val="TCTableBody"/>
              <w:rPr>
                <w:b/>
                <w:bCs/>
              </w:rPr>
            </w:pPr>
          </w:p>
        </w:tc>
        <w:tc>
          <w:tcPr>
            <w:tcW w:w="0" w:type="auto"/>
          </w:tcPr>
          <w:p w14:paraId="4CD186A0" w14:textId="77777777" w:rsidR="00EB0316" w:rsidRPr="00221CD5" w:rsidRDefault="00EB0316" w:rsidP="00413214">
            <w:pPr>
              <w:pStyle w:val="TCTableBody"/>
            </w:pPr>
            <w:r w:rsidRPr="00221CD5">
              <w:t>180</w:t>
            </w:r>
          </w:p>
        </w:tc>
        <w:tc>
          <w:tcPr>
            <w:tcW w:w="1207" w:type="dxa"/>
            <w:vAlign w:val="bottom"/>
          </w:tcPr>
          <w:p w14:paraId="1D2688B6" w14:textId="77777777" w:rsidR="00EB0316" w:rsidRPr="00221CD5" w:rsidRDefault="00EB0316" w:rsidP="00413214">
            <w:pPr>
              <w:pStyle w:val="TCTableBody"/>
            </w:pPr>
            <w:r w:rsidRPr="00221CD5">
              <w:rPr>
                <w:lang w:val="it-IT"/>
              </w:rPr>
              <w:t>4.8</w:t>
            </w:r>
          </w:p>
        </w:tc>
        <w:tc>
          <w:tcPr>
            <w:tcW w:w="1559" w:type="dxa"/>
            <w:vAlign w:val="bottom"/>
          </w:tcPr>
          <w:p w14:paraId="6A5766C3" w14:textId="77777777" w:rsidR="00EB0316" w:rsidRPr="00221CD5" w:rsidRDefault="00EB0316" w:rsidP="00413214">
            <w:pPr>
              <w:pStyle w:val="TCTableBody"/>
            </w:pPr>
            <w:r w:rsidRPr="00221CD5">
              <w:rPr>
                <w:lang w:val="it-IT"/>
              </w:rPr>
              <w:t>1.4</w:t>
            </w:r>
          </w:p>
        </w:tc>
        <w:tc>
          <w:tcPr>
            <w:tcW w:w="0" w:type="auto"/>
            <w:vAlign w:val="bottom"/>
          </w:tcPr>
          <w:p w14:paraId="360E2CF8" w14:textId="77777777" w:rsidR="00EB0316" w:rsidRPr="00221CD5" w:rsidRDefault="00EB0316" w:rsidP="00413214">
            <w:pPr>
              <w:pStyle w:val="TCTableBody"/>
            </w:pPr>
            <w:r w:rsidRPr="00221CD5">
              <w:rPr>
                <w:lang w:val="it-IT"/>
              </w:rPr>
              <w:t>8.5</w:t>
            </w:r>
          </w:p>
        </w:tc>
        <w:tc>
          <w:tcPr>
            <w:tcW w:w="0" w:type="auto"/>
            <w:vAlign w:val="center"/>
          </w:tcPr>
          <w:p w14:paraId="58DFEFAC" w14:textId="77777777" w:rsidR="00EB0316" w:rsidRPr="00221CD5" w:rsidRDefault="00EB0316" w:rsidP="00413214">
            <w:pPr>
              <w:pStyle w:val="TCTableBody"/>
            </w:pPr>
            <w:r w:rsidRPr="00221CD5">
              <w:t>85.3 ± 4.3</w:t>
            </w:r>
          </w:p>
        </w:tc>
      </w:tr>
      <w:tr w:rsidR="00EB0316" w:rsidRPr="00221CD5" w14:paraId="1DCD3816" w14:textId="77777777" w:rsidTr="00413214">
        <w:trPr>
          <w:trHeight w:val="284"/>
        </w:trPr>
        <w:tc>
          <w:tcPr>
            <w:tcW w:w="0" w:type="auto"/>
            <w:vMerge/>
            <w:vAlign w:val="center"/>
          </w:tcPr>
          <w:p w14:paraId="22493041" w14:textId="77777777" w:rsidR="00EB0316" w:rsidRPr="000B4562" w:rsidRDefault="00EB0316" w:rsidP="00413214">
            <w:pPr>
              <w:pStyle w:val="TCTableBody"/>
              <w:rPr>
                <w:b/>
                <w:bCs/>
              </w:rPr>
            </w:pPr>
          </w:p>
        </w:tc>
        <w:tc>
          <w:tcPr>
            <w:tcW w:w="0" w:type="auto"/>
          </w:tcPr>
          <w:p w14:paraId="6CCCF744" w14:textId="77777777" w:rsidR="00EB0316" w:rsidRPr="00221CD5" w:rsidRDefault="00EB0316" w:rsidP="00413214">
            <w:pPr>
              <w:pStyle w:val="TCTableBody"/>
            </w:pPr>
            <w:r w:rsidRPr="00221CD5">
              <w:t>200</w:t>
            </w:r>
          </w:p>
        </w:tc>
        <w:tc>
          <w:tcPr>
            <w:tcW w:w="1207" w:type="dxa"/>
            <w:vAlign w:val="bottom"/>
          </w:tcPr>
          <w:p w14:paraId="0E36DAC0" w14:textId="77777777" w:rsidR="00EB0316" w:rsidRPr="00221CD5" w:rsidRDefault="00EB0316" w:rsidP="00413214">
            <w:pPr>
              <w:pStyle w:val="TCTableBody"/>
            </w:pPr>
            <w:r w:rsidRPr="00221CD5">
              <w:rPr>
                <w:lang w:val="it-IT"/>
              </w:rPr>
              <w:t>4.5</w:t>
            </w:r>
          </w:p>
        </w:tc>
        <w:tc>
          <w:tcPr>
            <w:tcW w:w="1559" w:type="dxa"/>
            <w:vAlign w:val="bottom"/>
          </w:tcPr>
          <w:p w14:paraId="6972B2B7" w14:textId="77777777" w:rsidR="00EB0316" w:rsidRPr="00221CD5" w:rsidRDefault="00EB0316" w:rsidP="00413214">
            <w:pPr>
              <w:pStyle w:val="TCTableBody"/>
            </w:pPr>
            <w:r w:rsidRPr="00221CD5">
              <w:rPr>
                <w:lang w:val="it-IT"/>
              </w:rPr>
              <w:t>1.3</w:t>
            </w:r>
          </w:p>
        </w:tc>
        <w:tc>
          <w:tcPr>
            <w:tcW w:w="0" w:type="auto"/>
            <w:vAlign w:val="bottom"/>
          </w:tcPr>
          <w:p w14:paraId="703F14CF" w14:textId="77777777" w:rsidR="00EB0316" w:rsidRPr="00221CD5" w:rsidRDefault="00EB0316" w:rsidP="00413214">
            <w:pPr>
              <w:pStyle w:val="TCTableBody"/>
            </w:pPr>
            <w:r w:rsidRPr="00221CD5">
              <w:rPr>
                <w:lang w:val="it-IT"/>
              </w:rPr>
              <w:t>1.3</w:t>
            </w:r>
          </w:p>
        </w:tc>
        <w:tc>
          <w:tcPr>
            <w:tcW w:w="0" w:type="auto"/>
            <w:vAlign w:val="center"/>
          </w:tcPr>
          <w:p w14:paraId="3F0E2C7B" w14:textId="77777777" w:rsidR="00EB0316" w:rsidRPr="00221CD5" w:rsidRDefault="00EB0316" w:rsidP="00413214">
            <w:pPr>
              <w:pStyle w:val="TCTableBody"/>
            </w:pPr>
            <w:r w:rsidRPr="00221CD5">
              <w:t>92.9 ± 0.9</w:t>
            </w:r>
          </w:p>
        </w:tc>
      </w:tr>
      <w:tr w:rsidR="00EB0316" w:rsidRPr="00221CD5" w14:paraId="30C2052A" w14:textId="77777777" w:rsidTr="00413214">
        <w:trPr>
          <w:trHeight w:val="301"/>
        </w:trPr>
        <w:tc>
          <w:tcPr>
            <w:tcW w:w="0" w:type="auto"/>
            <w:vMerge w:val="restart"/>
            <w:vAlign w:val="center"/>
          </w:tcPr>
          <w:p w14:paraId="64ED6FD1" w14:textId="77777777" w:rsidR="00EB0316" w:rsidRPr="000B4562" w:rsidRDefault="00EB0316" w:rsidP="00413214">
            <w:pPr>
              <w:pStyle w:val="TCTableBody"/>
              <w:rPr>
                <w:b/>
                <w:bCs/>
              </w:rPr>
            </w:pPr>
            <w:r w:rsidRPr="000B4562">
              <w:rPr>
                <w:b/>
                <w:bCs/>
              </w:rPr>
              <w:t>MB</w:t>
            </w:r>
          </w:p>
        </w:tc>
        <w:tc>
          <w:tcPr>
            <w:tcW w:w="0" w:type="auto"/>
          </w:tcPr>
          <w:p w14:paraId="03E79E3D" w14:textId="77777777" w:rsidR="00EB0316" w:rsidRPr="00221CD5" w:rsidRDefault="00EB0316" w:rsidP="00413214">
            <w:pPr>
              <w:pStyle w:val="TCTableBody"/>
            </w:pPr>
            <w:r w:rsidRPr="00221CD5">
              <w:t>Raw</w:t>
            </w:r>
          </w:p>
        </w:tc>
        <w:tc>
          <w:tcPr>
            <w:tcW w:w="1207" w:type="dxa"/>
            <w:vAlign w:val="center"/>
          </w:tcPr>
          <w:p w14:paraId="67AE408E" w14:textId="77777777" w:rsidR="00EB0316" w:rsidRPr="00221CD5" w:rsidRDefault="00EB0316" w:rsidP="00413214">
            <w:pPr>
              <w:pStyle w:val="TCTableBody"/>
            </w:pPr>
            <w:r w:rsidRPr="00221CD5">
              <w:t>40.4 ± 0.2</w:t>
            </w:r>
          </w:p>
        </w:tc>
        <w:tc>
          <w:tcPr>
            <w:tcW w:w="1559" w:type="dxa"/>
            <w:vAlign w:val="center"/>
          </w:tcPr>
          <w:p w14:paraId="22EF82D8" w14:textId="77777777" w:rsidR="00EB0316" w:rsidRPr="00221CD5" w:rsidRDefault="00EB0316" w:rsidP="00413214">
            <w:pPr>
              <w:pStyle w:val="TCTableBody"/>
            </w:pPr>
            <w:r w:rsidRPr="00221CD5">
              <w:t>5.4</w:t>
            </w:r>
          </w:p>
        </w:tc>
        <w:tc>
          <w:tcPr>
            <w:tcW w:w="0" w:type="auto"/>
            <w:vAlign w:val="center"/>
          </w:tcPr>
          <w:p w14:paraId="597B6A97" w14:textId="77777777" w:rsidR="00EB0316" w:rsidRPr="00221CD5" w:rsidRDefault="00EB0316" w:rsidP="00413214">
            <w:pPr>
              <w:pStyle w:val="TCTableBody"/>
            </w:pPr>
            <w:r w:rsidRPr="00221CD5">
              <w:t>32.2</w:t>
            </w:r>
          </w:p>
        </w:tc>
        <w:tc>
          <w:tcPr>
            <w:tcW w:w="0" w:type="auto"/>
            <w:vAlign w:val="center"/>
          </w:tcPr>
          <w:p w14:paraId="6EB4FFB0" w14:textId="77777777" w:rsidR="00EB0316" w:rsidRPr="00221CD5" w:rsidRDefault="00EB0316" w:rsidP="00413214">
            <w:pPr>
              <w:pStyle w:val="TCTableBody"/>
            </w:pPr>
            <w:r w:rsidRPr="00221CD5">
              <w:t>22.0</w:t>
            </w:r>
          </w:p>
        </w:tc>
      </w:tr>
      <w:tr w:rsidR="00EB0316" w:rsidRPr="00221CD5" w14:paraId="6FA348BD" w14:textId="77777777" w:rsidTr="00413214">
        <w:trPr>
          <w:trHeight w:val="301"/>
        </w:trPr>
        <w:tc>
          <w:tcPr>
            <w:tcW w:w="0" w:type="auto"/>
            <w:vMerge/>
            <w:vAlign w:val="center"/>
          </w:tcPr>
          <w:p w14:paraId="1E4CEA69" w14:textId="77777777" w:rsidR="00EB0316" w:rsidRPr="000B4562" w:rsidRDefault="00EB0316" w:rsidP="00413214">
            <w:pPr>
              <w:pStyle w:val="TCTableBody"/>
              <w:rPr>
                <w:b/>
                <w:bCs/>
              </w:rPr>
            </w:pPr>
          </w:p>
        </w:tc>
        <w:tc>
          <w:tcPr>
            <w:tcW w:w="0" w:type="auto"/>
          </w:tcPr>
          <w:p w14:paraId="07C982EF" w14:textId="77777777" w:rsidR="00EB0316" w:rsidRPr="00221CD5" w:rsidRDefault="00EB0316" w:rsidP="00413214">
            <w:pPr>
              <w:pStyle w:val="TCTableBody"/>
            </w:pPr>
            <w:r w:rsidRPr="00221CD5">
              <w:t>160</w:t>
            </w:r>
          </w:p>
        </w:tc>
        <w:tc>
          <w:tcPr>
            <w:tcW w:w="1207" w:type="dxa"/>
            <w:vAlign w:val="bottom"/>
          </w:tcPr>
          <w:p w14:paraId="58B0B48F" w14:textId="77777777" w:rsidR="00EB0316" w:rsidRPr="00221CD5" w:rsidRDefault="00EB0316" w:rsidP="00413214">
            <w:pPr>
              <w:pStyle w:val="TCTableBody"/>
            </w:pPr>
            <w:r w:rsidRPr="00221CD5">
              <w:rPr>
                <w:lang w:val="it-IT"/>
              </w:rPr>
              <w:t>24.7</w:t>
            </w:r>
          </w:p>
        </w:tc>
        <w:tc>
          <w:tcPr>
            <w:tcW w:w="1559" w:type="dxa"/>
            <w:vAlign w:val="bottom"/>
          </w:tcPr>
          <w:p w14:paraId="0E0BB276" w14:textId="77777777" w:rsidR="00EB0316" w:rsidRPr="00221CD5" w:rsidRDefault="00EB0316" w:rsidP="00413214">
            <w:pPr>
              <w:pStyle w:val="TCTableBody"/>
            </w:pPr>
            <w:r w:rsidRPr="00221CD5">
              <w:rPr>
                <w:lang w:val="it-IT"/>
              </w:rPr>
              <w:t>7.1</w:t>
            </w:r>
          </w:p>
        </w:tc>
        <w:tc>
          <w:tcPr>
            <w:tcW w:w="0" w:type="auto"/>
            <w:vAlign w:val="bottom"/>
          </w:tcPr>
          <w:p w14:paraId="71CA0A8B" w14:textId="77777777" w:rsidR="00EB0316" w:rsidRPr="00221CD5" w:rsidRDefault="00EB0316" w:rsidP="00413214">
            <w:pPr>
              <w:pStyle w:val="TCTableBody"/>
            </w:pPr>
            <w:r w:rsidRPr="00221CD5">
              <w:rPr>
                <w:lang w:val="it-IT"/>
              </w:rPr>
              <w:t>38.3</w:t>
            </w:r>
          </w:p>
        </w:tc>
        <w:tc>
          <w:tcPr>
            <w:tcW w:w="0" w:type="auto"/>
            <w:vAlign w:val="center"/>
          </w:tcPr>
          <w:p w14:paraId="6F0360BE" w14:textId="77777777" w:rsidR="00EB0316" w:rsidRPr="00221CD5" w:rsidRDefault="00EB0316" w:rsidP="00413214">
            <w:pPr>
              <w:pStyle w:val="TCTableBody"/>
            </w:pPr>
            <w:r w:rsidRPr="00221CD5">
              <w:t>29.9</w:t>
            </w:r>
          </w:p>
        </w:tc>
      </w:tr>
      <w:tr w:rsidR="00EB0316" w:rsidRPr="00221CD5" w14:paraId="022B16E8" w14:textId="77777777" w:rsidTr="00413214">
        <w:trPr>
          <w:trHeight w:val="301"/>
        </w:trPr>
        <w:tc>
          <w:tcPr>
            <w:tcW w:w="0" w:type="auto"/>
            <w:vMerge/>
            <w:vAlign w:val="center"/>
          </w:tcPr>
          <w:p w14:paraId="662A7444" w14:textId="77777777" w:rsidR="00EB0316" w:rsidRPr="000B4562" w:rsidRDefault="00EB0316" w:rsidP="00413214">
            <w:pPr>
              <w:pStyle w:val="TCTableBody"/>
              <w:rPr>
                <w:b/>
                <w:bCs/>
              </w:rPr>
            </w:pPr>
          </w:p>
        </w:tc>
        <w:tc>
          <w:tcPr>
            <w:tcW w:w="0" w:type="auto"/>
          </w:tcPr>
          <w:p w14:paraId="05BB4D6B" w14:textId="77777777" w:rsidR="00EB0316" w:rsidRPr="00221CD5" w:rsidRDefault="00EB0316" w:rsidP="00413214">
            <w:pPr>
              <w:pStyle w:val="TCTableBody"/>
            </w:pPr>
            <w:r w:rsidRPr="00221CD5">
              <w:t>180</w:t>
            </w:r>
          </w:p>
        </w:tc>
        <w:tc>
          <w:tcPr>
            <w:tcW w:w="1207" w:type="dxa"/>
            <w:vAlign w:val="bottom"/>
          </w:tcPr>
          <w:p w14:paraId="7D95A6E2" w14:textId="77777777" w:rsidR="00EB0316" w:rsidRPr="00221CD5" w:rsidRDefault="00EB0316" w:rsidP="00413214">
            <w:pPr>
              <w:pStyle w:val="TCTableBody"/>
            </w:pPr>
            <w:r w:rsidRPr="00221CD5">
              <w:rPr>
                <w:lang w:val="it-IT"/>
              </w:rPr>
              <w:t>3.4</w:t>
            </w:r>
          </w:p>
        </w:tc>
        <w:tc>
          <w:tcPr>
            <w:tcW w:w="1559" w:type="dxa"/>
            <w:vAlign w:val="bottom"/>
          </w:tcPr>
          <w:p w14:paraId="713021F6" w14:textId="77777777" w:rsidR="00EB0316" w:rsidRPr="00221CD5" w:rsidRDefault="00EB0316" w:rsidP="00413214">
            <w:pPr>
              <w:pStyle w:val="TCTableBody"/>
            </w:pPr>
            <w:r w:rsidRPr="00221CD5">
              <w:rPr>
                <w:lang w:val="it-IT"/>
              </w:rPr>
              <w:t>1.2</w:t>
            </w:r>
          </w:p>
        </w:tc>
        <w:tc>
          <w:tcPr>
            <w:tcW w:w="0" w:type="auto"/>
            <w:vAlign w:val="bottom"/>
          </w:tcPr>
          <w:p w14:paraId="5E93CFEE" w14:textId="77777777" w:rsidR="00EB0316" w:rsidRPr="00221CD5" w:rsidRDefault="00EB0316" w:rsidP="00413214">
            <w:pPr>
              <w:pStyle w:val="TCTableBody"/>
            </w:pPr>
            <w:r w:rsidRPr="00221CD5">
              <w:rPr>
                <w:lang w:val="it-IT"/>
              </w:rPr>
              <w:t>8.8</w:t>
            </w:r>
          </w:p>
        </w:tc>
        <w:tc>
          <w:tcPr>
            <w:tcW w:w="0" w:type="auto"/>
            <w:vAlign w:val="center"/>
          </w:tcPr>
          <w:p w14:paraId="679CB726" w14:textId="77777777" w:rsidR="00EB0316" w:rsidRPr="00221CD5" w:rsidRDefault="00EB0316" w:rsidP="00413214">
            <w:pPr>
              <w:pStyle w:val="TCTableBody"/>
            </w:pPr>
            <w:r w:rsidRPr="00221CD5">
              <w:t>86.5 ± 0.8</w:t>
            </w:r>
          </w:p>
        </w:tc>
      </w:tr>
      <w:tr w:rsidR="00EB0316" w:rsidRPr="00221CD5" w14:paraId="0F79C860" w14:textId="77777777" w:rsidTr="00413214">
        <w:trPr>
          <w:trHeight w:val="301"/>
        </w:trPr>
        <w:tc>
          <w:tcPr>
            <w:tcW w:w="0" w:type="auto"/>
            <w:vMerge/>
            <w:vAlign w:val="center"/>
          </w:tcPr>
          <w:p w14:paraId="4A1A7D8D" w14:textId="77777777" w:rsidR="00EB0316" w:rsidRPr="000B4562" w:rsidRDefault="00EB0316" w:rsidP="00413214">
            <w:pPr>
              <w:pStyle w:val="TCTableBody"/>
              <w:rPr>
                <w:b/>
                <w:bCs/>
              </w:rPr>
            </w:pPr>
          </w:p>
        </w:tc>
        <w:tc>
          <w:tcPr>
            <w:tcW w:w="0" w:type="auto"/>
          </w:tcPr>
          <w:p w14:paraId="754F57B3" w14:textId="77777777" w:rsidR="00EB0316" w:rsidRPr="00221CD5" w:rsidRDefault="00EB0316" w:rsidP="00413214">
            <w:pPr>
              <w:pStyle w:val="TCTableBody"/>
            </w:pPr>
            <w:r w:rsidRPr="00221CD5">
              <w:t>200</w:t>
            </w:r>
          </w:p>
        </w:tc>
        <w:tc>
          <w:tcPr>
            <w:tcW w:w="1207" w:type="dxa"/>
            <w:vAlign w:val="bottom"/>
          </w:tcPr>
          <w:p w14:paraId="7FE457D3" w14:textId="77777777" w:rsidR="00EB0316" w:rsidRPr="00221CD5" w:rsidRDefault="00EB0316" w:rsidP="00413214">
            <w:pPr>
              <w:pStyle w:val="TCTableBody"/>
            </w:pPr>
            <w:r w:rsidRPr="00221CD5">
              <w:rPr>
                <w:lang w:val="it-IT"/>
              </w:rPr>
              <w:t>1.6</w:t>
            </w:r>
          </w:p>
        </w:tc>
        <w:tc>
          <w:tcPr>
            <w:tcW w:w="1559" w:type="dxa"/>
            <w:vAlign w:val="bottom"/>
          </w:tcPr>
          <w:p w14:paraId="760A25C5" w14:textId="77777777" w:rsidR="00EB0316" w:rsidRPr="00221CD5" w:rsidRDefault="00EB0316" w:rsidP="00413214">
            <w:pPr>
              <w:pStyle w:val="TCTableBody"/>
            </w:pPr>
            <w:r w:rsidRPr="00221CD5">
              <w:rPr>
                <w:lang w:val="it-IT"/>
              </w:rPr>
              <w:t>1.0</w:t>
            </w:r>
          </w:p>
        </w:tc>
        <w:tc>
          <w:tcPr>
            <w:tcW w:w="0" w:type="auto"/>
            <w:vAlign w:val="bottom"/>
          </w:tcPr>
          <w:p w14:paraId="7E57FAF6" w14:textId="77777777" w:rsidR="00EB0316" w:rsidRPr="00221CD5" w:rsidRDefault="00EB0316" w:rsidP="00413214">
            <w:pPr>
              <w:pStyle w:val="TCTableBody"/>
            </w:pPr>
            <w:r w:rsidRPr="00221CD5">
              <w:rPr>
                <w:lang w:val="it-IT"/>
              </w:rPr>
              <w:t>0.0</w:t>
            </w:r>
          </w:p>
        </w:tc>
        <w:tc>
          <w:tcPr>
            <w:tcW w:w="0" w:type="auto"/>
            <w:vAlign w:val="center"/>
          </w:tcPr>
          <w:p w14:paraId="1043AE13" w14:textId="77777777" w:rsidR="00EB0316" w:rsidRPr="00221CD5" w:rsidRDefault="00EB0316" w:rsidP="00413214">
            <w:pPr>
              <w:pStyle w:val="TCTableBody"/>
            </w:pPr>
            <w:r w:rsidRPr="00221CD5">
              <w:t>97.2 ± 0.3</w:t>
            </w:r>
          </w:p>
        </w:tc>
      </w:tr>
      <w:tr w:rsidR="00EB0316" w:rsidRPr="00221CD5" w14:paraId="604F1849" w14:textId="77777777" w:rsidTr="00413214">
        <w:trPr>
          <w:trHeight w:val="284"/>
        </w:trPr>
        <w:tc>
          <w:tcPr>
            <w:tcW w:w="0" w:type="auto"/>
            <w:vMerge w:val="restart"/>
            <w:vAlign w:val="center"/>
          </w:tcPr>
          <w:p w14:paraId="4E08CA90" w14:textId="77777777" w:rsidR="00EB0316" w:rsidRPr="000B4562" w:rsidRDefault="00EB0316" w:rsidP="00413214">
            <w:pPr>
              <w:pStyle w:val="TCTableBody"/>
              <w:rPr>
                <w:b/>
                <w:bCs/>
              </w:rPr>
            </w:pPr>
            <w:r>
              <w:rPr>
                <w:b/>
                <w:bCs/>
              </w:rPr>
              <w:t>CELL</w:t>
            </w:r>
          </w:p>
        </w:tc>
        <w:tc>
          <w:tcPr>
            <w:tcW w:w="0" w:type="auto"/>
          </w:tcPr>
          <w:p w14:paraId="424FDF4A" w14:textId="77777777" w:rsidR="00EB0316" w:rsidRPr="00221CD5" w:rsidRDefault="00EB0316" w:rsidP="00413214">
            <w:pPr>
              <w:pStyle w:val="TCTableBody"/>
            </w:pPr>
            <w:r w:rsidRPr="00221CD5">
              <w:t>Raw</w:t>
            </w:r>
          </w:p>
        </w:tc>
        <w:tc>
          <w:tcPr>
            <w:tcW w:w="1207" w:type="dxa"/>
            <w:vAlign w:val="center"/>
          </w:tcPr>
          <w:p w14:paraId="0D35DFB8" w14:textId="77777777" w:rsidR="00EB0316" w:rsidRPr="00221CD5" w:rsidRDefault="00EB0316" w:rsidP="00413214">
            <w:pPr>
              <w:pStyle w:val="TCTableBody"/>
            </w:pPr>
            <w:r w:rsidRPr="00221CD5">
              <w:t>39.8</w:t>
            </w:r>
          </w:p>
        </w:tc>
        <w:tc>
          <w:tcPr>
            <w:tcW w:w="1559" w:type="dxa"/>
            <w:vAlign w:val="center"/>
          </w:tcPr>
          <w:p w14:paraId="66D45468" w14:textId="77777777" w:rsidR="00EB0316" w:rsidRPr="00221CD5" w:rsidRDefault="00EB0316" w:rsidP="00413214">
            <w:pPr>
              <w:pStyle w:val="TCTableBody"/>
            </w:pPr>
            <w:r w:rsidRPr="00221CD5">
              <w:t>6.8</w:t>
            </w:r>
          </w:p>
        </w:tc>
        <w:tc>
          <w:tcPr>
            <w:tcW w:w="0" w:type="auto"/>
            <w:vAlign w:val="center"/>
          </w:tcPr>
          <w:p w14:paraId="7AB70D51" w14:textId="77777777" w:rsidR="00EB0316" w:rsidRPr="00221CD5" w:rsidRDefault="00EB0316" w:rsidP="00413214">
            <w:pPr>
              <w:pStyle w:val="TCTableBody"/>
            </w:pPr>
            <w:r w:rsidRPr="00221CD5">
              <w:t>52.9</w:t>
            </w:r>
          </w:p>
        </w:tc>
        <w:tc>
          <w:tcPr>
            <w:tcW w:w="0" w:type="auto"/>
            <w:vAlign w:val="center"/>
          </w:tcPr>
          <w:p w14:paraId="5B86E013" w14:textId="77777777" w:rsidR="00EB0316" w:rsidRPr="00221CD5" w:rsidRDefault="00EB0316" w:rsidP="00413214">
            <w:pPr>
              <w:pStyle w:val="TCTableBody"/>
            </w:pPr>
            <w:r w:rsidRPr="00221CD5">
              <w:t>0.4 ± 0.2</w:t>
            </w:r>
          </w:p>
        </w:tc>
      </w:tr>
      <w:tr w:rsidR="00EB0316" w:rsidRPr="00221CD5" w14:paraId="26BD6C4D" w14:textId="77777777" w:rsidTr="00413214">
        <w:trPr>
          <w:trHeight w:val="284"/>
        </w:trPr>
        <w:tc>
          <w:tcPr>
            <w:tcW w:w="0" w:type="auto"/>
            <w:vMerge/>
            <w:vAlign w:val="center"/>
          </w:tcPr>
          <w:p w14:paraId="55638B20" w14:textId="77777777" w:rsidR="00EB0316" w:rsidRPr="000B4562" w:rsidRDefault="00EB0316" w:rsidP="00413214">
            <w:pPr>
              <w:pStyle w:val="TCTableBody"/>
              <w:rPr>
                <w:b/>
                <w:bCs/>
              </w:rPr>
            </w:pPr>
          </w:p>
        </w:tc>
        <w:tc>
          <w:tcPr>
            <w:tcW w:w="0" w:type="auto"/>
          </w:tcPr>
          <w:p w14:paraId="66DD25F6" w14:textId="77777777" w:rsidR="00EB0316" w:rsidRPr="00221CD5" w:rsidRDefault="00EB0316" w:rsidP="00413214">
            <w:pPr>
              <w:pStyle w:val="TCTableBody"/>
            </w:pPr>
            <w:r w:rsidRPr="00221CD5">
              <w:t>160</w:t>
            </w:r>
          </w:p>
        </w:tc>
        <w:tc>
          <w:tcPr>
            <w:tcW w:w="1207" w:type="dxa"/>
            <w:vAlign w:val="bottom"/>
          </w:tcPr>
          <w:p w14:paraId="4D063851" w14:textId="77777777" w:rsidR="00EB0316" w:rsidRPr="00221CD5" w:rsidRDefault="00EB0316" w:rsidP="00413214">
            <w:pPr>
              <w:pStyle w:val="TCTableBody"/>
            </w:pPr>
            <w:r w:rsidRPr="00221CD5">
              <w:rPr>
                <w:lang w:val="it-IT"/>
              </w:rPr>
              <w:t>40.0 ± 0.3</w:t>
            </w:r>
          </w:p>
        </w:tc>
        <w:tc>
          <w:tcPr>
            <w:tcW w:w="1559" w:type="dxa"/>
            <w:vAlign w:val="bottom"/>
          </w:tcPr>
          <w:p w14:paraId="02AB4F20" w14:textId="77777777" w:rsidR="00EB0316" w:rsidRPr="00221CD5" w:rsidRDefault="00EB0316" w:rsidP="00413214">
            <w:pPr>
              <w:pStyle w:val="TCTableBody"/>
            </w:pPr>
            <w:r w:rsidRPr="00221CD5">
              <w:rPr>
                <w:lang w:val="it-IT"/>
              </w:rPr>
              <w:t>6.7</w:t>
            </w:r>
          </w:p>
        </w:tc>
        <w:tc>
          <w:tcPr>
            <w:tcW w:w="0" w:type="auto"/>
            <w:vAlign w:val="bottom"/>
          </w:tcPr>
          <w:p w14:paraId="01072DFC" w14:textId="77777777" w:rsidR="00EB0316" w:rsidRPr="00221CD5" w:rsidRDefault="00EB0316" w:rsidP="00413214">
            <w:pPr>
              <w:pStyle w:val="TCTableBody"/>
            </w:pPr>
            <w:r w:rsidRPr="00221CD5">
              <w:rPr>
                <w:lang w:val="it-IT"/>
              </w:rPr>
              <w:t>52.5</w:t>
            </w:r>
          </w:p>
        </w:tc>
        <w:tc>
          <w:tcPr>
            <w:tcW w:w="0" w:type="auto"/>
            <w:vAlign w:val="center"/>
          </w:tcPr>
          <w:p w14:paraId="0B7BC83C" w14:textId="77777777" w:rsidR="00EB0316" w:rsidRPr="00221CD5" w:rsidRDefault="00EB0316" w:rsidP="00413214">
            <w:pPr>
              <w:pStyle w:val="TCTableBody"/>
            </w:pPr>
            <w:r w:rsidRPr="00221CD5">
              <w:t>0.8</w:t>
            </w:r>
          </w:p>
        </w:tc>
      </w:tr>
      <w:tr w:rsidR="00EB0316" w:rsidRPr="00221CD5" w14:paraId="38C11694" w14:textId="77777777" w:rsidTr="00413214">
        <w:trPr>
          <w:trHeight w:val="284"/>
        </w:trPr>
        <w:tc>
          <w:tcPr>
            <w:tcW w:w="0" w:type="auto"/>
            <w:vMerge/>
            <w:vAlign w:val="center"/>
          </w:tcPr>
          <w:p w14:paraId="4BF089C3" w14:textId="77777777" w:rsidR="00EB0316" w:rsidRPr="000B4562" w:rsidRDefault="00EB0316" w:rsidP="00413214">
            <w:pPr>
              <w:pStyle w:val="TCTableBody"/>
              <w:rPr>
                <w:b/>
                <w:bCs/>
              </w:rPr>
            </w:pPr>
          </w:p>
        </w:tc>
        <w:tc>
          <w:tcPr>
            <w:tcW w:w="0" w:type="auto"/>
          </w:tcPr>
          <w:p w14:paraId="65E1EE4E" w14:textId="77777777" w:rsidR="00EB0316" w:rsidRPr="00221CD5" w:rsidRDefault="00EB0316" w:rsidP="00413214">
            <w:pPr>
              <w:pStyle w:val="TCTableBody"/>
            </w:pPr>
            <w:r w:rsidRPr="00221CD5">
              <w:t>180</w:t>
            </w:r>
          </w:p>
        </w:tc>
        <w:tc>
          <w:tcPr>
            <w:tcW w:w="1207" w:type="dxa"/>
            <w:vAlign w:val="bottom"/>
          </w:tcPr>
          <w:p w14:paraId="278018D4" w14:textId="77777777" w:rsidR="00EB0316" w:rsidRPr="00221CD5" w:rsidRDefault="00EB0316" w:rsidP="00413214">
            <w:pPr>
              <w:pStyle w:val="TCTableBody"/>
            </w:pPr>
            <w:r w:rsidRPr="00221CD5">
              <w:rPr>
                <w:lang w:val="it-IT"/>
              </w:rPr>
              <w:t>40.2</w:t>
            </w:r>
          </w:p>
        </w:tc>
        <w:tc>
          <w:tcPr>
            <w:tcW w:w="1559" w:type="dxa"/>
            <w:vAlign w:val="bottom"/>
          </w:tcPr>
          <w:p w14:paraId="78454578" w14:textId="77777777" w:rsidR="00EB0316" w:rsidRPr="00221CD5" w:rsidRDefault="00EB0316" w:rsidP="00413214">
            <w:pPr>
              <w:pStyle w:val="TCTableBody"/>
            </w:pPr>
            <w:r w:rsidRPr="00221CD5">
              <w:rPr>
                <w:lang w:val="it-IT"/>
              </w:rPr>
              <w:t>6.6</w:t>
            </w:r>
          </w:p>
        </w:tc>
        <w:tc>
          <w:tcPr>
            <w:tcW w:w="0" w:type="auto"/>
            <w:vAlign w:val="bottom"/>
          </w:tcPr>
          <w:p w14:paraId="1486FF3D" w14:textId="77777777" w:rsidR="00EB0316" w:rsidRPr="00221CD5" w:rsidRDefault="00EB0316" w:rsidP="00413214">
            <w:pPr>
              <w:pStyle w:val="TCTableBody"/>
            </w:pPr>
            <w:r w:rsidRPr="00221CD5">
              <w:rPr>
                <w:lang w:val="it-IT"/>
              </w:rPr>
              <w:t>52.3</w:t>
            </w:r>
          </w:p>
        </w:tc>
        <w:tc>
          <w:tcPr>
            <w:tcW w:w="0" w:type="auto"/>
            <w:vAlign w:val="center"/>
          </w:tcPr>
          <w:p w14:paraId="19FA7757" w14:textId="77777777" w:rsidR="00EB0316" w:rsidRPr="00221CD5" w:rsidRDefault="00EB0316" w:rsidP="00413214">
            <w:pPr>
              <w:pStyle w:val="TCTableBody"/>
            </w:pPr>
            <w:r w:rsidRPr="00221CD5">
              <w:t>0.8</w:t>
            </w:r>
          </w:p>
        </w:tc>
      </w:tr>
      <w:tr w:rsidR="00EB0316" w:rsidRPr="00221CD5" w14:paraId="4BBEEDD5" w14:textId="77777777" w:rsidTr="00413214">
        <w:trPr>
          <w:trHeight w:val="284"/>
        </w:trPr>
        <w:tc>
          <w:tcPr>
            <w:tcW w:w="0" w:type="auto"/>
            <w:vMerge/>
            <w:vAlign w:val="center"/>
          </w:tcPr>
          <w:p w14:paraId="628BFAAA" w14:textId="77777777" w:rsidR="00EB0316" w:rsidRPr="000B4562" w:rsidRDefault="00EB0316" w:rsidP="00413214">
            <w:pPr>
              <w:pStyle w:val="TCTableBody"/>
              <w:rPr>
                <w:b/>
                <w:bCs/>
              </w:rPr>
            </w:pPr>
          </w:p>
        </w:tc>
        <w:tc>
          <w:tcPr>
            <w:tcW w:w="0" w:type="auto"/>
          </w:tcPr>
          <w:p w14:paraId="2F1C2FDD" w14:textId="77777777" w:rsidR="00EB0316" w:rsidRPr="00221CD5" w:rsidRDefault="00EB0316" w:rsidP="00413214">
            <w:pPr>
              <w:pStyle w:val="TCTableBody"/>
            </w:pPr>
            <w:r w:rsidRPr="00221CD5">
              <w:t>200</w:t>
            </w:r>
          </w:p>
        </w:tc>
        <w:tc>
          <w:tcPr>
            <w:tcW w:w="1207" w:type="dxa"/>
            <w:vAlign w:val="bottom"/>
          </w:tcPr>
          <w:p w14:paraId="6764FE89" w14:textId="77777777" w:rsidR="00EB0316" w:rsidRPr="00221CD5" w:rsidRDefault="00EB0316" w:rsidP="00413214">
            <w:pPr>
              <w:pStyle w:val="TCTableBody"/>
            </w:pPr>
            <w:r w:rsidRPr="00221CD5">
              <w:rPr>
                <w:lang w:val="it-IT"/>
              </w:rPr>
              <w:t>41.2</w:t>
            </w:r>
          </w:p>
        </w:tc>
        <w:tc>
          <w:tcPr>
            <w:tcW w:w="1559" w:type="dxa"/>
            <w:vAlign w:val="bottom"/>
          </w:tcPr>
          <w:p w14:paraId="2885B206" w14:textId="77777777" w:rsidR="00EB0316" w:rsidRPr="00221CD5" w:rsidRDefault="00EB0316" w:rsidP="00413214">
            <w:pPr>
              <w:pStyle w:val="TCTableBody"/>
            </w:pPr>
            <w:r w:rsidRPr="00221CD5">
              <w:rPr>
                <w:lang w:val="it-IT"/>
              </w:rPr>
              <w:t>6.6</w:t>
            </w:r>
          </w:p>
        </w:tc>
        <w:tc>
          <w:tcPr>
            <w:tcW w:w="0" w:type="auto"/>
            <w:vAlign w:val="bottom"/>
          </w:tcPr>
          <w:p w14:paraId="2C0B6B5E" w14:textId="77777777" w:rsidR="00EB0316" w:rsidRPr="00221CD5" w:rsidRDefault="00EB0316" w:rsidP="00413214">
            <w:pPr>
              <w:pStyle w:val="TCTableBody"/>
            </w:pPr>
            <w:r w:rsidRPr="00221CD5">
              <w:rPr>
                <w:lang w:val="it-IT"/>
              </w:rPr>
              <w:t>51.5</w:t>
            </w:r>
          </w:p>
        </w:tc>
        <w:tc>
          <w:tcPr>
            <w:tcW w:w="0" w:type="auto"/>
            <w:vAlign w:val="center"/>
          </w:tcPr>
          <w:p w14:paraId="4D22D129" w14:textId="77777777" w:rsidR="00EB0316" w:rsidRPr="00221CD5" w:rsidRDefault="00EB0316" w:rsidP="00413214">
            <w:pPr>
              <w:pStyle w:val="TCTableBody"/>
            </w:pPr>
            <w:r w:rsidRPr="00221CD5">
              <w:t>0.7</w:t>
            </w:r>
          </w:p>
        </w:tc>
      </w:tr>
      <w:tr w:rsidR="00EB0316" w:rsidRPr="00221CD5" w14:paraId="31B328EB" w14:textId="77777777" w:rsidTr="00413214">
        <w:trPr>
          <w:trHeight w:val="284"/>
        </w:trPr>
        <w:tc>
          <w:tcPr>
            <w:tcW w:w="0" w:type="auto"/>
            <w:vMerge w:val="restart"/>
            <w:vAlign w:val="center"/>
          </w:tcPr>
          <w:p w14:paraId="76B6D958" w14:textId="77777777" w:rsidR="00EB0316" w:rsidRPr="000B4562" w:rsidRDefault="00EB0316" w:rsidP="00413214">
            <w:pPr>
              <w:pStyle w:val="TCTableBody"/>
              <w:rPr>
                <w:b/>
                <w:bCs/>
              </w:rPr>
            </w:pPr>
            <w:r w:rsidRPr="000B4562">
              <w:rPr>
                <w:b/>
                <w:bCs/>
              </w:rPr>
              <w:t>MIX</w:t>
            </w:r>
          </w:p>
        </w:tc>
        <w:tc>
          <w:tcPr>
            <w:tcW w:w="0" w:type="auto"/>
          </w:tcPr>
          <w:p w14:paraId="5FBD046C" w14:textId="77777777" w:rsidR="00EB0316" w:rsidRPr="00221CD5" w:rsidRDefault="00EB0316" w:rsidP="00413214">
            <w:pPr>
              <w:pStyle w:val="TCTableBody"/>
            </w:pPr>
            <w:proofErr w:type="spellStart"/>
            <w:r w:rsidRPr="00221CD5">
              <w:t>Raw</w:t>
            </w:r>
            <w:r w:rsidRPr="00221CD5">
              <w:rPr>
                <w:vertAlign w:val="superscript"/>
              </w:rPr>
              <w:t>a</w:t>
            </w:r>
            <w:proofErr w:type="spellEnd"/>
          </w:p>
        </w:tc>
        <w:tc>
          <w:tcPr>
            <w:tcW w:w="1207" w:type="dxa"/>
            <w:vAlign w:val="center"/>
          </w:tcPr>
          <w:p w14:paraId="715F7C06" w14:textId="77777777" w:rsidR="00EB0316" w:rsidRPr="00221CD5" w:rsidRDefault="00EB0316" w:rsidP="00413214">
            <w:pPr>
              <w:pStyle w:val="TCTableBody"/>
            </w:pPr>
            <w:r w:rsidRPr="00221CD5">
              <w:t>40.5</w:t>
            </w:r>
          </w:p>
        </w:tc>
        <w:tc>
          <w:tcPr>
            <w:tcW w:w="1559" w:type="dxa"/>
            <w:vAlign w:val="center"/>
          </w:tcPr>
          <w:p w14:paraId="7725D562" w14:textId="77777777" w:rsidR="00EB0316" w:rsidRPr="00221CD5" w:rsidRDefault="00EB0316" w:rsidP="00413214">
            <w:pPr>
              <w:pStyle w:val="TCTableBody"/>
            </w:pPr>
            <w:r w:rsidRPr="00221CD5">
              <w:t>5.8</w:t>
            </w:r>
          </w:p>
        </w:tc>
        <w:tc>
          <w:tcPr>
            <w:tcW w:w="0" w:type="auto"/>
            <w:vAlign w:val="center"/>
          </w:tcPr>
          <w:p w14:paraId="0177FD54" w14:textId="77777777" w:rsidR="00EB0316" w:rsidRPr="00221CD5" w:rsidRDefault="00EB0316" w:rsidP="00413214">
            <w:pPr>
              <w:pStyle w:val="TCTableBody"/>
            </w:pPr>
            <w:r w:rsidRPr="00221CD5">
              <w:t>39.7</w:t>
            </w:r>
          </w:p>
        </w:tc>
        <w:tc>
          <w:tcPr>
            <w:tcW w:w="0" w:type="auto"/>
            <w:vAlign w:val="center"/>
          </w:tcPr>
          <w:p w14:paraId="733E2234" w14:textId="77777777" w:rsidR="00EB0316" w:rsidRPr="00221CD5" w:rsidRDefault="00EB0316" w:rsidP="00413214">
            <w:pPr>
              <w:pStyle w:val="TCTableBody"/>
            </w:pPr>
            <w:r w:rsidRPr="00221CD5">
              <w:t>14.0</w:t>
            </w:r>
          </w:p>
        </w:tc>
      </w:tr>
      <w:tr w:rsidR="00EB0316" w:rsidRPr="00221CD5" w14:paraId="18AFAB3E" w14:textId="77777777" w:rsidTr="00413214">
        <w:trPr>
          <w:trHeight w:val="284"/>
        </w:trPr>
        <w:tc>
          <w:tcPr>
            <w:tcW w:w="0" w:type="auto"/>
            <w:vMerge/>
            <w:vAlign w:val="center"/>
          </w:tcPr>
          <w:p w14:paraId="41358056" w14:textId="77777777" w:rsidR="00EB0316" w:rsidRPr="000B4562" w:rsidRDefault="00EB0316" w:rsidP="00413214">
            <w:pPr>
              <w:pStyle w:val="TCTableBody"/>
            </w:pPr>
          </w:p>
        </w:tc>
        <w:tc>
          <w:tcPr>
            <w:tcW w:w="0" w:type="auto"/>
          </w:tcPr>
          <w:p w14:paraId="3C89293A" w14:textId="77777777" w:rsidR="00EB0316" w:rsidRPr="00221CD5" w:rsidRDefault="00EB0316" w:rsidP="00413214">
            <w:pPr>
              <w:pStyle w:val="TCTableBody"/>
            </w:pPr>
            <w:r w:rsidRPr="00221CD5">
              <w:t>160</w:t>
            </w:r>
          </w:p>
        </w:tc>
        <w:tc>
          <w:tcPr>
            <w:tcW w:w="1207" w:type="dxa"/>
          </w:tcPr>
          <w:p w14:paraId="74FF6292" w14:textId="77777777" w:rsidR="00EB0316" w:rsidRPr="00221CD5" w:rsidRDefault="00EB0316" w:rsidP="00413214">
            <w:pPr>
              <w:pStyle w:val="TCTableBody"/>
            </w:pPr>
            <w:r w:rsidRPr="004B6F2B">
              <w:t>30.2 ± 0.2</w:t>
            </w:r>
          </w:p>
        </w:tc>
        <w:tc>
          <w:tcPr>
            <w:tcW w:w="1559" w:type="dxa"/>
          </w:tcPr>
          <w:p w14:paraId="04756657" w14:textId="77777777" w:rsidR="00EB0316" w:rsidRPr="00221CD5" w:rsidRDefault="00EB0316" w:rsidP="00413214">
            <w:pPr>
              <w:pStyle w:val="TCTableBody"/>
            </w:pPr>
            <w:r w:rsidRPr="004B6F2B">
              <w:t>4.7</w:t>
            </w:r>
          </w:p>
        </w:tc>
        <w:tc>
          <w:tcPr>
            <w:tcW w:w="0" w:type="auto"/>
          </w:tcPr>
          <w:p w14:paraId="26E3CF47" w14:textId="77777777" w:rsidR="00EB0316" w:rsidRPr="00221CD5" w:rsidRDefault="00EB0316" w:rsidP="00413214">
            <w:pPr>
              <w:pStyle w:val="TCTableBody"/>
            </w:pPr>
            <w:r w:rsidRPr="004B6F2B">
              <w:t>29.5</w:t>
            </w:r>
          </w:p>
        </w:tc>
        <w:tc>
          <w:tcPr>
            <w:tcW w:w="0" w:type="auto"/>
          </w:tcPr>
          <w:p w14:paraId="0C93AF10" w14:textId="77777777" w:rsidR="00EB0316" w:rsidRPr="00221CD5" w:rsidRDefault="00EB0316" w:rsidP="00413214">
            <w:pPr>
              <w:pStyle w:val="TCTableBody"/>
            </w:pPr>
            <w:r w:rsidRPr="004B6F2B">
              <w:t>35.6 ± 2.8</w:t>
            </w:r>
          </w:p>
        </w:tc>
      </w:tr>
      <w:tr w:rsidR="00EB0316" w:rsidRPr="00221CD5" w14:paraId="7AA8B08D" w14:textId="77777777" w:rsidTr="00413214">
        <w:trPr>
          <w:trHeight w:val="284"/>
        </w:trPr>
        <w:tc>
          <w:tcPr>
            <w:tcW w:w="0" w:type="auto"/>
            <w:vMerge/>
            <w:vAlign w:val="center"/>
          </w:tcPr>
          <w:p w14:paraId="2649265E" w14:textId="77777777" w:rsidR="00EB0316" w:rsidRPr="000B4562" w:rsidRDefault="00EB0316" w:rsidP="00413214">
            <w:pPr>
              <w:pStyle w:val="TCTableBody"/>
            </w:pPr>
          </w:p>
        </w:tc>
        <w:tc>
          <w:tcPr>
            <w:tcW w:w="0" w:type="auto"/>
          </w:tcPr>
          <w:p w14:paraId="5F51AA81" w14:textId="77777777" w:rsidR="00EB0316" w:rsidRPr="00221CD5" w:rsidRDefault="00EB0316" w:rsidP="00413214">
            <w:pPr>
              <w:pStyle w:val="TCTableBody"/>
            </w:pPr>
            <w:r w:rsidRPr="00221CD5">
              <w:t>180</w:t>
            </w:r>
          </w:p>
        </w:tc>
        <w:tc>
          <w:tcPr>
            <w:tcW w:w="1207" w:type="dxa"/>
            <w:vAlign w:val="bottom"/>
          </w:tcPr>
          <w:p w14:paraId="5B070635" w14:textId="77777777" w:rsidR="00EB0316" w:rsidRPr="00221CD5" w:rsidRDefault="00EB0316" w:rsidP="00413214">
            <w:pPr>
              <w:pStyle w:val="TCTableBody"/>
            </w:pPr>
            <w:r w:rsidRPr="00221CD5">
              <w:rPr>
                <w:lang w:val="it-IT"/>
              </w:rPr>
              <w:t>34.6 ± 1.1</w:t>
            </w:r>
          </w:p>
        </w:tc>
        <w:tc>
          <w:tcPr>
            <w:tcW w:w="1559" w:type="dxa"/>
            <w:vAlign w:val="bottom"/>
          </w:tcPr>
          <w:p w14:paraId="3785F5F2" w14:textId="77777777" w:rsidR="00EB0316" w:rsidRPr="00221CD5" w:rsidRDefault="00EB0316" w:rsidP="00413214">
            <w:pPr>
              <w:pStyle w:val="TCTableBody"/>
            </w:pPr>
            <w:r w:rsidRPr="00221CD5">
              <w:rPr>
                <w:lang w:val="it-IT"/>
              </w:rPr>
              <w:t>5.6</w:t>
            </w:r>
          </w:p>
        </w:tc>
        <w:tc>
          <w:tcPr>
            <w:tcW w:w="0" w:type="auto"/>
            <w:vAlign w:val="bottom"/>
          </w:tcPr>
          <w:p w14:paraId="293924D3" w14:textId="77777777" w:rsidR="00EB0316" w:rsidRPr="00221CD5" w:rsidRDefault="00EB0316" w:rsidP="00413214">
            <w:pPr>
              <w:pStyle w:val="TCTableBody"/>
            </w:pPr>
            <w:r w:rsidRPr="00221CD5">
              <w:rPr>
                <w:lang w:val="it-IT"/>
              </w:rPr>
              <w:t>44.3</w:t>
            </w:r>
          </w:p>
        </w:tc>
        <w:tc>
          <w:tcPr>
            <w:tcW w:w="0" w:type="auto"/>
            <w:vAlign w:val="center"/>
          </w:tcPr>
          <w:p w14:paraId="10467950" w14:textId="77777777" w:rsidR="00EB0316" w:rsidRPr="00221CD5" w:rsidRDefault="00EB0316" w:rsidP="00413214">
            <w:pPr>
              <w:pStyle w:val="TCTableBody"/>
            </w:pPr>
            <w:r w:rsidRPr="00221CD5">
              <w:t>15.4 ± 1.1</w:t>
            </w:r>
          </w:p>
        </w:tc>
      </w:tr>
      <w:tr w:rsidR="00EB0316" w:rsidRPr="00221CD5" w14:paraId="3641E654" w14:textId="77777777" w:rsidTr="00413214">
        <w:trPr>
          <w:trHeight w:val="284"/>
        </w:trPr>
        <w:tc>
          <w:tcPr>
            <w:tcW w:w="0" w:type="auto"/>
            <w:vMerge/>
            <w:vAlign w:val="center"/>
          </w:tcPr>
          <w:p w14:paraId="3489FDCB" w14:textId="77777777" w:rsidR="00EB0316" w:rsidRPr="000B4562" w:rsidRDefault="00EB0316" w:rsidP="00413214">
            <w:pPr>
              <w:pStyle w:val="TCTableBody"/>
            </w:pPr>
          </w:p>
        </w:tc>
        <w:tc>
          <w:tcPr>
            <w:tcW w:w="0" w:type="auto"/>
          </w:tcPr>
          <w:p w14:paraId="2CDA363B" w14:textId="77777777" w:rsidR="00EB0316" w:rsidRPr="00221CD5" w:rsidRDefault="00EB0316" w:rsidP="00413214">
            <w:pPr>
              <w:pStyle w:val="TCTableBody"/>
            </w:pPr>
            <w:r w:rsidRPr="00221CD5">
              <w:t>200</w:t>
            </w:r>
          </w:p>
        </w:tc>
        <w:tc>
          <w:tcPr>
            <w:tcW w:w="1207" w:type="dxa"/>
            <w:vAlign w:val="bottom"/>
          </w:tcPr>
          <w:p w14:paraId="4A5F34F9" w14:textId="77777777" w:rsidR="00EB0316" w:rsidRPr="00221CD5" w:rsidRDefault="00EB0316" w:rsidP="00413214">
            <w:pPr>
              <w:pStyle w:val="TCTableBody"/>
            </w:pPr>
            <w:r w:rsidRPr="00221CD5">
              <w:rPr>
                <w:lang w:val="it-IT"/>
              </w:rPr>
              <w:t>27.3 ± 6.2</w:t>
            </w:r>
          </w:p>
        </w:tc>
        <w:tc>
          <w:tcPr>
            <w:tcW w:w="1559" w:type="dxa"/>
            <w:vAlign w:val="bottom"/>
          </w:tcPr>
          <w:p w14:paraId="41800F7F" w14:textId="77777777" w:rsidR="00EB0316" w:rsidRPr="00221CD5" w:rsidRDefault="00EB0316" w:rsidP="00413214">
            <w:pPr>
              <w:pStyle w:val="TCTableBody"/>
            </w:pPr>
            <w:r w:rsidRPr="00221CD5">
              <w:rPr>
                <w:lang w:val="it-IT"/>
              </w:rPr>
              <w:t>4.5 ± 0.9</w:t>
            </w:r>
          </w:p>
        </w:tc>
        <w:tc>
          <w:tcPr>
            <w:tcW w:w="0" w:type="auto"/>
            <w:vAlign w:val="bottom"/>
          </w:tcPr>
          <w:p w14:paraId="68DF4936" w14:textId="77777777" w:rsidR="00EB0316" w:rsidRPr="00221CD5" w:rsidRDefault="00EB0316" w:rsidP="00413214">
            <w:pPr>
              <w:pStyle w:val="TCTableBody"/>
            </w:pPr>
            <w:r w:rsidRPr="00221CD5">
              <w:rPr>
                <w:lang w:val="it-IT"/>
              </w:rPr>
              <w:t>40.3</w:t>
            </w:r>
          </w:p>
        </w:tc>
        <w:tc>
          <w:tcPr>
            <w:tcW w:w="0" w:type="auto"/>
            <w:vAlign w:val="center"/>
          </w:tcPr>
          <w:p w14:paraId="590880CC" w14:textId="77777777" w:rsidR="00EB0316" w:rsidRPr="00221CD5" w:rsidRDefault="00EB0316" w:rsidP="00413214">
            <w:pPr>
              <w:pStyle w:val="TCTableBody"/>
            </w:pPr>
            <w:r w:rsidRPr="00221CD5">
              <w:t>27.7 ± 5.1</w:t>
            </w:r>
          </w:p>
        </w:tc>
      </w:tr>
    </w:tbl>
    <w:p w14:paraId="343050D3" w14:textId="739E40D0" w:rsidR="00EB0316" w:rsidRDefault="00EB0316" w:rsidP="00EB0316">
      <w:pPr>
        <w:pStyle w:val="FETableFootnote"/>
      </w:pPr>
      <w:r w:rsidRPr="00221CD5">
        <w:rPr>
          <w:vertAlign w:val="superscript"/>
        </w:rPr>
        <w:t>a</w:t>
      </w:r>
      <w:r w:rsidRPr="00221CD5">
        <w:t xml:space="preserve"> weighted average, not directly </w:t>
      </w:r>
      <w:proofErr w:type="gramStart"/>
      <w:r w:rsidRPr="00221CD5">
        <w:t>measured</w:t>
      </w:r>
      <w:proofErr w:type="gramEnd"/>
    </w:p>
    <w:p w14:paraId="3BE2B5A7" w14:textId="0071DC3A" w:rsidR="00767657" w:rsidRPr="00221CD5" w:rsidRDefault="00767657" w:rsidP="00767657">
      <w:pPr>
        <w:pStyle w:val="TAMainText"/>
      </w:pPr>
      <w:r w:rsidRPr="00221CD5">
        <w:t xml:space="preserve">Characterization of the samples before HT was performed with EGA-MS, </w:t>
      </w:r>
      <w:proofErr w:type="spellStart"/>
      <w:r w:rsidRPr="00221CD5">
        <w:t>Py</w:t>
      </w:r>
      <w:proofErr w:type="spellEnd"/>
      <w:r w:rsidRPr="00221CD5">
        <w:t xml:space="preserve">-GC/MS, and XRF. Results of EGA-MS analyses are presented in </w:t>
      </w:r>
      <w:r w:rsidRPr="00221CD5">
        <w:fldChar w:fldCharType="begin"/>
      </w:r>
      <w:r w:rsidRPr="00221CD5">
        <w:instrText xml:space="preserve"> REF _Ref134183160 \h  \* MERGEFORMAT </w:instrText>
      </w:r>
      <w:r w:rsidRPr="00221CD5">
        <w:fldChar w:fldCharType="separate"/>
      </w:r>
      <w:r w:rsidRPr="00221CD5">
        <w:t>Fig</w:t>
      </w:r>
      <w:r w:rsidR="00EF1828">
        <w:t>ure</w:t>
      </w:r>
      <w:r w:rsidRPr="00221CD5">
        <w:t xml:space="preserve"> 2</w:t>
      </w:r>
      <w:r w:rsidRPr="00221CD5">
        <w:fldChar w:fldCharType="end"/>
      </w:r>
      <w:r w:rsidRPr="00221CD5">
        <w:t xml:space="preserve">. The pyrolysis products identified in </w:t>
      </w:r>
      <w:proofErr w:type="spellStart"/>
      <w:r w:rsidRPr="00221CD5">
        <w:t>Py</w:t>
      </w:r>
      <w:proofErr w:type="spellEnd"/>
      <w:r w:rsidRPr="00221CD5">
        <w:t xml:space="preserve">-GC/MS chromatograms of all samples are listed in Table </w:t>
      </w:r>
      <w:r w:rsidR="000F5503">
        <w:t>2</w:t>
      </w:r>
      <w:r w:rsidRPr="00221CD5">
        <w:t xml:space="preserve">, and representative </w:t>
      </w:r>
      <w:proofErr w:type="spellStart"/>
      <w:r w:rsidRPr="00221CD5">
        <w:t>Py</w:t>
      </w:r>
      <w:proofErr w:type="spellEnd"/>
      <w:r w:rsidRPr="00221CD5">
        <w:t xml:space="preserve">-GC/MS profiles are shown in </w:t>
      </w:r>
      <w:r w:rsidR="00971570">
        <w:t>Figure 3.</w:t>
      </w:r>
    </w:p>
    <w:p w14:paraId="3BDA0E5F" w14:textId="16A35C59" w:rsidR="00767657" w:rsidRDefault="004D2BA9" w:rsidP="004D2BA9">
      <w:pPr>
        <w:pStyle w:val="TAMainText"/>
      </w:pPr>
      <w:r w:rsidRPr="00221CD5">
        <w:t xml:space="preserve">The EGA-MS profile of untreated </w:t>
      </w:r>
      <w:proofErr w:type="spellStart"/>
      <w:r w:rsidRPr="00221CD5">
        <w:t>cPLA</w:t>
      </w:r>
      <w:proofErr w:type="spellEnd"/>
      <w:r w:rsidRPr="00221CD5">
        <w:t xml:space="preserve"> spoon shows a main degradation peak at 370 °C, with a shoulder peak at lower temperatures. Both peaks provided the same mass spectra with a series of signals separated by 72 mass units (</w:t>
      </w:r>
      <w:r w:rsidRPr="00221CD5">
        <w:rPr>
          <w:i/>
          <w:iCs/>
        </w:rPr>
        <w:t>m/z</w:t>
      </w:r>
      <w:r w:rsidRPr="00221CD5">
        <w:t xml:space="preserve"> 56, 128, 200, 272, 344)</w:t>
      </w:r>
      <w:r>
        <w:t>, corresponding to the lactic acid monomer</w:t>
      </w:r>
      <w:r w:rsidRPr="00221CD5">
        <w:t xml:space="preserve">. The signal at </w:t>
      </w:r>
      <w:r w:rsidRPr="00221CD5">
        <w:rPr>
          <w:i/>
          <w:iCs/>
        </w:rPr>
        <w:t>m/z</w:t>
      </w:r>
      <w:r w:rsidRPr="00221CD5">
        <w:t xml:space="preserve"> 56 is known to be a characteristic mass fragmentation of lactide, the cyclic dimer of lactic acid</w:t>
      </w:r>
      <w:r w:rsidRPr="00AA09F0">
        <w:fldChar w:fldCharType="begin" w:fldLock="1"/>
      </w:r>
      <w:r w:rsidR="00842BA8">
        <w:instrText>ADDIN CSL_CITATION {"citationItems":[{"id":"ITEM-1","itemData":{"DOI":"10.1016/C2010-0-68897-3","ISBN":"9780444538925","abstract":"In this data book, both conventional Py-GC/MS where thermal energy alone is used to cause fragmentation of given polymeric materials and reactive Py-GC/MS in the presence of organic alkaline for condensation polymers are compiled. Before going into detailed presentation of the data, however, acquiring a firm grip on the proper understanding about the situation of Py-GC/MS would promote better utilization of the following pyrolysis data for various polymers samples. This book incorporates recent technological advances in analytical pyrolysis methods especially useful for the characterization of 163 typical synthetic polymers. The book briefly reviews the instrumentation available in advanced analytical pyrolysis, and offers guidance to perform effectually this technique combining with gas chromatography and mass spectrometry. Main contents are comprehensive sample pyrograms, thermograms, identification tables, and representative mass spectra (MS) of pyrolyzates for synthetic polymers. This edition also highlights thermally-assisted hydrolysis and methylation technique effectively applied to 33 basic condensation polymers.","author":[{"dropping-particle":"","family":"Shin","given":"Tsuge","non-dropping-particle":"","parse-names":false,"suffix":""},{"dropping-particle":"","family":"Hajime","given":"Ohtani","non-dropping-particle":"","parse-names":false,"suffix":""},{"dropping-particle":"","family":"Chuichi","given":"Watanabe","non-dropping-particle":"","parse-names":false,"suffix":""}],"container-title":"Pyrolysis - GC/MS Data Book of Synthetic Polymers: Pyrograms, Thermograms and MS of Pyrolyzates","id":"ITEM-1","issued":{"date-parts":[["2011","10","13"]]},"number-of-pages":"1-390","publisher":"Elsevier","title":"Pyrolysis - GC/MS Data Book of Synthetic Polymers: Pyrograms, Thermograms and MS of Pyrolyzates","type":"book"},"uris":["http://www.mendeley.com/documents/?uuid=f4a905a1-7d50-39aa-91ef-3e0a4913c913"]}],"mendeley":{"formattedCitation":"&lt;sup&gt;25&lt;/sup&gt;","plainTextFormattedCitation":"25","previouslyFormattedCitation":"&lt;sup&gt;25&lt;/sup&gt;"},"properties":{"noteIndex":0},"schema":"https://github.com/citation-style-language/schema/raw/master/csl-citation.json"}</w:instrText>
      </w:r>
      <w:r w:rsidRPr="00AA09F0">
        <w:fldChar w:fldCharType="separate"/>
      </w:r>
      <w:r w:rsidR="00842BA8" w:rsidRPr="00842BA8">
        <w:rPr>
          <w:noProof/>
          <w:vertAlign w:val="superscript"/>
        </w:rPr>
        <w:t>25</w:t>
      </w:r>
      <w:r w:rsidRPr="00AA09F0">
        <w:fldChar w:fldCharType="end"/>
      </w:r>
      <w:r w:rsidRPr="00221CD5">
        <w:t xml:space="preserve">. Based on this, we attributed the other </w:t>
      </w:r>
      <w:r w:rsidRPr="00221CD5">
        <w:rPr>
          <w:i/>
          <w:iCs/>
        </w:rPr>
        <w:t xml:space="preserve">m/z </w:t>
      </w:r>
      <w:r w:rsidRPr="00221CD5">
        <w:t xml:space="preserve">signals to higher cyclic oligomers of lactic acid, as shown in the Supplementary Material </w:t>
      </w:r>
      <w:r w:rsidRPr="00917CF6">
        <w:t>(Figure S1</w:t>
      </w:r>
      <w:r w:rsidRPr="00221CD5">
        <w:t xml:space="preserve">). </w:t>
      </w:r>
    </w:p>
    <w:p w14:paraId="28D19465" w14:textId="3301148F" w:rsidR="00767657" w:rsidRPr="00221CD5" w:rsidRDefault="00767657" w:rsidP="00767657">
      <w:pPr>
        <w:pStyle w:val="TAMainText"/>
      </w:pPr>
      <w:r w:rsidRPr="00221CD5">
        <w:t xml:space="preserve">The </w:t>
      </w:r>
      <w:r w:rsidR="00917CF6">
        <w:t xml:space="preserve">peaks in the </w:t>
      </w:r>
      <w:proofErr w:type="spellStart"/>
      <w:r w:rsidRPr="00221CD5">
        <w:t>Py</w:t>
      </w:r>
      <w:proofErr w:type="spellEnd"/>
      <w:r w:rsidRPr="00221CD5">
        <w:t xml:space="preserve">-GC/MS profile of untreated </w:t>
      </w:r>
      <w:proofErr w:type="spellStart"/>
      <w:r w:rsidRPr="00221CD5">
        <w:t>cPLA</w:t>
      </w:r>
      <w:proofErr w:type="spellEnd"/>
      <w:r w:rsidRPr="00221CD5">
        <w:t xml:space="preserve"> were ascribed to acetaldehyde, </w:t>
      </w:r>
      <w:proofErr w:type="spellStart"/>
      <w:r w:rsidRPr="00221CD5">
        <w:t>propenoic</w:t>
      </w:r>
      <w:proofErr w:type="spellEnd"/>
      <w:r w:rsidRPr="00221CD5">
        <w:t xml:space="preserve"> acid, and the achiral/chiral isomers of lactide (Fig</w:t>
      </w:r>
      <w:r w:rsidR="00917CF6">
        <w:t>ure</w:t>
      </w:r>
      <w:r w:rsidR="00917CF6" w:rsidRPr="00221CD5">
        <w:t xml:space="preserve"> </w:t>
      </w:r>
      <w:r w:rsidRPr="00221CD5">
        <w:t xml:space="preserve">3 and Table </w:t>
      </w:r>
      <w:r w:rsidR="000F5503">
        <w:t>2</w:t>
      </w:r>
      <w:r w:rsidRPr="00221CD5">
        <w:t xml:space="preserve">). The formation of higher cyclic compounds discussed for the EGA-MS profiles was not observed here, likely due to the instantaneous heating of the sample at 600 °C. </w:t>
      </w:r>
      <w:r w:rsidR="007204B6">
        <w:t xml:space="preserve">The </w:t>
      </w:r>
      <w:proofErr w:type="spellStart"/>
      <w:r w:rsidR="007204B6">
        <w:t>pyrogram</w:t>
      </w:r>
      <w:proofErr w:type="spellEnd"/>
      <w:r w:rsidR="007204B6">
        <w:t xml:space="preserve"> </w:t>
      </w:r>
      <w:r w:rsidR="00180B84">
        <w:t xml:space="preserve">of </w:t>
      </w:r>
      <w:proofErr w:type="spellStart"/>
      <w:r w:rsidR="00180B84">
        <w:t>pPLA</w:t>
      </w:r>
      <w:proofErr w:type="spellEnd"/>
      <w:r w:rsidR="00180B84">
        <w:t xml:space="preserve"> </w:t>
      </w:r>
      <w:r w:rsidR="007204B6">
        <w:t>is available in Supplementary Material (</w:t>
      </w:r>
      <w:r w:rsidR="007204B6" w:rsidRPr="00917CF6">
        <w:t>Figure S2</w:t>
      </w:r>
      <w:r w:rsidR="007204B6">
        <w:t>).</w:t>
      </w:r>
    </w:p>
    <w:p w14:paraId="580BDA21" w14:textId="5144A852" w:rsidR="00767657" w:rsidRPr="00AB72A3" w:rsidRDefault="00767657" w:rsidP="00767657">
      <w:pPr>
        <w:pStyle w:val="TAMainText"/>
      </w:pPr>
      <w:r w:rsidRPr="00221CD5">
        <w:t xml:space="preserve">The MB sample shows two thermal degradation regions. The first one, with a peak at approximately 300 °C, shows the same </w:t>
      </w:r>
      <w:r w:rsidRPr="00221CD5">
        <w:rPr>
          <w:i/>
          <w:iCs/>
        </w:rPr>
        <w:t>m/z</w:t>
      </w:r>
      <w:r w:rsidRPr="00221CD5">
        <w:t xml:space="preserve"> signals observed in the mass spectrum of </w:t>
      </w:r>
      <w:proofErr w:type="spellStart"/>
      <w:r w:rsidRPr="00221CD5">
        <w:t>cPLA</w:t>
      </w:r>
      <w:proofErr w:type="spellEnd"/>
      <w:r w:rsidRPr="00221CD5">
        <w:t xml:space="preserve">. The second peak, with maximum at 400 °C, shows signals at </w:t>
      </w:r>
      <w:r w:rsidRPr="00221CD5">
        <w:rPr>
          <w:i/>
          <w:iCs/>
        </w:rPr>
        <w:t>m/z</w:t>
      </w:r>
      <w:r w:rsidRPr="00221CD5">
        <w:t xml:space="preserve"> 55, 71, 101, and 173, which can be ascribed to pyrolysis products of polybutylene succinate (PBS)</w:t>
      </w:r>
      <w:r w:rsidRPr="00AA09F0">
        <w:fldChar w:fldCharType="begin" w:fldLock="1"/>
      </w:r>
      <w:r w:rsidR="00842BA8">
        <w:instrText>ADDIN CSL_CITATION {"citationItems":[{"id":"ITEM-1","itemData":{"DOI":"10.1016/J.JAAP.2023.105937","ISSN":"0165-2370","abstract":"Biodegradable polymers are proposed as a potential solution to environmental problems related to plastic pollution. Potential benefits have been suggested in applications such as agricultural mulching and fishing gear, where there can be considerable difficulty recovering products from the environment at the end of their service life. Biodegradation is a complex process influenced by both the properties of the material and the receiving environment in which it needs to biodegrade. Assessing the degradation process necessitates the chemical composition (i.e. polymer and additives) of biodegradable products to be characterised by reliable analytical methods. Pyrolysis coupled to Gas Chromatography and Mass Spectrometry (Py-GC-MS) and Evolved Gas Analysis coupled to Mass Spectrometry (EGA-MS) are emerging techniques to characterise plastic materials, providing a greater sensitivity and resolution when compared to more widely used spectroscopic techniques (FTIR and Raman). In this work, we have applied a systematic approach combining EGA-MS and multi-shot Py-GC-MS for the thermoanalytical investigation of 5 biodegradable polymers and 5 biodegradable-labelled commercial products. We identified thermal degradation profiles, main m/z ions and pyrolysis markers for the polymers PBAT, PBS, PBHV and two types of PLA. We applied the obtained information to investigate the composition of 4 mulch films and 1 fishing net. EGA-MS was fundamental to optimise single or multi shot pyrolysis acquisition, allowing an optimal Py-GC-MS separation and identification of the pyrolysis products. PLA and PBAT were detected in three mulch films, with the addition of starch in a film labelled as Mater-Bi and in one of unknown composition. Online silylation was crucial for detecting polysaccharides in a composite film containing hemp fibres. The presence of butylene, succinate, adipate and terephthalate units was highlighted analysing a fishing net made of a newly developed PBSAT resin. Finally, Py-GC-MS was effective in identifying the presence of additives such as 1,6-diisocyanato-hexane (chain extender) and di(3-butenyl) ester of sebacic acid derived from the plasticizer dibutyl sebacate.","author":[{"dropping-particle":"","family":"Falco","given":"Francesca","non-dropping-particle":"De","parse-names":false,"suffix":""},{"dropping-particle":"","family":"Nacci","given":"Tommaso","non-dropping-particle":"","parse-names":false,"suffix":""},{"dropping-particle":"","family":"Durndell","given":"Lee","non-dropping-particle":"","parse-names":false,"suffix":""},{"dropping-particle":"","family":"Thompson","given":"Richard C.","non-dropping-particle":"","parse-names":false,"suffix":""},{"dropping-particle":"","family":"Degano","given":"Ilaria","non-dropping-particle":"","parse-names":false,"suffix":""},{"dropping-particle":"","family":"Modugno","given":"Francesca","non-dropping-particle":"","parse-names":false,"suffix":""}],"container-title":"Journal of Analytical and Applied Pyrolysis","id":"ITEM-1","issued":{"date-parts":[["2023","5","1"]]},"page":"105937","publisher":"Elsevier","title":"A thermoanalytical insight into the composition of biodegradable polymers and commercial products by EGA-MS and Py-GC-MS","type":"article-journal","volume":"171"},"uris":["http://www.mendeley.com/documents/?uuid=fb763767-686e-3e18-b92c-5f329670297d"]}],"mendeley":{"formattedCitation":"&lt;sup&gt;26&lt;/sup&gt;","plainTextFormattedCitation":"26","previouslyFormattedCitation":"&lt;sup&gt;26&lt;/sup&gt;"},"properties":{"noteIndex":0},"schema":"https://github.com/citation-style-language/schema/raw/master/csl-citation.json"}</w:instrText>
      </w:r>
      <w:r w:rsidRPr="00AA09F0">
        <w:fldChar w:fldCharType="separate"/>
      </w:r>
      <w:r w:rsidR="00842BA8" w:rsidRPr="00842BA8">
        <w:rPr>
          <w:noProof/>
          <w:vertAlign w:val="superscript"/>
        </w:rPr>
        <w:t>26</w:t>
      </w:r>
      <w:r w:rsidRPr="00AA09F0">
        <w:fldChar w:fldCharType="end"/>
      </w:r>
      <w:r w:rsidRPr="00221CD5">
        <w:t xml:space="preserve">. </w:t>
      </w:r>
      <w:r w:rsidR="00917CF6">
        <w:t>We can</w:t>
      </w:r>
      <w:r w:rsidRPr="00221CD5">
        <w:t xml:space="preserve"> conclude that MB forks are composed of a mixture of PLA and PBS. This was also confirmed by the </w:t>
      </w:r>
      <w:proofErr w:type="spellStart"/>
      <w:r w:rsidRPr="00221CD5">
        <w:t>Py</w:t>
      </w:r>
      <w:proofErr w:type="spellEnd"/>
      <w:r w:rsidRPr="00221CD5">
        <w:t xml:space="preserve">-GC/MS profile, which shows the same peaks observed for </w:t>
      </w:r>
      <w:proofErr w:type="spellStart"/>
      <w:r w:rsidRPr="00221CD5">
        <w:t>cPLA</w:t>
      </w:r>
      <w:proofErr w:type="spellEnd"/>
      <w:r w:rsidRPr="00221CD5">
        <w:t xml:space="preserve">, and an additional set of peaks that </w:t>
      </w:r>
      <w:r w:rsidR="00917CF6">
        <w:t>were</w:t>
      </w:r>
      <w:r w:rsidRPr="00221CD5">
        <w:t xml:space="preserve"> ascribed </w:t>
      </w:r>
      <w:r w:rsidRPr="00221CD5">
        <w:lastRenderedPageBreak/>
        <w:t xml:space="preserve">to pyrolysis products of PBS. The main pyrolysis products of PBS were tetrahydrofuran and succinic anhydride, which are obtained by intramolecular cyclization of the two monomers, and a series of small oligomers with modified terminal groups. </w:t>
      </w:r>
      <w:r w:rsidR="00917CF6">
        <w:t>A peak of a common</w:t>
      </w:r>
      <w:r w:rsidRPr="00221CD5">
        <w:t xml:space="preserve"> plasticizer</w:t>
      </w:r>
      <w:r w:rsidR="00917CF6">
        <w:t>, octadecenenitrile</w:t>
      </w:r>
      <w:r w:rsidRPr="00221CD5">
        <w:fldChar w:fldCharType="begin" w:fldLock="1"/>
      </w:r>
      <w:r w:rsidR="00842BA8">
        <w:instrText>ADDIN CSL_CITATION {"citationItems":[{"id":"ITEM-1","itemData":{"DOI":"10.1016/j.foodchem.2020.128625","ISSN":"03088146","author":[{"dropping-particle":"","family":"Hu","given":"Yajing","non-dropping-particle":"","parse-names":false,"suffix":""},{"dropping-particle":"","family":"Du","given":"Zhenxia","non-dropping-particle":"","parse-names":false,"suffix":""},{"dropping-particle":"","family":"Sun","given":"Xuechun","non-dropping-particle":"","parse-names":false,"suffix":""},{"dropping-particle":"","family":"Ma","given":"Xin","non-dropping-particle":"","parse-names":false,"suffix":""},{"dropping-particle":"","family":"Song","given":"Jingdan","non-dropping-particle":"","parse-names":false,"suffix":""},{"dropping-particle":"","family":"Sui","given":"Haixia","non-dropping-particle":"","parse-names":false,"suffix":""},{"dropping-particle":"","family":"Debrah","given":"Augustine Atta","non-dropping-particle":"","parse-names":false,"suffix":""}],"container-title":"Food Chemistry","id":"ITEM-1","issued":{"date-parts":[["2021","5"]]},"page":"128625","title":"Non-targeted analysis and risk assessment of non-volatile compounds in polyamide food contact materials","type":"article-journal","volume":"345"},"uris":["http://www.mendeley.com/documents/?uuid=fabb1c62-abac-422e-bbed-4d8708efc190"]}],"mendeley":{"formattedCitation":"&lt;sup&gt;27&lt;/sup&gt;","plainTextFormattedCitation":"27","previouslyFormattedCitation":"&lt;sup&gt;27&lt;/sup&gt;"},"properties":{"noteIndex":0},"schema":"https://github.com/citation-style-language/schema/raw/master/csl-citation.json"}</w:instrText>
      </w:r>
      <w:r w:rsidRPr="00221CD5">
        <w:fldChar w:fldCharType="separate"/>
      </w:r>
      <w:r w:rsidR="00842BA8" w:rsidRPr="00842BA8">
        <w:rPr>
          <w:noProof/>
          <w:vertAlign w:val="superscript"/>
        </w:rPr>
        <w:t>27</w:t>
      </w:r>
      <w:r w:rsidRPr="00221CD5">
        <w:fldChar w:fldCharType="end"/>
      </w:r>
      <w:r w:rsidR="00917CF6">
        <w:t>, was also detected</w:t>
      </w:r>
      <w:r w:rsidRPr="00221CD5">
        <w:t>.</w:t>
      </w:r>
      <w:r w:rsidR="00AB72A3" w:rsidRPr="00AB72A3">
        <w:t xml:space="preserve"> </w:t>
      </w:r>
      <w:r w:rsidR="00AB72A3">
        <w:t xml:space="preserve">Surprisingly, no signals were found in either EGA-MS or </w:t>
      </w:r>
      <w:proofErr w:type="spellStart"/>
      <w:r w:rsidR="00AB72A3">
        <w:t>Py</w:t>
      </w:r>
      <w:proofErr w:type="spellEnd"/>
      <w:r w:rsidR="00AB72A3">
        <w:t>-GC-MS profiles that could be ascribed to cellulose or starch-based components. However, the compositional variability of commercial items labelled as Mater-Bi</w:t>
      </w:r>
      <w:r w:rsidR="00AB72A3" w:rsidRPr="00221CD5">
        <w:t>®</w:t>
      </w:r>
      <w:r w:rsidR="00AB72A3">
        <w:t xml:space="preserve"> has been addressed in the literature</w:t>
      </w:r>
      <w:r w:rsidR="00AB72A3">
        <w:fldChar w:fldCharType="begin" w:fldLock="1"/>
      </w:r>
      <w:r w:rsidR="00842BA8">
        <w:instrText>ADDIN CSL_CITATION {"citationItems":[{"id":"ITEM-1","itemData":{"DOI":"10.1016/J.FUEL.2023.129361","ISSN":"0016-2361","abstract":"In this study commercial starch-based (Mater-Bi®) disposable bioplastic tableware items, which are among the most widely used commercial products available on the market, were selected for lab-scale anaerobic degradability tests. Since the knowledge of the biodegradation profile of bioplastic products is still incomplete, the study was aimed at investigating the maximum biodegradation potential of the materials under ideal anaerobic conditions, as well as the biodegradability degree as a function of treatment time. The experiments were carried out under mesophilic and thermophilic conditions at different food to microorganism ratios and test material sizes, and the specific biogas production and associated kinetics were evaluated. Biogas production was observed only under thermophilic conditions, with conversion yields in the range 602–898 mL/gTOC for the tested cups and 1207 ± 52.8 mL/gTOC for the knives. The degrees of biodegradation and disintegration were found to be strongly dependent on the product composition. Physical, chemical and morphological analyses were used to characterize the tested materials before and after the degradation and potential correlations among process parameters and bioplastic characteristics were derived.","author":[{"dropping-particle":"","family":"Paola Bracciale","given":"Maria","non-dropping-particle":"","parse-names":false,"suffix":""},{"dropping-particle":"","family":"Gioannis","given":"Giorgia","non-dropping-particle":"De","parse-names":false,"suffix":""},{"dropping-particle":"","family":"Falzarano","given":"Marica","non-dropping-particle":"","parse-names":false,"suffix":""},{"dropping-particle":"","family":"Muntoni","given":"Aldo","non-dropping-particle":"","parse-names":false,"suffix":""},{"dropping-particle":"","family":"Polettini","given":"Alessandra","non-dropping-particle":"","parse-names":false,"suffix":""},{"dropping-particle":"","family":"Pomi","given":"Raffaella","non-dropping-particle":"","parse-names":false,"suffix":""},{"dropping-particle":"","family":"Rossi","given":"Andreina","non-dropping-particle":"","parse-names":false,"suffix":""},{"dropping-particle":"","family":"Sarasini","given":"Fabrizio","non-dropping-particle":"","parse-names":false,"suffix":""},{"dropping-particle":"","family":"Tirillò","given":"Jacopo","non-dropping-particle":"","parse-names":false,"suffix":""},{"dropping-particle":"","family":"Zonfa","given":"Tatiana","non-dropping-particle":"","parse-names":false,"suffix":""}],"container-title":"Fuel","id":"ITEM-1","issued":{"date-parts":[["2024","1","1"]]},"page":"129361","publisher":"Elsevier","title":"Disposable Mater-Bi® bioplastic tableware: Characterization and assessment of anaerobic biodegradability","type":"article-journal","volume":"355"},"uris":["http://www.mendeley.com/documents/?uuid=f04d4984-4c88-37af-9e85-e5cf8ab7f534"]}],"mendeley":{"formattedCitation":"&lt;sup&gt;28&lt;/sup&gt;","plainTextFormattedCitation":"28","previouslyFormattedCitation":"&lt;sup&gt;28&lt;/sup&gt;"},"properties":{"noteIndex":0},"schema":"https://github.com/citation-style-language/schema/raw/master/csl-citation.json"}</w:instrText>
      </w:r>
      <w:r w:rsidR="00AB72A3">
        <w:fldChar w:fldCharType="separate"/>
      </w:r>
      <w:r w:rsidR="00842BA8" w:rsidRPr="00842BA8">
        <w:rPr>
          <w:noProof/>
          <w:vertAlign w:val="superscript"/>
        </w:rPr>
        <w:t>28</w:t>
      </w:r>
      <w:r w:rsidR="00AB72A3">
        <w:fldChar w:fldCharType="end"/>
      </w:r>
      <w:r w:rsidR="00AB72A3">
        <w:t>.</w:t>
      </w:r>
    </w:p>
    <w:p w14:paraId="46148939" w14:textId="7F2F28AA" w:rsidR="007204B6" w:rsidRPr="009D5232" w:rsidRDefault="007204B6" w:rsidP="007204B6">
      <w:pPr>
        <w:pStyle w:val="TAMainText"/>
      </w:pPr>
      <w:r w:rsidRPr="00221CD5">
        <w:t>EGA-MS of the untreated cellulose sample shows a single degradation peak at 350 °C, in agreement with the literature</w:t>
      </w:r>
      <w:r w:rsidRPr="00221CD5">
        <w:fldChar w:fldCharType="begin" w:fldLock="1"/>
      </w:r>
      <w:r w:rsidR="00842BA8">
        <w:instrText>ADDIN CSL_CITATION {"citationItems":[{"id":"ITEM-1","itemData":{"DOI":"10.1016/j.jaap.2019.104725","ISSN":"01652370","author":[{"dropping-particle":"","family":"Nardella","given":"Federica","non-dropping-particle":"","parse-names":false,"suffix":""},{"dropping-particle":"","family":"Mattonai","given":"Marco","non-dropping-particle":"","parse-names":false,"suffix":""},{"dropping-particle":"","family":"Ribechini","given":"Erika","non-dropping-particle":"","parse-names":false,"suffix":""}],"container-title":"Journal of Analytical and Applied Pyrolysis","id":"ITEM-1","issued":{"date-parts":[["2020","1"]]},"page":"104725","title":"Evolved gas analysis-mass spectrometry and isoconversional methods for the estimation of component-specific kinetic data in wood pyrolysis","type":"article-journal","volume":"145"},"uris":["http://www.mendeley.com/documents/?uuid=532eecc5-0457-4c61-9c9e-e66415a88e93"]}],"mendeley":{"formattedCitation":"&lt;sup&gt;29&lt;/sup&gt;","plainTextFormattedCitation":"29","previouslyFormattedCitation":"&lt;sup&gt;29&lt;/sup&gt;"},"properties":{"noteIndex":0},"schema":"https://github.com/citation-style-language/schema/raw/master/csl-citation.json"}</w:instrText>
      </w:r>
      <w:r w:rsidRPr="00221CD5">
        <w:fldChar w:fldCharType="separate"/>
      </w:r>
      <w:r w:rsidR="00842BA8" w:rsidRPr="00842BA8">
        <w:rPr>
          <w:noProof/>
          <w:vertAlign w:val="superscript"/>
        </w:rPr>
        <w:t>29</w:t>
      </w:r>
      <w:r w:rsidRPr="00221CD5">
        <w:fldChar w:fldCharType="end"/>
      </w:r>
      <w:r w:rsidRPr="00221CD5">
        <w:t xml:space="preserve">. The mass spectrum shows main signals at </w:t>
      </w:r>
      <w:r w:rsidRPr="00221CD5">
        <w:rPr>
          <w:i/>
          <w:iCs/>
        </w:rPr>
        <w:t>m/z</w:t>
      </w:r>
      <w:r w:rsidRPr="00221CD5">
        <w:t xml:space="preserve"> 60 and 73, which can be ascribed to fragments of levoglucosan</w:t>
      </w:r>
      <w:r w:rsidRPr="00221CD5">
        <w:fldChar w:fldCharType="begin" w:fldLock="1"/>
      </w:r>
      <w:r w:rsidR="00842BA8">
        <w:instrText>ADDIN CSL_CITATION {"citationItems":[{"id":"ITEM-1","itemData":{"DOI":"10.1016/J.JAAP.2023.105937","ISSN":"0165-2370","abstract":"Biodegradable polymers are proposed as a potential solution to environmental problems related to plastic pollution. Potential benefits have been suggested in applications such as agricultural mulching and fishing gear, where there can be considerable difficulty recovering products from the environment at the end of their service life. Biodegradation is a complex process influenced by both the properties of the material and the receiving environment in which it needs to biodegrade. Assessing the degradation process necessitates the chemical composition (i.e. polymer and additives) of biodegradable products to be characterised by reliable analytical methods. Pyrolysis coupled to Gas Chromatography and Mass Spectrometry (Py-GC-MS) and Evolved Gas Analysis coupled to Mass Spectrometry (EGA-MS) are emerging techniques to characterise plastic materials, providing a greater sensitivity and resolution when compared to more widely used spectroscopic techniques (FTIR and Raman). In this work, we have applied a systematic approach combining EGA-MS and multi-shot Py-GC-MS for the thermoanalytical investigation of 5 biodegradable polymers and 5 biodegradable-labelled commercial products. We identified thermal degradation profiles, main m/z ions and pyrolysis markers for the polymers PBAT, PBS, PBHV and two types of PLA. We applied the obtained information to investigate the composition of 4 mulch films and 1 fishing net. EGA-MS was fundamental to optimise single or multi shot pyrolysis acquisition, allowing an optimal Py-GC-MS separation and identification of the pyrolysis products. PLA and PBAT were detected in three mulch films, with the addition of starch in a film labelled as Mater-Bi and in one of unknown composition. Online silylation was crucial for detecting polysaccharides in a composite film containing hemp fibres. The presence of butylene, succinate, adipate and terephthalate units was highlighted analysing a fishing net made of a newly developed PBSAT resin. Finally, Py-GC-MS was effective in identifying the presence of additives such as 1,6-diisocyanato-hexane (chain extender) and di(3-butenyl) ester of sebacic acid derived from the plasticizer dibutyl sebacate.","author":[{"dropping-particle":"","family":"Falco","given":"Francesca","non-dropping-particle":"De","parse-names":false,"suffix":""},{"dropping-particle":"","family":"Nacci","given":"Tommaso","non-dropping-particle":"","parse-names":false,"suffix":""},{"dropping-particle":"","family":"Durndell","given":"Lee","non-dropping-particle":"","parse-names":false,"suffix":""},{"dropping-particle":"","family":"Thompson","given":"Richard C.","non-dropping-particle":"","parse-names":false,"suffix":""},{"dropping-particle":"","family":"Degano","given":"Ilaria","non-dropping-particle":"","parse-names":false,"suffix":""},{"dropping-particle":"","family":"Modugno","given":"Francesca","non-dropping-particle":"","parse-names":false,"suffix":""}],"container-title":"Journal of Analytical and Applied Pyrolysis","id":"ITEM-1","issued":{"date-parts":[["2023","5","1"]]},"page":"105937","publisher":"Elsevier","title":"A thermoanalytical insight into the composition of biodegradable polymers and commercial products by EGA-MS and Py-GC-MS","type":"article-journal","volume":"171"},"uris":["http://www.mendeley.com/documents/?uuid=fb763767-686e-3e18-b92c-5f329670297d"]},{"id":"ITEM-2","itemData":{"DOI":"10.1016/C2010-0-68897-3","ISBN":"9780444538925","abstract":"In this data book, both conventional Py-GC/MS where thermal energy alone is used to cause fragmentation of given polymeric materials and reactive Py-GC/MS in the presence of organic alkaline for condensation polymers are compiled. Before going into detailed presentation of the data, however, acquiring a firm grip on the proper understanding about the situation of Py-GC/MS would promote better utilization of the following pyrolysis data for various polymers samples. This book incorporates recent technological advances in analytical pyrolysis methods especially useful for the characterization of 163 typical synthetic polymers. The book briefly reviews the instrumentation available in advanced analytical pyrolysis, and offers guidance to perform effectually this technique combining with gas chromatography and mass spectrometry. Main contents are comprehensive sample pyrograms, thermograms, identification tables, and representative mass spectra (MS) of pyrolyzates for synthetic polymers. This edition also highlights thermally-assisted hydrolysis and methylation technique effectively applied to 33 basic condensation polymers.","author":[{"dropping-particle":"","family":"Shin","given":"Tsuge","non-dropping-particle":"","parse-names":false,"suffix":""},{"dropping-particle":"","family":"Hajime","given":"Ohtani","non-dropping-particle":"","parse-names":false,"suffix":""},{"dropping-particle":"","family":"Chuichi","given":"Watanabe","non-dropping-particle":"","parse-names":false,"suffix":""}],"container-title":"Pyrolysis - GC/MS Data Book of Synthetic Polymers: Pyrograms, Thermograms and MS of Pyrolyzates","id":"ITEM-2","issued":{"date-parts":[["2011","10","13"]]},"number-of-pages":"1-390","publisher":"Elsevier","title":"Pyrolysis - GC/MS Data Book of Synthetic Polymers: Pyrograms, Thermograms and MS of Pyrolyzates","type":"book"},"uris":["http://www.mendeley.com/documents/?uuid=f4a905a1-7d50-39aa-91ef-3e0a4913c913"]}],"mendeley":{"formattedCitation":"&lt;sup&gt;25,26&lt;/sup&gt;","plainTextFormattedCitation":"25,26","previouslyFormattedCitation":"&lt;sup&gt;25,26&lt;/sup&gt;"},"properties":{"noteIndex":0},"schema":"https://github.com/citation-style-language/schema/raw/master/csl-citation.json"}</w:instrText>
      </w:r>
      <w:r w:rsidRPr="00221CD5">
        <w:fldChar w:fldCharType="separate"/>
      </w:r>
      <w:r w:rsidR="00842BA8" w:rsidRPr="00842BA8">
        <w:rPr>
          <w:noProof/>
          <w:vertAlign w:val="superscript"/>
        </w:rPr>
        <w:t>25,26</w:t>
      </w:r>
      <w:r w:rsidRPr="00221CD5">
        <w:fldChar w:fldCharType="end"/>
      </w:r>
      <w:r w:rsidRPr="00221CD5">
        <w:t xml:space="preserve">. Levoglucosan (#16, Table </w:t>
      </w:r>
      <w:r w:rsidR="000F5503">
        <w:t>2</w:t>
      </w:r>
      <w:r w:rsidRPr="00221CD5">
        <w:t xml:space="preserve">) was in fact also the main pyrolysis product of cellulose detected in the </w:t>
      </w:r>
      <w:proofErr w:type="spellStart"/>
      <w:r w:rsidRPr="00221CD5">
        <w:t>Py</w:t>
      </w:r>
      <w:proofErr w:type="spellEnd"/>
      <w:r w:rsidRPr="00221CD5">
        <w:t xml:space="preserve">-GC/MS profile. The other identified pyrolysis products are obtained from levoglucosan through secondary pyrolysis reactions, such as dehydration to give </w:t>
      </w:r>
      <w:proofErr w:type="spellStart"/>
      <w:r w:rsidRPr="00221CD5">
        <w:t>hydroxycyclopentenone</w:t>
      </w:r>
      <w:proofErr w:type="spellEnd"/>
      <w:r w:rsidRPr="00221CD5">
        <w:t xml:space="preserve"> (#7), </w:t>
      </w:r>
      <w:proofErr w:type="spellStart"/>
      <w:r w:rsidRPr="00221CD5">
        <w:t>hydroxycyclohexanone</w:t>
      </w:r>
      <w:proofErr w:type="spellEnd"/>
      <w:r w:rsidRPr="00221CD5">
        <w:t xml:space="preserve"> (#8), and </w:t>
      </w:r>
      <w:proofErr w:type="spellStart"/>
      <w:r w:rsidRPr="00221CD5">
        <w:t>dianhydroglucopyranose</w:t>
      </w:r>
      <w:proofErr w:type="spellEnd"/>
      <w:r w:rsidRPr="00221CD5">
        <w:t xml:space="preserve"> (#13).</w:t>
      </w:r>
      <w:r>
        <w:t xml:space="preserve"> </w:t>
      </w:r>
      <w:r w:rsidR="00917CF6" w:rsidRPr="009D5232">
        <w:t xml:space="preserve">The peaks of meso- and DL-lactide were also detected by extraction of the ion profile at m/z 56, as shown in Supplementary Material (Figure S3). </w:t>
      </w:r>
      <w:r w:rsidR="006D28CB" w:rsidRPr="009D5232">
        <w:t>This indicates the presence of a PLA coating on the bowls.</w:t>
      </w:r>
    </w:p>
    <w:p w14:paraId="422716F7" w14:textId="77777777" w:rsidR="004D2BA9" w:rsidRDefault="004D2BA9" w:rsidP="004D2BA9">
      <w:pPr>
        <w:pStyle w:val="TAMainText"/>
      </w:pPr>
      <w:r>
        <w:t>T</w:t>
      </w:r>
      <w:r w:rsidRPr="00221CD5">
        <w:t xml:space="preserve">he EGA-MS profile of the untreated mixture was a combination of the profiles of the three isolated samples, with three main degradation peaks at 300, 350, and 400 °C corresponding to PLA, cellulose, </w:t>
      </w:r>
      <w:r w:rsidRPr="00944463">
        <w:t xml:space="preserve">and PBS, respectively (the </w:t>
      </w:r>
      <w:proofErr w:type="spellStart"/>
      <w:r w:rsidRPr="00944463">
        <w:t>cPLA</w:t>
      </w:r>
      <w:proofErr w:type="spellEnd"/>
      <w:r w:rsidRPr="00944463">
        <w:t xml:space="preserve"> peak at 370 °C is partially covered by the other ones).</w:t>
      </w:r>
      <w:r>
        <w:t xml:space="preserve"> The </w:t>
      </w:r>
      <w:proofErr w:type="spellStart"/>
      <w:r>
        <w:t>Py</w:t>
      </w:r>
      <w:proofErr w:type="spellEnd"/>
      <w:r>
        <w:t xml:space="preserve">-GC/MS profile also shows the same compounds observed in the </w:t>
      </w:r>
      <w:proofErr w:type="spellStart"/>
      <w:r>
        <w:t>pyrograms</w:t>
      </w:r>
      <w:proofErr w:type="spellEnd"/>
      <w:r>
        <w:t xml:space="preserve"> of the three isolated materials, with minimal differences, indicating that the substrates do not interact significantly with each other upon thermal degradation.</w:t>
      </w:r>
    </w:p>
    <w:p w14:paraId="24DCE67A" w14:textId="77777777" w:rsidR="007204B6" w:rsidRPr="00221CD5" w:rsidRDefault="007204B6" w:rsidP="007204B6">
      <w:pPr>
        <w:pStyle w:val="TAMainText"/>
      </w:pPr>
    </w:p>
    <w:p w14:paraId="0FD4D205" w14:textId="77777777" w:rsidR="00221CD5" w:rsidRPr="00221CD5" w:rsidRDefault="00221CD5" w:rsidP="00221CD5">
      <w:pPr>
        <w:pStyle w:val="TAMainText"/>
        <w:spacing w:after="240"/>
        <w:ind w:firstLine="0"/>
        <w:jc w:val="left"/>
        <w:rPr>
          <w:lang w:val="it-IT"/>
        </w:rPr>
      </w:pPr>
      <w:r w:rsidRPr="00221CD5">
        <w:rPr>
          <w:noProof/>
          <w:lang w:val="it-IT"/>
        </w:rPr>
        <w:lastRenderedPageBreak/>
        <w:drawing>
          <wp:inline distT="0" distB="0" distL="0" distR="0" wp14:anchorId="41DB8742" wp14:editId="524FC2AD">
            <wp:extent cx="4434293" cy="6432439"/>
            <wp:effectExtent l="0" t="0" r="0" b="0"/>
            <wp:docPr id="149752163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47143" cy="6451080"/>
                    </a:xfrm>
                    <a:prstGeom prst="rect">
                      <a:avLst/>
                    </a:prstGeom>
                    <a:noFill/>
                    <a:ln>
                      <a:noFill/>
                    </a:ln>
                  </pic:spPr>
                </pic:pic>
              </a:graphicData>
            </a:graphic>
          </wp:inline>
        </w:drawing>
      </w:r>
    </w:p>
    <w:p w14:paraId="7289BA71" w14:textId="77777777" w:rsidR="00221CD5" w:rsidRPr="00221CD5" w:rsidRDefault="00221CD5" w:rsidP="000B4562">
      <w:pPr>
        <w:pStyle w:val="VAFigureCaption"/>
      </w:pPr>
      <w:bookmarkStart w:id="2" w:name="_Ref134183160"/>
      <w:r w:rsidRPr="00221CD5">
        <w:rPr>
          <w:b/>
          <w:bCs/>
        </w:rPr>
        <w:t xml:space="preserve">Figure </w:t>
      </w:r>
      <w:bookmarkEnd w:id="2"/>
      <w:r w:rsidRPr="00221CD5">
        <w:rPr>
          <w:b/>
          <w:bCs/>
        </w:rPr>
        <w:t>2</w:t>
      </w:r>
      <w:r w:rsidRPr="00221CD5">
        <w:rPr>
          <w:b/>
          <w:bCs/>
          <w:i/>
          <w:iCs/>
        </w:rPr>
        <w:t>.</w:t>
      </w:r>
      <w:r w:rsidRPr="00221CD5">
        <w:t xml:space="preserve"> (Left) EGA-MS profiles of all samples before and after HT at all investigated temperatures. (Right) Average mass spectra for the untreated samples and structures for the main </w:t>
      </w:r>
      <w:r w:rsidRPr="00221CD5">
        <w:rPr>
          <w:i/>
          <w:iCs/>
        </w:rPr>
        <w:t>m/z</w:t>
      </w:r>
      <w:r w:rsidRPr="00221CD5">
        <w:t xml:space="preserve"> signals. </w:t>
      </w:r>
    </w:p>
    <w:p w14:paraId="41109293" w14:textId="77777777" w:rsidR="00CC135C" w:rsidRPr="00221CD5" w:rsidRDefault="00CC135C" w:rsidP="004D2BA9">
      <w:pPr>
        <w:pStyle w:val="TAMainText"/>
        <w:ind w:firstLine="0"/>
      </w:pPr>
    </w:p>
    <w:p w14:paraId="02AF58FF" w14:textId="1D11CE13" w:rsidR="00221CD5" w:rsidRDefault="00221CD5" w:rsidP="000B4562">
      <w:pPr>
        <w:pStyle w:val="VDTableTitle"/>
      </w:pPr>
      <w:bookmarkStart w:id="3" w:name="_Ref137032283"/>
      <w:r w:rsidRPr="00221CD5">
        <w:rPr>
          <w:b/>
          <w:bCs/>
        </w:rPr>
        <w:lastRenderedPageBreak/>
        <w:t xml:space="preserve">Table </w:t>
      </w:r>
      <w:bookmarkEnd w:id="3"/>
      <w:r w:rsidR="000F5503">
        <w:rPr>
          <w:b/>
          <w:bCs/>
        </w:rPr>
        <w:t>2</w:t>
      </w:r>
      <w:r w:rsidRPr="00221CD5">
        <w:rPr>
          <w:b/>
          <w:bCs/>
          <w:i/>
          <w:iCs/>
        </w:rPr>
        <w:t>.</w:t>
      </w:r>
      <w:r w:rsidRPr="00221CD5">
        <w:t xml:space="preserve"> Identified compounds in the </w:t>
      </w:r>
      <w:proofErr w:type="spellStart"/>
      <w:r w:rsidRPr="00221CD5">
        <w:t>Py</w:t>
      </w:r>
      <w:proofErr w:type="spellEnd"/>
      <w:r w:rsidRPr="00221CD5">
        <w:t xml:space="preserve">-GC/MS profiles of the untreated samples. </w:t>
      </w:r>
      <w:r w:rsidR="00664D49">
        <w:t>The</w:t>
      </w:r>
      <w:r w:rsidRPr="00221CD5">
        <w:t xml:space="preserve"> table shows the main </w:t>
      </w:r>
      <w:r w:rsidRPr="00221CD5">
        <w:rPr>
          <w:i/>
          <w:iCs/>
        </w:rPr>
        <w:t>m/z</w:t>
      </w:r>
      <w:r w:rsidRPr="00221CD5">
        <w:t xml:space="preserve"> signals in the mass spectrum, the originating polymer (PLA – polylactic acid, PBS – polybutylene succinate, CEL – cellulose), and the presence or absence in each </w:t>
      </w:r>
      <w:proofErr w:type="spellStart"/>
      <w:r w:rsidRPr="00221CD5">
        <w:t>pyrogram</w:t>
      </w:r>
      <w:proofErr w:type="spellEnd"/>
      <w:r w:rsidRPr="00221CD5">
        <w:t>.</w:t>
      </w:r>
    </w:p>
    <w:tbl>
      <w:tblPr>
        <w:tblStyle w:val="Tabellaelenco1chiara"/>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4"/>
        <w:gridCol w:w="3968"/>
        <w:gridCol w:w="1696"/>
        <w:gridCol w:w="780"/>
        <w:gridCol w:w="924"/>
        <w:gridCol w:w="638"/>
        <w:gridCol w:w="780"/>
      </w:tblGrid>
      <w:tr w:rsidR="00121B6D" w:rsidRPr="00221CD5" w14:paraId="519AB458" w14:textId="77777777" w:rsidTr="00944463">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1BF5EEB4" w14:textId="77777777" w:rsidR="00221CD5" w:rsidRPr="00221CD5" w:rsidRDefault="00221CD5" w:rsidP="00F433A6">
            <w:pPr>
              <w:pStyle w:val="TCTableBody"/>
              <w:jc w:val="center"/>
            </w:pPr>
            <w:r w:rsidRPr="00221CD5">
              <w:t>#</w:t>
            </w:r>
          </w:p>
        </w:tc>
        <w:tc>
          <w:tcPr>
            <w:tcW w:w="2122" w:type="pct"/>
            <w:shd w:val="clear" w:color="auto" w:fill="auto"/>
            <w:noWrap/>
            <w:hideMark/>
          </w:tcPr>
          <w:p w14:paraId="44D32E7C" w14:textId="77777777" w:rsidR="00221CD5" w:rsidRPr="00221CD5" w:rsidRDefault="00221CD5" w:rsidP="000B4562">
            <w:pPr>
              <w:pStyle w:val="TCTableBody"/>
              <w:cnfStyle w:val="100000000000" w:firstRow="1" w:lastRow="0" w:firstColumn="0" w:lastColumn="0" w:oddVBand="0" w:evenVBand="0" w:oddHBand="0" w:evenHBand="0" w:firstRowFirstColumn="0" w:firstRowLastColumn="0" w:lastRowFirstColumn="0" w:lastRowLastColumn="0"/>
            </w:pPr>
            <w:r w:rsidRPr="00221CD5">
              <w:t>Compound</w:t>
            </w:r>
          </w:p>
        </w:tc>
        <w:tc>
          <w:tcPr>
            <w:tcW w:w="907" w:type="pct"/>
            <w:shd w:val="clear" w:color="auto" w:fill="auto"/>
          </w:tcPr>
          <w:p w14:paraId="74AB1346" w14:textId="77777777" w:rsidR="00221CD5" w:rsidRPr="00221CD5" w:rsidRDefault="00221CD5" w:rsidP="000B4562">
            <w:pPr>
              <w:pStyle w:val="TCTableBody"/>
              <w:cnfStyle w:val="100000000000" w:firstRow="1" w:lastRow="0" w:firstColumn="0" w:lastColumn="0" w:oddVBand="0" w:evenVBand="0" w:oddHBand="0" w:evenHBand="0" w:firstRowFirstColumn="0" w:firstRowLastColumn="0" w:lastRowFirstColumn="0" w:lastRowLastColumn="0"/>
              <w:rPr>
                <w:i/>
                <w:iCs/>
              </w:rPr>
            </w:pPr>
            <w:r w:rsidRPr="00221CD5">
              <w:rPr>
                <w:i/>
                <w:iCs/>
              </w:rPr>
              <w:t>m/z</w:t>
            </w:r>
          </w:p>
        </w:tc>
        <w:tc>
          <w:tcPr>
            <w:tcW w:w="417" w:type="pct"/>
            <w:shd w:val="clear" w:color="auto" w:fill="auto"/>
            <w:noWrap/>
            <w:hideMark/>
          </w:tcPr>
          <w:p w14:paraId="620F6887" w14:textId="77777777" w:rsidR="00221CD5" w:rsidRPr="00221CD5" w:rsidRDefault="00221CD5" w:rsidP="00121B6D">
            <w:pPr>
              <w:pStyle w:val="TCTableBody"/>
              <w:jc w:val="center"/>
              <w:cnfStyle w:val="100000000000" w:firstRow="1" w:lastRow="0" w:firstColumn="0" w:lastColumn="0" w:oddVBand="0" w:evenVBand="0" w:oddHBand="0" w:evenHBand="0" w:firstRowFirstColumn="0" w:firstRowLastColumn="0" w:lastRowFirstColumn="0" w:lastRowLastColumn="0"/>
            </w:pPr>
            <w:proofErr w:type="spellStart"/>
            <w:r w:rsidRPr="00221CD5">
              <w:t>Orig</w:t>
            </w:r>
            <w:proofErr w:type="spellEnd"/>
            <w:r w:rsidRPr="00221CD5">
              <w:t>.</w:t>
            </w:r>
          </w:p>
        </w:tc>
        <w:tc>
          <w:tcPr>
            <w:tcW w:w="494" w:type="pct"/>
            <w:shd w:val="clear" w:color="auto" w:fill="auto"/>
            <w:noWrap/>
            <w:hideMark/>
          </w:tcPr>
          <w:p w14:paraId="0429E5E1" w14:textId="77777777" w:rsidR="00221CD5" w:rsidRPr="00221CD5" w:rsidRDefault="00221CD5" w:rsidP="00121B6D">
            <w:pPr>
              <w:pStyle w:val="TCTableBody"/>
              <w:jc w:val="center"/>
              <w:cnfStyle w:val="100000000000" w:firstRow="1" w:lastRow="0" w:firstColumn="0" w:lastColumn="0" w:oddVBand="0" w:evenVBand="0" w:oddHBand="0" w:evenHBand="0" w:firstRowFirstColumn="0" w:firstRowLastColumn="0" w:lastRowFirstColumn="0" w:lastRowLastColumn="0"/>
            </w:pPr>
            <w:proofErr w:type="spellStart"/>
            <w:r w:rsidRPr="00221CD5">
              <w:t>cPLA</w:t>
            </w:r>
            <w:proofErr w:type="spellEnd"/>
          </w:p>
        </w:tc>
        <w:tc>
          <w:tcPr>
            <w:tcW w:w="341" w:type="pct"/>
            <w:shd w:val="clear" w:color="auto" w:fill="auto"/>
            <w:noWrap/>
            <w:hideMark/>
          </w:tcPr>
          <w:p w14:paraId="56648C41" w14:textId="77777777" w:rsidR="00221CD5" w:rsidRPr="00221CD5" w:rsidRDefault="00221CD5" w:rsidP="00121B6D">
            <w:pPr>
              <w:pStyle w:val="TCTableBody"/>
              <w:jc w:val="center"/>
              <w:cnfStyle w:val="100000000000" w:firstRow="1" w:lastRow="0" w:firstColumn="0" w:lastColumn="0" w:oddVBand="0" w:evenVBand="0" w:oddHBand="0" w:evenHBand="0" w:firstRowFirstColumn="0" w:firstRowLastColumn="0" w:lastRowFirstColumn="0" w:lastRowLastColumn="0"/>
            </w:pPr>
            <w:r w:rsidRPr="00221CD5">
              <w:t>MB</w:t>
            </w:r>
          </w:p>
        </w:tc>
        <w:tc>
          <w:tcPr>
            <w:tcW w:w="417" w:type="pct"/>
            <w:shd w:val="clear" w:color="auto" w:fill="auto"/>
            <w:noWrap/>
            <w:hideMark/>
          </w:tcPr>
          <w:p w14:paraId="6A657732" w14:textId="77777777" w:rsidR="00221CD5" w:rsidRPr="00221CD5" w:rsidRDefault="00221CD5" w:rsidP="00121B6D">
            <w:pPr>
              <w:pStyle w:val="TCTableBody"/>
              <w:jc w:val="center"/>
              <w:cnfStyle w:val="100000000000" w:firstRow="1" w:lastRow="0" w:firstColumn="0" w:lastColumn="0" w:oddVBand="0" w:evenVBand="0" w:oddHBand="0" w:evenHBand="0" w:firstRowFirstColumn="0" w:firstRowLastColumn="0" w:lastRowFirstColumn="0" w:lastRowLastColumn="0"/>
            </w:pPr>
            <w:r w:rsidRPr="00221CD5">
              <w:t>CEL</w:t>
            </w:r>
          </w:p>
        </w:tc>
      </w:tr>
      <w:tr w:rsidR="00121B6D" w:rsidRPr="00221CD5" w14:paraId="2E67CDDA"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3705857C" w14:textId="77777777" w:rsidR="00221CD5" w:rsidRPr="00221CD5" w:rsidRDefault="00221CD5" w:rsidP="00F433A6">
            <w:pPr>
              <w:pStyle w:val="TCTableBody"/>
              <w:jc w:val="center"/>
            </w:pPr>
            <w:r w:rsidRPr="00221CD5">
              <w:t>1</w:t>
            </w:r>
          </w:p>
        </w:tc>
        <w:tc>
          <w:tcPr>
            <w:tcW w:w="2122" w:type="pct"/>
            <w:shd w:val="clear" w:color="auto" w:fill="auto"/>
            <w:noWrap/>
            <w:hideMark/>
          </w:tcPr>
          <w:p w14:paraId="69DEC700"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r w:rsidRPr="00221CD5">
              <w:t xml:space="preserve">Carbon </w:t>
            </w:r>
            <w:proofErr w:type="spellStart"/>
            <w:r w:rsidRPr="00221CD5">
              <w:t>dioxide</w:t>
            </w:r>
            <w:proofErr w:type="spellEnd"/>
          </w:p>
        </w:tc>
        <w:tc>
          <w:tcPr>
            <w:tcW w:w="907" w:type="pct"/>
            <w:shd w:val="clear" w:color="auto" w:fill="auto"/>
          </w:tcPr>
          <w:p w14:paraId="22854CDA"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44</w:t>
            </w:r>
          </w:p>
        </w:tc>
        <w:tc>
          <w:tcPr>
            <w:tcW w:w="417" w:type="pct"/>
            <w:shd w:val="clear" w:color="auto" w:fill="auto"/>
            <w:noWrap/>
            <w:hideMark/>
          </w:tcPr>
          <w:p w14:paraId="6EE218B7"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w:t>
            </w:r>
          </w:p>
        </w:tc>
        <w:tc>
          <w:tcPr>
            <w:tcW w:w="494" w:type="pct"/>
            <w:shd w:val="clear" w:color="auto" w:fill="auto"/>
            <w:noWrap/>
            <w:hideMark/>
          </w:tcPr>
          <w:p w14:paraId="72DB164B"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341" w:type="pct"/>
            <w:shd w:val="clear" w:color="auto" w:fill="auto"/>
            <w:noWrap/>
            <w:hideMark/>
          </w:tcPr>
          <w:p w14:paraId="59F33826"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62BE0236"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r>
      <w:tr w:rsidR="00121B6D" w:rsidRPr="00221CD5" w14:paraId="11BE0D9F"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5F50DDD0" w14:textId="77777777" w:rsidR="00221CD5" w:rsidRPr="00221CD5" w:rsidRDefault="00221CD5" w:rsidP="00F433A6">
            <w:pPr>
              <w:pStyle w:val="TCTableBody"/>
              <w:jc w:val="center"/>
            </w:pPr>
            <w:r w:rsidRPr="00221CD5">
              <w:t>2</w:t>
            </w:r>
          </w:p>
        </w:tc>
        <w:tc>
          <w:tcPr>
            <w:tcW w:w="2122" w:type="pct"/>
            <w:shd w:val="clear" w:color="auto" w:fill="auto"/>
            <w:noWrap/>
            <w:hideMark/>
          </w:tcPr>
          <w:p w14:paraId="3C5A688D"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proofErr w:type="spellStart"/>
            <w:r w:rsidRPr="00221CD5">
              <w:t>Acetaldehyde</w:t>
            </w:r>
            <w:proofErr w:type="spellEnd"/>
          </w:p>
        </w:tc>
        <w:tc>
          <w:tcPr>
            <w:tcW w:w="907" w:type="pct"/>
            <w:shd w:val="clear" w:color="auto" w:fill="auto"/>
          </w:tcPr>
          <w:p w14:paraId="7369C9F4"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44, 43, 42</w:t>
            </w:r>
          </w:p>
        </w:tc>
        <w:tc>
          <w:tcPr>
            <w:tcW w:w="417" w:type="pct"/>
            <w:shd w:val="clear" w:color="auto" w:fill="auto"/>
            <w:noWrap/>
            <w:hideMark/>
          </w:tcPr>
          <w:p w14:paraId="3C758296"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w:t>
            </w:r>
          </w:p>
        </w:tc>
        <w:tc>
          <w:tcPr>
            <w:tcW w:w="494" w:type="pct"/>
            <w:shd w:val="clear" w:color="auto" w:fill="auto"/>
            <w:noWrap/>
            <w:hideMark/>
          </w:tcPr>
          <w:p w14:paraId="031F9288"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341" w:type="pct"/>
            <w:shd w:val="clear" w:color="auto" w:fill="auto"/>
            <w:noWrap/>
            <w:hideMark/>
          </w:tcPr>
          <w:p w14:paraId="6D451D4E"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417" w:type="pct"/>
            <w:shd w:val="clear" w:color="auto" w:fill="auto"/>
            <w:noWrap/>
            <w:hideMark/>
          </w:tcPr>
          <w:p w14:paraId="0F82387F"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r>
      <w:tr w:rsidR="00121B6D" w:rsidRPr="00221CD5" w14:paraId="0B3E75FE"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431D4A0E" w14:textId="77777777" w:rsidR="00221CD5" w:rsidRPr="00221CD5" w:rsidRDefault="00221CD5" w:rsidP="00F433A6">
            <w:pPr>
              <w:pStyle w:val="TCTableBody"/>
              <w:jc w:val="center"/>
            </w:pPr>
            <w:r w:rsidRPr="00221CD5">
              <w:t>3</w:t>
            </w:r>
          </w:p>
        </w:tc>
        <w:tc>
          <w:tcPr>
            <w:tcW w:w="2122" w:type="pct"/>
            <w:shd w:val="clear" w:color="auto" w:fill="auto"/>
            <w:noWrap/>
            <w:hideMark/>
          </w:tcPr>
          <w:p w14:paraId="55AEC4E4"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proofErr w:type="spellStart"/>
            <w:r w:rsidRPr="00221CD5">
              <w:t>Methyl</w:t>
            </w:r>
            <w:proofErr w:type="spellEnd"/>
            <w:r w:rsidRPr="00221CD5">
              <w:t xml:space="preserve"> </w:t>
            </w:r>
            <w:proofErr w:type="spellStart"/>
            <w:r w:rsidRPr="00221CD5">
              <w:t>glyoxal</w:t>
            </w:r>
            <w:proofErr w:type="spellEnd"/>
          </w:p>
        </w:tc>
        <w:tc>
          <w:tcPr>
            <w:tcW w:w="907" w:type="pct"/>
            <w:shd w:val="clear" w:color="auto" w:fill="auto"/>
          </w:tcPr>
          <w:p w14:paraId="2CC43572"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72, 43</w:t>
            </w:r>
          </w:p>
        </w:tc>
        <w:tc>
          <w:tcPr>
            <w:tcW w:w="417" w:type="pct"/>
            <w:shd w:val="clear" w:color="auto" w:fill="auto"/>
            <w:noWrap/>
            <w:hideMark/>
          </w:tcPr>
          <w:p w14:paraId="7E432F5A"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CEL</w:t>
            </w:r>
          </w:p>
        </w:tc>
        <w:tc>
          <w:tcPr>
            <w:tcW w:w="494" w:type="pct"/>
            <w:shd w:val="clear" w:color="auto" w:fill="auto"/>
            <w:noWrap/>
            <w:hideMark/>
          </w:tcPr>
          <w:p w14:paraId="727C80D6"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2D67765F"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417" w:type="pct"/>
            <w:shd w:val="clear" w:color="auto" w:fill="auto"/>
            <w:noWrap/>
            <w:hideMark/>
          </w:tcPr>
          <w:p w14:paraId="7534F240"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r>
      <w:tr w:rsidR="00121B6D" w:rsidRPr="00221CD5" w14:paraId="624E96F8"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764144BF" w14:textId="77777777" w:rsidR="00221CD5" w:rsidRPr="00221CD5" w:rsidRDefault="00221CD5" w:rsidP="00F433A6">
            <w:pPr>
              <w:pStyle w:val="TCTableBody"/>
              <w:jc w:val="center"/>
            </w:pPr>
            <w:r w:rsidRPr="00221CD5">
              <w:t>4</w:t>
            </w:r>
          </w:p>
        </w:tc>
        <w:tc>
          <w:tcPr>
            <w:tcW w:w="2122" w:type="pct"/>
            <w:shd w:val="clear" w:color="auto" w:fill="auto"/>
            <w:noWrap/>
            <w:hideMark/>
          </w:tcPr>
          <w:p w14:paraId="40F74B6C"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proofErr w:type="spellStart"/>
            <w:r w:rsidRPr="00221CD5">
              <w:t>Tetrahydrofuran</w:t>
            </w:r>
            <w:proofErr w:type="spellEnd"/>
          </w:p>
        </w:tc>
        <w:tc>
          <w:tcPr>
            <w:tcW w:w="907" w:type="pct"/>
            <w:shd w:val="clear" w:color="auto" w:fill="auto"/>
          </w:tcPr>
          <w:p w14:paraId="6A1547C5"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72, 71, 42, 41</w:t>
            </w:r>
          </w:p>
        </w:tc>
        <w:tc>
          <w:tcPr>
            <w:tcW w:w="417" w:type="pct"/>
            <w:shd w:val="clear" w:color="auto" w:fill="auto"/>
            <w:noWrap/>
            <w:hideMark/>
          </w:tcPr>
          <w:p w14:paraId="4D6F5317"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PBS</w:t>
            </w:r>
          </w:p>
        </w:tc>
        <w:tc>
          <w:tcPr>
            <w:tcW w:w="494" w:type="pct"/>
            <w:shd w:val="clear" w:color="auto" w:fill="auto"/>
            <w:noWrap/>
            <w:hideMark/>
          </w:tcPr>
          <w:p w14:paraId="42D3833B"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475E3B29"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417" w:type="pct"/>
            <w:shd w:val="clear" w:color="auto" w:fill="auto"/>
            <w:noWrap/>
            <w:hideMark/>
          </w:tcPr>
          <w:p w14:paraId="05106DBD"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r>
      <w:tr w:rsidR="00121B6D" w:rsidRPr="00221CD5" w14:paraId="36A5F35D"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7C02817B" w14:textId="77777777" w:rsidR="00221CD5" w:rsidRPr="00221CD5" w:rsidRDefault="00221CD5" w:rsidP="00F433A6">
            <w:pPr>
              <w:pStyle w:val="TCTableBody"/>
              <w:jc w:val="center"/>
            </w:pPr>
            <w:r w:rsidRPr="00221CD5">
              <w:t>5</w:t>
            </w:r>
          </w:p>
        </w:tc>
        <w:tc>
          <w:tcPr>
            <w:tcW w:w="2122" w:type="pct"/>
            <w:shd w:val="clear" w:color="auto" w:fill="auto"/>
            <w:noWrap/>
            <w:hideMark/>
          </w:tcPr>
          <w:p w14:paraId="072E4047"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proofErr w:type="spellStart"/>
            <w:r w:rsidRPr="00221CD5">
              <w:t>Propenoic</w:t>
            </w:r>
            <w:proofErr w:type="spellEnd"/>
            <w:r w:rsidRPr="00221CD5">
              <w:t xml:space="preserve"> acid</w:t>
            </w:r>
          </w:p>
        </w:tc>
        <w:tc>
          <w:tcPr>
            <w:tcW w:w="907" w:type="pct"/>
            <w:shd w:val="clear" w:color="auto" w:fill="auto"/>
          </w:tcPr>
          <w:p w14:paraId="1464892F"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72, 55, 45</w:t>
            </w:r>
          </w:p>
        </w:tc>
        <w:tc>
          <w:tcPr>
            <w:tcW w:w="417" w:type="pct"/>
            <w:shd w:val="clear" w:color="auto" w:fill="auto"/>
            <w:noWrap/>
            <w:hideMark/>
          </w:tcPr>
          <w:p w14:paraId="6FEF9C0D"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PLA</w:t>
            </w:r>
          </w:p>
        </w:tc>
        <w:tc>
          <w:tcPr>
            <w:tcW w:w="494" w:type="pct"/>
            <w:shd w:val="clear" w:color="auto" w:fill="auto"/>
            <w:noWrap/>
            <w:hideMark/>
          </w:tcPr>
          <w:p w14:paraId="56427F9B"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341" w:type="pct"/>
            <w:shd w:val="clear" w:color="auto" w:fill="auto"/>
            <w:noWrap/>
            <w:hideMark/>
          </w:tcPr>
          <w:p w14:paraId="502631E7"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64554787"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r>
      <w:tr w:rsidR="00121B6D" w:rsidRPr="00221CD5" w14:paraId="367AF532"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17761127" w14:textId="77777777" w:rsidR="00221CD5" w:rsidRPr="00221CD5" w:rsidRDefault="00221CD5" w:rsidP="00F433A6">
            <w:pPr>
              <w:pStyle w:val="TCTableBody"/>
              <w:jc w:val="center"/>
            </w:pPr>
            <w:r w:rsidRPr="00221CD5">
              <w:t>6</w:t>
            </w:r>
          </w:p>
        </w:tc>
        <w:tc>
          <w:tcPr>
            <w:tcW w:w="2122" w:type="pct"/>
            <w:shd w:val="clear" w:color="auto" w:fill="auto"/>
            <w:noWrap/>
            <w:hideMark/>
          </w:tcPr>
          <w:p w14:paraId="277CBAE5"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proofErr w:type="spellStart"/>
            <w:r w:rsidRPr="00221CD5">
              <w:t>Furfural</w:t>
            </w:r>
            <w:proofErr w:type="spellEnd"/>
          </w:p>
        </w:tc>
        <w:tc>
          <w:tcPr>
            <w:tcW w:w="907" w:type="pct"/>
            <w:shd w:val="clear" w:color="auto" w:fill="auto"/>
          </w:tcPr>
          <w:p w14:paraId="771A9FBB"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96, 95, 39</w:t>
            </w:r>
          </w:p>
        </w:tc>
        <w:tc>
          <w:tcPr>
            <w:tcW w:w="417" w:type="pct"/>
            <w:shd w:val="clear" w:color="auto" w:fill="auto"/>
            <w:noWrap/>
            <w:hideMark/>
          </w:tcPr>
          <w:p w14:paraId="536EC025"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CEL</w:t>
            </w:r>
          </w:p>
        </w:tc>
        <w:tc>
          <w:tcPr>
            <w:tcW w:w="494" w:type="pct"/>
            <w:shd w:val="clear" w:color="auto" w:fill="auto"/>
            <w:noWrap/>
            <w:hideMark/>
          </w:tcPr>
          <w:p w14:paraId="5ACE24FB"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316D8D59"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417" w:type="pct"/>
            <w:shd w:val="clear" w:color="auto" w:fill="auto"/>
            <w:noWrap/>
            <w:hideMark/>
          </w:tcPr>
          <w:p w14:paraId="52D452D7"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r>
      <w:tr w:rsidR="00121B6D" w:rsidRPr="00221CD5" w14:paraId="324FC990"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261D5901" w14:textId="77777777" w:rsidR="00221CD5" w:rsidRPr="00221CD5" w:rsidRDefault="00221CD5" w:rsidP="00F433A6">
            <w:pPr>
              <w:pStyle w:val="TCTableBody"/>
              <w:jc w:val="center"/>
            </w:pPr>
            <w:r w:rsidRPr="00221CD5">
              <w:t>7</w:t>
            </w:r>
          </w:p>
        </w:tc>
        <w:tc>
          <w:tcPr>
            <w:tcW w:w="2122" w:type="pct"/>
            <w:shd w:val="clear" w:color="auto" w:fill="auto"/>
            <w:noWrap/>
            <w:vAlign w:val="bottom"/>
            <w:hideMark/>
          </w:tcPr>
          <w:p w14:paraId="4EEC4D09"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proofErr w:type="spellStart"/>
            <w:r w:rsidRPr="00221CD5">
              <w:t>Hydroxycyclopentenone</w:t>
            </w:r>
            <w:proofErr w:type="spellEnd"/>
          </w:p>
        </w:tc>
        <w:tc>
          <w:tcPr>
            <w:tcW w:w="907" w:type="pct"/>
            <w:shd w:val="clear" w:color="auto" w:fill="auto"/>
          </w:tcPr>
          <w:p w14:paraId="5A542BA8"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98, 69, 55, 42</w:t>
            </w:r>
          </w:p>
        </w:tc>
        <w:tc>
          <w:tcPr>
            <w:tcW w:w="417" w:type="pct"/>
            <w:shd w:val="clear" w:color="auto" w:fill="auto"/>
            <w:noWrap/>
            <w:hideMark/>
          </w:tcPr>
          <w:p w14:paraId="6A1BC09E"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CEL</w:t>
            </w:r>
          </w:p>
        </w:tc>
        <w:tc>
          <w:tcPr>
            <w:tcW w:w="494" w:type="pct"/>
            <w:shd w:val="clear" w:color="auto" w:fill="auto"/>
            <w:noWrap/>
            <w:hideMark/>
          </w:tcPr>
          <w:p w14:paraId="45B95F84"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739216ED"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417" w:type="pct"/>
            <w:shd w:val="clear" w:color="auto" w:fill="auto"/>
            <w:noWrap/>
            <w:hideMark/>
          </w:tcPr>
          <w:p w14:paraId="46868958"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r>
      <w:tr w:rsidR="00121B6D" w:rsidRPr="00221CD5" w14:paraId="46D8A5B3"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hideMark/>
          </w:tcPr>
          <w:p w14:paraId="39F475ED" w14:textId="77777777" w:rsidR="00221CD5" w:rsidRPr="00221CD5" w:rsidRDefault="00221CD5" w:rsidP="00F433A6">
            <w:pPr>
              <w:pStyle w:val="TCTableBody"/>
              <w:jc w:val="center"/>
            </w:pPr>
            <w:r w:rsidRPr="00221CD5">
              <w:t>8</w:t>
            </w:r>
          </w:p>
        </w:tc>
        <w:tc>
          <w:tcPr>
            <w:tcW w:w="2122" w:type="pct"/>
            <w:shd w:val="clear" w:color="auto" w:fill="auto"/>
            <w:noWrap/>
            <w:vAlign w:val="bottom"/>
            <w:hideMark/>
          </w:tcPr>
          <w:p w14:paraId="725CCC0D"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proofErr w:type="spellStart"/>
            <w:r w:rsidRPr="00221CD5">
              <w:t>Hydroxycyclohexanone</w:t>
            </w:r>
            <w:proofErr w:type="spellEnd"/>
          </w:p>
        </w:tc>
        <w:tc>
          <w:tcPr>
            <w:tcW w:w="907" w:type="pct"/>
            <w:shd w:val="clear" w:color="auto" w:fill="auto"/>
          </w:tcPr>
          <w:p w14:paraId="6D0D0F72"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114, 86, 55, 43</w:t>
            </w:r>
          </w:p>
        </w:tc>
        <w:tc>
          <w:tcPr>
            <w:tcW w:w="417" w:type="pct"/>
            <w:shd w:val="clear" w:color="auto" w:fill="auto"/>
            <w:noWrap/>
            <w:hideMark/>
          </w:tcPr>
          <w:p w14:paraId="29168B04"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CEL</w:t>
            </w:r>
          </w:p>
        </w:tc>
        <w:tc>
          <w:tcPr>
            <w:tcW w:w="494" w:type="pct"/>
            <w:shd w:val="clear" w:color="auto" w:fill="auto"/>
            <w:noWrap/>
            <w:hideMark/>
          </w:tcPr>
          <w:p w14:paraId="60DFE301"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0814934E"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417" w:type="pct"/>
            <w:shd w:val="clear" w:color="auto" w:fill="auto"/>
            <w:noWrap/>
            <w:hideMark/>
          </w:tcPr>
          <w:p w14:paraId="1863C711"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r>
      <w:tr w:rsidR="00121B6D" w:rsidRPr="00221CD5" w14:paraId="2A59AD7A"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0059ABA8" w14:textId="77777777" w:rsidR="00221CD5" w:rsidRPr="00221CD5" w:rsidRDefault="00221CD5" w:rsidP="00F433A6">
            <w:pPr>
              <w:pStyle w:val="TCTableBody"/>
              <w:jc w:val="center"/>
            </w:pPr>
            <w:r w:rsidRPr="00221CD5">
              <w:t>9</w:t>
            </w:r>
          </w:p>
        </w:tc>
        <w:tc>
          <w:tcPr>
            <w:tcW w:w="2122" w:type="pct"/>
            <w:shd w:val="clear" w:color="auto" w:fill="auto"/>
            <w:noWrap/>
            <w:vAlign w:val="bottom"/>
          </w:tcPr>
          <w:p w14:paraId="0B1B0787"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proofErr w:type="spellStart"/>
            <w:r w:rsidRPr="00221CD5">
              <w:t>Hydroxymethyldihydropyrane</w:t>
            </w:r>
            <w:proofErr w:type="spellEnd"/>
          </w:p>
        </w:tc>
        <w:tc>
          <w:tcPr>
            <w:tcW w:w="907" w:type="pct"/>
            <w:shd w:val="clear" w:color="auto" w:fill="auto"/>
          </w:tcPr>
          <w:p w14:paraId="26FC8210"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114, 58</w:t>
            </w:r>
          </w:p>
        </w:tc>
        <w:tc>
          <w:tcPr>
            <w:tcW w:w="417" w:type="pct"/>
            <w:shd w:val="clear" w:color="auto" w:fill="auto"/>
            <w:noWrap/>
          </w:tcPr>
          <w:p w14:paraId="4016749F"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CEL</w:t>
            </w:r>
          </w:p>
        </w:tc>
        <w:tc>
          <w:tcPr>
            <w:tcW w:w="494" w:type="pct"/>
            <w:shd w:val="clear" w:color="auto" w:fill="auto"/>
            <w:noWrap/>
          </w:tcPr>
          <w:p w14:paraId="3884DA08"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tcPr>
          <w:p w14:paraId="5BAD3407"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417" w:type="pct"/>
            <w:shd w:val="clear" w:color="auto" w:fill="auto"/>
            <w:noWrap/>
          </w:tcPr>
          <w:p w14:paraId="1EB1E98E"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r>
      <w:tr w:rsidR="00121B6D" w:rsidRPr="00221CD5" w14:paraId="3C410630"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4D60E056" w14:textId="77777777" w:rsidR="00221CD5" w:rsidRPr="00221CD5" w:rsidRDefault="00221CD5" w:rsidP="00F433A6">
            <w:pPr>
              <w:pStyle w:val="TCTableBody"/>
              <w:jc w:val="center"/>
            </w:pPr>
            <w:r w:rsidRPr="00221CD5">
              <w:t>10</w:t>
            </w:r>
          </w:p>
        </w:tc>
        <w:tc>
          <w:tcPr>
            <w:tcW w:w="2122" w:type="pct"/>
            <w:shd w:val="clear" w:color="auto" w:fill="auto"/>
            <w:noWrap/>
            <w:hideMark/>
          </w:tcPr>
          <w:p w14:paraId="188B13DE"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proofErr w:type="spellStart"/>
            <w:r w:rsidRPr="00221CD5">
              <w:t>Succinic</w:t>
            </w:r>
            <w:proofErr w:type="spellEnd"/>
            <w:r w:rsidRPr="00221CD5">
              <w:t xml:space="preserve"> </w:t>
            </w:r>
            <w:proofErr w:type="spellStart"/>
            <w:r w:rsidRPr="00221CD5">
              <w:t>anhydride</w:t>
            </w:r>
            <w:proofErr w:type="spellEnd"/>
          </w:p>
        </w:tc>
        <w:tc>
          <w:tcPr>
            <w:tcW w:w="907" w:type="pct"/>
            <w:shd w:val="clear" w:color="auto" w:fill="auto"/>
          </w:tcPr>
          <w:p w14:paraId="2A85F036"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100, 56, 44</w:t>
            </w:r>
          </w:p>
        </w:tc>
        <w:tc>
          <w:tcPr>
            <w:tcW w:w="417" w:type="pct"/>
            <w:shd w:val="clear" w:color="auto" w:fill="auto"/>
            <w:noWrap/>
            <w:hideMark/>
          </w:tcPr>
          <w:p w14:paraId="6F5D02CF"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PBS</w:t>
            </w:r>
          </w:p>
        </w:tc>
        <w:tc>
          <w:tcPr>
            <w:tcW w:w="494" w:type="pct"/>
            <w:shd w:val="clear" w:color="auto" w:fill="auto"/>
            <w:noWrap/>
            <w:hideMark/>
          </w:tcPr>
          <w:p w14:paraId="5E41AC12"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18730589"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417" w:type="pct"/>
            <w:shd w:val="clear" w:color="auto" w:fill="auto"/>
            <w:noWrap/>
            <w:hideMark/>
          </w:tcPr>
          <w:p w14:paraId="0FA807D4"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r>
      <w:tr w:rsidR="00121B6D" w:rsidRPr="00221CD5" w14:paraId="13C17743"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259745CB" w14:textId="77777777" w:rsidR="00221CD5" w:rsidRPr="00221CD5" w:rsidRDefault="00221CD5" w:rsidP="00F433A6">
            <w:pPr>
              <w:pStyle w:val="TCTableBody"/>
              <w:jc w:val="center"/>
            </w:pPr>
            <w:r w:rsidRPr="00221CD5">
              <w:t>11</w:t>
            </w:r>
          </w:p>
        </w:tc>
        <w:tc>
          <w:tcPr>
            <w:tcW w:w="2122" w:type="pct"/>
            <w:shd w:val="clear" w:color="auto" w:fill="auto"/>
            <w:noWrap/>
            <w:hideMark/>
          </w:tcPr>
          <w:p w14:paraId="375D34DE"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r w:rsidRPr="00221CD5">
              <w:rPr>
                <w:i/>
                <w:iCs/>
              </w:rPr>
              <w:t>meso</w:t>
            </w:r>
            <w:r w:rsidRPr="00221CD5">
              <w:t>-</w:t>
            </w:r>
            <w:proofErr w:type="spellStart"/>
            <w:r w:rsidRPr="00221CD5">
              <w:t>Lactide</w:t>
            </w:r>
            <w:proofErr w:type="spellEnd"/>
          </w:p>
        </w:tc>
        <w:tc>
          <w:tcPr>
            <w:tcW w:w="907" w:type="pct"/>
            <w:shd w:val="clear" w:color="auto" w:fill="auto"/>
          </w:tcPr>
          <w:p w14:paraId="0DC2045D"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56, 45, 43</w:t>
            </w:r>
          </w:p>
        </w:tc>
        <w:tc>
          <w:tcPr>
            <w:tcW w:w="417" w:type="pct"/>
            <w:shd w:val="clear" w:color="auto" w:fill="auto"/>
            <w:noWrap/>
            <w:hideMark/>
          </w:tcPr>
          <w:p w14:paraId="672E23D9"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PLA</w:t>
            </w:r>
          </w:p>
        </w:tc>
        <w:tc>
          <w:tcPr>
            <w:tcW w:w="494" w:type="pct"/>
            <w:shd w:val="clear" w:color="auto" w:fill="auto"/>
            <w:noWrap/>
            <w:hideMark/>
          </w:tcPr>
          <w:p w14:paraId="70222148"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341" w:type="pct"/>
            <w:shd w:val="clear" w:color="auto" w:fill="auto"/>
            <w:noWrap/>
            <w:hideMark/>
          </w:tcPr>
          <w:p w14:paraId="6863C51C"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568DAA0C"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r>
      <w:tr w:rsidR="00121B6D" w:rsidRPr="00221CD5" w14:paraId="4F3DB663"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00090435" w14:textId="77777777" w:rsidR="00221CD5" w:rsidRPr="00221CD5" w:rsidRDefault="00221CD5" w:rsidP="00F433A6">
            <w:pPr>
              <w:pStyle w:val="TCTableBody"/>
              <w:jc w:val="center"/>
            </w:pPr>
            <w:r w:rsidRPr="00221CD5">
              <w:t>12</w:t>
            </w:r>
          </w:p>
        </w:tc>
        <w:tc>
          <w:tcPr>
            <w:tcW w:w="2122" w:type="pct"/>
            <w:shd w:val="clear" w:color="auto" w:fill="auto"/>
            <w:noWrap/>
            <w:hideMark/>
          </w:tcPr>
          <w:p w14:paraId="74F327F0"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r w:rsidRPr="00221CD5">
              <w:t>DL-</w:t>
            </w:r>
            <w:proofErr w:type="spellStart"/>
            <w:r w:rsidRPr="00221CD5">
              <w:t>Lactide</w:t>
            </w:r>
            <w:proofErr w:type="spellEnd"/>
          </w:p>
        </w:tc>
        <w:tc>
          <w:tcPr>
            <w:tcW w:w="907" w:type="pct"/>
            <w:shd w:val="clear" w:color="auto" w:fill="auto"/>
          </w:tcPr>
          <w:p w14:paraId="2F50155B"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56, 45, 43</w:t>
            </w:r>
          </w:p>
        </w:tc>
        <w:tc>
          <w:tcPr>
            <w:tcW w:w="417" w:type="pct"/>
            <w:shd w:val="clear" w:color="auto" w:fill="auto"/>
            <w:noWrap/>
            <w:hideMark/>
          </w:tcPr>
          <w:p w14:paraId="2E500C37"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PLA</w:t>
            </w:r>
          </w:p>
        </w:tc>
        <w:tc>
          <w:tcPr>
            <w:tcW w:w="494" w:type="pct"/>
            <w:shd w:val="clear" w:color="auto" w:fill="auto"/>
            <w:noWrap/>
            <w:hideMark/>
          </w:tcPr>
          <w:p w14:paraId="4FF170BF"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341" w:type="pct"/>
            <w:shd w:val="clear" w:color="auto" w:fill="auto"/>
            <w:noWrap/>
            <w:hideMark/>
          </w:tcPr>
          <w:p w14:paraId="7C7F3643"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417" w:type="pct"/>
            <w:shd w:val="clear" w:color="auto" w:fill="auto"/>
            <w:noWrap/>
            <w:hideMark/>
          </w:tcPr>
          <w:p w14:paraId="3751913E"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r>
      <w:tr w:rsidR="00121B6D" w:rsidRPr="00221CD5" w14:paraId="27D67AF0"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0D8ADD05" w14:textId="77777777" w:rsidR="00221CD5" w:rsidRPr="00221CD5" w:rsidRDefault="00221CD5" w:rsidP="00F433A6">
            <w:pPr>
              <w:pStyle w:val="TCTableBody"/>
              <w:jc w:val="center"/>
            </w:pPr>
            <w:r w:rsidRPr="00221CD5">
              <w:t>13</w:t>
            </w:r>
          </w:p>
        </w:tc>
        <w:tc>
          <w:tcPr>
            <w:tcW w:w="2122" w:type="pct"/>
            <w:shd w:val="clear" w:color="auto" w:fill="auto"/>
            <w:noWrap/>
            <w:hideMark/>
          </w:tcPr>
          <w:p w14:paraId="234DAF42"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r w:rsidRPr="00221CD5">
              <w:t>1:4,3:6-Dianhydroglucopyranose</w:t>
            </w:r>
          </w:p>
        </w:tc>
        <w:tc>
          <w:tcPr>
            <w:tcW w:w="907" w:type="pct"/>
            <w:shd w:val="clear" w:color="auto" w:fill="auto"/>
          </w:tcPr>
          <w:p w14:paraId="7649316B"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142, 116, 96, 85, 70, 57, 43</w:t>
            </w:r>
          </w:p>
        </w:tc>
        <w:tc>
          <w:tcPr>
            <w:tcW w:w="417" w:type="pct"/>
            <w:shd w:val="clear" w:color="auto" w:fill="auto"/>
            <w:noWrap/>
            <w:hideMark/>
          </w:tcPr>
          <w:p w14:paraId="70F9C9C8"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CEL</w:t>
            </w:r>
          </w:p>
        </w:tc>
        <w:tc>
          <w:tcPr>
            <w:tcW w:w="494" w:type="pct"/>
            <w:shd w:val="clear" w:color="auto" w:fill="auto"/>
            <w:noWrap/>
            <w:hideMark/>
          </w:tcPr>
          <w:p w14:paraId="39BEFDDC"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6F1DB2AB"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417" w:type="pct"/>
            <w:shd w:val="clear" w:color="auto" w:fill="auto"/>
            <w:noWrap/>
            <w:hideMark/>
          </w:tcPr>
          <w:p w14:paraId="615C2A7A"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r>
      <w:tr w:rsidR="00121B6D" w:rsidRPr="00221CD5" w14:paraId="7E0384D9"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6A372340" w14:textId="77777777" w:rsidR="00221CD5" w:rsidRPr="00221CD5" w:rsidRDefault="00221CD5" w:rsidP="00F433A6">
            <w:pPr>
              <w:pStyle w:val="TCTableBody"/>
              <w:jc w:val="center"/>
            </w:pPr>
            <w:r w:rsidRPr="00221CD5">
              <w:t>14</w:t>
            </w:r>
          </w:p>
        </w:tc>
        <w:tc>
          <w:tcPr>
            <w:tcW w:w="2122" w:type="pct"/>
            <w:shd w:val="clear" w:color="auto" w:fill="auto"/>
            <w:noWrap/>
            <w:hideMark/>
          </w:tcPr>
          <w:p w14:paraId="605034D3"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proofErr w:type="spellStart"/>
            <w:r w:rsidRPr="00221CD5">
              <w:t>Levoglucosenone</w:t>
            </w:r>
            <w:proofErr w:type="spellEnd"/>
          </w:p>
        </w:tc>
        <w:tc>
          <w:tcPr>
            <w:tcW w:w="907" w:type="pct"/>
            <w:shd w:val="clear" w:color="auto" w:fill="auto"/>
          </w:tcPr>
          <w:p w14:paraId="0007760C"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144, 97, 87, 69, 57, 43</w:t>
            </w:r>
          </w:p>
        </w:tc>
        <w:tc>
          <w:tcPr>
            <w:tcW w:w="417" w:type="pct"/>
            <w:shd w:val="clear" w:color="auto" w:fill="auto"/>
            <w:noWrap/>
            <w:hideMark/>
          </w:tcPr>
          <w:p w14:paraId="39485359"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CEL</w:t>
            </w:r>
          </w:p>
        </w:tc>
        <w:tc>
          <w:tcPr>
            <w:tcW w:w="494" w:type="pct"/>
            <w:shd w:val="clear" w:color="auto" w:fill="auto"/>
            <w:noWrap/>
            <w:hideMark/>
          </w:tcPr>
          <w:p w14:paraId="26B23E86"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1F155CD8"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417" w:type="pct"/>
            <w:shd w:val="clear" w:color="auto" w:fill="auto"/>
            <w:noWrap/>
            <w:hideMark/>
          </w:tcPr>
          <w:p w14:paraId="11978CDC"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r>
      <w:tr w:rsidR="00121B6D" w:rsidRPr="00221CD5" w14:paraId="5BECC6A6"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680C6A1F" w14:textId="77777777" w:rsidR="00221CD5" w:rsidRPr="00221CD5" w:rsidRDefault="00221CD5" w:rsidP="00F433A6">
            <w:pPr>
              <w:pStyle w:val="TCTableBody"/>
              <w:jc w:val="center"/>
            </w:pPr>
            <w:r w:rsidRPr="00221CD5">
              <w:t>15</w:t>
            </w:r>
          </w:p>
        </w:tc>
        <w:tc>
          <w:tcPr>
            <w:tcW w:w="2122" w:type="pct"/>
            <w:shd w:val="clear" w:color="auto" w:fill="auto"/>
            <w:noWrap/>
            <w:hideMark/>
          </w:tcPr>
          <w:p w14:paraId="3F5019AD"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r w:rsidRPr="00221CD5">
              <w:t xml:space="preserve">Di(but-3-en-1-yl) </w:t>
            </w:r>
            <w:proofErr w:type="spellStart"/>
            <w:r w:rsidRPr="00221CD5">
              <w:t>succinate</w:t>
            </w:r>
            <w:proofErr w:type="spellEnd"/>
          </w:p>
        </w:tc>
        <w:tc>
          <w:tcPr>
            <w:tcW w:w="907" w:type="pct"/>
            <w:shd w:val="clear" w:color="auto" w:fill="auto"/>
          </w:tcPr>
          <w:p w14:paraId="7EF5E9B2"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155, 101, 55</w:t>
            </w:r>
          </w:p>
        </w:tc>
        <w:tc>
          <w:tcPr>
            <w:tcW w:w="417" w:type="pct"/>
            <w:shd w:val="clear" w:color="auto" w:fill="auto"/>
            <w:noWrap/>
            <w:hideMark/>
          </w:tcPr>
          <w:p w14:paraId="3B13486D"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PBS</w:t>
            </w:r>
          </w:p>
        </w:tc>
        <w:tc>
          <w:tcPr>
            <w:tcW w:w="494" w:type="pct"/>
            <w:shd w:val="clear" w:color="auto" w:fill="auto"/>
            <w:noWrap/>
            <w:hideMark/>
          </w:tcPr>
          <w:p w14:paraId="6DCE53B0"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1F6D7BD4"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46343547"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r>
      <w:tr w:rsidR="00121B6D" w:rsidRPr="00221CD5" w14:paraId="11ED64AE"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258DB0B0" w14:textId="77777777" w:rsidR="00221CD5" w:rsidRPr="00221CD5" w:rsidRDefault="00221CD5" w:rsidP="00F433A6">
            <w:pPr>
              <w:pStyle w:val="TCTableBody"/>
              <w:jc w:val="center"/>
            </w:pPr>
            <w:r w:rsidRPr="00221CD5">
              <w:t>16</w:t>
            </w:r>
          </w:p>
        </w:tc>
        <w:tc>
          <w:tcPr>
            <w:tcW w:w="2122" w:type="pct"/>
            <w:shd w:val="clear" w:color="auto" w:fill="auto"/>
            <w:noWrap/>
            <w:hideMark/>
          </w:tcPr>
          <w:p w14:paraId="47C0165F"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r w:rsidRPr="00221CD5">
              <w:t>1,6-Anhydro-β-D-</w:t>
            </w:r>
            <w:proofErr w:type="spellStart"/>
            <w:r w:rsidRPr="00221CD5">
              <w:t>glucopyranose</w:t>
            </w:r>
            <w:proofErr w:type="spellEnd"/>
            <w:r w:rsidRPr="00221CD5">
              <w:t xml:space="preserve"> (</w:t>
            </w:r>
            <w:proofErr w:type="spellStart"/>
            <w:r w:rsidRPr="00221CD5">
              <w:t>levoglucosan</w:t>
            </w:r>
            <w:proofErr w:type="spellEnd"/>
            <w:r w:rsidRPr="00221CD5">
              <w:t>)</w:t>
            </w:r>
          </w:p>
        </w:tc>
        <w:tc>
          <w:tcPr>
            <w:tcW w:w="907" w:type="pct"/>
            <w:shd w:val="clear" w:color="auto" w:fill="auto"/>
          </w:tcPr>
          <w:p w14:paraId="2F270A76"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98, 73, 60, 57</w:t>
            </w:r>
          </w:p>
        </w:tc>
        <w:tc>
          <w:tcPr>
            <w:tcW w:w="417" w:type="pct"/>
            <w:shd w:val="clear" w:color="auto" w:fill="auto"/>
            <w:noWrap/>
            <w:hideMark/>
          </w:tcPr>
          <w:p w14:paraId="07C92371"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CEL</w:t>
            </w:r>
          </w:p>
        </w:tc>
        <w:tc>
          <w:tcPr>
            <w:tcW w:w="494" w:type="pct"/>
            <w:shd w:val="clear" w:color="auto" w:fill="auto"/>
            <w:noWrap/>
            <w:hideMark/>
          </w:tcPr>
          <w:p w14:paraId="4A615FF8"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14AB9699"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417" w:type="pct"/>
            <w:shd w:val="clear" w:color="auto" w:fill="auto"/>
            <w:noWrap/>
            <w:hideMark/>
          </w:tcPr>
          <w:p w14:paraId="15BD1578"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r>
      <w:tr w:rsidR="00121B6D" w:rsidRPr="00221CD5" w14:paraId="267ED605"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5B3C10A5" w14:textId="77777777" w:rsidR="00221CD5" w:rsidRPr="00221CD5" w:rsidRDefault="00221CD5" w:rsidP="00F433A6">
            <w:pPr>
              <w:pStyle w:val="TCTableBody"/>
              <w:jc w:val="center"/>
            </w:pPr>
            <w:r w:rsidRPr="00221CD5">
              <w:t>17</w:t>
            </w:r>
          </w:p>
        </w:tc>
        <w:tc>
          <w:tcPr>
            <w:tcW w:w="2122" w:type="pct"/>
            <w:shd w:val="clear" w:color="auto" w:fill="auto"/>
            <w:noWrap/>
            <w:hideMark/>
          </w:tcPr>
          <w:p w14:paraId="2A5774F1"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rPr>
                <w:lang w:val="fr-FR"/>
              </w:rPr>
            </w:pPr>
            <w:r w:rsidRPr="00221CD5">
              <w:rPr>
                <w:lang w:val="fr-FR"/>
              </w:rPr>
              <w:t>But-3-en-1-yl (4-hydroxybutyl) succinate</w:t>
            </w:r>
          </w:p>
        </w:tc>
        <w:tc>
          <w:tcPr>
            <w:tcW w:w="907" w:type="pct"/>
            <w:shd w:val="clear" w:color="auto" w:fill="auto"/>
          </w:tcPr>
          <w:p w14:paraId="782E03B6"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173, 155, 101, 73, 55</w:t>
            </w:r>
          </w:p>
        </w:tc>
        <w:tc>
          <w:tcPr>
            <w:tcW w:w="417" w:type="pct"/>
            <w:shd w:val="clear" w:color="auto" w:fill="auto"/>
            <w:noWrap/>
            <w:hideMark/>
          </w:tcPr>
          <w:p w14:paraId="185145DF"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PBS</w:t>
            </w:r>
          </w:p>
        </w:tc>
        <w:tc>
          <w:tcPr>
            <w:tcW w:w="494" w:type="pct"/>
            <w:shd w:val="clear" w:color="auto" w:fill="auto"/>
            <w:noWrap/>
            <w:hideMark/>
          </w:tcPr>
          <w:p w14:paraId="00F22D18"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65B8A438"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7780E284"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r>
      <w:tr w:rsidR="00121B6D" w:rsidRPr="00221CD5" w14:paraId="1177D8A1"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6AE53F3A" w14:textId="77777777" w:rsidR="00221CD5" w:rsidRPr="00221CD5" w:rsidRDefault="00221CD5" w:rsidP="00F433A6">
            <w:pPr>
              <w:pStyle w:val="TCTableBody"/>
              <w:jc w:val="center"/>
            </w:pPr>
            <w:r w:rsidRPr="00221CD5">
              <w:t>18</w:t>
            </w:r>
          </w:p>
        </w:tc>
        <w:tc>
          <w:tcPr>
            <w:tcW w:w="2122" w:type="pct"/>
            <w:shd w:val="clear" w:color="auto" w:fill="auto"/>
            <w:noWrap/>
            <w:hideMark/>
          </w:tcPr>
          <w:p w14:paraId="77B783DC"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rPr>
                <w:lang w:val="en-US"/>
              </w:rPr>
            </w:pPr>
            <w:r w:rsidRPr="00221CD5">
              <w:rPr>
                <w:lang w:val="en-US"/>
              </w:rPr>
              <w:t>But-3-en-1-yl (4-(</w:t>
            </w:r>
            <w:proofErr w:type="spellStart"/>
            <w:r w:rsidRPr="00221CD5">
              <w:rPr>
                <w:lang w:val="en-US"/>
              </w:rPr>
              <w:t>propionyloxy</w:t>
            </w:r>
            <w:proofErr w:type="spellEnd"/>
            <w:r w:rsidRPr="00221CD5">
              <w:rPr>
                <w:lang w:val="en-US"/>
              </w:rPr>
              <w:t>)butyl) succinate</w:t>
            </w:r>
          </w:p>
        </w:tc>
        <w:tc>
          <w:tcPr>
            <w:tcW w:w="907" w:type="pct"/>
            <w:shd w:val="clear" w:color="auto" w:fill="auto"/>
          </w:tcPr>
          <w:p w14:paraId="564A8F6C"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173, 155, 129, 101, 73, 55</w:t>
            </w:r>
          </w:p>
        </w:tc>
        <w:tc>
          <w:tcPr>
            <w:tcW w:w="417" w:type="pct"/>
            <w:shd w:val="clear" w:color="auto" w:fill="auto"/>
            <w:noWrap/>
            <w:hideMark/>
          </w:tcPr>
          <w:p w14:paraId="056D0FDC"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PBS</w:t>
            </w:r>
          </w:p>
        </w:tc>
        <w:tc>
          <w:tcPr>
            <w:tcW w:w="494" w:type="pct"/>
            <w:shd w:val="clear" w:color="auto" w:fill="auto"/>
            <w:noWrap/>
            <w:hideMark/>
          </w:tcPr>
          <w:p w14:paraId="4406146F"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384AB1ED"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417" w:type="pct"/>
            <w:shd w:val="clear" w:color="auto" w:fill="auto"/>
            <w:noWrap/>
            <w:hideMark/>
          </w:tcPr>
          <w:p w14:paraId="2498B581"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r>
      <w:tr w:rsidR="00121B6D" w:rsidRPr="00221CD5" w14:paraId="6E87EAE5"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3DBE45E5" w14:textId="77777777" w:rsidR="00221CD5" w:rsidRPr="00221CD5" w:rsidRDefault="00221CD5" w:rsidP="00F433A6">
            <w:pPr>
              <w:pStyle w:val="TCTableBody"/>
              <w:jc w:val="center"/>
            </w:pPr>
            <w:r w:rsidRPr="00221CD5">
              <w:lastRenderedPageBreak/>
              <w:t>19</w:t>
            </w:r>
          </w:p>
        </w:tc>
        <w:tc>
          <w:tcPr>
            <w:tcW w:w="2122" w:type="pct"/>
            <w:shd w:val="clear" w:color="auto" w:fill="auto"/>
            <w:noWrap/>
            <w:hideMark/>
          </w:tcPr>
          <w:p w14:paraId="478C3EE1"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pPr>
            <w:proofErr w:type="spellStart"/>
            <w:r w:rsidRPr="00221CD5">
              <w:t>Octadecenenitrile</w:t>
            </w:r>
            <w:proofErr w:type="spellEnd"/>
          </w:p>
        </w:tc>
        <w:tc>
          <w:tcPr>
            <w:tcW w:w="907" w:type="pct"/>
            <w:shd w:val="clear" w:color="auto" w:fill="auto"/>
          </w:tcPr>
          <w:p w14:paraId="6A550BA9"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262, 122, 83, 69, 55</w:t>
            </w:r>
          </w:p>
        </w:tc>
        <w:tc>
          <w:tcPr>
            <w:tcW w:w="417" w:type="pct"/>
            <w:shd w:val="clear" w:color="auto" w:fill="auto"/>
            <w:noWrap/>
            <w:hideMark/>
          </w:tcPr>
          <w:p w14:paraId="5BAD4F00"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w:t>
            </w:r>
          </w:p>
        </w:tc>
        <w:tc>
          <w:tcPr>
            <w:tcW w:w="494" w:type="pct"/>
            <w:shd w:val="clear" w:color="auto" w:fill="auto"/>
            <w:noWrap/>
            <w:hideMark/>
          </w:tcPr>
          <w:p w14:paraId="22BC8F77"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36D88140"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2AE356DB"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r>
      <w:tr w:rsidR="00121B6D" w:rsidRPr="00221CD5" w14:paraId="42BA54BF" w14:textId="77777777" w:rsidTr="00944463">
        <w:trPr>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6F4B3D23" w14:textId="77777777" w:rsidR="00221CD5" w:rsidRPr="00221CD5" w:rsidRDefault="00221CD5" w:rsidP="00F433A6">
            <w:pPr>
              <w:pStyle w:val="TCTableBody"/>
              <w:jc w:val="center"/>
            </w:pPr>
            <w:r w:rsidRPr="00221CD5">
              <w:t>20</w:t>
            </w:r>
          </w:p>
        </w:tc>
        <w:tc>
          <w:tcPr>
            <w:tcW w:w="2122" w:type="pct"/>
            <w:shd w:val="clear" w:color="auto" w:fill="auto"/>
            <w:noWrap/>
            <w:hideMark/>
          </w:tcPr>
          <w:p w14:paraId="347561ED" w14:textId="77777777" w:rsidR="00221CD5" w:rsidRPr="00221CD5" w:rsidRDefault="00221CD5" w:rsidP="00121B6D">
            <w:pPr>
              <w:pStyle w:val="TCTableBody"/>
              <w:jc w:val="left"/>
              <w:cnfStyle w:val="000000000000" w:firstRow="0" w:lastRow="0" w:firstColumn="0" w:lastColumn="0" w:oddVBand="0" w:evenVBand="0" w:oddHBand="0" w:evenHBand="0" w:firstRowFirstColumn="0" w:firstRowLastColumn="0" w:lastRowFirstColumn="0" w:lastRowLastColumn="0"/>
            </w:pPr>
            <w:r w:rsidRPr="00221CD5">
              <w:t xml:space="preserve">4-Hydroxybutyl (4-oxobutyl) </w:t>
            </w:r>
            <w:proofErr w:type="spellStart"/>
            <w:r w:rsidRPr="00221CD5">
              <w:t>succinate</w:t>
            </w:r>
            <w:proofErr w:type="spellEnd"/>
          </w:p>
        </w:tc>
        <w:tc>
          <w:tcPr>
            <w:tcW w:w="907" w:type="pct"/>
            <w:shd w:val="clear" w:color="auto" w:fill="auto"/>
          </w:tcPr>
          <w:p w14:paraId="163A7E78" w14:textId="77777777" w:rsidR="00221CD5" w:rsidRPr="00221CD5" w:rsidRDefault="00221CD5" w:rsidP="000B4562">
            <w:pPr>
              <w:pStyle w:val="TCTableBody"/>
              <w:cnfStyle w:val="000000000000" w:firstRow="0" w:lastRow="0" w:firstColumn="0" w:lastColumn="0" w:oddVBand="0" w:evenVBand="0" w:oddHBand="0" w:evenHBand="0" w:firstRowFirstColumn="0" w:firstRowLastColumn="0" w:lastRowFirstColumn="0" w:lastRowLastColumn="0"/>
            </w:pPr>
            <w:r w:rsidRPr="00221CD5">
              <w:t xml:space="preserve">173, 101, 73, 71, 55 </w:t>
            </w:r>
          </w:p>
        </w:tc>
        <w:tc>
          <w:tcPr>
            <w:tcW w:w="417" w:type="pct"/>
            <w:shd w:val="clear" w:color="auto" w:fill="auto"/>
            <w:noWrap/>
            <w:hideMark/>
          </w:tcPr>
          <w:p w14:paraId="5D126C00"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PBS</w:t>
            </w:r>
          </w:p>
        </w:tc>
        <w:tc>
          <w:tcPr>
            <w:tcW w:w="494" w:type="pct"/>
            <w:shd w:val="clear" w:color="auto" w:fill="auto"/>
            <w:noWrap/>
            <w:hideMark/>
          </w:tcPr>
          <w:p w14:paraId="26C634DC"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c>
          <w:tcPr>
            <w:tcW w:w="341" w:type="pct"/>
            <w:shd w:val="clear" w:color="auto" w:fill="auto"/>
            <w:noWrap/>
            <w:hideMark/>
          </w:tcPr>
          <w:p w14:paraId="1CE6B53D"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r w:rsidRPr="00221CD5">
              <w:t>x</w:t>
            </w:r>
          </w:p>
        </w:tc>
        <w:tc>
          <w:tcPr>
            <w:tcW w:w="417" w:type="pct"/>
            <w:shd w:val="clear" w:color="auto" w:fill="auto"/>
            <w:noWrap/>
            <w:hideMark/>
          </w:tcPr>
          <w:p w14:paraId="59C3AC6A" w14:textId="77777777" w:rsidR="00221CD5" w:rsidRPr="00221CD5" w:rsidRDefault="00221CD5" w:rsidP="00121B6D">
            <w:pPr>
              <w:pStyle w:val="TCTableBody"/>
              <w:jc w:val="center"/>
              <w:cnfStyle w:val="000000000000" w:firstRow="0" w:lastRow="0" w:firstColumn="0" w:lastColumn="0" w:oddVBand="0" w:evenVBand="0" w:oddHBand="0" w:evenHBand="0" w:firstRowFirstColumn="0" w:firstRowLastColumn="0" w:lastRowFirstColumn="0" w:lastRowLastColumn="0"/>
            </w:pPr>
          </w:p>
        </w:tc>
      </w:tr>
      <w:tr w:rsidR="00121B6D" w:rsidRPr="00221CD5" w14:paraId="6A501919" w14:textId="77777777" w:rsidTr="0094446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2" w:type="pct"/>
            <w:shd w:val="clear" w:color="auto" w:fill="auto"/>
            <w:noWrap/>
          </w:tcPr>
          <w:p w14:paraId="0151EEFE" w14:textId="77777777" w:rsidR="00221CD5" w:rsidRPr="00221CD5" w:rsidRDefault="00221CD5" w:rsidP="00F433A6">
            <w:pPr>
              <w:pStyle w:val="TCTableBody"/>
              <w:jc w:val="center"/>
            </w:pPr>
            <w:r w:rsidRPr="00221CD5">
              <w:t>21</w:t>
            </w:r>
          </w:p>
        </w:tc>
        <w:tc>
          <w:tcPr>
            <w:tcW w:w="2122" w:type="pct"/>
            <w:shd w:val="clear" w:color="auto" w:fill="auto"/>
            <w:noWrap/>
            <w:hideMark/>
          </w:tcPr>
          <w:p w14:paraId="3F4A4450" w14:textId="77777777" w:rsidR="00221CD5" w:rsidRPr="00221CD5" w:rsidRDefault="00221CD5" w:rsidP="00121B6D">
            <w:pPr>
              <w:pStyle w:val="TCTableBody"/>
              <w:jc w:val="left"/>
              <w:cnfStyle w:val="000000100000" w:firstRow="0" w:lastRow="0" w:firstColumn="0" w:lastColumn="0" w:oddVBand="0" w:evenVBand="0" w:oddHBand="1" w:evenHBand="0" w:firstRowFirstColumn="0" w:firstRowLastColumn="0" w:lastRowFirstColumn="0" w:lastRowLastColumn="0"/>
              <w:rPr>
                <w:lang w:val="en-US"/>
              </w:rPr>
            </w:pPr>
            <w:r w:rsidRPr="00221CD5">
              <w:rPr>
                <w:lang w:val="en-US"/>
              </w:rPr>
              <w:t>But-3-en-1-yloxy succinyl butyl succinic acid</w:t>
            </w:r>
          </w:p>
        </w:tc>
        <w:tc>
          <w:tcPr>
            <w:tcW w:w="907" w:type="pct"/>
            <w:shd w:val="clear" w:color="auto" w:fill="auto"/>
          </w:tcPr>
          <w:p w14:paraId="1F2B9A31" w14:textId="77777777" w:rsidR="00221CD5" w:rsidRPr="00221CD5" w:rsidRDefault="00221CD5" w:rsidP="000B4562">
            <w:pPr>
              <w:pStyle w:val="TCTableBody"/>
              <w:cnfStyle w:val="000000100000" w:firstRow="0" w:lastRow="0" w:firstColumn="0" w:lastColumn="0" w:oddVBand="0" w:evenVBand="0" w:oddHBand="1" w:evenHBand="0" w:firstRowFirstColumn="0" w:firstRowLastColumn="0" w:lastRowFirstColumn="0" w:lastRowLastColumn="0"/>
            </w:pPr>
            <w:r w:rsidRPr="00221CD5">
              <w:t>227, 173, 155, 101, 55</w:t>
            </w:r>
          </w:p>
        </w:tc>
        <w:tc>
          <w:tcPr>
            <w:tcW w:w="417" w:type="pct"/>
            <w:shd w:val="clear" w:color="auto" w:fill="auto"/>
            <w:noWrap/>
            <w:hideMark/>
          </w:tcPr>
          <w:p w14:paraId="66C702AB"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PBS</w:t>
            </w:r>
          </w:p>
        </w:tc>
        <w:tc>
          <w:tcPr>
            <w:tcW w:w="494" w:type="pct"/>
            <w:shd w:val="clear" w:color="auto" w:fill="auto"/>
            <w:noWrap/>
            <w:hideMark/>
          </w:tcPr>
          <w:p w14:paraId="7BBE5526"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c>
          <w:tcPr>
            <w:tcW w:w="341" w:type="pct"/>
            <w:shd w:val="clear" w:color="auto" w:fill="auto"/>
            <w:noWrap/>
            <w:hideMark/>
          </w:tcPr>
          <w:p w14:paraId="4FD59CBF"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r w:rsidRPr="00221CD5">
              <w:t>x</w:t>
            </w:r>
          </w:p>
        </w:tc>
        <w:tc>
          <w:tcPr>
            <w:tcW w:w="417" w:type="pct"/>
            <w:shd w:val="clear" w:color="auto" w:fill="auto"/>
            <w:noWrap/>
            <w:hideMark/>
          </w:tcPr>
          <w:p w14:paraId="50EB34A9" w14:textId="77777777" w:rsidR="00221CD5" w:rsidRPr="00221CD5" w:rsidRDefault="00221CD5" w:rsidP="00121B6D">
            <w:pPr>
              <w:pStyle w:val="TCTableBody"/>
              <w:jc w:val="center"/>
              <w:cnfStyle w:val="000000100000" w:firstRow="0" w:lastRow="0" w:firstColumn="0" w:lastColumn="0" w:oddVBand="0" w:evenVBand="0" w:oddHBand="1" w:evenHBand="0" w:firstRowFirstColumn="0" w:firstRowLastColumn="0" w:lastRowFirstColumn="0" w:lastRowLastColumn="0"/>
            </w:pPr>
          </w:p>
        </w:tc>
      </w:tr>
    </w:tbl>
    <w:p w14:paraId="1DDFCEE4" w14:textId="77777777" w:rsidR="00221CD5" w:rsidRPr="00221CD5" w:rsidRDefault="00221CD5" w:rsidP="00221CD5">
      <w:pPr>
        <w:pStyle w:val="TAMainText"/>
        <w:spacing w:after="240"/>
        <w:jc w:val="left"/>
      </w:pPr>
    </w:p>
    <w:p w14:paraId="55F55710" w14:textId="77777777" w:rsidR="00221CD5" w:rsidRPr="00221CD5" w:rsidRDefault="00221CD5" w:rsidP="00221CD5">
      <w:pPr>
        <w:pStyle w:val="TAMainText"/>
        <w:spacing w:after="240"/>
        <w:jc w:val="left"/>
        <w:rPr>
          <w:lang w:val="it-IT"/>
        </w:rPr>
      </w:pPr>
      <w:r w:rsidRPr="00221CD5">
        <w:rPr>
          <w:noProof/>
          <w:lang w:val="it-IT"/>
        </w:rPr>
        <w:lastRenderedPageBreak/>
        <w:drawing>
          <wp:inline distT="0" distB="0" distL="0" distR="0" wp14:anchorId="51A1E153" wp14:editId="002EC104">
            <wp:extent cx="3657600" cy="6840702"/>
            <wp:effectExtent l="0" t="0" r="0" b="0"/>
            <wp:docPr id="14087513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68254" cy="6860628"/>
                    </a:xfrm>
                    <a:prstGeom prst="rect">
                      <a:avLst/>
                    </a:prstGeom>
                    <a:noFill/>
                    <a:ln>
                      <a:noFill/>
                    </a:ln>
                  </pic:spPr>
                </pic:pic>
              </a:graphicData>
            </a:graphic>
          </wp:inline>
        </w:drawing>
      </w:r>
    </w:p>
    <w:p w14:paraId="4019DA6D" w14:textId="739D638F" w:rsidR="00221CD5" w:rsidRDefault="00221CD5" w:rsidP="000B4562">
      <w:pPr>
        <w:pStyle w:val="VAFigureCaption"/>
      </w:pPr>
      <w:bookmarkStart w:id="4" w:name="_Ref136941721"/>
      <w:r w:rsidRPr="00221CD5">
        <w:rPr>
          <w:b/>
          <w:bCs/>
        </w:rPr>
        <w:t xml:space="preserve">Figure </w:t>
      </w:r>
      <w:bookmarkEnd w:id="4"/>
      <w:r w:rsidRPr="00221CD5">
        <w:rPr>
          <w:b/>
          <w:bCs/>
        </w:rPr>
        <w:t>3</w:t>
      </w:r>
      <w:r w:rsidRPr="00221CD5">
        <w:rPr>
          <w:b/>
          <w:bCs/>
          <w:i/>
          <w:iCs/>
        </w:rPr>
        <w:t>.</w:t>
      </w:r>
      <w:r w:rsidRPr="00221CD5">
        <w:t xml:space="preserve"> </w:t>
      </w:r>
      <w:proofErr w:type="spellStart"/>
      <w:r w:rsidRPr="00221CD5">
        <w:t>Py</w:t>
      </w:r>
      <w:proofErr w:type="spellEnd"/>
      <w:r w:rsidRPr="00221CD5">
        <w:t xml:space="preserve">-GC/MS profiles of all untreated samples and the corresponding solid residues obtained after HT at 200 °C. Peaks of identified compounds are numbered according to </w:t>
      </w:r>
      <w:r w:rsidR="00971570">
        <w:t>Table 2</w:t>
      </w:r>
      <w:r w:rsidRPr="00221CD5">
        <w:t>.</w:t>
      </w:r>
    </w:p>
    <w:p w14:paraId="05D36F27" w14:textId="742D7326" w:rsidR="004D2BA9" w:rsidRDefault="00221CD5" w:rsidP="004D2BA9">
      <w:pPr>
        <w:pStyle w:val="TAMainText"/>
      </w:pPr>
      <w:r w:rsidRPr="00221CD5">
        <w:rPr>
          <w:b/>
          <w:bCs/>
        </w:rPr>
        <w:lastRenderedPageBreak/>
        <w:t xml:space="preserve">3.2. HT process yields. </w:t>
      </w:r>
      <w:r w:rsidR="00971570">
        <w:t>Table 3</w:t>
      </w:r>
      <w:r w:rsidRPr="00221CD5">
        <w:rPr>
          <w:i/>
          <w:iCs/>
        </w:rPr>
        <w:t xml:space="preserve"> </w:t>
      </w:r>
      <w:r w:rsidRPr="00221CD5">
        <w:t>reports the yields of the products from the HT. For all feedstocks, the SY decreases as the treatment temperature increase</w:t>
      </w:r>
      <w:r w:rsidR="00C63173">
        <w:t>s</w:t>
      </w:r>
      <w:r w:rsidRPr="00221CD5">
        <w:t>, while the LY and GY increase; this is a common consequence of HTs, as higher temperatures favor depolymerization and solubilization of biomass (in the present case, bioplastic) molecules. Nonetheless, each material behave</w:t>
      </w:r>
      <w:r w:rsidR="00C63173">
        <w:t>s</w:t>
      </w:r>
      <w:r w:rsidRPr="00221CD5">
        <w:t xml:space="preserve"> in a peculiar way. The HT of pure PLA produces a sticky solid residue at 160 °C, whereas at higher temperatures no solid material </w:t>
      </w:r>
      <w:r w:rsidR="00C63173">
        <w:t>is</w:t>
      </w:r>
      <w:r w:rsidRPr="00221CD5">
        <w:t xml:space="preserve"> recovered by filtration. Conversely, </w:t>
      </w:r>
      <w:proofErr w:type="spellStart"/>
      <w:r w:rsidRPr="00221CD5">
        <w:t>cPLA</w:t>
      </w:r>
      <w:proofErr w:type="spellEnd"/>
      <w:r w:rsidRPr="00221CD5">
        <w:t xml:space="preserve"> spoons always produce a white solid residue that tends to be easily suspended, and the slurry looks quite clear with a white or light-yellow shade. This difference may be caused by the presence of additives (inorganics, plasticizers…) and by the different crystallization degree in </w:t>
      </w:r>
      <w:proofErr w:type="spellStart"/>
      <w:r w:rsidRPr="00221CD5">
        <w:t>cPLA</w:t>
      </w:r>
      <w:proofErr w:type="spellEnd"/>
      <w:r w:rsidRPr="00221CD5">
        <w:t xml:space="preserve"> spoons. Nonetheless, also considering the presence of inorganic</w:t>
      </w:r>
      <w:r w:rsidR="00C63173">
        <w:t>s</w:t>
      </w:r>
      <w:r w:rsidRPr="00221CD5">
        <w:t xml:space="preserve">, the SY of </w:t>
      </w:r>
      <w:proofErr w:type="spellStart"/>
      <w:r w:rsidRPr="00221CD5">
        <w:t>cPLA</w:t>
      </w:r>
      <w:proofErr w:type="spellEnd"/>
      <w:r w:rsidRPr="00221CD5">
        <w:t xml:space="preserve"> at 160 °C is markedly lower than that of </w:t>
      </w:r>
      <w:proofErr w:type="spellStart"/>
      <w:r w:rsidR="00C63173">
        <w:t>p</w:t>
      </w:r>
      <w:r w:rsidRPr="00221CD5">
        <w:t>PLA</w:t>
      </w:r>
      <w:proofErr w:type="spellEnd"/>
      <w:r w:rsidRPr="00221CD5">
        <w:t>. This may imply that additives facilitate the thermal degradation of the product, i.e. the spoon, under the studied experimental conditions. For example, Luo et al.</w:t>
      </w:r>
      <w:r w:rsidRPr="00221CD5">
        <w:fldChar w:fldCharType="begin" w:fldLock="1"/>
      </w:r>
      <w:r w:rsidR="00842BA8">
        <w:instrText>ADDIN CSL_CITATION {"citationItems":[{"id":"ITEM-1","itemData":{"DOI":"10.1016/j.polymdegradstab.2012.02.011","ISSN":"01413910","author":[{"dropping-particle":"","family":"Luo","given":"Yan-Bing","non-dropping-particle":"","parse-names":false,"suffix":""},{"dropping-particle":"","family":"Wang","given":"Xiu-Li","non-dropping-particle":"","parse-names":false,"suffix":""},{"dropping-particle":"","family":"Wang","given":"Yu-Zhong","non-dropping-particle":"","parse-names":false,"suffix":""}],"container-title":"Polymer Degradation and Stability","id":"ITEM-1","issue":"5","issued":{"date-parts":[["2012","5"]]},"page":"721-728","title":"Effect of TiO2 nanoparticles on the long-term hydrolytic degradation behavior of PLA","type":"article-journal","volume":"97"},"uris":["http://www.mendeley.com/documents/?uuid=c32081fa-04ed-4ca1-ad9d-8c490cc39202"]}],"mendeley":{"formattedCitation":"&lt;sup&gt;30&lt;/sup&gt;","plainTextFormattedCitation":"30","previouslyFormattedCitation":"&lt;sup&gt;30&lt;/sup&gt;"},"properties":{"noteIndex":0},"schema":"https://github.com/citation-style-language/schema/raw/master/csl-citation.json"}</w:instrText>
      </w:r>
      <w:r w:rsidRPr="00221CD5">
        <w:fldChar w:fldCharType="separate"/>
      </w:r>
      <w:r w:rsidR="00842BA8" w:rsidRPr="00842BA8">
        <w:rPr>
          <w:noProof/>
          <w:vertAlign w:val="superscript"/>
        </w:rPr>
        <w:t>30</w:t>
      </w:r>
      <w:r w:rsidRPr="00221CD5">
        <w:fldChar w:fldCharType="end"/>
      </w:r>
      <w:r w:rsidRPr="00221CD5">
        <w:t xml:space="preserve"> reported that the addition of TiO</w:t>
      </w:r>
      <w:r w:rsidRPr="00221CD5">
        <w:rPr>
          <w:vertAlign w:val="subscript"/>
        </w:rPr>
        <w:t>2</w:t>
      </w:r>
      <w:r w:rsidRPr="00221CD5">
        <w:t xml:space="preserve"> nanocomposites facilitates the hydrolysis of PLA, as they act as nucleation sites. </w:t>
      </w:r>
    </w:p>
    <w:p w14:paraId="1F29BB68" w14:textId="77777777" w:rsidR="004D2BA9" w:rsidRDefault="004D2BA9">
      <w:pPr>
        <w:spacing w:after="0"/>
        <w:jc w:val="left"/>
      </w:pPr>
      <w:r>
        <w:br w:type="page"/>
      </w:r>
    </w:p>
    <w:p w14:paraId="2CB78518" w14:textId="61A2B351" w:rsidR="00944463" w:rsidRPr="00221CD5" w:rsidRDefault="00944463" w:rsidP="00944463">
      <w:pPr>
        <w:pStyle w:val="VDTableTitle"/>
      </w:pPr>
      <w:bookmarkStart w:id="5" w:name="_Ref133940796"/>
      <w:r w:rsidRPr="00221CD5">
        <w:rPr>
          <w:b/>
          <w:bCs/>
        </w:rPr>
        <w:lastRenderedPageBreak/>
        <w:t xml:space="preserve">Table </w:t>
      </w:r>
      <w:bookmarkEnd w:id="5"/>
      <w:r w:rsidR="000F5503">
        <w:rPr>
          <w:b/>
          <w:bCs/>
        </w:rPr>
        <w:t>3</w:t>
      </w:r>
      <w:r w:rsidRPr="00221CD5">
        <w:rPr>
          <w:b/>
          <w:bCs/>
          <w:i/>
          <w:iCs/>
        </w:rPr>
        <w:t>.</w:t>
      </w:r>
      <w:r w:rsidRPr="00221CD5">
        <w:t xml:space="preserve"> HT products </w:t>
      </w:r>
      <w:proofErr w:type="gramStart"/>
      <w:r w:rsidRPr="00221CD5">
        <w:t>yields</w:t>
      </w:r>
      <w:proofErr w:type="gramEnd"/>
      <w:r w:rsidR="003B5B4C">
        <w:t xml:space="preserve"> for the various feedstocks and treatment temperatures, calculated as per Section 2.3. Each experiment was performed at least twice.</w:t>
      </w:r>
    </w:p>
    <w:tbl>
      <w:tblPr>
        <w:tblStyle w:val="Grigliatabella"/>
        <w:tblW w:w="0" w:type="auto"/>
        <w:tblLook w:val="04A0" w:firstRow="1" w:lastRow="0" w:firstColumn="1" w:lastColumn="0" w:noHBand="0" w:noVBand="1"/>
      </w:tblPr>
      <w:tblGrid>
        <w:gridCol w:w="1109"/>
        <w:gridCol w:w="2392"/>
        <w:gridCol w:w="1188"/>
        <w:gridCol w:w="1188"/>
        <w:gridCol w:w="1068"/>
      </w:tblGrid>
      <w:tr w:rsidR="00944463" w:rsidRPr="00221CD5" w14:paraId="0F5678C9" w14:textId="77777777" w:rsidTr="00115145">
        <w:trPr>
          <w:trHeight w:val="301"/>
        </w:trPr>
        <w:tc>
          <w:tcPr>
            <w:tcW w:w="0" w:type="auto"/>
            <w:vAlign w:val="center"/>
          </w:tcPr>
          <w:p w14:paraId="1779BF24" w14:textId="77777777" w:rsidR="00944463" w:rsidRPr="000B4562" w:rsidRDefault="00944463" w:rsidP="00115145">
            <w:pPr>
              <w:pStyle w:val="TCTableBody"/>
              <w:rPr>
                <w:b/>
                <w:bCs/>
              </w:rPr>
            </w:pPr>
            <w:r w:rsidRPr="000B4562">
              <w:rPr>
                <w:b/>
                <w:bCs/>
              </w:rPr>
              <w:t>Material</w:t>
            </w:r>
          </w:p>
        </w:tc>
        <w:tc>
          <w:tcPr>
            <w:tcW w:w="0" w:type="auto"/>
          </w:tcPr>
          <w:p w14:paraId="34A67E41" w14:textId="77777777" w:rsidR="00944463" w:rsidRPr="000B4562" w:rsidRDefault="00944463" w:rsidP="00115145">
            <w:pPr>
              <w:pStyle w:val="TCTableBody"/>
              <w:rPr>
                <w:b/>
                <w:bCs/>
              </w:rPr>
            </w:pPr>
            <w:r w:rsidRPr="000B4562">
              <w:rPr>
                <w:b/>
                <w:bCs/>
              </w:rPr>
              <w:t>HT temperature (°C)</w:t>
            </w:r>
          </w:p>
        </w:tc>
        <w:tc>
          <w:tcPr>
            <w:tcW w:w="0" w:type="auto"/>
            <w:vAlign w:val="center"/>
          </w:tcPr>
          <w:p w14:paraId="72464399" w14:textId="77777777" w:rsidR="00944463" w:rsidRPr="000B4562" w:rsidRDefault="00944463" w:rsidP="00115145">
            <w:pPr>
              <w:pStyle w:val="TCTableBody"/>
              <w:rPr>
                <w:b/>
                <w:bCs/>
              </w:rPr>
            </w:pPr>
            <w:r w:rsidRPr="000B4562">
              <w:rPr>
                <w:b/>
                <w:bCs/>
              </w:rPr>
              <w:t>SY (%)</w:t>
            </w:r>
          </w:p>
        </w:tc>
        <w:tc>
          <w:tcPr>
            <w:tcW w:w="0" w:type="auto"/>
            <w:vAlign w:val="center"/>
          </w:tcPr>
          <w:p w14:paraId="0C9C496F" w14:textId="77777777" w:rsidR="00944463" w:rsidRPr="000B4562" w:rsidRDefault="00944463" w:rsidP="00115145">
            <w:pPr>
              <w:pStyle w:val="TCTableBody"/>
              <w:rPr>
                <w:b/>
                <w:bCs/>
              </w:rPr>
            </w:pPr>
            <w:r w:rsidRPr="000B4562">
              <w:rPr>
                <w:b/>
                <w:bCs/>
              </w:rPr>
              <w:t>LY (%)</w:t>
            </w:r>
          </w:p>
        </w:tc>
        <w:tc>
          <w:tcPr>
            <w:tcW w:w="0" w:type="auto"/>
            <w:vAlign w:val="center"/>
          </w:tcPr>
          <w:p w14:paraId="62B9DCBF" w14:textId="77777777" w:rsidR="00944463" w:rsidRPr="000B4562" w:rsidRDefault="00944463" w:rsidP="00115145">
            <w:pPr>
              <w:pStyle w:val="TCTableBody"/>
              <w:rPr>
                <w:b/>
                <w:bCs/>
              </w:rPr>
            </w:pPr>
            <w:r w:rsidRPr="000B4562">
              <w:rPr>
                <w:b/>
                <w:bCs/>
              </w:rPr>
              <w:t>GY (%)</w:t>
            </w:r>
          </w:p>
        </w:tc>
      </w:tr>
      <w:tr w:rsidR="00944463" w:rsidRPr="00221CD5" w14:paraId="28CBF33A" w14:textId="77777777" w:rsidTr="00115145">
        <w:trPr>
          <w:trHeight w:val="301"/>
        </w:trPr>
        <w:tc>
          <w:tcPr>
            <w:tcW w:w="0" w:type="auto"/>
            <w:vMerge w:val="restart"/>
            <w:vAlign w:val="center"/>
          </w:tcPr>
          <w:p w14:paraId="036471FE" w14:textId="77777777" w:rsidR="00944463" w:rsidRPr="000B4562" w:rsidRDefault="00944463" w:rsidP="00115145">
            <w:pPr>
              <w:pStyle w:val="TCTableBody"/>
              <w:rPr>
                <w:b/>
                <w:bCs/>
              </w:rPr>
            </w:pPr>
            <w:proofErr w:type="spellStart"/>
            <w:r w:rsidRPr="000B4562">
              <w:rPr>
                <w:b/>
                <w:bCs/>
              </w:rPr>
              <w:t>pPLA</w:t>
            </w:r>
            <w:proofErr w:type="spellEnd"/>
          </w:p>
        </w:tc>
        <w:tc>
          <w:tcPr>
            <w:tcW w:w="0" w:type="auto"/>
          </w:tcPr>
          <w:p w14:paraId="3F75CEE0" w14:textId="77777777" w:rsidR="00944463" w:rsidRPr="00221CD5" w:rsidRDefault="00944463" w:rsidP="00115145">
            <w:pPr>
              <w:pStyle w:val="TCTableBody"/>
            </w:pPr>
            <w:r w:rsidRPr="00221CD5">
              <w:t>160</w:t>
            </w:r>
          </w:p>
        </w:tc>
        <w:tc>
          <w:tcPr>
            <w:tcW w:w="0" w:type="auto"/>
            <w:vAlign w:val="center"/>
          </w:tcPr>
          <w:p w14:paraId="258E4AA8" w14:textId="77777777" w:rsidR="00944463" w:rsidRPr="00221CD5" w:rsidRDefault="00944463" w:rsidP="00115145">
            <w:pPr>
              <w:pStyle w:val="TCTableBody"/>
            </w:pPr>
            <w:r w:rsidRPr="00221CD5">
              <w:t>61.9 ± 0.7</w:t>
            </w:r>
          </w:p>
        </w:tc>
        <w:tc>
          <w:tcPr>
            <w:tcW w:w="0" w:type="auto"/>
            <w:vAlign w:val="center"/>
          </w:tcPr>
          <w:p w14:paraId="5ED2DC5B" w14:textId="77777777" w:rsidR="00944463" w:rsidRPr="00221CD5" w:rsidRDefault="00944463" w:rsidP="00115145">
            <w:pPr>
              <w:pStyle w:val="TCTableBody"/>
            </w:pPr>
            <w:r w:rsidRPr="00221CD5">
              <w:t>37.6 ± 0.9</w:t>
            </w:r>
          </w:p>
        </w:tc>
        <w:tc>
          <w:tcPr>
            <w:tcW w:w="0" w:type="auto"/>
            <w:vAlign w:val="center"/>
          </w:tcPr>
          <w:p w14:paraId="5A5C7A48" w14:textId="77777777" w:rsidR="00944463" w:rsidRPr="00221CD5" w:rsidRDefault="00944463" w:rsidP="00115145">
            <w:pPr>
              <w:pStyle w:val="TCTableBody"/>
            </w:pPr>
            <w:r w:rsidRPr="00221CD5">
              <w:t>0.5 ± 0.3</w:t>
            </w:r>
          </w:p>
        </w:tc>
      </w:tr>
      <w:tr w:rsidR="00944463" w:rsidRPr="00221CD5" w14:paraId="17187870" w14:textId="77777777" w:rsidTr="00115145">
        <w:trPr>
          <w:trHeight w:val="301"/>
        </w:trPr>
        <w:tc>
          <w:tcPr>
            <w:tcW w:w="0" w:type="auto"/>
            <w:vMerge/>
            <w:vAlign w:val="center"/>
          </w:tcPr>
          <w:p w14:paraId="333EAE18" w14:textId="77777777" w:rsidR="00944463" w:rsidRPr="000B4562" w:rsidRDefault="00944463" w:rsidP="00115145">
            <w:pPr>
              <w:pStyle w:val="TCTableBody"/>
              <w:rPr>
                <w:b/>
                <w:bCs/>
              </w:rPr>
            </w:pPr>
          </w:p>
        </w:tc>
        <w:tc>
          <w:tcPr>
            <w:tcW w:w="0" w:type="auto"/>
          </w:tcPr>
          <w:p w14:paraId="06A9A723" w14:textId="77777777" w:rsidR="00944463" w:rsidRPr="00221CD5" w:rsidRDefault="00944463" w:rsidP="00115145">
            <w:pPr>
              <w:pStyle w:val="TCTableBody"/>
            </w:pPr>
            <w:r w:rsidRPr="00221CD5">
              <w:t>180</w:t>
            </w:r>
          </w:p>
        </w:tc>
        <w:tc>
          <w:tcPr>
            <w:tcW w:w="0" w:type="auto"/>
            <w:vAlign w:val="center"/>
          </w:tcPr>
          <w:p w14:paraId="357DAA14" w14:textId="77777777" w:rsidR="00944463" w:rsidRPr="00221CD5" w:rsidRDefault="00944463" w:rsidP="00115145">
            <w:pPr>
              <w:pStyle w:val="TCTableBody"/>
            </w:pPr>
            <w:r w:rsidRPr="00221CD5">
              <w:t>0.0</w:t>
            </w:r>
          </w:p>
        </w:tc>
        <w:tc>
          <w:tcPr>
            <w:tcW w:w="0" w:type="auto"/>
            <w:vAlign w:val="center"/>
          </w:tcPr>
          <w:p w14:paraId="30F29C3B" w14:textId="77777777" w:rsidR="00944463" w:rsidRPr="00221CD5" w:rsidRDefault="00944463" w:rsidP="00115145">
            <w:pPr>
              <w:pStyle w:val="TCTableBody"/>
            </w:pPr>
            <w:r w:rsidRPr="00221CD5">
              <w:t>99.4 ± 0.2</w:t>
            </w:r>
          </w:p>
        </w:tc>
        <w:tc>
          <w:tcPr>
            <w:tcW w:w="0" w:type="auto"/>
            <w:vAlign w:val="center"/>
          </w:tcPr>
          <w:p w14:paraId="66604A8A" w14:textId="77777777" w:rsidR="00944463" w:rsidRPr="00221CD5" w:rsidRDefault="00944463" w:rsidP="00115145">
            <w:pPr>
              <w:pStyle w:val="TCTableBody"/>
            </w:pPr>
            <w:r w:rsidRPr="00221CD5">
              <w:t>0.6 ± 0.2</w:t>
            </w:r>
          </w:p>
        </w:tc>
      </w:tr>
      <w:tr w:rsidR="00944463" w:rsidRPr="00221CD5" w14:paraId="08518F60" w14:textId="77777777" w:rsidTr="00115145">
        <w:trPr>
          <w:trHeight w:val="301"/>
        </w:trPr>
        <w:tc>
          <w:tcPr>
            <w:tcW w:w="0" w:type="auto"/>
            <w:vMerge/>
            <w:vAlign w:val="center"/>
          </w:tcPr>
          <w:p w14:paraId="20D10E2C" w14:textId="77777777" w:rsidR="00944463" w:rsidRPr="000B4562" w:rsidRDefault="00944463" w:rsidP="00115145">
            <w:pPr>
              <w:pStyle w:val="TCTableBody"/>
              <w:rPr>
                <w:b/>
                <w:bCs/>
              </w:rPr>
            </w:pPr>
          </w:p>
        </w:tc>
        <w:tc>
          <w:tcPr>
            <w:tcW w:w="0" w:type="auto"/>
          </w:tcPr>
          <w:p w14:paraId="0F196B47" w14:textId="77777777" w:rsidR="00944463" w:rsidRPr="00221CD5" w:rsidRDefault="00944463" w:rsidP="00115145">
            <w:pPr>
              <w:pStyle w:val="TCTableBody"/>
            </w:pPr>
            <w:r w:rsidRPr="00221CD5">
              <w:t>200</w:t>
            </w:r>
          </w:p>
        </w:tc>
        <w:tc>
          <w:tcPr>
            <w:tcW w:w="0" w:type="auto"/>
            <w:vAlign w:val="center"/>
          </w:tcPr>
          <w:p w14:paraId="5D354C99" w14:textId="77777777" w:rsidR="00944463" w:rsidRPr="00221CD5" w:rsidRDefault="00944463" w:rsidP="00115145">
            <w:pPr>
              <w:pStyle w:val="TCTableBody"/>
            </w:pPr>
            <w:r w:rsidRPr="00221CD5">
              <w:t>0.0</w:t>
            </w:r>
          </w:p>
        </w:tc>
        <w:tc>
          <w:tcPr>
            <w:tcW w:w="0" w:type="auto"/>
            <w:vAlign w:val="center"/>
          </w:tcPr>
          <w:p w14:paraId="60C86033" w14:textId="77777777" w:rsidR="00944463" w:rsidRPr="00221CD5" w:rsidRDefault="00944463" w:rsidP="00115145">
            <w:pPr>
              <w:pStyle w:val="TCTableBody"/>
            </w:pPr>
            <w:r w:rsidRPr="00221CD5">
              <w:t>98.9 ± 0.1</w:t>
            </w:r>
          </w:p>
        </w:tc>
        <w:tc>
          <w:tcPr>
            <w:tcW w:w="0" w:type="auto"/>
            <w:vAlign w:val="center"/>
          </w:tcPr>
          <w:p w14:paraId="021F5D79" w14:textId="77777777" w:rsidR="00944463" w:rsidRPr="00221CD5" w:rsidRDefault="00944463" w:rsidP="00115145">
            <w:pPr>
              <w:pStyle w:val="TCTableBody"/>
            </w:pPr>
            <w:r w:rsidRPr="00221CD5">
              <w:t>1.1 ± 0.1</w:t>
            </w:r>
          </w:p>
        </w:tc>
      </w:tr>
      <w:tr w:rsidR="00944463" w:rsidRPr="00221CD5" w14:paraId="0DBA3F33" w14:textId="77777777" w:rsidTr="00115145">
        <w:trPr>
          <w:trHeight w:val="284"/>
        </w:trPr>
        <w:tc>
          <w:tcPr>
            <w:tcW w:w="0" w:type="auto"/>
            <w:vMerge w:val="restart"/>
            <w:vAlign w:val="center"/>
          </w:tcPr>
          <w:p w14:paraId="3BF613FE" w14:textId="77777777" w:rsidR="00944463" w:rsidRPr="000B4562" w:rsidRDefault="00944463" w:rsidP="00115145">
            <w:pPr>
              <w:pStyle w:val="TCTableBody"/>
              <w:rPr>
                <w:b/>
                <w:bCs/>
              </w:rPr>
            </w:pPr>
            <w:proofErr w:type="spellStart"/>
            <w:r w:rsidRPr="000B4562">
              <w:rPr>
                <w:b/>
                <w:bCs/>
              </w:rPr>
              <w:t>cPLA</w:t>
            </w:r>
            <w:proofErr w:type="spellEnd"/>
          </w:p>
        </w:tc>
        <w:tc>
          <w:tcPr>
            <w:tcW w:w="0" w:type="auto"/>
          </w:tcPr>
          <w:p w14:paraId="6A69D7FF" w14:textId="77777777" w:rsidR="00944463" w:rsidRPr="00221CD5" w:rsidRDefault="00944463" w:rsidP="00115145">
            <w:pPr>
              <w:pStyle w:val="TCTableBody"/>
            </w:pPr>
            <w:r w:rsidRPr="00221CD5">
              <w:t>160</w:t>
            </w:r>
          </w:p>
        </w:tc>
        <w:tc>
          <w:tcPr>
            <w:tcW w:w="0" w:type="auto"/>
          </w:tcPr>
          <w:p w14:paraId="79902F4B" w14:textId="77777777" w:rsidR="00944463" w:rsidRPr="00221CD5" w:rsidRDefault="00944463" w:rsidP="00115145">
            <w:pPr>
              <w:pStyle w:val="TCTableBody"/>
            </w:pPr>
            <w:r w:rsidRPr="00221CD5">
              <w:t>45.9 ± 8.5</w:t>
            </w:r>
          </w:p>
        </w:tc>
        <w:tc>
          <w:tcPr>
            <w:tcW w:w="0" w:type="auto"/>
          </w:tcPr>
          <w:p w14:paraId="2B735266" w14:textId="77777777" w:rsidR="00944463" w:rsidRPr="00221CD5" w:rsidRDefault="00944463" w:rsidP="00115145">
            <w:pPr>
              <w:pStyle w:val="TCTableBody"/>
            </w:pPr>
            <w:r w:rsidRPr="00221CD5">
              <w:t>53.4 ± 8.5</w:t>
            </w:r>
          </w:p>
        </w:tc>
        <w:tc>
          <w:tcPr>
            <w:tcW w:w="0" w:type="auto"/>
            <w:vAlign w:val="center"/>
          </w:tcPr>
          <w:p w14:paraId="022CDA2A" w14:textId="77777777" w:rsidR="00944463" w:rsidRPr="00221CD5" w:rsidRDefault="00944463" w:rsidP="00115145">
            <w:pPr>
              <w:pStyle w:val="TCTableBody"/>
            </w:pPr>
            <w:r w:rsidRPr="00221CD5">
              <w:t>0.9 ± 0.3</w:t>
            </w:r>
          </w:p>
        </w:tc>
      </w:tr>
      <w:tr w:rsidR="00944463" w:rsidRPr="00221CD5" w14:paraId="29CDAEB3" w14:textId="77777777" w:rsidTr="00115145">
        <w:trPr>
          <w:trHeight w:val="301"/>
        </w:trPr>
        <w:tc>
          <w:tcPr>
            <w:tcW w:w="0" w:type="auto"/>
            <w:vMerge/>
            <w:vAlign w:val="center"/>
          </w:tcPr>
          <w:p w14:paraId="3D173503" w14:textId="77777777" w:rsidR="00944463" w:rsidRPr="000B4562" w:rsidRDefault="00944463" w:rsidP="00115145">
            <w:pPr>
              <w:pStyle w:val="TCTableBody"/>
              <w:rPr>
                <w:b/>
                <w:bCs/>
              </w:rPr>
            </w:pPr>
          </w:p>
        </w:tc>
        <w:tc>
          <w:tcPr>
            <w:tcW w:w="0" w:type="auto"/>
          </w:tcPr>
          <w:p w14:paraId="3E598862" w14:textId="77777777" w:rsidR="00944463" w:rsidRPr="00221CD5" w:rsidRDefault="00944463" w:rsidP="00115145">
            <w:pPr>
              <w:pStyle w:val="TCTableBody"/>
            </w:pPr>
            <w:r w:rsidRPr="00221CD5">
              <w:t>180</w:t>
            </w:r>
          </w:p>
        </w:tc>
        <w:tc>
          <w:tcPr>
            <w:tcW w:w="0" w:type="auto"/>
          </w:tcPr>
          <w:p w14:paraId="0BD1FEB5" w14:textId="77777777" w:rsidR="00944463" w:rsidRPr="00221CD5" w:rsidRDefault="00944463" w:rsidP="00115145">
            <w:pPr>
              <w:pStyle w:val="TCTableBody"/>
            </w:pPr>
            <w:r w:rsidRPr="00221CD5">
              <w:t>30.6 ± 2.2</w:t>
            </w:r>
          </w:p>
        </w:tc>
        <w:tc>
          <w:tcPr>
            <w:tcW w:w="0" w:type="auto"/>
          </w:tcPr>
          <w:p w14:paraId="122516D6" w14:textId="77777777" w:rsidR="00944463" w:rsidRPr="00221CD5" w:rsidRDefault="00944463" w:rsidP="00115145">
            <w:pPr>
              <w:pStyle w:val="TCTableBody"/>
            </w:pPr>
            <w:r w:rsidRPr="00221CD5">
              <w:t>68.7 ± 2.2</w:t>
            </w:r>
          </w:p>
        </w:tc>
        <w:tc>
          <w:tcPr>
            <w:tcW w:w="0" w:type="auto"/>
            <w:vAlign w:val="center"/>
          </w:tcPr>
          <w:p w14:paraId="33E9C23F" w14:textId="77777777" w:rsidR="00944463" w:rsidRPr="00221CD5" w:rsidRDefault="00944463" w:rsidP="00115145">
            <w:pPr>
              <w:pStyle w:val="TCTableBody"/>
            </w:pPr>
            <w:r w:rsidRPr="00221CD5">
              <w:t>0.8 ± 0.2</w:t>
            </w:r>
          </w:p>
        </w:tc>
      </w:tr>
      <w:tr w:rsidR="00944463" w:rsidRPr="00221CD5" w14:paraId="039290E0" w14:textId="77777777" w:rsidTr="00115145">
        <w:trPr>
          <w:trHeight w:val="284"/>
        </w:trPr>
        <w:tc>
          <w:tcPr>
            <w:tcW w:w="0" w:type="auto"/>
            <w:vMerge/>
            <w:vAlign w:val="center"/>
          </w:tcPr>
          <w:p w14:paraId="52B3CB43" w14:textId="77777777" w:rsidR="00944463" w:rsidRPr="000B4562" w:rsidRDefault="00944463" w:rsidP="00115145">
            <w:pPr>
              <w:pStyle w:val="TCTableBody"/>
              <w:rPr>
                <w:b/>
                <w:bCs/>
              </w:rPr>
            </w:pPr>
          </w:p>
        </w:tc>
        <w:tc>
          <w:tcPr>
            <w:tcW w:w="0" w:type="auto"/>
          </w:tcPr>
          <w:p w14:paraId="5689B90F" w14:textId="77777777" w:rsidR="00944463" w:rsidRPr="00221CD5" w:rsidRDefault="00944463" w:rsidP="00115145">
            <w:pPr>
              <w:pStyle w:val="TCTableBody"/>
            </w:pPr>
            <w:r w:rsidRPr="00221CD5">
              <w:t>200</w:t>
            </w:r>
          </w:p>
        </w:tc>
        <w:tc>
          <w:tcPr>
            <w:tcW w:w="0" w:type="auto"/>
          </w:tcPr>
          <w:p w14:paraId="7C8D479E" w14:textId="77777777" w:rsidR="00944463" w:rsidRPr="00221CD5" w:rsidRDefault="00944463" w:rsidP="00115145">
            <w:pPr>
              <w:pStyle w:val="TCTableBody"/>
            </w:pPr>
            <w:r w:rsidRPr="00221CD5">
              <w:t>29.2 ± 2.0</w:t>
            </w:r>
          </w:p>
        </w:tc>
        <w:tc>
          <w:tcPr>
            <w:tcW w:w="0" w:type="auto"/>
          </w:tcPr>
          <w:p w14:paraId="53016A10" w14:textId="77777777" w:rsidR="00944463" w:rsidRPr="00221CD5" w:rsidRDefault="00944463" w:rsidP="00115145">
            <w:pPr>
              <w:pStyle w:val="TCTableBody"/>
            </w:pPr>
            <w:r w:rsidRPr="00221CD5">
              <w:t>70.0 ± 1.8</w:t>
            </w:r>
          </w:p>
        </w:tc>
        <w:tc>
          <w:tcPr>
            <w:tcW w:w="0" w:type="auto"/>
            <w:vAlign w:val="center"/>
          </w:tcPr>
          <w:p w14:paraId="784ED6C7" w14:textId="77777777" w:rsidR="00944463" w:rsidRPr="00221CD5" w:rsidRDefault="00944463" w:rsidP="00115145">
            <w:pPr>
              <w:pStyle w:val="TCTableBody"/>
            </w:pPr>
            <w:r w:rsidRPr="00221CD5">
              <w:t>1.2 ± 0.8</w:t>
            </w:r>
          </w:p>
        </w:tc>
      </w:tr>
      <w:tr w:rsidR="00944463" w:rsidRPr="00221CD5" w14:paraId="47ED156C" w14:textId="77777777" w:rsidTr="00115145">
        <w:trPr>
          <w:trHeight w:val="301"/>
        </w:trPr>
        <w:tc>
          <w:tcPr>
            <w:tcW w:w="0" w:type="auto"/>
            <w:vMerge w:val="restart"/>
            <w:vAlign w:val="center"/>
          </w:tcPr>
          <w:p w14:paraId="28CC892A" w14:textId="77777777" w:rsidR="00944463" w:rsidRPr="000B4562" w:rsidRDefault="00944463" w:rsidP="00115145">
            <w:pPr>
              <w:pStyle w:val="TCTableBody"/>
              <w:rPr>
                <w:b/>
                <w:bCs/>
              </w:rPr>
            </w:pPr>
            <w:r w:rsidRPr="000B4562">
              <w:rPr>
                <w:b/>
                <w:bCs/>
              </w:rPr>
              <w:t>MB</w:t>
            </w:r>
          </w:p>
        </w:tc>
        <w:tc>
          <w:tcPr>
            <w:tcW w:w="0" w:type="auto"/>
          </w:tcPr>
          <w:p w14:paraId="49B6D50B" w14:textId="77777777" w:rsidR="00944463" w:rsidRPr="00221CD5" w:rsidRDefault="00944463" w:rsidP="00115145">
            <w:pPr>
              <w:pStyle w:val="TCTableBody"/>
            </w:pPr>
            <w:r w:rsidRPr="00221CD5">
              <w:t>160</w:t>
            </w:r>
          </w:p>
        </w:tc>
        <w:tc>
          <w:tcPr>
            <w:tcW w:w="0" w:type="auto"/>
          </w:tcPr>
          <w:p w14:paraId="0617D719" w14:textId="77777777" w:rsidR="00944463" w:rsidRPr="00221CD5" w:rsidRDefault="00944463" w:rsidP="00115145">
            <w:pPr>
              <w:pStyle w:val="TCTableBody"/>
            </w:pPr>
            <w:r w:rsidRPr="00221CD5">
              <w:t>78.8 ± 4.5</w:t>
            </w:r>
          </w:p>
        </w:tc>
        <w:tc>
          <w:tcPr>
            <w:tcW w:w="0" w:type="auto"/>
          </w:tcPr>
          <w:p w14:paraId="5BA3943A" w14:textId="77777777" w:rsidR="00944463" w:rsidRPr="00221CD5" w:rsidRDefault="00944463" w:rsidP="00115145">
            <w:pPr>
              <w:pStyle w:val="TCTableBody"/>
            </w:pPr>
            <w:r w:rsidRPr="00221CD5">
              <w:t>20.0 ± 5.1</w:t>
            </w:r>
          </w:p>
        </w:tc>
        <w:tc>
          <w:tcPr>
            <w:tcW w:w="0" w:type="auto"/>
            <w:vAlign w:val="center"/>
          </w:tcPr>
          <w:p w14:paraId="2D7A4D1D" w14:textId="77777777" w:rsidR="00944463" w:rsidRPr="00221CD5" w:rsidRDefault="00944463" w:rsidP="00115145">
            <w:pPr>
              <w:pStyle w:val="TCTableBody"/>
            </w:pPr>
            <w:r w:rsidRPr="00221CD5">
              <w:t>1.1 ± 0.4</w:t>
            </w:r>
          </w:p>
        </w:tc>
      </w:tr>
      <w:tr w:rsidR="00944463" w:rsidRPr="00221CD5" w14:paraId="7DA0CCB7" w14:textId="77777777" w:rsidTr="00115145">
        <w:trPr>
          <w:trHeight w:val="284"/>
        </w:trPr>
        <w:tc>
          <w:tcPr>
            <w:tcW w:w="0" w:type="auto"/>
            <w:vMerge/>
            <w:vAlign w:val="center"/>
          </w:tcPr>
          <w:p w14:paraId="6D5B9970" w14:textId="77777777" w:rsidR="00944463" w:rsidRPr="000B4562" w:rsidRDefault="00944463" w:rsidP="00115145">
            <w:pPr>
              <w:pStyle w:val="TCTableBody"/>
              <w:rPr>
                <w:b/>
                <w:bCs/>
              </w:rPr>
            </w:pPr>
          </w:p>
        </w:tc>
        <w:tc>
          <w:tcPr>
            <w:tcW w:w="0" w:type="auto"/>
          </w:tcPr>
          <w:p w14:paraId="6E1A4948" w14:textId="77777777" w:rsidR="00944463" w:rsidRPr="00221CD5" w:rsidRDefault="00944463" w:rsidP="00115145">
            <w:pPr>
              <w:pStyle w:val="TCTableBody"/>
            </w:pPr>
            <w:r w:rsidRPr="00221CD5">
              <w:t>180</w:t>
            </w:r>
          </w:p>
        </w:tc>
        <w:tc>
          <w:tcPr>
            <w:tcW w:w="0" w:type="auto"/>
          </w:tcPr>
          <w:p w14:paraId="017A4912" w14:textId="77777777" w:rsidR="00944463" w:rsidRPr="00221CD5" w:rsidRDefault="00944463" w:rsidP="00115145">
            <w:pPr>
              <w:pStyle w:val="TCTableBody"/>
            </w:pPr>
            <w:r w:rsidRPr="00221CD5">
              <w:t>27.9 ± 0.9</w:t>
            </w:r>
          </w:p>
        </w:tc>
        <w:tc>
          <w:tcPr>
            <w:tcW w:w="0" w:type="auto"/>
          </w:tcPr>
          <w:p w14:paraId="4B51D908" w14:textId="77777777" w:rsidR="00944463" w:rsidRPr="00221CD5" w:rsidRDefault="00944463" w:rsidP="00115145">
            <w:pPr>
              <w:pStyle w:val="TCTableBody"/>
            </w:pPr>
            <w:r w:rsidRPr="00221CD5">
              <w:t>71.5 ± 1.1</w:t>
            </w:r>
          </w:p>
        </w:tc>
        <w:tc>
          <w:tcPr>
            <w:tcW w:w="0" w:type="auto"/>
            <w:vAlign w:val="center"/>
          </w:tcPr>
          <w:p w14:paraId="1DFFE92B" w14:textId="77777777" w:rsidR="00944463" w:rsidRPr="00221CD5" w:rsidRDefault="00944463" w:rsidP="00115145">
            <w:pPr>
              <w:pStyle w:val="TCTableBody"/>
            </w:pPr>
            <w:r w:rsidRPr="00221CD5">
              <w:t>0.7 ± 0.1</w:t>
            </w:r>
          </w:p>
        </w:tc>
      </w:tr>
      <w:tr w:rsidR="00944463" w:rsidRPr="00221CD5" w14:paraId="5A2F3176" w14:textId="77777777" w:rsidTr="00115145">
        <w:trPr>
          <w:trHeight w:val="301"/>
        </w:trPr>
        <w:tc>
          <w:tcPr>
            <w:tcW w:w="0" w:type="auto"/>
            <w:vMerge/>
            <w:vAlign w:val="center"/>
          </w:tcPr>
          <w:p w14:paraId="1CDA8E3B" w14:textId="77777777" w:rsidR="00944463" w:rsidRPr="000B4562" w:rsidRDefault="00944463" w:rsidP="00115145">
            <w:pPr>
              <w:pStyle w:val="TCTableBody"/>
              <w:rPr>
                <w:b/>
                <w:bCs/>
              </w:rPr>
            </w:pPr>
          </w:p>
        </w:tc>
        <w:tc>
          <w:tcPr>
            <w:tcW w:w="0" w:type="auto"/>
          </w:tcPr>
          <w:p w14:paraId="078F29C1" w14:textId="77777777" w:rsidR="00944463" w:rsidRPr="00221CD5" w:rsidRDefault="00944463" w:rsidP="00115145">
            <w:pPr>
              <w:pStyle w:val="TCTableBody"/>
            </w:pPr>
            <w:r w:rsidRPr="00221CD5">
              <w:t>200</w:t>
            </w:r>
          </w:p>
        </w:tc>
        <w:tc>
          <w:tcPr>
            <w:tcW w:w="0" w:type="auto"/>
          </w:tcPr>
          <w:p w14:paraId="1A418D0F" w14:textId="77777777" w:rsidR="00944463" w:rsidRPr="00221CD5" w:rsidRDefault="00944463" w:rsidP="00115145">
            <w:pPr>
              <w:pStyle w:val="TCTableBody"/>
            </w:pPr>
            <w:r w:rsidRPr="00221CD5">
              <w:t>21.4 ± 0.6</w:t>
            </w:r>
          </w:p>
        </w:tc>
        <w:tc>
          <w:tcPr>
            <w:tcW w:w="0" w:type="auto"/>
          </w:tcPr>
          <w:p w14:paraId="5FCD37E9" w14:textId="77777777" w:rsidR="00944463" w:rsidRPr="00221CD5" w:rsidRDefault="00944463" w:rsidP="00115145">
            <w:pPr>
              <w:pStyle w:val="TCTableBody"/>
            </w:pPr>
            <w:r w:rsidRPr="00221CD5">
              <w:t>77.7 ± 0.5</w:t>
            </w:r>
          </w:p>
        </w:tc>
        <w:tc>
          <w:tcPr>
            <w:tcW w:w="0" w:type="auto"/>
            <w:vAlign w:val="center"/>
          </w:tcPr>
          <w:p w14:paraId="5EE6E013" w14:textId="77777777" w:rsidR="00944463" w:rsidRPr="00221CD5" w:rsidRDefault="00944463" w:rsidP="00115145">
            <w:pPr>
              <w:pStyle w:val="TCTableBody"/>
            </w:pPr>
            <w:r w:rsidRPr="00221CD5">
              <w:t>0.9 ± 0.1</w:t>
            </w:r>
          </w:p>
        </w:tc>
      </w:tr>
      <w:tr w:rsidR="00944463" w:rsidRPr="00221CD5" w14:paraId="7D981321" w14:textId="77777777" w:rsidTr="00115145">
        <w:trPr>
          <w:trHeight w:val="284"/>
        </w:trPr>
        <w:tc>
          <w:tcPr>
            <w:tcW w:w="0" w:type="auto"/>
            <w:vMerge w:val="restart"/>
            <w:vAlign w:val="center"/>
          </w:tcPr>
          <w:p w14:paraId="5F895FAC" w14:textId="77777777" w:rsidR="00944463" w:rsidRPr="000B4562" w:rsidRDefault="00944463" w:rsidP="00115145">
            <w:pPr>
              <w:pStyle w:val="TCTableBody"/>
              <w:rPr>
                <w:b/>
                <w:bCs/>
              </w:rPr>
            </w:pPr>
            <w:r w:rsidRPr="000B4562">
              <w:rPr>
                <w:b/>
                <w:bCs/>
              </w:rPr>
              <w:t>CELL</w:t>
            </w:r>
          </w:p>
        </w:tc>
        <w:tc>
          <w:tcPr>
            <w:tcW w:w="0" w:type="auto"/>
          </w:tcPr>
          <w:p w14:paraId="3428213A" w14:textId="77777777" w:rsidR="00944463" w:rsidRPr="00221CD5" w:rsidRDefault="00944463" w:rsidP="00115145">
            <w:pPr>
              <w:pStyle w:val="TCTableBody"/>
            </w:pPr>
            <w:r w:rsidRPr="00221CD5">
              <w:t>160</w:t>
            </w:r>
          </w:p>
        </w:tc>
        <w:tc>
          <w:tcPr>
            <w:tcW w:w="0" w:type="auto"/>
            <w:vAlign w:val="bottom"/>
          </w:tcPr>
          <w:p w14:paraId="028F7C73" w14:textId="77777777" w:rsidR="00944463" w:rsidRPr="00221CD5" w:rsidRDefault="00944463" w:rsidP="00115145">
            <w:pPr>
              <w:pStyle w:val="TCTableBody"/>
            </w:pPr>
            <w:r w:rsidRPr="00221CD5">
              <w:t>92.3 ± 0.9</w:t>
            </w:r>
          </w:p>
        </w:tc>
        <w:tc>
          <w:tcPr>
            <w:tcW w:w="0" w:type="auto"/>
          </w:tcPr>
          <w:p w14:paraId="55A5FB1A" w14:textId="77777777" w:rsidR="00944463" w:rsidRPr="00221CD5" w:rsidRDefault="00944463" w:rsidP="00115145">
            <w:pPr>
              <w:pStyle w:val="TCTableBody"/>
            </w:pPr>
            <w:r w:rsidRPr="00221CD5">
              <w:t>6.9 ± 0.9</w:t>
            </w:r>
          </w:p>
        </w:tc>
        <w:tc>
          <w:tcPr>
            <w:tcW w:w="0" w:type="auto"/>
            <w:vAlign w:val="center"/>
          </w:tcPr>
          <w:p w14:paraId="5B9EFE8B" w14:textId="77777777" w:rsidR="00944463" w:rsidRPr="00221CD5" w:rsidRDefault="00944463" w:rsidP="00115145">
            <w:pPr>
              <w:pStyle w:val="TCTableBody"/>
            </w:pPr>
            <w:r w:rsidRPr="00221CD5">
              <w:t>0.8 ± 0.1</w:t>
            </w:r>
          </w:p>
        </w:tc>
      </w:tr>
      <w:tr w:rsidR="00944463" w:rsidRPr="00221CD5" w14:paraId="7FCF1B7E" w14:textId="77777777" w:rsidTr="00115145">
        <w:trPr>
          <w:trHeight w:val="301"/>
        </w:trPr>
        <w:tc>
          <w:tcPr>
            <w:tcW w:w="0" w:type="auto"/>
            <w:vMerge/>
            <w:vAlign w:val="center"/>
          </w:tcPr>
          <w:p w14:paraId="4E22C3C3" w14:textId="77777777" w:rsidR="00944463" w:rsidRPr="000B4562" w:rsidRDefault="00944463" w:rsidP="00115145">
            <w:pPr>
              <w:pStyle w:val="TCTableBody"/>
              <w:rPr>
                <w:b/>
                <w:bCs/>
              </w:rPr>
            </w:pPr>
          </w:p>
        </w:tc>
        <w:tc>
          <w:tcPr>
            <w:tcW w:w="0" w:type="auto"/>
          </w:tcPr>
          <w:p w14:paraId="26BCE389" w14:textId="77777777" w:rsidR="00944463" w:rsidRPr="00221CD5" w:rsidRDefault="00944463" w:rsidP="00115145">
            <w:pPr>
              <w:pStyle w:val="TCTableBody"/>
            </w:pPr>
            <w:r w:rsidRPr="00221CD5">
              <w:t>180</w:t>
            </w:r>
          </w:p>
        </w:tc>
        <w:tc>
          <w:tcPr>
            <w:tcW w:w="0" w:type="auto"/>
            <w:vAlign w:val="bottom"/>
          </w:tcPr>
          <w:p w14:paraId="3771D47D" w14:textId="77777777" w:rsidR="00944463" w:rsidRPr="00221CD5" w:rsidRDefault="00944463" w:rsidP="00115145">
            <w:pPr>
              <w:pStyle w:val="TCTableBody"/>
            </w:pPr>
            <w:r w:rsidRPr="00221CD5">
              <w:t>86.3 ± 0.5</w:t>
            </w:r>
          </w:p>
        </w:tc>
        <w:tc>
          <w:tcPr>
            <w:tcW w:w="0" w:type="auto"/>
          </w:tcPr>
          <w:p w14:paraId="24F19175" w14:textId="77777777" w:rsidR="00944463" w:rsidRPr="00221CD5" w:rsidRDefault="00944463" w:rsidP="00115145">
            <w:pPr>
              <w:pStyle w:val="TCTableBody"/>
            </w:pPr>
            <w:r w:rsidRPr="00221CD5">
              <w:t>12.9 ± 0.4</w:t>
            </w:r>
          </w:p>
        </w:tc>
        <w:tc>
          <w:tcPr>
            <w:tcW w:w="0" w:type="auto"/>
            <w:vAlign w:val="center"/>
          </w:tcPr>
          <w:p w14:paraId="62660B5F" w14:textId="77777777" w:rsidR="00944463" w:rsidRPr="00221CD5" w:rsidRDefault="00944463" w:rsidP="00115145">
            <w:pPr>
              <w:pStyle w:val="TCTableBody"/>
            </w:pPr>
            <w:r w:rsidRPr="00221CD5">
              <w:t>0.8 ± 0.1</w:t>
            </w:r>
          </w:p>
        </w:tc>
      </w:tr>
      <w:tr w:rsidR="00944463" w:rsidRPr="00221CD5" w14:paraId="24CFAA93" w14:textId="77777777" w:rsidTr="00115145">
        <w:trPr>
          <w:trHeight w:val="284"/>
        </w:trPr>
        <w:tc>
          <w:tcPr>
            <w:tcW w:w="0" w:type="auto"/>
            <w:vMerge/>
            <w:vAlign w:val="center"/>
          </w:tcPr>
          <w:p w14:paraId="475EA4C3" w14:textId="77777777" w:rsidR="00944463" w:rsidRPr="000B4562" w:rsidRDefault="00944463" w:rsidP="00115145">
            <w:pPr>
              <w:pStyle w:val="TCTableBody"/>
              <w:rPr>
                <w:b/>
                <w:bCs/>
              </w:rPr>
            </w:pPr>
          </w:p>
        </w:tc>
        <w:tc>
          <w:tcPr>
            <w:tcW w:w="0" w:type="auto"/>
          </w:tcPr>
          <w:p w14:paraId="14E3AD93" w14:textId="77777777" w:rsidR="00944463" w:rsidRPr="00221CD5" w:rsidRDefault="00944463" w:rsidP="00115145">
            <w:pPr>
              <w:pStyle w:val="TCTableBody"/>
            </w:pPr>
            <w:r w:rsidRPr="00221CD5">
              <w:t>200</w:t>
            </w:r>
          </w:p>
        </w:tc>
        <w:tc>
          <w:tcPr>
            <w:tcW w:w="0" w:type="auto"/>
            <w:vAlign w:val="bottom"/>
          </w:tcPr>
          <w:p w14:paraId="7D86A6FB" w14:textId="77777777" w:rsidR="00944463" w:rsidRPr="00221CD5" w:rsidRDefault="00944463" w:rsidP="00115145">
            <w:pPr>
              <w:pStyle w:val="TCTableBody"/>
            </w:pPr>
            <w:r w:rsidRPr="00221CD5">
              <w:t>74.9 ± 0.6</w:t>
            </w:r>
          </w:p>
        </w:tc>
        <w:tc>
          <w:tcPr>
            <w:tcW w:w="0" w:type="auto"/>
          </w:tcPr>
          <w:p w14:paraId="31C0EF6F" w14:textId="77777777" w:rsidR="00944463" w:rsidRPr="00221CD5" w:rsidRDefault="00944463" w:rsidP="00115145">
            <w:pPr>
              <w:pStyle w:val="TCTableBody"/>
            </w:pPr>
            <w:r w:rsidRPr="00221CD5">
              <w:t>23.4 ± 0.5</w:t>
            </w:r>
          </w:p>
        </w:tc>
        <w:tc>
          <w:tcPr>
            <w:tcW w:w="0" w:type="auto"/>
            <w:vAlign w:val="center"/>
          </w:tcPr>
          <w:p w14:paraId="51AE3FBA" w14:textId="77777777" w:rsidR="00944463" w:rsidRPr="00221CD5" w:rsidRDefault="00944463" w:rsidP="00115145">
            <w:pPr>
              <w:pStyle w:val="TCTableBody"/>
            </w:pPr>
            <w:r w:rsidRPr="00221CD5">
              <w:t>1.7± 0.1</w:t>
            </w:r>
          </w:p>
        </w:tc>
      </w:tr>
      <w:tr w:rsidR="00944463" w:rsidRPr="00221CD5" w14:paraId="400D7BB1" w14:textId="77777777" w:rsidTr="00115145">
        <w:trPr>
          <w:trHeight w:val="301"/>
        </w:trPr>
        <w:tc>
          <w:tcPr>
            <w:tcW w:w="0" w:type="auto"/>
            <w:vMerge w:val="restart"/>
            <w:vAlign w:val="center"/>
          </w:tcPr>
          <w:p w14:paraId="4DCF8160" w14:textId="77777777" w:rsidR="00944463" w:rsidRPr="000B4562" w:rsidRDefault="00944463" w:rsidP="00115145">
            <w:pPr>
              <w:pStyle w:val="TCTableBody"/>
              <w:rPr>
                <w:b/>
                <w:bCs/>
              </w:rPr>
            </w:pPr>
            <w:r w:rsidRPr="000B4562">
              <w:rPr>
                <w:b/>
                <w:bCs/>
              </w:rPr>
              <w:t>MIX</w:t>
            </w:r>
          </w:p>
        </w:tc>
        <w:tc>
          <w:tcPr>
            <w:tcW w:w="0" w:type="auto"/>
          </w:tcPr>
          <w:p w14:paraId="2CA30DA7" w14:textId="77777777" w:rsidR="00944463" w:rsidRPr="00221CD5" w:rsidRDefault="00944463" w:rsidP="00115145">
            <w:pPr>
              <w:pStyle w:val="TCTableBody"/>
            </w:pPr>
            <w:r w:rsidRPr="00221CD5">
              <w:t>160</w:t>
            </w:r>
          </w:p>
        </w:tc>
        <w:tc>
          <w:tcPr>
            <w:tcW w:w="0" w:type="auto"/>
            <w:vAlign w:val="bottom"/>
          </w:tcPr>
          <w:p w14:paraId="064F87FA" w14:textId="77777777" w:rsidR="00944463" w:rsidRPr="00221CD5" w:rsidRDefault="00944463" w:rsidP="00115145">
            <w:pPr>
              <w:pStyle w:val="TCTableBody"/>
            </w:pPr>
            <w:r w:rsidRPr="00221CD5">
              <w:t>69.3 ± 2.3</w:t>
            </w:r>
          </w:p>
        </w:tc>
        <w:tc>
          <w:tcPr>
            <w:tcW w:w="0" w:type="auto"/>
          </w:tcPr>
          <w:p w14:paraId="34204029" w14:textId="77777777" w:rsidR="00944463" w:rsidRPr="00221CD5" w:rsidRDefault="00944463" w:rsidP="00115145">
            <w:pPr>
              <w:pStyle w:val="TCTableBody"/>
            </w:pPr>
            <w:r w:rsidRPr="00221CD5">
              <w:t>29.8 ± 1.9</w:t>
            </w:r>
          </w:p>
        </w:tc>
        <w:tc>
          <w:tcPr>
            <w:tcW w:w="0" w:type="auto"/>
            <w:vAlign w:val="center"/>
          </w:tcPr>
          <w:p w14:paraId="544A4387" w14:textId="77777777" w:rsidR="00944463" w:rsidRPr="00221CD5" w:rsidRDefault="00944463" w:rsidP="00115145">
            <w:pPr>
              <w:pStyle w:val="TCTableBody"/>
            </w:pPr>
            <w:r w:rsidRPr="00221CD5">
              <w:t>0.9 ± 0.4</w:t>
            </w:r>
          </w:p>
        </w:tc>
      </w:tr>
      <w:tr w:rsidR="00944463" w:rsidRPr="00221CD5" w14:paraId="6B4E91E7" w14:textId="77777777" w:rsidTr="00115145">
        <w:trPr>
          <w:trHeight w:val="301"/>
        </w:trPr>
        <w:tc>
          <w:tcPr>
            <w:tcW w:w="0" w:type="auto"/>
            <w:vMerge/>
            <w:vAlign w:val="center"/>
          </w:tcPr>
          <w:p w14:paraId="604F137C" w14:textId="77777777" w:rsidR="00944463" w:rsidRPr="00221CD5" w:rsidRDefault="00944463" w:rsidP="00115145">
            <w:pPr>
              <w:pStyle w:val="TCTableBody"/>
            </w:pPr>
          </w:p>
        </w:tc>
        <w:tc>
          <w:tcPr>
            <w:tcW w:w="0" w:type="auto"/>
          </w:tcPr>
          <w:p w14:paraId="54AB6240" w14:textId="77777777" w:rsidR="00944463" w:rsidRPr="00221CD5" w:rsidRDefault="00944463" w:rsidP="00115145">
            <w:pPr>
              <w:pStyle w:val="TCTableBody"/>
            </w:pPr>
            <w:r w:rsidRPr="00221CD5">
              <w:t>180</w:t>
            </w:r>
          </w:p>
        </w:tc>
        <w:tc>
          <w:tcPr>
            <w:tcW w:w="0" w:type="auto"/>
            <w:vAlign w:val="bottom"/>
          </w:tcPr>
          <w:p w14:paraId="4DE501CC" w14:textId="77777777" w:rsidR="00944463" w:rsidRPr="00221CD5" w:rsidRDefault="00944463" w:rsidP="00115145">
            <w:pPr>
              <w:pStyle w:val="TCTableBody"/>
            </w:pPr>
            <w:r w:rsidRPr="00221CD5">
              <w:t>39.9 ± 9.7</w:t>
            </w:r>
          </w:p>
        </w:tc>
        <w:tc>
          <w:tcPr>
            <w:tcW w:w="0" w:type="auto"/>
          </w:tcPr>
          <w:p w14:paraId="6582D310" w14:textId="77777777" w:rsidR="00944463" w:rsidRPr="00221CD5" w:rsidRDefault="00944463" w:rsidP="00115145">
            <w:pPr>
              <w:pStyle w:val="TCTableBody"/>
            </w:pPr>
            <w:r w:rsidRPr="00221CD5">
              <w:t>59.0 ± 9.8</w:t>
            </w:r>
          </w:p>
        </w:tc>
        <w:tc>
          <w:tcPr>
            <w:tcW w:w="0" w:type="auto"/>
            <w:vAlign w:val="center"/>
          </w:tcPr>
          <w:p w14:paraId="66E7F27D" w14:textId="77777777" w:rsidR="00944463" w:rsidRPr="00221CD5" w:rsidRDefault="00944463" w:rsidP="00115145">
            <w:pPr>
              <w:pStyle w:val="TCTableBody"/>
            </w:pPr>
            <w:r w:rsidRPr="00221CD5">
              <w:t>1.2 ± 0.1</w:t>
            </w:r>
          </w:p>
        </w:tc>
      </w:tr>
      <w:tr w:rsidR="00944463" w:rsidRPr="00221CD5" w14:paraId="247E071C" w14:textId="77777777" w:rsidTr="00115145">
        <w:trPr>
          <w:trHeight w:val="284"/>
        </w:trPr>
        <w:tc>
          <w:tcPr>
            <w:tcW w:w="0" w:type="auto"/>
            <w:vMerge/>
            <w:vAlign w:val="center"/>
          </w:tcPr>
          <w:p w14:paraId="40404BB8" w14:textId="77777777" w:rsidR="00944463" w:rsidRPr="00221CD5" w:rsidRDefault="00944463" w:rsidP="00115145">
            <w:pPr>
              <w:pStyle w:val="TCTableBody"/>
            </w:pPr>
          </w:p>
        </w:tc>
        <w:tc>
          <w:tcPr>
            <w:tcW w:w="0" w:type="auto"/>
          </w:tcPr>
          <w:p w14:paraId="7DA5B4F8" w14:textId="77777777" w:rsidR="00944463" w:rsidRPr="00221CD5" w:rsidRDefault="00944463" w:rsidP="00115145">
            <w:pPr>
              <w:pStyle w:val="TCTableBody"/>
            </w:pPr>
            <w:r w:rsidRPr="00221CD5">
              <w:t>200</w:t>
            </w:r>
          </w:p>
        </w:tc>
        <w:tc>
          <w:tcPr>
            <w:tcW w:w="0" w:type="auto"/>
            <w:vAlign w:val="bottom"/>
          </w:tcPr>
          <w:p w14:paraId="591C9A35" w14:textId="77777777" w:rsidR="00944463" w:rsidRPr="00221CD5" w:rsidRDefault="00944463" w:rsidP="00115145">
            <w:pPr>
              <w:pStyle w:val="TCTableBody"/>
            </w:pPr>
            <w:r w:rsidRPr="00221CD5">
              <w:t>37.7 ± 4.1</w:t>
            </w:r>
          </w:p>
        </w:tc>
        <w:tc>
          <w:tcPr>
            <w:tcW w:w="0" w:type="auto"/>
          </w:tcPr>
          <w:p w14:paraId="3954D6DE" w14:textId="77777777" w:rsidR="00944463" w:rsidRPr="00221CD5" w:rsidRDefault="00944463" w:rsidP="00115145">
            <w:pPr>
              <w:pStyle w:val="TCTableBody"/>
            </w:pPr>
            <w:r w:rsidRPr="00221CD5">
              <w:t>60.9 ± 3.9</w:t>
            </w:r>
          </w:p>
        </w:tc>
        <w:tc>
          <w:tcPr>
            <w:tcW w:w="0" w:type="auto"/>
            <w:vAlign w:val="center"/>
          </w:tcPr>
          <w:p w14:paraId="06C3E6E8" w14:textId="77777777" w:rsidR="00944463" w:rsidRPr="00221CD5" w:rsidRDefault="00944463" w:rsidP="00115145">
            <w:pPr>
              <w:pStyle w:val="TCTableBody"/>
            </w:pPr>
            <w:r w:rsidRPr="00221CD5">
              <w:t>1.4 ± 0.1</w:t>
            </w:r>
          </w:p>
        </w:tc>
      </w:tr>
    </w:tbl>
    <w:p w14:paraId="327B560A" w14:textId="77777777" w:rsidR="00944463" w:rsidRPr="00221CD5" w:rsidRDefault="00944463" w:rsidP="00480CAD">
      <w:pPr>
        <w:pStyle w:val="TAMainText"/>
      </w:pPr>
    </w:p>
    <w:p w14:paraId="5F547968" w14:textId="3566841F" w:rsidR="00221CD5" w:rsidRPr="00221CD5" w:rsidRDefault="00221CD5" w:rsidP="00944463">
      <w:pPr>
        <w:pStyle w:val="TAMainText"/>
      </w:pPr>
      <w:r w:rsidRPr="00221CD5">
        <w:t>The MB fork</w:t>
      </w:r>
      <w:r w:rsidR="008E5541">
        <w:t>s</w:t>
      </w:r>
      <w:r w:rsidR="00CC135C">
        <w:t xml:space="preserve"> </w:t>
      </w:r>
      <w:r w:rsidRPr="00221CD5">
        <w:t xml:space="preserve">appear largely unaltered after HT at 160 °C, while at 180 and 200 °C their behavior is quite similar to that of </w:t>
      </w:r>
      <w:proofErr w:type="spellStart"/>
      <w:r w:rsidRPr="00221CD5">
        <w:t>cPLA</w:t>
      </w:r>
      <w:proofErr w:type="spellEnd"/>
      <w:r w:rsidRPr="00221CD5">
        <w:t xml:space="preserve">, with the production of an </w:t>
      </w:r>
      <w:proofErr w:type="gramStart"/>
      <w:r w:rsidRPr="00221CD5">
        <w:t>easily-suspended</w:t>
      </w:r>
      <w:proofErr w:type="gramEnd"/>
      <w:r w:rsidRPr="00221CD5">
        <w:t xml:space="preserve"> solid, though with a lower yield (despite a very similar amount of inorganics). Neither </w:t>
      </w:r>
      <w:proofErr w:type="spellStart"/>
      <w:r w:rsidRPr="00221CD5">
        <w:t>cPLA</w:t>
      </w:r>
      <w:proofErr w:type="spellEnd"/>
      <w:r w:rsidRPr="00221CD5">
        <w:t xml:space="preserve"> nor MB seems to produce a carbonaceous solid, which is instead typical when processing biomasses or sugars. The pieces of cellulose bowls appear instead to undergo a very moderate carbonization: the treated pieces remain virtually identical in shape, but </w:t>
      </w:r>
      <w:r w:rsidR="008E5541">
        <w:t>they</w:t>
      </w:r>
      <w:r w:rsidRPr="00221CD5">
        <w:t xml:space="preserve"> become slightly darker, and some carbonaceous </w:t>
      </w:r>
      <w:r w:rsidRPr="00221CD5">
        <w:lastRenderedPageBreak/>
        <w:t>particles remain on the paper filter, especially at 200 °C. These observations well agree with previous results obtained with pure cellulose</w:t>
      </w:r>
      <w:r w:rsidRPr="00221CD5">
        <w:fldChar w:fldCharType="begin" w:fldLock="1"/>
      </w:r>
      <w:r w:rsidR="00842BA8">
        <w:instrText>ADDIN CSL_CITATION {"citationItems":[{"id":"ITEM-1","itemData":{"DOI":"10.1016/j.fuproc.2020.106456","ISSN":"03783820","author":[{"dropping-particle":"","family":"Volpe","given":"Maurizio","non-dropping-particle":"","parse-names":false,"suffix":""},{"dropping-particle":"","family":"Messineo","given":"Antonio","non-dropping-particle":"","parse-names":false,"suffix":""},{"dropping-particle":"","family":"Mäkelä","given":"Mikko","non-dropping-particle":"","parse-names":false,"suffix":""},{"dropping-particle":"","family":"Barr","given":"Meredith R.","non-dropping-particle":"","parse-names":false,"suffix":""},{"dropping-particle":"","family":"Volpe","given":"Roberto","non-dropping-particle":"","parse-names":false,"suffix":""},{"dropping-particle":"","family":"Corrado","given":"Chiara","non-dropping-particle":"","parse-names":false,"suffix":""},{"dropping-particle":"","family":"Fiori","given":"Luca","non-dropping-particle":"","parse-names":false,"suffix":""}],"container-title":"Fuel Processing Technology","id":"ITEM-1","issued":{"date-parts":[["2020","9"]]},"page":"106456","title":"Reactivity of cellulose during hydrothermal carbonization of lignocellulosic biomass","type":"article-journal","volume":"206"},"uris":["http://www.mendeley.com/documents/?uuid=42d42376-cf4d-410d-94cd-a5f4158e8f56"]},{"id":"ITEM-2","itemData":{"DOI":"10.1016/j.biortech.2023.129724","ISSN":"09608524","author":[{"dropping-particle":"","family":"Ischia","given":"Giulia","non-dropping-particle":"","parse-names":false,"suffix":""},{"dropping-particle":"","family":"Goldfarb","given":"Jillian L.","non-dropping-particle":"","parse-names":false,"suffix":""},{"dropping-particle":"","family":"Miotello","given":"Antonio","non-dropping-particle":"","parse-names":false,"suffix":""},{"dropping-particle":"","family":"Fiori","given":"Luca","non-dropping-particle":"","parse-names":false,"suffix":""}],"container-title":"Bioresource Technology","id":"ITEM-2","issued":{"date-parts":[["2023","11"]]},"page":"129724","title":"Green solvents to enhance hydrochar quality and clarify effects of secondary char","type":"article-journal","volume":"388"},"uris":["http://www.mendeley.com/documents/?uuid=9cc01b1d-c9ef-4185-a063-1a1a706c0249"]}],"mendeley":{"formattedCitation":"&lt;sup&gt;31,32&lt;/sup&gt;","plainTextFormattedCitation":"31,32","previouslyFormattedCitation":"&lt;sup&gt;31,32&lt;/sup&gt;"},"properties":{"noteIndex":0},"schema":"https://github.com/citation-style-language/schema/raw/master/csl-citation.json"}</w:instrText>
      </w:r>
      <w:r w:rsidRPr="00221CD5">
        <w:fldChar w:fldCharType="separate"/>
      </w:r>
      <w:r w:rsidR="00842BA8" w:rsidRPr="00842BA8">
        <w:rPr>
          <w:noProof/>
          <w:vertAlign w:val="superscript"/>
        </w:rPr>
        <w:t>31,32</w:t>
      </w:r>
      <w:r w:rsidRPr="00221CD5">
        <w:fldChar w:fldCharType="end"/>
      </w:r>
      <w:r w:rsidRPr="00221CD5">
        <w:t xml:space="preserve">, </w:t>
      </w:r>
      <w:r w:rsidR="00CC135C">
        <w:t>in which significant degradation was only observed</w:t>
      </w:r>
      <w:r w:rsidRPr="00221CD5">
        <w:t xml:space="preserve"> at 220 °C or more. Actually, the bowl degradation observed here, even if limited, is slightly higher than the pure cellulose degradation </w:t>
      </w:r>
      <w:r w:rsidR="00CC135C">
        <w:t xml:space="preserve">assessed </w:t>
      </w:r>
      <w:r w:rsidRPr="00221CD5">
        <w:t>by Volpe et al.</w:t>
      </w:r>
      <w:r w:rsidRPr="00221CD5">
        <w:fldChar w:fldCharType="begin" w:fldLock="1"/>
      </w:r>
      <w:r w:rsidR="00842BA8">
        <w:instrText>ADDIN CSL_CITATION {"citationItems":[{"id":"ITEM-1","itemData":{"DOI":"10.1016/j.fuproc.2020.106456","ISSN":"03783820","author":[{"dropping-particle":"","family":"Volpe","given":"Maurizio","non-dropping-particle":"","parse-names":false,"suffix":""},{"dropping-particle":"","family":"Messineo","given":"Antonio","non-dropping-particle":"","parse-names":false,"suffix":""},{"dropping-particle":"","family":"Mäkelä","given":"Mikko","non-dropping-particle":"","parse-names":false,"suffix":""},{"dropping-particle":"","family":"Barr","given":"Meredith R.","non-dropping-particle":"","parse-names":false,"suffix":""},{"dropping-particle":"","family":"Volpe","given":"Roberto","non-dropping-particle":"","parse-names":false,"suffix":""},{"dropping-particle":"","family":"Corrado","given":"Chiara","non-dropping-particle":"","parse-names":false,"suffix":""},{"dropping-particle":"","family":"Fiori","given":"Luca","non-dropping-particle":"","parse-names":false,"suffix":""}],"container-title":"Fuel Processing Technology","id":"ITEM-1","issued":{"date-parts":[["2020","9"]]},"page":"106456","title":"Reactivity of cellulose during hydrothermal carbonization of lignocellulosic biomass","type":"article-journal","volume":"206"},"uris":["http://www.mendeley.com/documents/?uuid=42d42376-cf4d-410d-94cd-a5f4158e8f56"]}],"mendeley":{"formattedCitation":"&lt;sup&gt;31&lt;/sup&gt;","plainTextFormattedCitation":"31","previouslyFormattedCitation":"&lt;sup&gt;31&lt;/sup&gt;"},"properties":{"noteIndex":0},"schema":"https://github.com/citation-style-language/schema/raw/master/csl-citation.json"}</w:instrText>
      </w:r>
      <w:r w:rsidRPr="00221CD5">
        <w:fldChar w:fldCharType="separate"/>
      </w:r>
      <w:r w:rsidR="00842BA8" w:rsidRPr="00842BA8">
        <w:rPr>
          <w:noProof/>
          <w:vertAlign w:val="superscript"/>
        </w:rPr>
        <w:t>31</w:t>
      </w:r>
      <w:r w:rsidRPr="00221CD5">
        <w:fldChar w:fldCharType="end"/>
      </w:r>
      <w:r w:rsidRPr="00221CD5">
        <w:t xml:space="preserve"> and Ischia et al.</w:t>
      </w:r>
      <w:r w:rsidRPr="00221CD5">
        <w:fldChar w:fldCharType="begin" w:fldLock="1"/>
      </w:r>
      <w:r w:rsidR="00842BA8">
        <w:instrText>ADDIN CSL_CITATION {"citationItems":[{"id":"ITEM-1","itemData":{"DOI":"10.1016/j.biortech.2023.129724","ISSN":"09608524","author":[{"dropping-particle":"","family":"Ischia","given":"Giulia","non-dropping-particle":"","parse-names":false,"suffix":""},{"dropping-particle":"","family":"Goldfarb","given":"Jillian L.","non-dropping-particle":"","parse-names":false,"suffix":""},{"dropping-particle":"","family":"Miotello","given":"Antonio","non-dropping-particle":"","parse-names":false,"suffix":""},{"dropping-particle":"","family":"Fiori","given":"Luca","non-dropping-particle":"","parse-names":false,"suffix":""}],"container-title":"Bioresource Technology","id":"ITEM-1","issued":{"date-parts":[["2023","11"]]},"page":"129724","title":"Green solvents to enhance hydrochar quality and clarify effects of secondary char","type":"article-journal","volume":"388"},"uris":["http://www.mendeley.com/documents/?uuid=9cc01b1d-c9ef-4185-a063-1a1a706c0249"]}],"mendeley":{"formattedCitation":"&lt;sup&gt;32&lt;/sup&gt;","plainTextFormattedCitation":"32","previouslyFormattedCitation":"&lt;sup&gt;32&lt;/sup&gt;"},"properties":{"noteIndex":0},"schema":"https://github.com/citation-style-language/schema/raw/master/csl-citation.json"}</w:instrText>
      </w:r>
      <w:r w:rsidRPr="00221CD5">
        <w:fldChar w:fldCharType="separate"/>
      </w:r>
      <w:r w:rsidR="00842BA8" w:rsidRPr="00842BA8">
        <w:rPr>
          <w:noProof/>
          <w:vertAlign w:val="superscript"/>
        </w:rPr>
        <w:t>32</w:t>
      </w:r>
      <w:r w:rsidRPr="00221CD5">
        <w:fldChar w:fldCharType="end"/>
      </w:r>
      <w:r w:rsidRPr="00221CD5">
        <w:t>. In the first work</w:t>
      </w:r>
      <w:r w:rsidRPr="00221CD5">
        <w:fldChar w:fldCharType="begin" w:fldLock="1"/>
      </w:r>
      <w:r w:rsidR="00842BA8">
        <w:instrText>ADDIN CSL_CITATION {"citationItems":[{"id":"ITEM-1","itemData":{"DOI":"10.1016/j.fuproc.2020.106456","ISSN":"03783820","author":[{"dropping-particle":"","family":"Volpe","given":"Maurizio","non-dropping-particle":"","parse-names":false,"suffix":""},{"dropping-particle":"","family":"Messineo","given":"Antonio","non-dropping-particle":"","parse-names":false,"suffix":""},{"dropping-particle":"","family":"Mäkelä","given":"Mikko","non-dropping-particle":"","parse-names":false,"suffix":""},{"dropping-particle":"","family":"Barr","given":"Meredith R.","non-dropping-particle":"","parse-names":false,"suffix":""},{"dropping-particle":"","family":"Volpe","given":"Roberto","non-dropping-particle":"","parse-names":false,"suffix":""},{"dropping-particle":"","family":"Corrado","given":"Chiara","non-dropping-particle":"","parse-names":false,"suffix":""},{"dropping-particle":"","family":"Fiori","given":"Luca","non-dropping-particle":"","parse-names":false,"suffix":""}],"container-title":"Fuel Processing Technology","id":"ITEM-1","issued":{"date-parts":[["2020","9"]]},"page":"106456","title":"Reactivity of cellulose during hydrothermal carbonization of lignocellulosic biomass","type":"article-journal","volume":"206"},"uris":["http://www.mendeley.com/documents/?uuid=42d42376-cf4d-410d-94cd-a5f4158e8f56"]}],"mendeley":{"formattedCitation":"&lt;sup&gt;31&lt;/sup&gt;","plainTextFormattedCitation":"31","previouslyFormattedCitation":"&lt;sup&gt;31&lt;/sup&gt;"},"properties":{"noteIndex":0},"schema":"https://github.com/citation-style-language/schema/raw/master/csl-citation.json"}</w:instrText>
      </w:r>
      <w:r w:rsidRPr="00221CD5">
        <w:fldChar w:fldCharType="separate"/>
      </w:r>
      <w:r w:rsidR="00842BA8" w:rsidRPr="00842BA8">
        <w:rPr>
          <w:noProof/>
          <w:vertAlign w:val="superscript"/>
        </w:rPr>
        <w:t>31</w:t>
      </w:r>
      <w:r w:rsidRPr="00221CD5">
        <w:fldChar w:fldCharType="end"/>
      </w:r>
      <w:r w:rsidRPr="00221CD5">
        <w:t xml:space="preserve">, the residence time (30 min) </w:t>
      </w:r>
      <w:r w:rsidR="00A7569D">
        <w:t xml:space="preserve">was </w:t>
      </w:r>
      <w:r w:rsidRPr="00221CD5">
        <w:t xml:space="preserve">lower than </w:t>
      </w:r>
      <w:r w:rsidR="0060465D">
        <w:t>that</w:t>
      </w:r>
      <w:r w:rsidRPr="00221CD5">
        <w:t xml:space="preserve"> used here (60 min), while in the second</w:t>
      </w:r>
      <w:r w:rsidRPr="00221CD5">
        <w:fldChar w:fldCharType="begin" w:fldLock="1"/>
      </w:r>
      <w:r w:rsidR="00842BA8">
        <w:instrText>ADDIN CSL_CITATION {"citationItems":[{"id":"ITEM-1","itemData":{"DOI":"10.1016/j.biortech.2023.129724","ISSN":"09608524","author":[{"dropping-particle":"","family":"Ischia","given":"Giulia","non-dropping-particle":"","parse-names":false,"suffix":""},{"dropping-particle":"","family":"Goldfarb","given":"Jillian L.","non-dropping-particle":"","parse-names":false,"suffix":""},{"dropping-particle":"","family":"Miotello","given":"Antonio","non-dropping-particle":"","parse-names":false,"suffix":""},{"dropping-particle":"","family":"Fiori","given":"Luca","non-dropping-particle":"","parse-names":false,"suffix":""}],"container-title":"Bioresource Technology","id":"ITEM-1","issued":{"date-parts":[["2023","11"]]},"page":"129724","title":"Green solvents to enhance hydrochar quality and clarify effects of secondary char","type":"article-journal","volume":"388"},"uris":["http://www.mendeley.com/documents/?uuid=9cc01b1d-c9ef-4185-a063-1a1a706c0249"]}],"mendeley":{"formattedCitation":"&lt;sup&gt;32&lt;/sup&gt;","plainTextFormattedCitation":"32","previouslyFormattedCitation":"&lt;sup&gt;32&lt;/sup&gt;"},"properties":{"noteIndex":0},"schema":"https://github.com/citation-style-language/schema/raw/master/csl-citation.json"}</w:instrText>
      </w:r>
      <w:r w:rsidRPr="00221CD5">
        <w:fldChar w:fldCharType="separate"/>
      </w:r>
      <w:r w:rsidR="00842BA8" w:rsidRPr="00842BA8">
        <w:rPr>
          <w:noProof/>
          <w:vertAlign w:val="superscript"/>
        </w:rPr>
        <w:t>32</w:t>
      </w:r>
      <w:r w:rsidRPr="00221CD5">
        <w:fldChar w:fldCharType="end"/>
      </w:r>
      <w:r w:rsidRPr="00221CD5">
        <w:t xml:space="preserve"> microcrystalline cellulose was used.</w:t>
      </w:r>
      <w:r w:rsidR="00A7569D">
        <w:t xml:space="preserve"> </w:t>
      </w:r>
      <w:r w:rsidR="00A7569D" w:rsidRPr="00A7569D">
        <w:t xml:space="preserve">The more extensive degradation could be due to the </w:t>
      </w:r>
      <w:r w:rsidR="00AA09F0">
        <w:t>hydrolysis</w:t>
      </w:r>
      <w:r w:rsidR="00A7569D" w:rsidRPr="00A7569D">
        <w:t xml:space="preserve"> of the PLA coating, and/or to a lower recalcitrance of the cellulose fibers, possibly </w:t>
      </w:r>
      <w:r w:rsidR="00A04A93">
        <w:t>linked</w:t>
      </w:r>
      <w:r w:rsidR="00A7569D" w:rsidRPr="00A7569D">
        <w:t xml:space="preserve"> to a lower crystallinity index.</w:t>
      </w:r>
      <w:r w:rsidRPr="00221CD5">
        <w:t xml:space="preserve"> Both the cellulose pieces and the liquid tend to become yellow or light brown as the treatment temperature increases. Finally, in the tests done with the mixes of the three materials, the cellulose pieces seem not to degrade as well, and the solid residues originated from the degradation of </w:t>
      </w:r>
      <w:proofErr w:type="spellStart"/>
      <w:proofErr w:type="gramStart"/>
      <w:r w:rsidRPr="00221CD5">
        <w:t>cPLA</w:t>
      </w:r>
      <w:proofErr w:type="spellEnd"/>
      <w:proofErr w:type="gramEnd"/>
      <w:r w:rsidRPr="00221CD5">
        <w:t xml:space="preserve"> and MB tend to deposit on their surface. At 180 and 200 °C, the experimental SYs are lower than the theoretical SY values calculated as the mean of the yields obtained with the three </w:t>
      </w:r>
      <w:r w:rsidR="00D55912">
        <w:t>feedstock</w:t>
      </w:r>
      <w:r w:rsidR="00D55912" w:rsidRPr="00221CD5">
        <w:t xml:space="preserve">s </w:t>
      </w:r>
      <w:r w:rsidRPr="00221CD5">
        <w:t>separately, apparently implying that the three materials interfere with each other while undergoing HT.</w:t>
      </w:r>
    </w:p>
    <w:p w14:paraId="46C27627" w14:textId="32EFCC69" w:rsidR="00221CD5" w:rsidRPr="00221CD5" w:rsidRDefault="00221CD5" w:rsidP="00480CAD">
      <w:pPr>
        <w:pStyle w:val="TAMainText"/>
        <w:rPr>
          <w:i/>
          <w:iCs/>
        </w:rPr>
      </w:pPr>
      <w:r w:rsidRPr="00221CD5">
        <w:rPr>
          <w:b/>
          <w:bCs/>
        </w:rPr>
        <w:t>3.3. Characterization of the solid residues.</w:t>
      </w:r>
      <w:r w:rsidRPr="00221CD5">
        <w:t xml:space="preserve"> Table </w:t>
      </w:r>
      <w:r w:rsidR="000F5503">
        <w:t>1</w:t>
      </w:r>
      <w:r w:rsidRPr="00221CD5">
        <w:t xml:space="preserve"> (</w:t>
      </w:r>
      <w:r w:rsidR="00C91D23">
        <w:t xml:space="preserve">already introduced in </w:t>
      </w:r>
      <w:r w:rsidRPr="00221CD5">
        <w:t xml:space="preserve">Section 3.1) reports elemental analysis </w:t>
      </w:r>
      <w:r w:rsidR="00681B37">
        <w:t xml:space="preserve">data </w:t>
      </w:r>
      <w:r w:rsidRPr="00221CD5">
        <w:t xml:space="preserve">of the solid residues from the HT tests. The solids obtained from the HT of </w:t>
      </w:r>
      <w:proofErr w:type="spellStart"/>
      <w:proofErr w:type="gramStart"/>
      <w:r w:rsidRPr="00221CD5">
        <w:t>cPLA</w:t>
      </w:r>
      <w:proofErr w:type="spellEnd"/>
      <w:proofErr w:type="gramEnd"/>
      <w:r w:rsidRPr="00221CD5">
        <w:t xml:space="preserve"> and MB are very rich in ash, especially at 180 and 200 °C. This confirms that HT causes the hydrolysis of their constituent polymers and their dissolution into the liquid phase. As a result, the relative abundance of the inorganic fraction</w:t>
      </w:r>
      <w:r w:rsidR="00C91D23">
        <w:t xml:space="preserve"> in the remaining solid</w:t>
      </w:r>
      <w:r w:rsidRPr="00221CD5">
        <w:t xml:space="preserve"> increases. Conversely, the composition of cellulose bowls remains almost identical, showing that HT is unable to significantly degrade them in the studied operative conditions. Regarding the bioplastics mix, the </w:t>
      </w:r>
      <w:r w:rsidR="00C91D23">
        <w:t xml:space="preserve">composition of the solid residue appears virtually unaffected by the treated temperature, most likely </w:t>
      </w:r>
      <w:proofErr w:type="gramStart"/>
      <w:r w:rsidR="00C91D23">
        <w:t>due to the fact that</w:t>
      </w:r>
      <w:proofErr w:type="gramEnd"/>
      <w:r w:rsidR="00C91D23">
        <w:t xml:space="preserve"> the non-degraded pieces of cellulose bowls comprise most of it</w:t>
      </w:r>
      <w:r w:rsidRPr="00221CD5">
        <w:t>.</w:t>
      </w:r>
      <w:r w:rsidR="00C91D23">
        <w:t xml:space="preserve"> The </w:t>
      </w:r>
      <w:r w:rsidR="00C91D23">
        <w:lastRenderedPageBreak/>
        <w:t xml:space="preserve">trend of its ash content appears more dubious. </w:t>
      </w:r>
      <w:r w:rsidR="005D53E8">
        <w:t>More generally,</w:t>
      </w:r>
      <w:r w:rsidR="00C91D23">
        <w:t xml:space="preserve"> t</w:t>
      </w:r>
      <w:r w:rsidRPr="00221CD5">
        <w:t xml:space="preserve">his residue is extremely inhomogeneous, being comprised of macroscopic cellulose bowl pieces and the powder-like ash resulting from </w:t>
      </w:r>
      <w:proofErr w:type="spellStart"/>
      <w:r w:rsidRPr="00221CD5">
        <w:t>cPLA</w:t>
      </w:r>
      <w:proofErr w:type="spellEnd"/>
      <w:r w:rsidRPr="00221CD5">
        <w:t xml:space="preserve"> and MB. For this reason, it is very difficult to select a representative sample to perform these analyses </w:t>
      </w:r>
      <w:proofErr w:type="gramStart"/>
      <w:r w:rsidRPr="00221CD5">
        <w:t>on:</w:t>
      </w:r>
      <w:proofErr w:type="gramEnd"/>
      <w:r w:rsidRPr="00221CD5">
        <w:t xml:space="preserve"> it is quite likely that the CHN analyses and the ash determination were performed on materials with different properties, leading to these results.</w:t>
      </w:r>
    </w:p>
    <w:p w14:paraId="2D3B9B2C" w14:textId="2864DFB5" w:rsidR="00221CD5" w:rsidRPr="00221CD5" w:rsidRDefault="00221CD5" w:rsidP="00480CAD">
      <w:pPr>
        <w:pStyle w:val="TAMainText"/>
      </w:pPr>
      <w:r w:rsidRPr="00221CD5">
        <w:t xml:space="preserve">The solid residues were characterized </w:t>
      </w:r>
      <w:r w:rsidR="007204B6">
        <w:t>by</w:t>
      </w:r>
      <w:r w:rsidRPr="00221CD5">
        <w:t xml:space="preserve"> EGA-MS, </w:t>
      </w:r>
      <w:proofErr w:type="spellStart"/>
      <w:r w:rsidRPr="00221CD5">
        <w:t>Py</w:t>
      </w:r>
      <w:proofErr w:type="spellEnd"/>
      <w:r w:rsidRPr="00221CD5">
        <w:t xml:space="preserve">-GC/MS, and XRF. </w:t>
      </w:r>
      <w:r w:rsidR="007204B6" w:rsidRPr="00917CF6">
        <w:t xml:space="preserve">EGA-MS profiles are shown in Figure 2, while </w:t>
      </w:r>
      <w:proofErr w:type="spellStart"/>
      <w:r w:rsidR="007204B6" w:rsidRPr="00917CF6">
        <w:t>Py</w:t>
      </w:r>
      <w:proofErr w:type="spellEnd"/>
      <w:r w:rsidR="007204B6" w:rsidRPr="00917CF6">
        <w:t>-GC/MS profiles are shown in Figure 3 and in the Supplementary Material (Figure S</w:t>
      </w:r>
      <w:r w:rsidR="00503398" w:rsidRPr="00917CF6">
        <w:t>4</w:t>
      </w:r>
      <w:r w:rsidR="007204B6" w:rsidRPr="00917CF6">
        <w:t xml:space="preserve">). </w:t>
      </w:r>
      <w:r w:rsidRPr="00917CF6">
        <w:t xml:space="preserve">As expected, </w:t>
      </w:r>
      <w:r w:rsidR="007204B6" w:rsidRPr="00917CF6">
        <w:t xml:space="preserve">the </w:t>
      </w:r>
      <w:r w:rsidRPr="00917CF6">
        <w:t xml:space="preserve">profiles of </w:t>
      </w:r>
      <w:proofErr w:type="spellStart"/>
      <w:r w:rsidRPr="00917CF6">
        <w:t>cPLA</w:t>
      </w:r>
      <w:proofErr w:type="spellEnd"/>
      <w:r w:rsidRPr="00917CF6">
        <w:t xml:space="preserve"> after HT at</w:t>
      </w:r>
      <w:r w:rsidRPr="00221CD5">
        <w:t xml:space="preserve"> any temperature did not provide significant signals for the same sample mass</w:t>
      </w:r>
      <w:r w:rsidR="00F27088">
        <w:t>, confirming that the material underwent extensive degradation</w:t>
      </w:r>
      <w:r w:rsidRPr="00221CD5">
        <w:t xml:space="preserve">. Since the solid residues of </w:t>
      </w:r>
      <w:proofErr w:type="spellStart"/>
      <w:r w:rsidRPr="00221CD5">
        <w:t>cPLA</w:t>
      </w:r>
      <w:proofErr w:type="spellEnd"/>
      <w:r w:rsidRPr="00221CD5">
        <w:t xml:space="preserve"> are largely made up of ash, we can also conclude that they are mostly composed of inorganic fillers. After HT at 160 °C, the EGA-MS profile of MB still shows the two thermal degradation peaks characterizing the untreated MB forks, but with significantly lower intensities. The peak of PLA is shifted to lower temperatures, indicating a loss in thermal stability of this fraction. After HT at 180 and 200</w:t>
      </w:r>
      <w:r w:rsidR="00CC135C">
        <w:t> </w:t>
      </w:r>
      <w:r w:rsidRPr="00221CD5">
        <w:t xml:space="preserve">°C, no significant signal was observed in either the EGA-MS or the </w:t>
      </w:r>
      <w:proofErr w:type="spellStart"/>
      <w:r w:rsidRPr="00221CD5">
        <w:t>Py</w:t>
      </w:r>
      <w:proofErr w:type="spellEnd"/>
      <w:r w:rsidRPr="00221CD5">
        <w:t xml:space="preserve">-GC/MS profiles, indicating that, as for the </w:t>
      </w:r>
      <w:proofErr w:type="spellStart"/>
      <w:r w:rsidRPr="00221CD5">
        <w:t>cPLA</w:t>
      </w:r>
      <w:proofErr w:type="spellEnd"/>
      <w:r w:rsidRPr="00221CD5">
        <w:t xml:space="preserve"> spoons, the solid residue at these two temperatures was mostly composed of the inorganic fillers, in complete agreement with the ash content of these samples (Table </w:t>
      </w:r>
      <w:r w:rsidR="000F5503">
        <w:t>1</w:t>
      </w:r>
      <w:r w:rsidRPr="00221CD5">
        <w:t>).</w:t>
      </w:r>
    </w:p>
    <w:p w14:paraId="62BCBB21" w14:textId="49BF8712" w:rsidR="00221CD5" w:rsidRPr="00221CD5" w:rsidRDefault="00221CD5" w:rsidP="00480CAD">
      <w:pPr>
        <w:pStyle w:val="TAMainText"/>
      </w:pPr>
      <w:r w:rsidRPr="00221CD5">
        <w:t xml:space="preserve">None of the three HT </w:t>
      </w:r>
      <w:r w:rsidR="00767E35">
        <w:t>temperatures</w:t>
      </w:r>
      <w:r w:rsidR="00F27088" w:rsidRPr="00221CD5">
        <w:t xml:space="preserve"> </w:t>
      </w:r>
      <w:r w:rsidRPr="00221CD5">
        <w:t xml:space="preserve">led to a quantitative degradation of cellulose. All macroscopic residues obtained after HT provided similar decrease in signal intensity compared to the untreated sample. This decrease could be due to a partial degradation of the amorphous fraction of cellulose, which is more easily hydrolyzed, while the crystalline fraction remained unaltered even at 200 °C. This is also confirmed by the </w:t>
      </w:r>
      <w:proofErr w:type="spellStart"/>
      <w:r w:rsidRPr="00221CD5">
        <w:t>Py</w:t>
      </w:r>
      <w:proofErr w:type="spellEnd"/>
      <w:r w:rsidRPr="00221CD5">
        <w:t xml:space="preserve">-GC/MS analysis of the solid residue after HT at 200 °C, in which levoglucosan was almost the only pyrolysis product. Celluloses with higher </w:t>
      </w:r>
      <w:r w:rsidRPr="00221CD5">
        <w:lastRenderedPageBreak/>
        <w:t>crystallinity indices are in fact known to give higher pyrolytic yields of anhydrosugars</w:t>
      </w:r>
      <w:r w:rsidRPr="00221CD5">
        <w:fldChar w:fldCharType="begin" w:fldLock="1"/>
      </w:r>
      <w:r w:rsidR="00842BA8">
        <w:instrText>ADDIN CSL_CITATION {"citationItems":[{"id":"ITEM-1","itemData":{"DOI":"10.1021/acssuschemeng.6b00812","ISSN":"2168-0485","author":[{"dropping-particle":"","family":"Mukarakate","given":"Calvin","non-dropping-particle":"","parse-names":false,"suffix":""},{"dropping-particle":"","family":"Mittal","given":"Ashutosh","non-dropping-particle":"","parse-names":false,"suffix":""},{"dropping-particle":"","family":"Ciesielski","given":"Peter N.","non-dropping-particle":"","parse-names":false,"suffix":""},{"dropping-particle":"","family":"Budhi","given":"Sridhar","non-dropping-particle":"","parse-names":false,"suffix":""},{"dropping-particle":"","family":"Thompson","given":"Logan","non-dropping-particle":"","parse-names":false,"suffix":""},{"dropping-particle":"","family":"Iisa","given":"Kristiina","non-dropping-particle":"","parse-names":false,"suffix":""},{"dropping-particle":"","family":"Nimlos","given":"Mark R.","non-dropping-particle":"","parse-names":false,"suffix":""},{"dropping-particle":"","family":"Donohoe","given":"Bryon S.","non-dropping-particle":"","parse-names":false,"suffix":""}],"container-title":"ACS Sustainable Chemistry &amp; Engineering","id":"ITEM-1","issue":"9","issued":{"date-parts":[["2016","9","6"]]},"page":"4662-4674","title":"Influence of Crystal Allomorph and Crystallinity on the Products and Behavior of Cellulose during Fast Pyrolysis","type":"article-journal","volume":"4"},"uris":["http://www.mendeley.com/documents/?uuid=4762e29f-a853-43f6-930e-1dd5322e650e"]}],"mendeley":{"formattedCitation":"&lt;sup&gt;33&lt;/sup&gt;","plainTextFormattedCitation":"33","previouslyFormattedCitation":"&lt;sup&gt;33&lt;/sup&gt;"},"properties":{"noteIndex":0},"schema":"https://github.com/citation-style-language/schema/raw/master/csl-citation.json"}</w:instrText>
      </w:r>
      <w:r w:rsidRPr="00221CD5">
        <w:fldChar w:fldCharType="separate"/>
      </w:r>
      <w:r w:rsidR="00842BA8" w:rsidRPr="00842BA8">
        <w:rPr>
          <w:noProof/>
          <w:vertAlign w:val="superscript"/>
        </w:rPr>
        <w:t>33</w:t>
      </w:r>
      <w:r w:rsidRPr="00221CD5">
        <w:fldChar w:fldCharType="end"/>
      </w:r>
      <w:r w:rsidRPr="00221CD5">
        <w:t xml:space="preserve">. The peak of cellulose was the only one remaining in the EGA-MS profiles after HT at 180 and 200 °C, and the chromatographic peak of levoglucosan was the only one in the corresponding </w:t>
      </w:r>
      <w:proofErr w:type="spellStart"/>
      <w:r w:rsidRPr="00221CD5">
        <w:t>Py</w:t>
      </w:r>
      <w:proofErr w:type="spellEnd"/>
      <w:r w:rsidRPr="00221CD5">
        <w:t xml:space="preserve">-GC/MS profiles. </w:t>
      </w:r>
    </w:p>
    <w:p w14:paraId="7D63BA26" w14:textId="4CCE9D82" w:rsidR="00221CD5" w:rsidRPr="00221CD5" w:rsidRDefault="00221CD5" w:rsidP="00480CAD">
      <w:pPr>
        <w:pStyle w:val="TAMainText"/>
      </w:pPr>
      <w:r w:rsidRPr="00221CD5">
        <w:t xml:space="preserve">Characterization of the inorganic fillers in the solid residues of all samples was performed with XRF. XRF spectra are available in the Supplementary Material </w:t>
      </w:r>
      <w:r w:rsidRPr="00917CF6">
        <w:t>(Figure S</w:t>
      </w:r>
      <w:r w:rsidR="00B22E48" w:rsidRPr="00917CF6">
        <w:t>5</w:t>
      </w:r>
      <w:r w:rsidRPr="00917CF6">
        <w:t xml:space="preserve">). The main signals in all cases were ascribed to titanium and iron. </w:t>
      </w:r>
      <w:r w:rsidR="00F27088">
        <w:t>T</w:t>
      </w:r>
      <w:r w:rsidRPr="00917CF6">
        <w:t>he presence of titanium</w:t>
      </w:r>
      <w:r w:rsidRPr="00221CD5">
        <w:t xml:space="preserve"> is most likely due to TiO</w:t>
      </w:r>
      <w:r w:rsidRPr="00221CD5">
        <w:rPr>
          <w:vertAlign w:val="subscript"/>
        </w:rPr>
        <w:t>2</w:t>
      </w:r>
      <w:r w:rsidRPr="00221CD5">
        <w:t>, commonly used as white pigment. Traces of iron could derive from the stainless-steel reactor used to perform the HT.</w:t>
      </w:r>
    </w:p>
    <w:p w14:paraId="02258FDE" w14:textId="7C1E2A1B" w:rsidR="00221CD5" w:rsidRPr="00221CD5" w:rsidRDefault="00221CD5" w:rsidP="00756EC8">
      <w:pPr>
        <w:pStyle w:val="TAMainText"/>
      </w:pPr>
      <w:r w:rsidRPr="00221CD5">
        <w:t>In summary, the characterization of the substrates and their solid residues indicates that HT at 180 and 200 °C is capable of quantitatively degrading both PLA and PBS, but not cellulose. The solid residues of HT at 180 and 200 °C provided no signals that could be ascribed to PLA and PBS, as they were mostly composed of the inorganic fillers. This suggests that the most likely degradation mechanism during HT was the hydrolysis of the ester bonds of both polymers, generating small, water-soluble species. Characterization of the water-soluble products of HT was therefore performed to obtain information on the chemical features of these species.</w:t>
      </w:r>
    </w:p>
    <w:p w14:paraId="4AECEEB0" w14:textId="2430AA0A" w:rsidR="00B53856" w:rsidRPr="009D5232" w:rsidRDefault="00221CD5" w:rsidP="009D5232">
      <w:pPr>
        <w:pStyle w:val="TAMainText"/>
      </w:pPr>
      <w:r w:rsidRPr="00221CD5">
        <w:rPr>
          <w:b/>
          <w:bCs/>
        </w:rPr>
        <w:t xml:space="preserve">3.4. Characterization of the liquid fractions. </w:t>
      </w:r>
      <w:r w:rsidR="00971570">
        <w:t>Table 4</w:t>
      </w:r>
      <w:r w:rsidRPr="00221CD5">
        <w:t xml:space="preserve"> shows the concentrations of TOC</w:t>
      </w:r>
      <w:r w:rsidR="00B53856">
        <w:t xml:space="preserve">, </w:t>
      </w:r>
      <w:r w:rsidRPr="00221CD5">
        <w:t xml:space="preserve">TS and NVS in the liquors obtained from the various HT tests. The trends of the TOC and TS confirm the enhancement of hydrolysis reactions as the treatment temperature increases. TS </w:t>
      </w:r>
      <w:r w:rsidR="00EF7E17">
        <w:t>values are</w:t>
      </w:r>
      <w:r w:rsidRPr="00221CD5">
        <w:t xml:space="preserve"> particularly high for </w:t>
      </w:r>
      <w:proofErr w:type="spellStart"/>
      <w:r w:rsidRPr="00221CD5">
        <w:t>cPLA</w:t>
      </w:r>
      <w:proofErr w:type="spellEnd"/>
      <w:r w:rsidRPr="00221CD5">
        <w:t xml:space="preserve"> and MB, </w:t>
      </w:r>
      <w:r w:rsidR="00EF7E17">
        <w:t>and higher</w:t>
      </w:r>
      <w:r w:rsidRPr="00221CD5">
        <w:t xml:space="preserve"> than for </w:t>
      </w:r>
      <w:proofErr w:type="spellStart"/>
      <w:r w:rsidRPr="00221CD5">
        <w:t>pPLA</w:t>
      </w:r>
      <w:proofErr w:type="spellEnd"/>
      <w:r w:rsidRPr="00221CD5">
        <w:t xml:space="preserve"> despite the similar TOC values. Thus, </w:t>
      </w:r>
      <w:r w:rsidR="00EF7E17" w:rsidRPr="00EF7E17">
        <w:t>although</w:t>
      </w:r>
      <w:r w:rsidR="00EF7E17">
        <w:t xml:space="preserve"> </w:t>
      </w:r>
      <w:r w:rsidRPr="00221CD5">
        <w:t xml:space="preserve">they have similar elemental compositions and comparable HT liquid yields to </w:t>
      </w:r>
      <w:proofErr w:type="spellStart"/>
      <w:r w:rsidRPr="00221CD5">
        <w:t>pPLA</w:t>
      </w:r>
      <w:proofErr w:type="spellEnd"/>
      <w:r w:rsidRPr="00221CD5">
        <w:t xml:space="preserve"> (without considering the inorganic</w:t>
      </w:r>
      <w:r w:rsidR="00EF7E17">
        <w:t>s</w:t>
      </w:r>
      <w:r w:rsidRPr="00221CD5">
        <w:t xml:space="preserve">), their degradation mechanisms appear different, producing a markedly higher </w:t>
      </w:r>
      <w:proofErr w:type="gramStart"/>
      <w:r w:rsidRPr="00221CD5">
        <w:t>amount</w:t>
      </w:r>
      <w:proofErr w:type="gramEnd"/>
      <w:r w:rsidRPr="00221CD5">
        <w:t xml:space="preserve"> of colloidal solids (most likely, oligomers of lactic acid). In </w:t>
      </w:r>
      <w:r w:rsidRPr="00221CD5">
        <w:lastRenderedPageBreak/>
        <w:t xml:space="preserve">this framework, the presence of plasticizers and other additives may affect the reaction mechanism and lead to a different product distribution. The trends for cellulose are instead more standard. Notably, for the MIX, at all temperatures, the TOC values are higher than the average of the three separate components, which again could mean that the </w:t>
      </w:r>
      <w:r w:rsidR="00EF7E17">
        <w:t>feedstocks</w:t>
      </w:r>
      <w:r w:rsidR="00EF7E17" w:rsidRPr="00221CD5">
        <w:t xml:space="preserve"> </w:t>
      </w:r>
      <w:r w:rsidRPr="00221CD5">
        <w:t>in the mixture interfere with each other and favor hydrolysis reactions. Finally, the amount of NVS slightly increases with HT temperature in all cases, probably because more severe conditions enhance the solubilization of some inorganic components.</w:t>
      </w:r>
    </w:p>
    <w:p w14:paraId="76B26B0F" w14:textId="0816B155" w:rsidR="00221CD5" w:rsidRPr="00221CD5" w:rsidRDefault="00221CD5" w:rsidP="000B4562">
      <w:pPr>
        <w:pStyle w:val="VDTableTitle"/>
        <w:rPr>
          <w:i/>
          <w:iCs/>
        </w:rPr>
      </w:pPr>
      <w:bookmarkStart w:id="6" w:name="_Ref152063660"/>
      <w:r w:rsidRPr="00221CD5">
        <w:rPr>
          <w:b/>
          <w:bCs/>
        </w:rPr>
        <w:t xml:space="preserve">Table </w:t>
      </w:r>
      <w:bookmarkEnd w:id="6"/>
      <w:r w:rsidR="000F5503">
        <w:rPr>
          <w:b/>
          <w:bCs/>
        </w:rPr>
        <w:t>4</w:t>
      </w:r>
      <w:r w:rsidRPr="00221CD5">
        <w:rPr>
          <w:b/>
          <w:bCs/>
          <w:i/>
          <w:iCs/>
        </w:rPr>
        <w:t>.</w:t>
      </w:r>
      <w:r w:rsidRPr="00221CD5">
        <w:t xml:space="preserve"> TOC, TS and NVS in the HT liquor obtained in the tests.</w:t>
      </w:r>
      <w:r w:rsidR="003B5B4C">
        <w:t xml:space="preserve"> The TOC analyses were performed at least </w:t>
      </w:r>
      <w:r w:rsidR="00F0156F">
        <w:t>five</w:t>
      </w:r>
      <w:r w:rsidR="003B5B4C">
        <w:t xml:space="preserve"> times, while the TS and NVS measurements were performed in triplicates.</w:t>
      </w:r>
      <w:r w:rsidR="00D7758B">
        <w:t xml:space="preserve"> Where not indicated explicitly, the standard deviation is </w:t>
      </w:r>
      <w:r w:rsidR="00D7758B" w:rsidRPr="00D7758B">
        <w:t>≤</w:t>
      </w:r>
      <w:r w:rsidR="00D7758B">
        <w:t xml:space="preserve"> 0.1%.</w:t>
      </w:r>
      <w:r w:rsidR="003B5B4C">
        <w:t xml:space="preserve"> </w:t>
      </w:r>
    </w:p>
    <w:tbl>
      <w:tblPr>
        <w:tblStyle w:val="Grigliatabella"/>
        <w:tblW w:w="0" w:type="auto"/>
        <w:tblLook w:val="04A0" w:firstRow="1" w:lastRow="0" w:firstColumn="1" w:lastColumn="0" w:noHBand="0" w:noVBand="1"/>
      </w:tblPr>
      <w:tblGrid>
        <w:gridCol w:w="1109"/>
        <w:gridCol w:w="2392"/>
        <w:gridCol w:w="1303"/>
        <w:gridCol w:w="1188"/>
        <w:gridCol w:w="1263"/>
      </w:tblGrid>
      <w:tr w:rsidR="00221CD5" w:rsidRPr="00221CD5" w14:paraId="7D2E4838" w14:textId="77777777" w:rsidTr="00115145">
        <w:trPr>
          <w:trHeight w:val="301"/>
        </w:trPr>
        <w:tc>
          <w:tcPr>
            <w:tcW w:w="0" w:type="auto"/>
            <w:vAlign w:val="center"/>
          </w:tcPr>
          <w:p w14:paraId="35C20F11" w14:textId="77777777" w:rsidR="00221CD5" w:rsidRPr="000B4562" w:rsidRDefault="00221CD5" w:rsidP="000B4562">
            <w:pPr>
              <w:pStyle w:val="TCTableBody"/>
              <w:rPr>
                <w:b/>
                <w:bCs/>
              </w:rPr>
            </w:pPr>
            <w:r w:rsidRPr="000B4562">
              <w:rPr>
                <w:b/>
                <w:bCs/>
              </w:rPr>
              <w:t>Material</w:t>
            </w:r>
          </w:p>
        </w:tc>
        <w:tc>
          <w:tcPr>
            <w:tcW w:w="0" w:type="auto"/>
          </w:tcPr>
          <w:p w14:paraId="70C8D950" w14:textId="77777777" w:rsidR="00221CD5" w:rsidRPr="000B4562" w:rsidRDefault="00221CD5" w:rsidP="000B4562">
            <w:pPr>
              <w:pStyle w:val="TCTableBody"/>
              <w:rPr>
                <w:b/>
                <w:bCs/>
              </w:rPr>
            </w:pPr>
            <w:r w:rsidRPr="000B4562">
              <w:rPr>
                <w:b/>
                <w:bCs/>
              </w:rPr>
              <w:t>HT temperature (°C)</w:t>
            </w:r>
          </w:p>
        </w:tc>
        <w:tc>
          <w:tcPr>
            <w:tcW w:w="0" w:type="auto"/>
            <w:vAlign w:val="center"/>
          </w:tcPr>
          <w:p w14:paraId="6445BF9B" w14:textId="77777777" w:rsidR="00221CD5" w:rsidRPr="000B4562" w:rsidRDefault="00221CD5" w:rsidP="000B4562">
            <w:pPr>
              <w:pStyle w:val="TCTableBody"/>
              <w:rPr>
                <w:b/>
                <w:bCs/>
              </w:rPr>
            </w:pPr>
            <w:r w:rsidRPr="000B4562">
              <w:rPr>
                <w:b/>
                <w:bCs/>
              </w:rPr>
              <w:t>TOC (g/L)</w:t>
            </w:r>
          </w:p>
        </w:tc>
        <w:tc>
          <w:tcPr>
            <w:tcW w:w="0" w:type="auto"/>
            <w:vAlign w:val="center"/>
          </w:tcPr>
          <w:p w14:paraId="62D48CBA" w14:textId="77777777" w:rsidR="00221CD5" w:rsidRPr="000B4562" w:rsidRDefault="00221CD5" w:rsidP="000B4562">
            <w:pPr>
              <w:pStyle w:val="TCTableBody"/>
              <w:rPr>
                <w:b/>
                <w:bCs/>
              </w:rPr>
            </w:pPr>
            <w:r w:rsidRPr="000B4562">
              <w:rPr>
                <w:b/>
                <w:bCs/>
              </w:rPr>
              <w:t>TS (g/L)</w:t>
            </w:r>
          </w:p>
        </w:tc>
        <w:tc>
          <w:tcPr>
            <w:tcW w:w="0" w:type="auto"/>
            <w:vAlign w:val="center"/>
          </w:tcPr>
          <w:p w14:paraId="0F27993C" w14:textId="77777777" w:rsidR="00221CD5" w:rsidRPr="000B4562" w:rsidRDefault="00221CD5" w:rsidP="000B4562">
            <w:pPr>
              <w:pStyle w:val="TCTableBody"/>
              <w:rPr>
                <w:b/>
                <w:bCs/>
              </w:rPr>
            </w:pPr>
            <w:r w:rsidRPr="000B4562">
              <w:rPr>
                <w:b/>
                <w:bCs/>
              </w:rPr>
              <w:t>NVS (g/L)</w:t>
            </w:r>
          </w:p>
        </w:tc>
      </w:tr>
      <w:tr w:rsidR="00221CD5" w:rsidRPr="00221CD5" w14:paraId="4C3C590B" w14:textId="77777777" w:rsidTr="00115145">
        <w:trPr>
          <w:trHeight w:val="301"/>
        </w:trPr>
        <w:tc>
          <w:tcPr>
            <w:tcW w:w="0" w:type="auto"/>
            <w:vMerge w:val="restart"/>
            <w:vAlign w:val="center"/>
          </w:tcPr>
          <w:p w14:paraId="739579BC" w14:textId="77777777" w:rsidR="00221CD5" w:rsidRPr="000B4562" w:rsidRDefault="00221CD5" w:rsidP="000B4562">
            <w:pPr>
              <w:pStyle w:val="TCTableBody"/>
              <w:rPr>
                <w:b/>
                <w:bCs/>
              </w:rPr>
            </w:pPr>
            <w:proofErr w:type="spellStart"/>
            <w:r w:rsidRPr="000B4562">
              <w:rPr>
                <w:b/>
                <w:bCs/>
              </w:rPr>
              <w:t>pPLA</w:t>
            </w:r>
            <w:proofErr w:type="spellEnd"/>
          </w:p>
        </w:tc>
        <w:tc>
          <w:tcPr>
            <w:tcW w:w="0" w:type="auto"/>
          </w:tcPr>
          <w:p w14:paraId="486C28FE" w14:textId="77777777" w:rsidR="00221CD5" w:rsidRPr="00221CD5" w:rsidRDefault="00221CD5" w:rsidP="000B4562">
            <w:pPr>
              <w:pStyle w:val="TCTableBody"/>
            </w:pPr>
            <w:r w:rsidRPr="00221CD5">
              <w:t>160</w:t>
            </w:r>
          </w:p>
        </w:tc>
        <w:tc>
          <w:tcPr>
            <w:tcW w:w="0" w:type="auto"/>
            <w:vAlign w:val="bottom"/>
          </w:tcPr>
          <w:p w14:paraId="786D7050" w14:textId="77777777" w:rsidR="00221CD5" w:rsidRPr="00221CD5" w:rsidRDefault="00221CD5" w:rsidP="000B4562">
            <w:pPr>
              <w:pStyle w:val="TCTableBody"/>
            </w:pPr>
            <w:r w:rsidRPr="00221CD5">
              <w:rPr>
                <w:lang w:val="it-IT"/>
              </w:rPr>
              <w:t>24.9 ± 0.7</w:t>
            </w:r>
          </w:p>
        </w:tc>
        <w:tc>
          <w:tcPr>
            <w:tcW w:w="0" w:type="auto"/>
            <w:vAlign w:val="bottom"/>
          </w:tcPr>
          <w:p w14:paraId="197A9750" w14:textId="77777777" w:rsidR="00221CD5" w:rsidRPr="00221CD5" w:rsidRDefault="00221CD5" w:rsidP="000B4562">
            <w:pPr>
              <w:pStyle w:val="TCTableBody"/>
            </w:pPr>
            <w:r w:rsidRPr="00221CD5">
              <w:rPr>
                <w:lang w:val="it-IT"/>
              </w:rPr>
              <w:t>15.6 ± 2.3</w:t>
            </w:r>
          </w:p>
        </w:tc>
        <w:tc>
          <w:tcPr>
            <w:tcW w:w="0" w:type="auto"/>
            <w:vAlign w:val="bottom"/>
          </w:tcPr>
          <w:p w14:paraId="0F0BA16C" w14:textId="18F95F85" w:rsidR="00221CD5" w:rsidRPr="00221CD5" w:rsidRDefault="00221CD5" w:rsidP="000B4562">
            <w:pPr>
              <w:pStyle w:val="TCTableBody"/>
            </w:pPr>
            <w:r w:rsidRPr="00221CD5">
              <w:rPr>
                <w:lang w:val="it-IT"/>
              </w:rPr>
              <w:t>0.7</w:t>
            </w:r>
          </w:p>
        </w:tc>
      </w:tr>
      <w:tr w:rsidR="00221CD5" w:rsidRPr="00221CD5" w14:paraId="22D37346" w14:textId="77777777" w:rsidTr="00115145">
        <w:trPr>
          <w:trHeight w:val="301"/>
        </w:trPr>
        <w:tc>
          <w:tcPr>
            <w:tcW w:w="0" w:type="auto"/>
            <w:vMerge/>
            <w:vAlign w:val="center"/>
          </w:tcPr>
          <w:p w14:paraId="4230C64D" w14:textId="77777777" w:rsidR="00221CD5" w:rsidRPr="000B4562" w:rsidRDefault="00221CD5" w:rsidP="000B4562">
            <w:pPr>
              <w:pStyle w:val="TCTableBody"/>
              <w:rPr>
                <w:b/>
                <w:bCs/>
              </w:rPr>
            </w:pPr>
          </w:p>
        </w:tc>
        <w:tc>
          <w:tcPr>
            <w:tcW w:w="0" w:type="auto"/>
          </w:tcPr>
          <w:p w14:paraId="64344080" w14:textId="77777777" w:rsidR="00221CD5" w:rsidRPr="00221CD5" w:rsidRDefault="00221CD5" w:rsidP="000B4562">
            <w:pPr>
              <w:pStyle w:val="TCTableBody"/>
            </w:pPr>
            <w:r w:rsidRPr="00221CD5">
              <w:t>180</w:t>
            </w:r>
          </w:p>
        </w:tc>
        <w:tc>
          <w:tcPr>
            <w:tcW w:w="0" w:type="auto"/>
            <w:vAlign w:val="bottom"/>
          </w:tcPr>
          <w:p w14:paraId="439B681C" w14:textId="77777777" w:rsidR="00221CD5" w:rsidRPr="00221CD5" w:rsidRDefault="00221CD5" w:rsidP="000B4562">
            <w:pPr>
              <w:pStyle w:val="TCTableBody"/>
            </w:pPr>
            <w:r w:rsidRPr="00221CD5">
              <w:rPr>
                <w:lang w:val="it-IT"/>
              </w:rPr>
              <w:t>43.0 ± 0.7</w:t>
            </w:r>
          </w:p>
        </w:tc>
        <w:tc>
          <w:tcPr>
            <w:tcW w:w="0" w:type="auto"/>
            <w:vAlign w:val="bottom"/>
          </w:tcPr>
          <w:p w14:paraId="3BF5CC72" w14:textId="77777777" w:rsidR="00221CD5" w:rsidRPr="00221CD5" w:rsidRDefault="00221CD5" w:rsidP="000B4562">
            <w:pPr>
              <w:pStyle w:val="TCTableBody"/>
              <w:rPr>
                <w:lang w:val="it-IT"/>
              </w:rPr>
            </w:pPr>
            <w:r w:rsidRPr="00221CD5">
              <w:rPr>
                <w:lang w:val="it-IT"/>
              </w:rPr>
              <w:t>19.4 ± 3.5</w:t>
            </w:r>
          </w:p>
        </w:tc>
        <w:tc>
          <w:tcPr>
            <w:tcW w:w="0" w:type="auto"/>
            <w:vAlign w:val="bottom"/>
          </w:tcPr>
          <w:p w14:paraId="5FB0F5D2" w14:textId="745AD100" w:rsidR="00221CD5" w:rsidRPr="00221CD5" w:rsidRDefault="00221CD5" w:rsidP="000B4562">
            <w:pPr>
              <w:pStyle w:val="TCTableBody"/>
            </w:pPr>
            <w:r w:rsidRPr="00221CD5">
              <w:rPr>
                <w:lang w:val="it-IT"/>
              </w:rPr>
              <w:t>0.6</w:t>
            </w:r>
          </w:p>
        </w:tc>
      </w:tr>
      <w:tr w:rsidR="00221CD5" w:rsidRPr="00221CD5" w14:paraId="03EBF8BC" w14:textId="77777777" w:rsidTr="00115145">
        <w:trPr>
          <w:trHeight w:val="301"/>
        </w:trPr>
        <w:tc>
          <w:tcPr>
            <w:tcW w:w="0" w:type="auto"/>
            <w:vMerge/>
            <w:vAlign w:val="center"/>
          </w:tcPr>
          <w:p w14:paraId="24FA132E" w14:textId="77777777" w:rsidR="00221CD5" w:rsidRPr="000B4562" w:rsidRDefault="00221CD5" w:rsidP="000B4562">
            <w:pPr>
              <w:pStyle w:val="TCTableBody"/>
              <w:rPr>
                <w:b/>
                <w:bCs/>
              </w:rPr>
            </w:pPr>
          </w:p>
        </w:tc>
        <w:tc>
          <w:tcPr>
            <w:tcW w:w="0" w:type="auto"/>
          </w:tcPr>
          <w:p w14:paraId="28BEA1E1" w14:textId="77777777" w:rsidR="00221CD5" w:rsidRPr="00221CD5" w:rsidRDefault="00221CD5" w:rsidP="000B4562">
            <w:pPr>
              <w:pStyle w:val="TCTableBody"/>
            </w:pPr>
            <w:r w:rsidRPr="00221CD5">
              <w:t>200</w:t>
            </w:r>
          </w:p>
        </w:tc>
        <w:tc>
          <w:tcPr>
            <w:tcW w:w="0" w:type="auto"/>
            <w:vAlign w:val="bottom"/>
          </w:tcPr>
          <w:p w14:paraId="34550A3C" w14:textId="77777777" w:rsidR="00221CD5" w:rsidRPr="00221CD5" w:rsidRDefault="00221CD5" w:rsidP="000B4562">
            <w:pPr>
              <w:pStyle w:val="TCTableBody"/>
            </w:pPr>
            <w:r w:rsidRPr="00221CD5">
              <w:rPr>
                <w:lang w:val="it-IT"/>
              </w:rPr>
              <w:t>44.7 ± 0.4</w:t>
            </w:r>
          </w:p>
        </w:tc>
        <w:tc>
          <w:tcPr>
            <w:tcW w:w="0" w:type="auto"/>
            <w:vAlign w:val="bottom"/>
          </w:tcPr>
          <w:p w14:paraId="3D765CF0" w14:textId="77777777" w:rsidR="00221CD5" w:rsidRPr="00221CD5" w:rsidRDefault="00221CD5" w:rsidP="000B4562">
            <w:pPr>
              <w:pStyle w:val="TCTableBody"/>
            </w:pPr>
            <w:r w:rsidRPr="00221CD5">
              <w:rPr>
                <w:lang w:val="it-IT"/>
              </w:rPr>
              <w:t>19.3 ± 4.4</w:t>
            </w:r>
          </w:p>
        </w:tc>
        <w:tc>
          <w:tcPr>
            <w:tcW w:w="0" w:type="auto"/>
            <w:vAlign w:val="bottom"/>
          </w:tcPr>
          <w:p w14:paraId="00D8456C" w14:textId="77777777" w:rsidR="00221CD5" w:rsidRPr="00221CD5" w:rsidRDefault="00221CD5" w:rsidP="000B4562">
            <w:pPr>
              <w:pStyle w:val="TCTableBody"/>
            </w:pPr>
            <w:r w:rsidRPr="00221CD5">
              <w:rPr>
                <w:lang w:val="it-IT"/>
              </w:rPr>
              <w:t>1.1 ± 0.3</w:t>
            </w:r>
          </w:p>
        </w:tc>
      </w:tr>
      <w:tr w:rsidR="00221CD5" w:rsidRPr="00221CD5" w14:paraId="6CAB7488" w14:textId="77777777" w:rsidTr="00115145">
        <w:trPr>
          <w:trHeight w:val="284"/>
        </w:trPr>
        <w:tc>
          <w:tcPr>
            <w:tcW w:w="0" w:type="auto"/>
            <w:vMerge w:val="restart"/>
            <w:vAlign w:val="center"/>
          </w:tcPr>
          <w:p w14:paraId="0EB1F621" w14:textId="77777777" w:rsidR="00221CD5" w:rsidRPr="000B4562" w:rsidRDefault="00221CD5" w:rsidP="000B4562">
            <w:pPr>
              <w:pStyle w:val="TCTableBody"/>
              <w:rPr>
                <w:b/>
                <w:bCs/>
              </w:rPr>
            </w:pPr>
            <w:proofErr w:type="spellStart"/>
            <w:r w:rsidRPr="000B4562">
              <w:rPr>
                <w:b/>
                <w:bCs/>
              </w:rPr>
              <w:t>cPLA</w:t>
            </w:r>
            <w:proofErr w:type="spellEnd"/>
          </w:p>
        </w:tc>
        <w:tc>
          <w:tcPr>
            <w:tcW w:w="0" w:type="auto"/>
          </w:tcPr>
          <w:p w14:paraId="5C3C06F1" w14:textId="77777777" w:rsidR="00221CD5" w:rsidRPr="00221CD5" w:rsidRDefault="00221CD5" w:rsidP="000B4562">
            <w:pPr>
              <w:pStyle w:val="TCTableBody"/>
              <w:rPr>
                <w:lang w:val="it-IT"/>
              </w:rPr>
            </w:pPr>
            <w:r w:rsidRPr="00221CD5">
              <w:t>160</w:t>
            </w:r>
          </w:p>
        </w:tc>
        <w:tc>
          <w:tcPr>
            <w:tcW w:w="0" w:type="auto"/>
            <w:vAlign w:val="bottom"/>
          </w:tcPr>
          <w:p w14:paraId="05E339E8" w14:textId="08443B34" w:rsidR="00221CD5" w:rsidRPr="00221CD5" w:rsidRDefault="00221CD5" w:rsidP="000B4562">
            <w:pPr>
              <w:pStyle w:val="TCTableBody"/>
            </w:pPr>
            <w:r w:rsidRPr="00221CD5">
              <w:rPr>
                <w:lang w:val="it-IT"/>
              </w:rPr>
              <w:t>24.0</w:t>
            </w:r>
          </w:p>
        </w:tc>
        <w:tc>
          <w:tcPr>
            <w:tcW w:w="0" w:type="auto"/>
            <w:vAlign w:val="bottom"/>
          </w:tcPr>
          <w:p w14:paraId="7931239D" w14:textId="5326EEC2" w:rsidR="00221CD5" w:rsidRPr="00221CD5" w:rsidRDefault="00221CD5" w:rsidP="000B4562">
            <w:pPr>
              <w:pStyle w:val="TCTableBody"/>
            </w:pPr>
            <w:r w:rsidRPr="00221CD5">
              <w:rPr>
                <w:lang w:val="it-IT"/>
              </w:rPr>
              <w:t>51.4</w:t>
            </w:r>
          </w:p>
        </w:tc>
        <w:tc>
          <w:tcPr>
            <w:tcW w:w="0" w:type="auto"/>
            <w:vAlign w:val="bottom"/>
          </w:tcPr>
          <w:p w14:paraId="6D302FEC" w14:textId="5D997FD1" w:rsidR="00221CD5" w:rsidRPr="00221CD5" w:rsidRDefault="00221CD5" w:rsidP="000B4562">
            <w:pPr>
              <w:pStyle w:val="TCTableBody"/>
            </w:pPr>
            <w:r w:rsidRPr="00221CD5">
              <w:rPr>
                <w:lang w:val="it-IT"/>
              </w:rPr>
              <w:t>0.8</w:t>
            </w:r>
          </w:p>
        </w:tc>
      </w:tr>
      <w:tr w:rsidR="00221CD5" w:rsidRPr="00221CD5" w14:paraId="63EF315F" w14:textId="77777777" w:rsidTr="00115145">
        <w:trPr>
          <w:trHeight w:val="301"/>
        </w:trPr>
        <w:tc>
          <w:tcPr>
            <w:tcW w:w="0" w:type="auto"/>
            <w:vMerge/>
            <w:vAlign w:val="center"/>
          </w:tcPr>
          <w:p w14:paraId="08A272BB" w14:textId="77777777" w:rsidR="00221CD5" w:rsidRPr="000B4562" w:rsidRDefault="00221CD5" w:rsidP="000B4562">
            <w:pPr>
              <w:pStyle w:val="TCTableBody"/>
              <w:rPr>
                <w:b/>
                <w:bCs/>
              </w:rPr>
            </w:pPr>
          </w:p>
        </w:tc>
        <w:tc>
          <w:tcPr>
            <w:tcW w:w="0" w:type="auto"/>
          </w:tcPr>
          <w:p w14:paraId="5B182402" w14:textId="77777777" w:rsidR="00221CD5" w:rsidRPr="00221CD5" w:rsidRDefault="00221CD5" w:rsidP="000B4562">
            <w:pPr>
              <w:pStyle w:val="TCTableBody"/>
              <w:rPr>
                <w:lang w:val="it-IT"/>
              </w:rPr>
            </w:pPr>
            <w:r w:rsidRPr="00221CD5">
              <w:t>180</w:t>
            </w:r>
          </w:p>
        </w:tc>
        <w:tc>
          <w:tcPr>
            <w:tcW w:w="0" w:type="auto"/>
            <w:vAlign w:val="bottom"/>
          </w:tcPr>
          <w:p w14:paraId="482A43C8" w14:textId="2AFF5A27" w:rsidR="00221CD5" w:rsidRPr="00221CD5" w:rsidRDefault="00221CD5" w:rsidP="000B4562">
            <w:pPr>
              <w:pStyle w:val="TCTableBody"/>
            </w:pPr>
            <w:r w:rsidRPr="00221CD5">
              <w:rPr>
                <w:lang w:val="it-IT"/>
              </w:rPr>
              <w:t>27.0</w:t>
            </w:r>
          </w:p>
        </w:tc>
        <w:tc>
          <w:tcPr>
            <w:tcW w:w="0" w:type="auto"/>
            <w:vAlign w:val="bottom"/>
          </w:tcPr>
          <w:p w14:paraId="18772E71" w14:textId="77777777" w:rsidR="00221CD5" w:rsidRPr="00221CD5" w:rsidRDefault="00221CD5" w:rsidP="000B4562">
            <w:pPr>
              <w:pStyle w:val="TCTableBody"/>
            </w:pPr>
            <w:r w:rsidRPr="00221CD5">
              <w:rPr>
                <w:lang w:val="it-IT"/>
              </w:rPr>
              <w:t>63.5 ± 0.9</w:t>
            </w:r>
          </w:p>
        </w:tc>
        <w:tc>
          <w:tcPr>
            <w:tcW w:w="0" w:type="auto"/>
            <w:vAlign w:val="bottom"/>
          </w:tcPr>
          <w:p w14:paraId="2F3D7646" w14:textId="01418ED8" w:rsidR="00221CD5" w:rsidRPr="00221CD5" w:rsidRDefault="00221CD5" w:rsidP="000B4562">
            <w:pPr>
              <w:pStyle w:val="TCTableBody"/>
            </w:pPr>
            <w:r w:rsidRPr="00221CD5">
              <w:rPr>
                <w:lang w:val="it-IT"/>
              </w:rPr>
              <w:t>0.9</w:t>
            </w:r>
          </w:p>
        </w:tc>
      </w:tr>
      <w:tr w:rsidR="00221CD5" w:rsidRPr="00221CD5" w14:paraId="721943F3" w14:textId="77777777" w:rsidTr="00115145">
        <w:trPr>
          <w:trHeight w:val="284"/>
        </w:trPr>
        <w:tc>
          <w:tcPr>
            <w:tcW w:w="0" w:type="auto"/>
            <w:vMerge/>
            <w:vAlign w:val="center"/>
          </w:tcPr>
          <w:p w14:paraId="6A45F076" w14:textId="77777777" w:rsidR="00221CD5" w:rsidRPr="000B4562" w:rsidRDefault="00221CD5" w:rsidP="000B4562">
            <w:pPr>
              <w:pStyle w:val="TCTableBody"/>
              <w:rPr>
                <w:b/>
                <w:bCs/>
              </w:rPr>
            </w:pPr>
          </w:p>
        </w:tc>
        <w:tc>
          <w:tcPr>
            <w:tcW w:w="0" w:type="auto"/>
          </w:tcPr>
          <w:p w14:paraId="1826CEBD" w14:textId="77777777" w:rsidR="00221CD5" w:rsidRPr="00221CD5" w:rsidRDefault="00221CD5" w:rsidP="000B4562">
            <w:pPr>
              <w:pStyle w:val="TCTableBody"/>
              <w:rPr>
                <w:lang w:val="it-IT"/>
              </w:rPr>
            </w:pPr>
            <w:r w:rsidRPr="00221CD5">
              <w:t>200</w:t>
            </w:r>
          </w:p>
        </w:tc>
        <w:tc>
          <w:tcPr>
            <w:tcW w:w="0" w:type="auto"/>
            <w:vAlign w:val="bottom"/>
          </w:tcPr>
          <w:p w14:paraId="23D5E368" w14:textId="77777777" w:rsidR="00221CD5" w:rsidRPr="00221CD5" w:rsidRDefault="00221CD5" w:rsidP="000B4562">
            <w:pPr>
              <w:pStyle w:val="TCTableBody"/>
            </w:pPr>
            <w:r w:rsidRPr="00221CD5">
              <w:rPr>
                <w:lang w:val="it-IT"/>
              </w:rPr>
              <w:t>28.6 ± 0.3</w:t>
            </w:r>
          </w:p>
        </w:tc>
        <w:tc>
          <w:tcPr>
            <w:tcW w:w="0" w:type="auto"/>
            <w:vAlign w:val="bottom"/>
          </w:tcPr>
          <w:p w14:paraId="5F81CFD7" w14:textId="77777777" w:rsidR="00221CD5" w:rsidRPr="00221CD5" w:rsidRDefault="00221CD5" w:rsidP="000B4562">
            <w:pPr>
              <w:pStyle w:val="TCTableBody"/>
            </w:pPr>
            <w:r w:rsidRPr="00221CD5">
              <w:rPr>
                <w:lang w:val="it-IT"/>
              </w:rPr>
              <w:t>59.1 ± 4.2</w:t>
            </w:r>
          </w:p>
        </w:tc>
        <w:tc>
          <w:tcPr>
            <w:tcW w:w="0" w:type="auto"/>
            <w:vAlign w:val="bottom"/>
          </w:tcPr>
          <w:p w14:paraId="120F5AC0" w14:textId="129B7ED8" w:rsidR="00221CD5" w:rsidRPr="00221CD5" w:rsidRDefault="00221CD5" w:rsidP="000B4562">
            <w:pPr>
              <w:pStyle w:val="TCTableBody"/>
            </w:pPr>
            <w:r w:rsidRPr="00221CD5">
              <w:rPr>
                <w:lang w:val="it-IT"/>
              </w:rPr>
              <w:t>1.1</w:t>
            </w:r>
          </w:p>
        </w:tc>
      </w:tr>
      <w:tr w:rsidR="00221CD5" w:rsidRPr="00221CD5" w14:paraId="194913E2" w14:textId="77777777" w:rsidTr="00115145">
        <w:trPr>
          <w:trHeight w:val="301"/>
        </w:trPr>
        <w:tc>
          <w:tcPr>
            <w:tcW w:w="0" w:type="auto"/>
            <w:vMerge w:val="restart"/>
            <w:vAlign w:val="center"/>
          </w:tcPr>
          <w:p w14:paraId="4E50B710" w14:textId="77777777" w:rsidR="00221CD5" w:rsidRPr="000B4562" w:rsidRDefault="00221CD5" w:rsidP="000B4562">
            <w:pPr>
              <w:pStyle w:val="TCTableBody"/>
              <w:rPr>
                <w:b/>
                <w:bCs/>
              </w:rPr>
            </w:pPr>
            <w:r w:rsidRPr="000B4562">
              <w:rPr>
                <w:b/>
                <w:bCs/>
              </w:rPr>
              <w:t>MB</w:t>
            </w:r>
          </w:p>
        </w:tc>
        <w:tc>
          <w:tcPr>
            <w:tcW w:w="0" w:type="auto"/>
          </w:tcPr>
          <w:p w14:paraId="098BCF56" w14:textId="77777777" w:rsidR="00221CD5" w:rsidRPr="00221CD5" w:rsidRDefault="00221CD5" w:rsidP="000B4562">
            <w:pPr>
              <w:pStyle w:val="TCTableBody"/>
              <w:rPr>
                <w:lang w:val="it-IT"/>
              </w:rPr>
            </w:pPr>
            <w:r w:rsidRPr="00221CD5">
              <w:t>160</w:t>
            </w:r>
          </w:p>
        </w:tc>
        <w:tc>
          <w:tcPr>
            <w:tcW w:w="0" w:type="auto"/>
            <w:vAlign w:val="bottom"/>
          </w:tcPr>
          <w:p w14:paraId="539DC6A5" w14:textId="77777777" w:rsidR="00221CD5" w:rsidRPr="00221CD5" w:rsidRDefault="00221CD5" w:rsidP="000B4562">
            <w:pPr>
              <w:pStyle w:val="TCTableBody"/>
            </w:pPr>
            <w:r w:rsidRPr="00221CD5">
              <w:rPr>
                <w:lang w:val="it-IT"/>
              </w:rPr>
              <w:t>12.7 ± 0.2</w:t>
            </w:r>
          </w:p>
        </w:tc>
        <w:tc>
          <w:tcPr>
            <w:tcW w:w="0" w:type="auto"/>
            <w:vAlign w:val="bottom"/>
          </w:tcPr>
          <w:p w14:paraId="66DA8ED1" w14:textId="77777777" w:rsidR="00221CD5" w:rsidRPr="00221CD5" w:rsidRDefault="00221CD5" w:rsidP="000B4562">
            <w:pPr>
              <w:pStyle w:val="TCTableBody"/>
            </w:pPr>
            <w:r w:rsidRPr="00221CD5">
              <w:rPr>
                <w:lang w:val="it-IT"/>
              </w:rPr>
              <w:t>21.9 ± 5.8</w:t>
            </w:r>
          </w:p>
        </w:tc>
        <w:tc>
          <w:tcPr>
            <w:tcW w:w="0" w:type="auto"/>
            <w:vAlign w:val="bottom"/>
          </w:tcPr>
          <w:p w14:paraId="69A5D0D3" w14:textId="08753455" w:rsidR="00221CD5" w:rsidRPr="00221CD5" w:rsidRDefault="00221CD5" w:rsidP="000B4562">
            <w:pPr>
              <w:pStyle w:val="TCTableBody"/>
            </w:pPr>
            <w:r w:rsidRPr="00221CD5">
              <w:rPr>
                <w:lang w:val="it-IT"/>
              </w:rPr>
              <w:t>0.7</w:t>
            </w:r>
          </w:p>
        </w:tc>
      </w:tr>
      <w:tr w:rsidR="00221CD5" w:rsidRPr="00221CD5" w14:paraId="60A35407" w14:textId="77777777" w:rsidTr="00115145">
        <w:trPr>
          <w:trHeight w:val="284"/>
        </w:trPr>
        <w:tc>
          <w:tcPr>
            <w:tcW w:w="0" w:type="auto"/>
            <w:vMerge/>
            <w:vAlign w:val="center"/>
          </w:tcPr>
          <w:p w14:paraId="238C87CA" w14:textId="77777777" w:rsidR="00221CD5" w:rsidRPr="000B4562" w:rsidRDefault="00221CD5" w:rsidP="000B4562">
            <w:pPr>
              <w:pStyle w:val="TCTableBody"/>
              <w:rPr>
                <w:b/>
                <w:bCs/>
              </w:rPr>
            </w:pPr>
          </w:p>
        </w:tc>
        <w:tc>
          <w:tcPr>
            <w:tcW w:w="0" w:type="auto"/>
          </w:tcPr>
          <w:p w14:paraId="61421D2F" w14:textId="77777777" w:rsidR="00221CD5" w:rsidRPr="00221CD5" w:rsidRDefault="00221CD5" w:rsidP="000B4562">
            <w:pPr>
              <w:pStyle w:val="TCTableBody"/>
              <w:rPr>
                <w:lang w:val="it-IT"/>
              </w:rPr>
            </w:pPr>
            <w:r w:rsidRPr="00221CD5">
              <w:t>180</w:t>
            </w:r>
          </w:p>
        </w:tc>
        <w:tc>
          <w:tcPr>
            <w:tcW w:w="0" w:type="auto"/>
            <w:vAlign w:val="bottom"/>
          </w:tcPr>
          <w:p w14:paraId="406674E2" w14:textId="77777777" w:rsidR="00221CD5" w:rsidRPr="00221CD5" w:rsidRDefault="00221CD5" w:rsidP="000B4562">
            <w:pPr>
              <w:pStyle w:val="TCTableBody"/>
            </w:pPr>
            <w:r w:rsidRPr="00221CD5">
              <w:rPr>
                <w:lang w:val="it-IT"/>
              </w:rPr>
              <w:t>34.6 ± 0.6</w:t>
            </w:r>
          </w:p>
        </w:tc>
        <w:tc>
          <w:tcPr>
            <w:tcW w:w="0" w:type="auto"/>
            <w:vAlign w:val="bottom"/>
          </w:tcPr>
          <w:p w14:paraId="359ECFA7" w14:textId="77777777" w:rsidR="00221CD5" w:rsidRPr="00221CD5" w:rsidRDefault="00221CD5" w:rsidP="000B4562">
            <w:pPr>
              <w:pStyle w:val="TCTableBody"/>
            </w:pPr>
            <w:r w:rsidRPr="00221CD5">
              <w:rPr>
                <w:lang w:val="it-IT"/>
              </w:rPr>
              <w:t>73.8 ± 0.3</w:t>
            </w:r>
          </w:p>
        </w:tc>
        <w:tc>
          <w:tcPr>
            <w:tcW w:w="0" w:type="auto"/>
            <w:vAlign w:val="bottom"/>
          </w:tcPr>
          <w:p w14:paraId="2891136F" w14:textId="79E67BBC" w:rsidR="00221CD5" w:rsidRPr="00221CD5" w:rsidRDefault="00221CD5" w:rsidP="000B4562">
            <w:pPr>
              <w:pStyle w:val="TCTableBody"/>
            </w:pPr>
            <w:r w:rsidRPr="00221CD5">
              <w:rPr>
                <w:lang w:val="it-IT"/>
              </w:rPr>
              <w:t>1.0</w:t>
            </w:r>
          </w:p>
        </w:tc>
      </w:tr>
      <w:tr w:rsidR="00221CD5" w:rsidRPr="00221CD5" w14:paraId="3E1E482B" w14:textId="77777777" w:rsidTr="00115145">
        <w:trPr>
          <w:trHeight w:val="301"/>
        </w:trPr>
        <w:tc>
          <w:tcPr>
            <w:tcW w:w="0" w:type="auto"/>
            <w:vMerge/>
            <w:vAlign w:val="center"/>
          </w:tcPr>
          <w:p w14:paraId="74DB6E0D" w14:textId="77777777" w:rsidR="00221CD5" w:rsidRPr="000B4562" w:rsidRDefault="00221CD5" w:rsidP="000B4562">
            <w:pPr>
              <w:pStyle w:val="TCTableBody"/>
              <w:rPr>
                <w:b/>
                <w:bCs/>
              </w:rPr>
            </w:pPr>
          </w:p>
        </w:tc>
        <w:tc>
          <w:tcPr>
            <w:tcW w:w="0" w:type="auto"/>
          </w:tcPr>
          <w:p w14:paraId="2119DCF0" w14:textId="77777777" w:rsidR="00221CD5" w:rsidRPr="00221CD5" w:rsidRDefault="00221CD5" w:rsidP="000B4562">
            <w:pPr>
              <w:pStyle w:val="TCTableBody"/>
              <w:rPr>
                <w:lang w:val="it-IT"/>
              </w:rPr>
            </w:pPr>
            <w:r w:rsidRPr="00221CD5">
              <w:t>200</w:t>
            </w:r>
          </w:p>
        </w:tc>
        <w:tc>
          <w:tcPr>
            <w:tcW w:w="0" w:type="auto"/>
            <w:vAlign w:val="bottom"/>
          </w:tcPr>
          <w:p w14:paraId="783DB289" w14:textId="77777777" w:rsidR="00221CD5" w:rsidRPr="00221CD5" w:rsidRDefault="00221CD5" w:rsidP="000B4562">
            <w:pPr>
              <w:pStyle w:val="TCTableBody"/>
            </w:pPr>
            <w:r w:rsidRPr="00221CD5">
              <w:rPr>
                <w:lang w:val="it-IT"/>
              </w:rPr>
              <w:t>34.7 ± 0.2</w:t>
            </w:r>
          </w:p>
        </w:tc>
        <w:tc>
          <w:tcPr>
            <w:tcW w:w="0" w:type="auto"/>
            <w:vAlign w:val="bottom"/>
          </w:tcPr>
          <w:p w14:paraId="71F71951" w14:textId="77777777" w:rsidR="00221CD5" w:rsidRPr="00221CD5" w:rsidRDefault="00221CD5" w:rsidP="000B4562">
            <w:pPr>
              <w:pStyle w:val="TCTableBody"/>
            </w:pPr>
            <w:r w:rsidRPr="00221CD5">
              <w:rPr>
                <w:lang w:val="it-IT"/>
              </w:rPr>
              <w:t>72.6 ± 1.6</w:t>
            </w:r>
          </w:p>
        </w:tc>
        <w:tc>
          <w:tcPr>
            <w:tcW w:w="0" w:type="auto"/>
            <w:vAlign w:val="bottom"/>
          </w:tcPr>
          <w:p w14:paraId="2F9339D4" w14:textId="3BDC9137" w:rsidR="00221CD5" w:rsidRPr="00221CD5" w:rsidRDefault="00221CD5" w:rsidP="000B4562">
            <w:pPr>
              <w:pStyle w:val="TCTableBody"/>
            </w:pPr>
            <w:r w:rsidRPr="00221CD5">
              <w:rPr>
                <w:lang w:val="it-IT"/>
              </w:rPr>
              <w:t>1.2</w:t>
            </w:r>
          </w:p>
        </w:tc>
      </w:tr>
      <w:tr w:rsidR="00221CD5" w:rsidRPr="00221CD5" w14:paraId="750D10AF" w14:textId="77777777" w:rsidTr="00115145">
        <w:trPr>
          <w:trHeight w:val="284"/>
        </w:trPr>
        <w:tc>
          <w:tcPr>
            <w:tcW w:w="0" w:type="auto"/>
            <w:vMerge w:val="restart"/>
            <w:vAlign w:val="center"/>
          </w:tcPr>
          <w:p w14:paraId="2AC35E68" w14:textId="77777777" w:rsidR="00221CD5" w:rsidRPr="000B4562" w:rsidRDefault="00221CD5" w:rsidP="000B4562">
            <w:pPr>
              <w:pStyle w:val="TCTableBody"/>
              <w:rPr>
                <w:b/>
                <w:bCs/>
              </w:rPr>
            </w:pPr>
            <w:r w:rsidRPr="000B4562">
              <w:rPr>
                <w:b/>
                <w:bCs/>
              </w:rPr>
              <w:t>CELL</w:t>
            </w:r>
          </w:p>
        </w:tc>
        <w:tc>
          <w:tcPr>
            <w:tcW w:w="0" w:type="auto"/>
          </w:tcPr>
          <w:p w14:paraId="24098BE2" w14:textId="77777777" w:rsidR="00221CD5" w:rsidRPr="00221CD5" w:rsidRDefault="00221CD5" w:rsidP="000B4562">
            <w:pPr>
              <w:pStyle w:val="TCTableBody"/>
              <w:rPr>
                <w:lang w:val="it-IT"/>
              </w:rPr>
            </w:pPr>
            <w:r w:rsidRPr="00221CD5">
              <w:t>160</w:t>
            </w:r>
          </w:p>
        </w:tc>
        <w:tc>
          <w:tcPr>
            <w:tcW w:w="0" w:type="auto"/>
            <w:vAlign w:val="bottom"/>
          </w:tcPr>
          <w:p w14:paraId="1D481740" w14:textId="634C0223" w:rsidR="00221CD5" w:rsidRPr="00221CD5" w:rsidRDefault="00221CD5" w:rsidP="000B4562">
            <w:pPr>
              <w:pStyle w:val="TCTableBody"/>
            </w:pPr>
            <w:r w:rsidRPr="00221CD5">
              <w:rPr>
                <w:lang w:val="it-IT"/>
              </w:rPr>
              <w:t>0.9</w:t>
            </w:r>
          </w:p>
        </w:tc>
        <w:tc>
          <w:tcPr>
            <w:tcW w:w="0" w:type="auto"/>
            <w:vAlign w:val="bottom"/>
          </w:tcPr>
          <w:p w14:paraId="71B0A3ED" w14:textId="5D13F597" w:rsidR="00221CD5" w:rsidRPr="00221CD5" w:rsidRDefault="00221CD5" w:rsidP="000B4562">
            <w:pPr>
              <w:pStyle w:val="TCTableBody"/>
            </w:pPr>
            <w:r w:rsidRPr="00221CD5">
              <w:rPr>
                <w:lang w:val="it-IT"/>
              </w:rPr>
              <w:t>3.1</w:t>
            </w:r>
          </w:p>
        </w:tc>
        <w:tc>
          <w:tcPr>
            <w:tcW w:w="0" w:type="auto"/>
            <w:vAlign w:val="bottom"/>
          </w:tcPr>
          <w:p w14:paraId="208DA559" w14:textId="2882D591" w:rsidR="00221CD5" w:rsidRPr="00221CD5" w:rsidRDefault="00221CD5" w:rsidP="000B4562">
            <w:pPr>
              <w:pStyle w:val="TCTableBody"/>
            </w:pPr>
            <w:r w:rsidRPr="00221CD5">
              <w:rPr>
                <w:lang w:val="it-IT"/>
              </w:rPr>
              <w:t>0.6</w:t>
            </w:r>
          </w:p>
        </w:tc>
      </w:tr>
      <w:tr w:rsidR="00221CD5" w:rsidRPr="00221CD5" w14:paraId="585A723F" w14:textId="77777777" w:rsidTr="00115145">
        <w:trPr>
          <w:trHeight w:val="301"/>
        </w:trPr>
        <w:tc>
          <w:tcPr>
            <w:tcW w:w="0" w:type="auto"/>
            <w:vMerge/>
            <w:vAlign w:val="center"/>
          </w:tcPr>
          <w:p w14:paraId="1146031C" w14:textId="77777777" w:rsidR="00221CD5" w:rsidRPr="000B4562" w:rsidRDefault="00221CD5" w:rsidP="000B4562">
            <w:pPr>
              <w:pStyle w:val="TCTableBody"/>
              <w:rPr>
                <w:b/>
                <w:bCs/>
              </w:rPr>
            </w:pPr>
          </w:p>
        </w:tc>
        <w:tc>
          <w:tcPr>
            <w:tcW w:w="0" w:type="auto"/>
          </w:tcPr>
          <w:p w14:paraId="45F214A0" w14:textId="77777777" w:rsidR="00221CD5" w:rsidRPr="00221CD5" w:rsidRDefault="00221CD5" w:rsidP="000B4562">
            <w:pPr>
              <w:pStyle w:val="TCTableBody"/>
              <w:rPr>
                <w:lang w:val="it-IT"/>
              </w:rPr>
            </w:pPr>
            <w:r w:rsidRPr="00221CD5">
              <w:t>180</w:t>
            </w:r>
          </w:p>
        </w:tc>
        <w:tc>
          <w:tcPr>
            <w:tcW w:w="0" w:type="auto"/>
            <w:vAlign w:val="bottom"/>
          </w:tcPr>
          <w:p w14:paraId="730E1497" w14:textId="21242206" w:rsidR="00221CD5" w:rsidRPr="00221CD5" w:rsidRDefault="00221CD5" w:rsidP="000B4562">
            <w:pPr>
              <w:pStyle w:val="TCTableBody"/>
            </w:pPr>
            <w:r w:rsidRPr="00221CD5">
              <w:rPr>
                <w:lang w:val="it-IT"/>
              </w:rPr>
              <w:t>4.1</w:t>
            </w:r>
          </w:p>
        </w:tc>
        <w:tc>
          <w:tcPr>
            <w:tcW w:w="0" w:type="auto"/>
            <w:vAlign w:val="bottom"/>
          </w:tcPr>
          <w:p w14:paraId="7E38D638" w14:textId="77777777" w:rsidR="00221CD5" w:rsidRPr="00221CD5" w:rsidRDefault="00221CD5" w:rsidP="000B4562">
            <w:pPr>
              <w:pStyle w:val="TCTableBody"/>
            </w:pPr>
            <w:r w:rsidRPr="00221CD5">
              <w:rPr>
                <w:lang w:val="it-IT"/>
              </w:rPr>
              <w:t>9.2 ± 0.3</w:t>
            </w:r>
          </w:p>
        </w:tc>
        <w:tc>
          <w:tcPr>
            <w:tcW w:w="0" w:type="auto"/>
            <w:vAlign w:val="bottom"/>
          </w:tcPr>
          <w:p w14:paraId="657F1BCD" w14:textId="5C34BAF7" w:rsidR="00221CD5" w:rsidRPr="00221CD5" w:rsidRDefault="00221CD5" w:rsidP="000B4562">
            <w:pPr>
              <w:pStyle w:val="TCTableBody"/>
            </w:pPr>
            <w:r w:rsidRPr="00221CD5">
              <w:rPr>
                <w:lang w:val="it-IT"/>
              </w:rPr>
              <w:t>0.8</w:t>
            </w:r>
          </w:p>
        </w:tc>
      </w:tr>
      <w:tr w:rsidR="00221CD5" w:rsidRPr="00221CD5" w14:paraId="0F25FFC0" w14:textId="77777777" w:rsidTr="00115145">
        <w:trPr>
          <w:trHeight w:val="284"/>
        </w:trPr>
        <w:tc>
          <w:tcPr>
            <w:tcW w:w="0" w:type="auto"/>
            <w:vMerge/>
            <w:vAlign w:val="center"/>
          </w:tcPr>
          <w:p w14:paraId="20DDAE82" w14:textId="77777777" w:rsidR="00221CD5" w:rsidRPr="000B4562" w:rsidRDefault="00221CD5" w:rsidP="000B4562">
            <w:pPr>
              <w:pStyle w:val="TCTableBody"/>
              <w:rPr>
                <w:b/>
                <w:bCs/>
              </w:rPr>
            </w:pPr>
          </w:p>
        </w:tc>
        <w:tc>
          <w:tcPr>
            <w:tcW w:w="0" w:type="auto"/>
          </w:tcPr>
          <w:p w14:paraId="737C7FF9" w14:textId="77777777" w:rsidR="00221CD5" w:rsidRPr="00221CD5" w:rsidRDefault="00221CD5" w:rsidP="000B4562">
            <w:pPr>
              <w:pStyle w:val="TCTableBody"/>
              <w:rPr>
                <w:lang w:val="it-IT"/>
              </w:rPr>
            </w:pPr>
            <w:r w:rsidRPr="00221CD5">
              <w:t>200</w:t>
            </w:r>
          </w:p>
        </w:tc>
        <w:tc>
          <w:tcPr>
            <w:tcW w:w="0" w:type="auto"/>
            <w:vAlign w:val="bottom"/>
          </w:tcPr>
          <w:p w14:paraId="0A466FFE" w14:textId="77777777" w:rsidR="00221CD5" w:rsidRPr="00221CD5" w:rsidRDefault="00221CD5" w:rsidP="000B4562">
            <w:pPr>
              <w:pStyle w:val="TCTableBody"/>
            </w:pPr>
            <w:r w:rsidRPr="00221CD5">
              <w:rPr>
                <w:lang w:val="it-IT"/>
              </w:rPr>
              <w:t>7.6 ± 0.6</w:t>
            </w:r>
          </w:p>
        </w:tc>
        <w:tc>
          <w:tcPr>
            <w:tcW w:w="0" w:type="auto"/>
            <w:vAlign w:val="bottom"/>
          </w:tcPr>
          <w:p w14:paraId="4B43128E" w14:textId="77777777" w:rsidR="00221CD5" w:rsidRPr="00221CD5" w:rsidRDefault="00221CD5" w:rsidP="000B4562">
            <w:pPr>
              <w:pStyle w:val="TCTableBody"/>
            </w:pPr>
            <w:r w:rsidRPr="00221CD5">
              <w:rPr>
                <w:lang w:val="it-IT"/>
              </w:rPr>
              <w:t>10.5 ± 0.7</w:t>
            </w:r>
          </w:p>
        </w:tc>
        <w:tc>
          <w:tcPr>
            <w:tcW w:w="0" w:type="auto"/>
            <w:vAlign w:val="bottom"/>
          </w:tcPr>
          <w:p w14:paraId="672B9CA9" w14:textId="659E7DE8" w:rsidR="00221CD5" w:rsidRPr="00221CD5" w:rsidRDefault="00221CD5" w:rsidP="000B4562">
            <w:pPr>
              <w:pStyle w:val="TCTableBody"/>
            </w:pPr>
            <w:r w:rsidRPr="00221CD5">
              <w:rPr>
                <w:lang w:val="it-IT"/>
              </w:rPr>
              <w:t>0.9</w:t>
            </w:r>
          </w:p>
        </w:tc>
      </w:tr>
      <w:tr w:rsidR="00221CD5" w:rsidRPr="00221CD5" w14:paraId="32DBCE7F" w14:textId="77777777" w:rsidTr="00115145">
        <w:trPr>
          <w:trHeight w:val="301"/>
        </w:trPr>
        <w:tc>
          <w:tcPr>
            <w:tcW w:w="0" w:type="auto"/>
            <w:vMerge w:val="restart"/>
            <w:vAlign w:val="center"/>
          </w:tcPr>
          <w:p w14:paraId="3FD121FF" w14:textId="77777777" w:rsidR="00221CD5" w:rsidRPr="000B4562" w:rsidRDefault="00221CD5" w:rsidP="000B4562">
            <w:pPr>
              <w:pStyle w:val="TCTableBody"/>
              <w:rPr>
                <w:b/>
                <w:bCs/>
              </w:rPr>
            </w:pPr>
            <w:r w:rsidRPr="000B4562">
              <w:rPr>
                <w:b/>
                <w:bCs/>
              </w:rPr>
              <w:t>MIX</w:t>
            </w:r>
          </w:p>
        </w:tc>
        <w:tc>
          <w:tcPr>
            <w:tcW w:w="0" w:type="auto"/>
          </w:tcPr>
          <w:p w14:paraId="551204C8" w14:textId="77777777" w:rsidR="00221CD5" w:rsidRPr="00221CD5" w:rsidRDefault="00221CD5" w:rsidP="000B4562">
            <w:pPr>
              <w:pStyle w:val="TCTableBody"/>
              <w:rPr>
                <w:lang w:val="it-IT"/>
              </w:rPr>
            </w:pPr>
            <w:r w:rsidRPr="00221CD5">
              <w:t>160</w:t>
            </w:r>
          </w:p>
        </w:tc>
        <w:tc>
          <w:tcPr>
            <w:tcW w:w="0" w:type="auto"/>
            <w:vAlign w:val="bottom"/>
          </w:tcPr>
          <w:p w14:paraId="2F4E61FF" w14:textId="69D80708" w:rsidR="00221CD5" w:rsidRPr="00221CD5" w:rsidRDefault="00221CD5" w:rsidP="000B4562">
            <w:pPr>
              <w:pStyle w:val="TCTableBody"/>
            </w:pPr>
            <w:r w:rsidRPr="00221CD5">
              <w:rPr>
                <w:lang w:val="it-IT"/>
              </w:rPr>
              <w:t>15.1</w:t>
            </w:r>
          </w:p>
        </w:tc>
        <w:tc>
          <w:tcPr>
            <w:tcW w:w="0" w:type="auto"/>
            <w:vAlign w:val="bottom"/>
          </w:tcPr>
          <w:p w14:paraId="6D123858" w14:textId="77777777" w:rsidR="00221CD5" w:rsidRPr="00221CD5" w:rsidRDefault="00221CD5" w:rsidP="000B4562">
            <w:pPr>
              <w:pStyle w:val="TCTableBody"/>
            </w:pPr>
            <w:r w:rsidRPr="00221CD5">
              <w:rPr>
                <w:lang w:val="it-IT"/>
              </w:rPr>
              <w:t>28.2 ± 0.5</w:t>
            </w:r>
          </w:p>
        </w:tc>
        <w:tc>
          <w:tcPr>
            <w:tcW w:w="0" w:type="auto"/>
            <w:vAlign w:val="bottom"/>
          </w:tcPr>
          <w:p w14:paraId="6F087776" w14:textId="24D8692C" w:rsidR="00221CD5" w:rsidRPr="00221CD5" w:rsidRDefault="00221CD5" w:rsidP="000B4562">
            <w:pPr>
              <w:pStyle w:val="TCTableBody"/>
            </w:pPr>
            <w:r w:rsidRPr="00221CD5">
              <w:rPr>
                <w:lang w:val="it-IT"/>
              </w:rPr>
              <w:t>0.8</w:t>
            </w:r>
          </w:p>
        </w:tc>
      </w:tr>
      <w:tr w:rsidR="00221CD5" w:rsidRPr="00221CD5" w14:paraId="1F678E12" w14:textId="77777777" w:rsidTr="00115145">
        <w:trPr>
          <w:trHeight w:val="301"/>
        </w:trPr>
        <w:tc>
          <w:tcPr>
            <w:tcW w:w="0" w:type="auto"/>
            <w:vMerge/>
            <w:vAlign w:val="center"/>
          </w:tcPr>
          <w:p w14:paraId="358DB5E1" w14:textId="77777777" w:rsidR="00221CD5" w:rsidRPr="00221CD5" w:rsidRDefault="00221CD5" w:rsidP="000B4562">
            <w:pPr>
              <w:pStyle w:val="TCTableBody"/>
            </w:pPr>
          </w:p>
        </w:tc>
        <w:tc>
          <w:tcPr>
            <w:tcW w:w="0" w:type="auto"/>
          </w:tcPr>
          <w:p w14:paraId="1887471E" w14:textId="77777777" w:rsidR="00221CD5" w:rsidRPr="00221CD5" w:rsidRDefault="00221CD5" w:rsidP="000B4562">
            <w:pPr>
              <w:pStyle w:val="TCTableBody"/>
              <w:rPr>
                <w:lang w:val="it-IT"/>
              </w:rPr>
            </w:pPr>
            <w:r w:rsidRPr="00221CD5">
              <w:t>180</w:t>
            </w:r>
          </w:p>
        </w:tc>
        <w:tc>
          <w:tcPr>
            <w:tcW w:w="0" w:type="auto"/>
            <w:vAlign w:val="bottom"/>
          </w:tcPr>
          <w:p w14:paraId="18BFFD3A" w14:textId="77777777" w:rsidR="00221CD5" w:rsidRPr="00221CD5" w:rsidRDefault="00221CD5" w:rsidP="000B4562">
            <w:pPr>
              <w:pStyle w:val="TCTableBody"/>
            </w:pPr>
            <w:r w:rsidRPr="00221CD5">
              <w:rPr>
                <w:lang w:val="it-IT"/>
              </w:rPr>
              <w:t>23.4 ± 0.2</w:t>
            </w:r>
          </w:p>
        </w:tc>
        <w:tc>
          <w:tcPr>
            <w:tcW w:w="0" w:type="auto"/>
            <w:vAlign w:val="bottom"/>
          </w:tcPr>
          <w:p w14:paraId="18625DCF" w14:textId="77777777" w:rsidR="00221CD5" w:rsidRPr="00221CD5" w:rsidRDefault="00221CD5" w:rsidP="000B4562">
            <w:pPr>
              <w:pStyle w:val="TCTableBody"/>
            </w:pPr>
            <w:r w:rsidRPr="00221CD5">
              <w:rPr>
                <w:lang w:val="it-IT"/>
              </w:rPr>
              <w:t>48.1 ± 0.7</w:t>
            </w:r>
          </w:p>
        </w:tc>
        <w:tc>
          <w:tcPr>
            <w:tcW w:w="0" w:type="auto"/>
            <w:vAlign w:val="bottom"/>
          </w:tcPr>
          <w:p w14:paraId="10B58979" w14:textId="11255538" w:rsidR="00221CD5" w:rsidRPr="00221CD5" w:rsidRDefault="00221CD5" w:rsidP="000B4562">
            <w:pPr>
              <w:pStyle w:val="TCTableBody"/>
            </w:pPr>
            <w:r w:rsidRPr="00221CD5">
              <w:rPr>
                <w:lang w:val="it-IT"/>
              </w:rPr>
              <w:t>1.0</w:t>
            </w:r>
          </w:p>
        </w:tc>
      </w:tr>
      <w:tr w:rsidR="00221CD5" w:rsidRPr="00221CD5" w14:paraId="45B6739A" w14:textId="77777777" w:rsidTr="00115145">
        <w:trPr>
          <w:trHeight w:val="284"/>
        </w:trPr>
        <w:tc>
          <w:tcPr>
            <w:tcW w:w="0" w:type="auto"/>
            <w:vMerge/>
            <w:vAlign w:val="center"/>
          </w:tcPr>
          <w:p w14:paraId="62C21B55" w14:textId="77777777" w:rsidR="00221CD5" w:rsidRPr="00221CD5" w:rsidRDefault="00221CD5" w:rsidP="000B4562">
            <w:pPr>
              <w:pStyle w:val="TCTableBody"/>
            </w:pPr>
          </w:p>
        </w:tc>
        <w:tc>
          <w:tcPr>
            <w:tcW w:w="0" w:type="auto"/>
          </w:tcPr>
          <w:p w14:paraId="4B9F8111" w14:textId="77777777" w:rsidR="00221CD5" w:rsidRPr="00221CD5" w:rsidRDefault="00221CD5" w:rsidP="000B4562">
            <w:pPr>
              <w:pStyle w:val="TCTableBody"/>
              <w:rPr>
                <w:lang w:val="it-IT"/>
              </w:rPr>
            </w:pPr>
            <w:r w:rsidRPr="00221CD5">
              <w:t>200</w:t>
            </w:r>
          </w:p>
        </w:tc>
        <w:tc>
          <w:tcPr>
            <w:tcW w:w="0" w:type="auto"/>
            <w:vAlign w:val="bottom"/>
          </w:tcPr>
          <w:p w14:paraId="41274650" w14:textId="2B535A17" w:rsidR="00221CD5" w:rsidRPr="00221CD5" w:rsidRDefault="00221CD5" w:rsidP="000B4562">
            <w:pPr>
              <w:pStyle w:val="TCTableBody"/>
            </w:pPr>
            <w:r w:rsidRPr="00221CD5">
              <w:rPr>
                <w:lang w:val="it-IT"/>
              </w:rPr>
              <w:t>26.5</w:t>
            </w:r>
          </w:p>
        </w:tc>
        <w:tc>
          <w:tcPr>
            <w:tcW w:w="0" w:type="auto"/>
            <w:vAlign w:val="bottom"/>
          </w:tcPr>
          <w:p w14:paraId="1AC13C70" w14:textId="77777777" w:rsidR="00221CD5" w:rsidRPr="00221CD5" w:rsidRDefault="00221CD5" w:rsidP="000B4562">
            <w:pPr>
              <w:pStyle w:val="TCTableBody"/>
            </w:pPr>
            <w:r w:rsidRPr="00221CD5">
              <w:rPr>
                <w:lang w:val="it-IT"/>
              </w:rPr>
              <w:t>46.4 ± 2.5</w:t>
            </w:r>
          </w:p>
        </w:tc>
        <w:tc>
          <w:tcPr>
            <w:tcW w:w="0" w:type="auto"/>
            <w:vAlign w:val="bottom"/>
          </w:tcPr>
          <w:p w14:paraId="02385235" w14:textId="44AE1AAB" w:rsidR="00221CD5" w:rsidRPr="00221CD5" w:rsidRDefault="00221CD5" w:rsidP="000B4562">
            <w:pPr>
              <w:pStyle w:val="TCTableBody"/>
            </w:pPr>
            <w:r w:rsidRPr="00221CD5">
              <w:rPr>
                <w:lang w:val="it-IT"/>
              </w:rPr>
              <w:t>1.1</w:t>
            </w:r>
          </w:p>
        </w:tc>
      </w:tr>
    </w:tbl>
    <w:p w14:paraId="06378699" w14:textId="77777777" w:rsidR="00221CD5" w:rsidRPr="00221CD5" w:rsidRDefault="00221CD5" w:rsidP="00221CD5">
      <w:pPr>
        <w:pStyle w:val="TAMainText"/>
        <w:spacing w:after="240"/>
        <w:ind w:firstLine="0"/>
        <w:jc w:val="left"/>
      </w:pPr>
    </w:p>
    <w:p w14:paraId="1B3352BB" w14:textId="07209578" w:rsidR="00221CD5" w:rsidRPr="009D5232" w:rsidRDefault="00AB72A3" w:rsidP="00480CAD">
      <w:pPr>
        <w:pStyle w:val="TAMainText"/>
      </w:pPr>
      <w:bookmarkStart w:id="7" w:name="_Hlk158391683"/>
      <w:r w:rsidRPr="00160056">
        <w:t xml:space="preserve">Characterization of the </w:t>
      </w:r>
      <w:r>
        <w:t>aqueous phases</w:t>
      </w:r>
      <w:r w:rsidRPr="00160056">
        <w:t xml:space="preserve"> by both ion chromatography and gas chromatography revealed that hydrolysis of the ester bonds in PLA and PBS was the main degradation mechanism taking place during </w:t>
      </w:r>
      <w:r w:rsidR="00F0156F">
        <w:t>the HT</w:t>
      </w:r>
      <w:r w:rsidRPr="00160056">
        <w:t>, and the monomers were by far the most abundant products. The</w:t>
      </w:r>
      <w:r>
        <w:t xml:space="preserve"> possibility of </w:t>
      </w:r>
      <w:r w:rsidRPr="00160056">
        <w:t>recover</w:t>
      </w:r>
      <w:r>
        <w:t>ing</w:t>
      </w:r>
      <w:r w:rsidRPr="00160056">
        <w:t xml:space="preserve"> PLA and PBS monomers </w:t>
      </w:r>
      <w:r>
        <w:t xml:space="preserve">is </w:t>
      </w:r>
      <w:r w:rsidRPr="00160056">
        <w:t>a promising feature of HT</w:t>
      </w:r>
      <w:r>
        <w:t xml:space="preserve"> which could</w:t>
      </w:r>
      <w:r w:rsidRPr="00160056">
        <w:t xml:space="preserve"> further improv</w:t>
      </w:r>
      <w:r>
        <w:t xml:space="preserve">e </w:t>
      </w:r>
      <w:r w:rsidRPr="00160056">
        <w:t xml:space="preserve">the life cycle of compostable plastics. </w:t>
      </w:r>
      <w:r>
        <w:t>For these reasons, i</w:t>
      </w:r>
      <w:r w:rsidRPr="00221CD5">
        <w:t xml:space="preserve">on chromatography was used to quantify lactic acid and succinic acid. </w:t>
      </w:r>
      <w:bookmarkEnd w:id="7"/>
      <w:r w:rsidR="00221CD5" w:rsidRPr="00221CD5">
        <w:t xml:space="preserve"> Data for the calibration curves</w:t>
      </w:r>
      <w:r w:rsidR="00503398">
        <w:t xml:space="preserve"> </w:t>
      </w:r>
      <w:r w:rsidR="00503398" w:rsidRPr="009D5232">
        <w:t>and representative ion chromatograms</w:t>
      </w:r>
      <w:r w:rsidR="00221CD5" w:rsidRPr="006D4E51">
        <w:t xml:space="preserve"> </w:t>
      </w:r>
      <w:r w:rsidR="00221CD5" w:rsidRPr="00221CD5">
        <w:t xml:space="preserve">are available in Supplementary </w:t>
      </w:r>
      <w:r w:rsidR="00221CD5" w:rsidRPr="00917CF6">
        <w:t>Material (Figure S</w:t>
      </w:r>
      <w:r w:rsidR="0022684A" w:rsidRPr="00917CF6">
        <w:t>6</w:t>
      </w:r>
      <w:r w:rsidR="00503398" w:rsidRPr="00917CF6">
        <w:t xml:space="preserve"> and S7</w:t>
      </w:r>
      <w:r w:rsidR="00221CD5" w:rsidRPr="00917CF6">
        <w:t>). Quantitative</w:t>
      </w:r>
      <w:r w:rsidR="00221CD5" w:rsidRPr="00221CD5">
        <w:t xml:space="preserve"> data for the samples are expressed as g of lactic acid or succinic acid per g of substrate, and the results are summarized in Fig</w:t>
      </w:r>
      <w:r w:rsidR="00F27088">
        <w:t>ure</w:t>
      </w:r>
      <w:r w:rsidR="00F27088" w:rsidRPr="00221CD5">
        <w:t xml:space="preserve"> </w:t>
      </w:r>
      <w:r w:rsidR="00221CD5" w:rsidRPr="00221CD5">
        <w:t xml:space="preserve">4. In agreement with the results obtained for the solid residues, HT at 160 °C led to only a partial degradation of PLA, and to minimal degradation of PBS in MB. </w:t>
      </w:r>
      <w:r w:rsidR="007354FD">
        <w:t>T</w:t>
      </w:r>
      <w:r w:rsidR="00221CD5" w:rsidRPr="00221CD5">
        <w:t>he yields did not change significantly</w:t>
      </w:r>
      <w:r w:rsidR="007354FD">
        <w:t xml:space="preserve"> </w:t>
      </w:r>
      <w:r w:rsidR="006D4E51">
        <w:t xml:space="preserve">between </w:t>
      </w:r>
      <w:r w:rsidR="007354FD">
        <w:t xml:space="preserve">180 </w:t>
      </w:r>
      <w:r w:rsidR="006D4E51">
        <w:t xml:space="preserve">and 200 </w:t>
      </w:r>
      <w:r w:rsidR="007354FD">
        <w:t>°C</w:t>
      </w:r>
      <w:r w:rsidR="00221CD5" w:rsidRPr="00221CD5">
        <w:t>, indicating a quantitative conversion of both PLA and PBS in all investigated samples.</w:t>
      </w:r>
      <w:r w:rsidR="001F14FE" w:rsidRPr="001F14FE">
        <w:t xml:space="preserve"> </w:t>
      </w:r>
      <w:r w:rsidR="001F14FE">
        <w:t xml:space="preserve">A simple mass balance considering only the organic fractions of </w:t>
      </w:r>
      <w:proofErr w:type="spellStart"/>
      <w:proofErr w:type="gramStart"/>
      <w:r w:rsidR="001F14FE">
        <w:t>cPLA</w:t>
      </w:r>
      <w:proofErr w:type="spellEnd"/>
      <w:proofErr w:type="gramEnd"/>
      <w:r w:rsidR="001F14FE">
        <w:t xml:space="preserve"> and MB shows that HT at 200 °C </w:t>
      </w:r>
      <w:r w:rsidR="00F41093">
        <w:t xml:space="preserve">almost completely dissolves </w:t>
      </w:r>
      <w:r w:rsidR="00FA0302">
        <w:t>them</w:t>
      </w:r>
      <w:r w:rsidR="00F41093">
        <w:t xml:space="preserve"> (</w:t>
      </w:r>
      <w:r w:rsidR="001F14FE">
        <w:t xml:space="preserve">86.9 and 99.6% </w:t>
      </w:r>
      <w:r w:rsidR="00F41093">
        <w:t xml:space="preserve">for </w:t>
      </w:r>
      <w:proofErr w:type="spellStart"/>
      <w:r w:rsidR="00F41093">
        <w:t>cPLA</w:t>
      </w:r>
      <w:proofErr w:type="spellEnd"/>
      <w:r w:rsidR="00F41093">
        <w:t xml:space="preserve"> and MB, respectively)</w:t>
      </w:r>
      <w:r w:rsidR="001F14FE">
        <w:t>, with combined mass yields of LA and SA of 119% and 116% (coherently with the fact that hydrolytic reactions incorporate water molecules).</w:t>
      </w:r>
      <w:r w:rsidR="00221CD5" w:rsidRPr="00221CD5">
        <w:t xml:space="preserve"> MB provided almost equal yields of lactic acid and succinic acid, suggesting that these two polymers are present in equal amounts in the original material. </w:t>
      </w:r>
      <w:r w:rsidR="007354FD" w:rsidRPr="009D5232">
        <w:t xml:space="preserve">The small amount of lactic acid in the liquid fractions of cellulose can derive from both the PLA coating and </w:t>
      </w:r>
      <w:r w:rsidR="00F10CAD" w:rsidRPr="009D5232">
        <w:t xml:space="preserve">the </w:t>
      </w:r>
      <w:r w:rsidR="007354FD" w:rsidRPr="009D5232">
        <w:t>cellulose itself</w:t>
      </w:r>
      <w:r w:rsidR="00944463" w:rsidRPr="00F10CAD">
        <w:fldChar w:fldCharType="begin" w:fldLock="1"/>
      </w:r>
      <w:r w:rsidR="00842BA8">
        <w:instrText>ADDIN CSL_CITATION {"citationItems":[{"id":"ITEM-1","itemData":{"DOI":"10.1016/j.biortech.2023.129724","ISSN":"09608524","author":[{"dropping-particle":"","family":"Ischia","given":"Giulia","non-dropping-particle":"","parse-names":false,"suffix":""},{"dropping-particle":"","family":"Goldfarb","given":"Jillian L.","non-dropping-particle":"","parse-names":false,"suffix":""},{"dropping-particle":"","family":"Miotello","given":"Antonio","non-dropping-particle":"","parse-names":false,"suffix":""},{"dropping-particle":"","family":"Fiori","given":"Luca","non-dropping-particle":"","parse-names":false,"suffix":""}],"container-title":"Bioresource Technology","id":"ITEM-1","issued":{"date-parts":[["2023","11"]]},"page":"129724","title":"Green solvents to enhance hydrochar quality and clarify effects of secondary char","type":"article-journal","volume":"388"},"uris":["http://www.mendeley.com/documents/?uuid=9cc01b1d-c9ef-4185-a063-1a1a706c0249"]}],"mendeley":{"formattedCitation":"&lt;sup&gt;32&lt;/sup&gt;","plainTextFormattedCitation":"32","previouslyFormattedCitation":"&lt;sup&gt;32&lt;/sup&gt;"},"properties":{"noteIndex":0},"schema":"https://github.com/citation-style-language/schema/raw/master/csl-citation.json"}</w:instrText>
      </w:r>
      <w:r w:rsidR="00944463" w:rsidRPr="00F10CAD">
        <w:fldChar w:fldCharType="separate"/>
      </w:r>
      <w:r w:rsidR="00842BA8" w:rsidRPr="00842BA8">
        <w:rPr>
          <w:noProof/>
          <w:vertAlign w:val="superscript"/>
        </w:rPr>
        <w:t>32</w:t>
      </w:r>
      <w:r w:rsidR="00944463" w:rsidRPr="00F10CAD">
        <w:fldChar w:fldCharType="end"/>
      </w:r>
      <w:r w:rsidR="0006712F" w:rsidRPr="009D5232">
        <w:t>.</w:t>
      </w:r>
      <w:r w:rsidR="00944463" w:rsidRPr="009D5232">
        <w:t xml:space="preserve"> In this framework, HTs could also be seen as a way to </w:t>
      </w:r>
      <w:r w:rsidR="001D0EF2" w:rsidRPr="009D5232">
        <w:t xml:space="preserve">separate PLA and cellulose and facilitate the </w:t>
      </w:r>
      <w:r w:rsidR="001D0EF2" w:rsidRPr="009D5232">
        <w:lastRenderedPageBreak/>
        <w:t>recycling of both materials, an approach that has already been described as advantageous for other multilayer plastic-based materials</w:t>
      </w:r>
      <w:r w:rsidR="001D0EF2" w:rsidRPr="009D5232">
        <w:fldChar w:fldCharType="begin" w:fldLock="1"/>
      </w:r>
      <w:r w:rsidR="00842BA8">
        <w:instrText>ADDIN CSL_CITATION {"citationItems":[{"id":"ITEM-1","itemData":{"DOI":"10.1021/ACSSUSCHEMENG.3C06003","ISSN":"2168-0485","abstract":"Mixed polymer plastics cannot undergo mechanical recycling, resulting in heterogeneous low-quality recycled products. Multilayered mulch film, used in agriculture, is an example of mixed polymeric ...","author":[{"dropping-particle":"","family":"Darzi","given":"Ran","non-dropping-particle":"","parse-names":false,"suffix":""},{"dropping-particle":"","family":"Dubowski","given":"Yael","non-dropping-particle":"","parse-names":false,"suffix":""},{"dropping-particle":"","family":"Goldfarb","given":"Jillian L.","non-dropping-particle":"","parse-names":false,"suffix":""},{"dropping-particle":"","family":"Karod","given":"Madeline","non-dropping-particle":"","parse-names":false,"suffix":""},{"dropping-particle":"","family":"Sills","given":"Deborah","non-dropping-particle":"","parse-names":false,"suffix":""},{"dropping-particle":"","family":"Posmanik","given":"Roy","non-dropping-particle":"","parse-names":false,"suffix":""}],"container-title":"ACS Sustainable Chemistry &amp; Engineering","id":"ITEM-1","issued":{"date-parts":[["2023","12","11"]]},"publisher":"American Chemical Society","title":"Hydrothermal Processing of Multilayer Plastic Film for Cascaded Valorization of Nonrecyclable Waste","type":"article-journal"},"uris":["http://www.mendeley.com/documents/?uuid=f6d8b160-dd0d-35d3-8e45-3e45e71630e6"]}],"mendeley":{"formattedCitation":"&lt;sup&gt;34&lt;/sup&gt;","plainTextFormattedCitation":"34","previouslyFormattedCitation":"&lt;sup&gt;34&lt;/sup&gt;"},"properties":{"noteIndex":0},"schema":"https://github.com/citation-style-language/schema/raw/master/csl-citation.json"}</w:instrText>
      </w:r>
      <w:r w:rsidR="001D0EF2" w:rsidRPr="009D5232">
        <w:fldChar w:fldCharType="separate"/>
      </w:r>
      <w:r w:rsidR="00842BA8" w:rsidRPr="00842BA8">
        <w:rPr>
          <w:noProof/>
          <w:vertAlign w:val="superscript"/>
        </w:rPr>
        <w:t>34</w:t>
      </w:r>
      <w:r w:rsidR="001D0EF2" w:rsidRPr="009D5232">
        <w:fldChar w:fldCharType="end"/>
      </w:r>
      <w:r w:rsidR="001D0EF2" w:rsidRPr="009D5232">
        <w:t>.</w:t>
      </w:r>
      <w:r w:rsidR="0012549D">
        <w:t xml:space="preserve"> </w:t>
      </w:r>
    </w:p>
    <w:p w14:paraId="660851A1" w14:textId="154A2F48" w:rsidR="00AB72A3" w:rsidRPr="00221CD5" w:rsidRDefault="00AB72A3" w:rsidP="00221CD5">
      <w:pPr>
        <w:pStyle w:val="TAMainText"/>
        <w:spacing w:after="240"/>
        <w:jc w:val="left"/>
      </w:pPr>
      <w:r w:rsidRPr="009E1580">
        <w:rPr>
          <w:noProof/>
        </w:rPr>
        <w:drawing>
          <wp:inline distT="0" distB="0" distL="0" distR="0" wp14:anchorId="5A049294" wp14:editId="1D264344">
            <wp:extent cx="5943600" cy="2675890"/>
            <wp:effectExtent l="0" t="0" r="0" b="0"/>
            <wp:docPr id="173683400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675890"/>
                    </a:xfrm>
                    <a:prstGeom prst="rect">
                      <a:avLst/>
                    </a:prstGeom>
                    <a:noFill/>
                    <a:ln>
                      <a:noFill/>
                    </a:ln>
                  </pic:spPr>
                </pic:pic>
              </a:graphicData>
            </a:graphic>
          </wp:inline>
        </w:drawing>
      </w:r>
    </w:p>
    <w:p w14:paraId="10301C1A" w14:textId="0F893514" w:rsidR="00221CD5" w:rsidRDefault="00221CD5" w:rsidP="000B4562">
      <w:pPr>
        <w:pStyle w:val="VAFigureCaption"/>
      </w:pPr>
      <w:bookmarkStart w:id="8" w:name="_Ref152062718"/>
      <w:r w:rsidRPr="00221CD5">
        <w:rPr>
          <w:b/>
          <w:bCs/>
        </w:rPr>
        <w:t xml:space="preserve">Figure </w:t>
      </w:r>
      <w:bookmarkEnd w:id="8"/>
      <w:r w:rsidRPr="00221CD5">
        <w:rPr>
          <w:b/>
          <w:bCs/>
        </w:rPr>
        <w:t>4.</w:t>
      </w:r>
      <w:r w:rsidRPr="00221CD5">
        <w:t xml:space="preserve"> Yields of lactic acid and succinic acid in the liquid fractions of all samples, as measured by ion chromatography</w:t>
      </w:r>
      <w:r w:rsidR="00AB72A3">
        <w:t xml:space="preserve"> (with each analysis performed at least four times)</w:t>
      </w:r>
      <w:r w:rsidRPr="00221CD5">
        <w:t>. Yields expressed as grams of lactic acid or succinic acid per gram of substrate.</w:t>
      </w:r>
    </w:p>
    <w:p w14:paraId="40E4DCB0" w14:textId="7AE5BAD7" w:rsidR="007354FD" w:rsidRPr="00221CD5" w:rsidRDefault="007354FD" w:rsidP="00756EC8">
      <w:pPr>
        <w:pStyle w:val="TAMainText"/>
      </w:pPr>
      <w:bookmarkStart w:id="9" w:name="_Hlk160793121"/>
      <w:r>
        <w:t xml:space="preserve">GC/MS analyses were </w:t>
      </w:r>
      <w:r w:rsidR="00F514B9">
        <w:t>performed</w:t>
      </w:r>
      <w:r>
        <w:t xml:space="preserve"> on hexane/diethyl ether</w:t>
      </w:r>
      <w:r w:rsidR="00F514B9">
        <w:t xml:space="preserve"> extracts of the liquid phases. The experimental procedure and resulting chromatograms are available in Supplementary Material (Figure S8). </w:t>
      </w:r>
      <w:r>
        <w:t>The low</w:t>
      </w:r>
      <w:r w:rsidR="00F514B9">
        <w:t>-</w:t>
      </w:r>
      <w:r>
        <w:t xml:space="preserve">polarity solvents were used to highlight the presence of PLA and PBS oligomers, as they are less polar than the corresponding monomers. </w:t>
      </w:r>
      <w:r w:rsidR="00F514B9">
        <w:t>All fractions obtained at 160 °C showed in fact oligomers of PLA, and those of MB and MIX also showed oligomers of PBS</w:t>
      </w:r>
      <w:r>
        <w:t xml:space="preserve">. </w:t>
      </w:r>
      <w:r w:rsidR="00F514B9">
        <w:t>O</w:t>
      </w:r>
      <w:r>
        <w:t>nly the monomers were detected at 180 and 200 °C</w:t>
      </w:r>
      <w:r w:rsidR="00F514B9">
        <w:t>,</w:t>
      </w:r>
      <w:r>
        <w:t xml:space="preserve"> once again </w:t>
      </w:r>
      <w:r w:rsidR="00F514B9">
        <w:t>confirming</w:t>
      </w:r>
      <w:r>
        <w:t xml:space="preserve"> that the high</w:t>
      </w:r>
      <w:r w:rsidR="002924D6">
        <w:t>er</w:t>
      </w:r>
      <w:r>
        <w:t xml:space="preserve"> temperatures led to a quantitative hydrolysis of the polymers.</w:t>
      </w:r>
    </w:p>
    <w:bookmarkEnd w:id="9"/>
    <w:p w14:paraId="54F04886" w14:textId="197701E4" w:rsidR="00221CD5" w:rsidRPr="00944463" w:rsidRDefault="00221CD5" w:rsidP="00944463">
      <w:pPr>
        <w:pStyle w:val="TAMainText"/>
        <w:rPr>
          <w:b/>
          <w:bCs/>
        </w:rPr>
      </w:pPr>
      <w:r w:rsidRPr="00221CD5">
        <w:rPr>
          <w:b/>
          <w:bCs/>
        </w:rPr>
        <w:t>3.5. Final remarks</w:t>
      </w:r>
      <w:r w:rsidR="00944463">
        <w:rPr>
          <w:b/>
          <w:bCs/>
        </w:rPr>
        <w:t xml:space="preserve">. </w:t>
      </w:r>
      <w:r w:rsidRPr="00221CD5">
        <w:t xml:space="preserve">In the previous sections, the suitability of a HT for rapidly degrading some common types of disposable </w:t>
      </w:r>
      <w:r w:rsidR="00ED4613">
        <w:t>bioplastic</w:t>
      </w:r>
      <w:r w:rsidR="00ED4613" w:rsidRPr="00221CD5">
        <w:t xml:space="preserve"> </w:t>
      </w:r>
      <w:r w:rsidRPr="00221CD5">
        <w:t xml:space="preserve">items has been confirmed. Mild HT is very effective in promoting the hydrolytic depolymerization of </w:t>
      </w:r>
      <w:proofErr w:type="spellStart"/>
      <w:r w:rsidRPr="00221CD5">
        <w:t>cPLA</w:t>
      </w:r>
      <w:proofErr w:type="spellEnd"/>
      <w:r w:rsidRPr="00221CD5">
        <w:t xml:space="preserve"> and MB, </w:t>
      </w:r>
      <w:r w:rsidR="001F14FE">
        <w:t xml:space="preserve">nearly completely hydrolyzing their </w:t>
      </w:r>
      <w:r w:rsidR="001F14FE">
        <w:lastRenderedPageBreak/>
        <w:t xml:space="preserve">organic fraction and </w:t>
      </w:r>
      <w:r w:rsidRPr="00221CD5">
        <w:t xml:space="preserve">resulting in very high yields of lactic acid and succinic acid, along with several other compounds in much lower concentrations. The subsequent use of the obtained products </w:t>
      </w:r>
      <w:r w:rsidR="004D1636">
        <w:t>should</w:t>
      </w:r>
      <w:r w:rsidRPr="00221CD5">
        <w:t xml:space="preserve"> be carefully assessed, likely depending on the composition of the initial mixture fed to HT.</w:t>
      </w:r>
    </w:p>
    <w:p w14:paraId="211B1493" w14:textId="0652696E" w:rsidR="00221CD5" w:rsidRPr="00221CD5" w:rsidRDefault="00221CD5" w:rsidP="00480CAD">
      <w:pPr>
        <w:pStyle w:val="TAMainText"/>
      </w:pPr>
      <w:r w:rsidRPr="00221CD5">
        <w:t xml:space="preserve">Both lactic and succinic acids are important platform chemicals, mainly employed to produce polymers but also for more advanced applications. Their principal synthesis route is bacterial, entailing limited concentrations and yields. In a biorefinery framework, HT could </w:t>
      </w:r>
      <w:r w:rsidR="00B53856">
        <w:t>act</w:t>
      </w:r>
      <w:r w:rsidRPr="00221CD5">
        <w:t xml:space="preserve"> as a chemical recycling route, bringing the </w:t>
      </w:r>
      <w:r w:rsidR="00715F97">
        <w:t>bioplasti</w:t>
      </w:r>
      <w:r w:rsidR="00715F97" w:rsidRPr="00221CD5">
        <w:t xml:space="preserve">cs </w:t>
      </w:r>
      <w:r w:rsidRPr="00221CD5">
        <w:t xml:space="preserve">back to their monomeric constituents that can then be used to synthesize new </w:t>
      </w:r>
      <w:r w:rsidR="00715F97">
        <w:t>bioplasti</w:t>
      </w:r>
      <w:r w:rsidR="00715F97" w:rsidRPr="00221CD5">
        <w:t>cs</w:t>
      </w:r>
      <w:r w:rsidRPr="00221CD5">
        <w:t>. The extraction of lactic acid from liquid mixtures, despite not perfect, is well established, and more efficient alternatives have also been proposed</w:t>
      </w:r>
      <w:r w:rsidRPr="00221CD5">
        <w:fldChar w:fldCharType="begin" w:fldLock="1"/>
      </w:r>
      <w:r w:rsidR="00842BA8">
        <w:instrText>ADDIN CSL_CITATION {"citationItems":[{"id":"ITEM-1","itemData":{"DOI":"10.1016/j.jclepro.2017.01.055","ISSN":"09596526","author":[{"dropping-particle":"","family":"Hu","given":"Yunzi","non-dropping-particle":"","parse-names":false,"suffix":""},{"dropping-particle":"","family":"Kwan","given":"Tsz Him","non-dropping-particle":"","parse-names":false,"suffix":""},{"dropping-particle":"","family":"Daoud","given":"Walid A.","non-dropping-particle":"","parse-names":false,"suffix":""},{"dropping-particle":"","family":"Lin","given":"Carol Sze Ki","non-dropping-particle":"","parse-names":false,"suffix":""}],"container-title":"Journal of Cleaner Production","id":"ITEM-1","issued":{"date-parts":[["2017","3"]]},"page":"142-150","title":"Continuous ultrasonic-mediated solvent extraction of lactic acid from fermentation broths","type":"article-journal","volume":"145"},"uris":["http://www.mendeley.com/documents/?uuid=3a67baf5-1218-46bd-bc50-4b53d02a82c5"]}],"mendeley":{"formattedCitation":"&lt;sup&gt;35&lt;/sup&gt;","plainTextFormattedCitation":"35","previouslyFormattedCitation":"&lt;sup&gt;35&lt;/sup&gt;"},"properties":{"noteIndex":0},"schema":"https://github.com/citation-style-language/schema/raw/master/csl-citation.json"}</w:instrText>
      </w:r>
      <w:r w:rsidRPr="00221CD5">
        <w:fldChar w:fldCharType="separate"/>
      </w:r>
      <w:r w:rsidR="00842BA8" w:rsidRPr="00842BA8">
        <w:rPr>
          <w:noProof/>
          <w:vertAlign w:val="superscript"/>
        </w:rPr>
        <w:t>35</w:t>
      </w:r>
      <w:r w:rsidRPr="00221CD5">
        <w:fldChar w:fldCharType="end"/>
      </w:r>
      <w:r w:rsidRPr="00221CD5">
        <w:t>. The feasibility of such an approach will however likely depend on the concentration of lactic acid in the final liquid product, which in turn will depend on the concentration of PLA in the treated mixture. Given the high market share of PLA, it could indeed be high, but the presence of other organic wastes and traditional plastics may decrease it. For a more heterogeneous mixture, an alternative pathway for a material valorization of the HT slurry could be the bacterial synthesis of other types of bioplastics, such as polyhydroxyalkanoates</w:t>
      </w:r>
      <w:r w:rsidRPr="00221CD5">
        <w:fldChar w:fldCharType="begin" w:fldLock="1"/>
      </w:r>
      <w:r w:rsidR="00842BA8">
        <w:instrText>ADDIN CSL_CITATION {"citationItems":[{"id":"ITEM-1","itemData":{"DOI":"10.1002/ejlt.201900101","ISSN":"1438-7697","abstract":"Polyhydroxyalkanoates (PHAs) are microbial biopolymers (polyesters) that have a wide range of functions and applications. They serve in nature mainly as carbon and energy storage materials for a variety of microorganisms. In past decades, their utilization has attracted much attention, from commodities and degradable plastics to specialty performance materials in medicine. PHA biosynthesis has been well understood, and it is now possible to design bacterial strands to produce PHAs with desired properties. The substrates for the fermentative production of PHAs are very manifold: some are derived from food‐based carbon sources (e.g., fats and oils (triglycerids)), thus raising concerns with regard to the sustainability of their productions in terms of crop area and food. In addition, hemicellulose hydrolysates, crude glycerol, and methanol are very promising carbon sources for the sustainable production of PHAs. The integration of PHA production within a modern biorefinery is an important issue and can result in a simultaneous production of biofuels and bioplastics. Furthermore, many chemical‐synthetic procedures by means of efficient catalysts can give access to a variety of PHAs. This article summarizes recent developments in these fields and emphasizes the importance of a sustainable PHA‐based industry.","author":[{"dropping-particle":"","family":"Winnacker","given":"Malte","non-dropping-particle":"","parse-names":false,"suffix":""}],"container-title":"European Journal of Lipid Science and Technology","id":"ITEM-1","issue":"11","issued":{"date-parts":[["2019","11","14"]]},"title":"Polyhydroxyalkanoates: Recent Advances in Their Synthesis and Applications","type":"article-journal","volume":"121"},"uris":["http://www.mendeley.com/documents/?uuid=9d21b8d3-d813-4c9c-b62c-3b0a34d161fe"]}],"mendeley":{"formattedCitation":"&lt;sup&gt;36&lt;/sup&gt;","plainTextFormattedCitation":"36","previouslyFormattedCitation":"&lt;sup&gt;36&lt;/sup&gt;"},"properties":{"noteIndex":0},"schema":"https://github.com/citation-style-language/schema/raw/master/csl-citation.json"}</w:instrText>
      </w:r>
      <w:r w:rsidRPr="00221CD5">
        <w:fldChar w:fldCharType="separate"/>
      </w:r>
      <w:r w:rsidR="00842BA8" w:rsidRPr="00842BA8">
        <w:rPr>
          <w:noProof/>
          <w:vertAlign w:val="superscript"/>
        </w:rPr>
        <w:t>36</w:t>
      </w:r>
      <w:r w:rsidRPr="00221CD5">
        <w:fldChar w:fldCharType="end"/>
      </w:r>
      <w:r w:rsidRPr="00221CD5">
        <w:t>. Although the final optimal solution will be case-dependent, there is undoubtedly a need for more studies dealing with the HT of realistic mixtures mechanically separated at the entrance of OFMSW plants.</w:t>
      </w:r>
    </w:p>
    <w:p w14:paraId="172B33A2" w14:textId="7AB4BEEC" w:rsidR="001D0EF2" w:rsidRDefault="00221CD5" w:rsidP="009D5232">
      <w:pPr>
        <w:pStyle w:val="TAMainText"/>
        <w:ind w:firstLine="0"/>
      </w:pPr>
      <w:r w:rsidRPr="00221CD5">
        <w:t xml:space="preserve">A more technologically established option could be sending all the obtained HT products to anerobic digestion, which is an approach that has already been proven as advantageous when dealing with the OFMSW or other organic wastes. This procedure is likely to be also suitable for this case: lactic acid is one of the intermediates of the </w:t>
      </w:r>
      <w:r w:rsidR="00580F5F">
        <w:t>anaerobic digestion</w:t>
      </w:r>
      <w:r w:rsidRPr="00221CD5">
        <w:t xml:space="preserve"> process and is easily degraded by bacteria</w:t>
      </w:r>
      <w:r w:rsidRPr="00221CD5">
        <w:fldChar w:fldCharType="begin" w:fldLock="1"/>
      </w:r>
      <w:r w:rsidR="00842BA8">
        <w:instrText>ADDIN CSL_CITATION {"citationItems":[{"id":"ITEM-1","itemData":{"DOI":"10.1177/0734242X18819954","ISSN":"0734-242X","abstract":"Food waste (FW) disposal has become a global social, environmental, and economic problem. The current practice of landfilling is undesirable due to its potential emission of greenhouse gas, nutrient recycling, and pollution of water resources. Anaerobic digestion (AD), particularly two-phase AD is a promising option to manage FW and recover energy in the form of methane and obtain value-added by-products. However, most current review literature focuses on operating conditions while often placing little emphasis on improving conversion efficiency through regulating intermediate products. The AD process involves complex metabolic reactions carried out by several microbial groups. Therefore, understanding of these metabolic pathways existing in AD is the key to design effective strategies for enrichment of specific microbial groups which can produce desired intermediates for methane production, which can possibly be achieved by an understanding of the influence of critical process parameters on these metabolic pathways. Thus, it is the aim of this review to describe the effect of process conditions on underlying metabolic pathways in order to allow an efficient manipulation of these pathways for enhancing methane production.","author":[{"dropping-particle":"","family":"Luo","given":"Liwen","non-dropping-particle":"","parse-names":false,"suffix":""},{"dropping-particle":"","family":"Kaur","given":"Guneet","non-dropping-particle":"","parse-names":false,"suffix":""},{"dropping-particle":"","family":"Wong","given":"Jonathan W.C.","non-dropping-particle":"","parse-names":false,"suffix":""}],"container-title":"Waste Management &amp; Research: The Journal for a Sustainable Circular Economy","id":"ITEM-1","issue":"4","issued":{"date-parts":[["2019","4","30"]]},"page":"333-346","title":"A mini-review on the metabolic pathways of food waste two-phase anaerobic digestion system","type":"article-journal","volume":"37"},"uris":["http://www.mendeley.com/documents/?uuid=c002c1d1-ee46-4422-af1a-d929ee7273a7"]}],"mendeley":{"formattedCitation":"&lt;sup&gt;37&lt;/sup&gt;","plainTextFormattedCitation":"37","previouslyFormattedCitation":"&lt;sup&gt;37&lt;/sup&gt;"},"properties":{"noteIndex":0},"schema":"https://github.com/citation-style-language/schema/raw/master/csl-citation.json"}</w:instrText>
      </w:r>
      <w:r w:rsidRPr="00221CD5">
        <w:fldChar w:fldCharType="separate"/>
      </w:r>
      <w:r w:rsidR="00842BA8" w:rsidRPr="00842BA8">
        <w:rPr>
          <w:noProof/>
          <w:vertAlign w:val="superscript"/>
        </w:rPr>
        <w:t>37</w:t>
      </w:r>
      <w:r w:rsidRPr="00221CD5">
        <w:fldChar w:fldCharType="end"/>
      </w:r>
      <w:r w:rsidRPr="00221CD5">
        <w:t xml:space="preserve">. The possible low concentration of the liquid products is also less problematic in this case. However, the final verdict will again depend on the properties of the </w:t>
      </w:r>
      <w:r w:rsidRPr="00221CD5">
        <w:lastRenderedPageBreak/>
        <w:t xml:space="preserve">initial mixture. The possible presence of traditional plastics may indeed be problematic if their degradation results in the release of </w:t>
      </w:r>
      <w:r w:rsidR="003C0156">
        <w:t>chemicals</w:t>
      </w:r>
      <w:r w:rsidR="003C0156" w:rsidRPr="00221CD5">
        <w:t xml:space="preserve"> </w:t>
      </w:r>
      <w:r w:rsidRPr="00221CD5">
        <w:t>inhibit</w:t>
      </w:r>
      <w:r w:rsidR="00CB4283">
        <w:t>ing</w:t>
      </w:r>
      <w:r w:rsidRPr="00221CD5">
        <w:t xml:space="preserve"> bacterial activity. The previous limited studies on the HT of traditional plastics have however shown that their degradation only happens at higher temperatures than </w:t>
      </w:r>
      <w:r w:rsidR="004F5D37">
        <w:t>those</w:t>
      </w:r>
      <w:r w:rsidRPr="00221CD5">
        <w:t xml:space="preserve"> of this study</w:t>
      </w:r>
      <w:r w:rsidRPr="00221CD5">
        <w:fldChar w:fldCharType="begin" w:fldLock="1"/>
      </w:r>
      <w:r w:rsidR="00842BA8">
        <w:instrText>ADDIN CSL_CITATION {"citationItems":[{"id":"ITEM-1","itemData":{"DOI":"10.1016/j.scp.2023.100991","ISSN":"23525541","author":[{"dropping-particle":"","family":"Mumtaz","given":"Hamza","non-dropping-particle":"","parse-names":false,"suffix":""},{"dropping-particle":"","family":"Sobek","given":"Szymon","non-dropping-particle":"","parse-names":false,"suffix":""},{"dropping-particle":"","family":"Werle","given":"Sebastian","non-dropping-particle":"","parse-names":false,"suffix":""},{"dropping-particle":"","family":"Sajdak","given":"Marcin","non-dropping-particle":"","parse-names":false,"suffix":""},{"dropping-particle":"","family":"Muzyka","given":"Roksana","non-dropping-particle":"","parse-names":false,"suffix":""}],"container-title":"Sustainable Chemistry and Pharmacy","id":"ITEM-1","issued":{"date-parts":[["2023","5"]]},"page":"100991","title":"Hydrothermal treatment of plastic waste within a circular economy perspective","type":"article-journal","volume":"32"},"uris":["http://www.mendeley.com/documents/?uuid=06248f42-e5c6-4ea8-8d64-b086d3a9192d"]}],"mendeley":{"formattedCitation":"&lt;sup&gt;38&lt;/sup&gt;","plainTextFormattedCitation":"38","previouslyFormattedCitation":"&lt;sup&gt;38&lt;/sup&gt;"},"properties":{"noteIndex":0},"schema":"https://github.com/citation-style-language/schema/raw/master/csl-citation.json"}</w:instrText>
      </w:r>
      <w:r w:rsidRPr="00221CD5">
        <w:fldChar w:fldCharType="separate"/>
      </w:r>
      <w:r w:rsidR="00842BA8" w:rsidRPr="00842BA8">
        <w:rPr>
          <w:noProof/>
          <w:vertAlign w:val="superscript"/>
        </w:rPr>
        <w:t>38</w:t>
      </w:r>
      <w:r w:rsidRPr="00221CD5">
        <w:fldChar w:fldCharType="end"/>
      </w:r>
      <w:r w:rsidRPr="00221CD5">
        <w:t xml:space="preserve">. In this framework, a mild HT may represent a valid way to separate </w:t>
      </w:r>
      <w:r w:rsidR="004F5D37">
        <w:t>bioplasti</w:t>
      </w:r>
      <w:r w:rsidR="004F5D37" w:rsidRPr="00221CD5">
        <w:t>cs</w:t>
      </w:r>
      <w:r w:rsidRPr="00221CD5">
        <w:t xml:space="preserve"> from traditional plastics, which is something that is hardly achievable through other </w:t>
      </w:r>
      <w:r w:rsidR="001C5A2B">
        <w:t>tools</w:t>
      </w:r>
      <w:r w:rsidRPr="00221CD5">
        <w:t>, and which is certainly not implemented in OFMSW plants</w:t>
      </w:r>
      <w:r w:rsidRPr="00221CD5">
        <w:fldChar w:fldCharType="begin" w:fldLock="1"/>
      </w:r>
      <w:r w:rsidR="00842BA8">
        <w:instrText>ADDIN CSL_CITATION {"citationItems":[{"id":"ITEM-1","itemData":{"DOI":"10.3390/su10051487","ISSN":"2071-1050","author":[{"dropping-particle":"","family":"Alaerts","given":"Luc","non-dropping-particle":"","parse-names":false,"suffix":""},{"dropping-particle":"","family":"Augustinus","given":"Michael","non-dropping-particle":"","parse-names":false,"suffix":""},{"dropping-particle":"","family":"Acker","given":"Karel","non-dropping-particle":"Van","parse-names":false,"suffix":""}],"container-title":"Sustainability","id":"ITEM-1","issue":"5","issued":{"date-parts":[["2018","5","9"]]},"page":"1487","title":"Impact of Bio-Based Plastics on Current Recycling of Plastics","type":"article-journal","volume":"10"},"uris":["http://www.mendeley.com/documents/?uuid=35232120-9844-4997-81a7-895f1da9f319"]},{"id":"ITEM-2","itemData":{"DOI":"10.1016/j.aiepr.2021.02.005","ISSN":"25425048","author":[{"dropping-particle":"","family":"Dorigato","given":"Andrea","non-dropping-particle":"","parse-names":false,"suffix":""}],"container-title":"Advanced Industrial and Engineering Polymer Research","id":"ITEM-2","issue":"2","issued":{"date-parts":[["2021","4"]]},"page":"53-69","title":"Recycling of polymer blends","type":"article-journal","volume":"4"},"uris":["http://www.mendeley.com/documents/?uuid=8c3d0f8f-596a-41a2-83ae-3ebd5a11bbee"]}],"mendeley":{"formattedCitation":"&lt;sup&gt;39,40&lt;/sup&gt;","plainTextFormattedCitation":"39,40","previouslyFormattedCitation":"&lt;sup&gt;39,40&lt;/sup&gt;"},"properties":{"noteIndex":0},"schema":"https://github.com/citation-style-language/schema/raw/master/csl-citation.json"}</w:instrText>
      </w:r>
      <w:r w:rsidRPr="00221CD5">
        <w:fldChar w:fldCharType="separate"/>
      </w:r>
      <w:r w:rsidR="00842BA8" w:rsidRPr="00842BA8">
        <w:rPr>
          <w:noProof/>
          <w:vertAlign w:val="superscript"/>
        </w:rPr>
        <w:t>39,40</w:t>
      </w:r>
      <w:r w:rsidRPr="00221CD5">
        <w:fldChar w:fldCharType="end"/>
      </w:r>
      <w:r w:rsidRPr="00221CD5">
        <w:t>. Limiting the treatment temperatures may also avoid the formation of compounds that are known to hinder anaerobic digestion</w:t>
      </w:r>
      <w:r w:rsidRPr="00221CD5">
        <w:fldChar w:fldCharType="begin" w:fldLock="1"/>
      </w:r>
      <w:r w:rsidR="001D0EF2">
        <w:instrText>ADDIN CSL_CITATION {"citationItems":[{"id":"ITEM-1","itemData":{"DOI":"10.1021/acs.energyfuels.1c01681","ISSN":"0887-0624","abstract":"Hydrothermal carbonization is emerging as a promising eco-friendly technology for the management of wet biomass wastes through energy recovery. It avoids drying of the feedstock and operates at a much lower temperature than conventional thermal conversion technologies, giving rise to a carbonaceous solid, hydrochar, of improved fuel quality with respect to the starting biomass. However, the aqueous fraction resulting from this process, the so-called process water, represents a troublesome secondary waste requiring effective treatment because of the high chemical oxygen demand and the presence of varying amounts of nutrients. Anaerobic digestion appears as a potential solution allowing significant reduction of the organic load while producing methane-rich biogas, thus contributing to energy recovery. Integrating hydrothermal carbonization and anaerobic digestion is gaining interest in the literature. This review compiles the reported studies on the application of hydrothermal carbonization coupled with anaerobic digestion for energy recovery of different biomass wastes, analyzing the energy balances. The main characteristics of the resulting HC and the methanogenic potential of the process waters are reviewed in connection with the operating conditions, as well as the possibility of nutrient recovery. Life cycle assessment and economic studies are included.","author":[{"dropping-particle":"","family":"Ipiales","given":"R. P.","non-dropping-particle":"","parse-names":false,"suffix":""},{"dropping-particle":"","family":"la Rubia","given":"M. A.","non-dropping-particle":"de","parse-names":false,"suffix":""},{"dropping-particle":"","family":"Diaz","given":"E.","non-dropping-particle":"","parse-names":false,"suffix":""},{"dropping-particle":"","family":"Mohedano","given":"A. F.","non-dropping-particle":"","parse-names":false,"suffix":""},{"dropping-particle":"","family":"Rodriguez","given":"Juan J.","non-dropping-particle":"","parse-names":false,"suffix":""}],"container-title":"Energy &amp; Fuels","id":"ITEM-1","issue":"21","issued":{"date-parts":[["2021","11","4"]]},"page":"17032-17050","publisher":"American Chemical Society","title":"Integration of Hydrothermal Carbonization and Anaerobic Digestion for Energy Recovery of Biomass Waste: An Overview","type":"article-journal","volume":"35"},"uris":["http://www.mendeley.com/documents/?uuid=53421c43-34e0-39de-8ae5-565cbd350912"]}],"mendeley":{"formattedCitation":"&lt;sup&gt;15&lt;/sup&gt;","plainTextFormattedCitation":"15","previouslyFormattedCitation":"&lt;sup&gt;15&lt;/sup&gt;"},"properties":{"noteIndex":0},"schema":"https://github.com/citation-style-language/schema/raw/master/csl-citation.json"}</w:instrText>
      </w:r>
      <w:r w:rsidRPr="00221CD5">
        <w:fldChar w:fldCharType="separate"/>
      </w:r>
      <w:r w:rsidR="00C046F0" w:rsidRPr="00C046F0">
        <w:rPr>
          <w:noProof/>
          <w:vertAlign w:val="superscript"/>
        </w:rPr>
        <w:t>15</w:t>
      </w:r>
      <w:r w:rsidRPr="00221CD5">
        <w:fldChar w:fldCharType="end"/>
      </w:r>
      <w:r w:rsidR="002924D6">
        <w:t>, with higher treatment temperatures not appearing advantageous for recovering the monomers as well. More severe processes (hydrothermal liquefaction, supercritical water gasification, pyrolysis, etc</w:t>
      </w:r>
      <w:r w:rsidR="00B80F78">
        <w:t>.</w:t>
      </w:r>
      <w:r w:rsidR="002924D6">
        <w:t>) may also be adequate to valorize such a waste stream, but their harsher operating conditions may complicate their fruitful integration within OFMSW treatment plants.</w:t>
      </w:r>
    </w:p>
    <w:p w14:paraId="5D1D6AED" w14:textId="77777777" w:rsidR="00EB0316" w:rsidRDefault="00EB0316" w:rsidP="009D5232">
      <w:pPr>
        <w:pStyle w:val="TAMainText"/>
        <w:ind w:firstLine="0"/>
      </w:pPr>
    </w:p>
    <w:p w14:paraId="1B2B6EEE" w14:textId="38999E60" w:rsidR="00221CD5" w:rsidRPr="00480CAD" w:rsidRDefault="00221CD5" w:rsidP="00480CAD">
      <w:pPr>
        <w:pStyle w:val="TAMainText"/>
        <w:rPr>
          <w:b/>
          <w:bCs/>
        </w:rPr>
      </w:pPr>
      <w:r w:rsidRPr="00480CAD">
        <w:rPr>
          <w:b/>
          <w:bCs/>
        </w:rPr>
        <w:t>4. CONCLUSIONS</w:t>
      </w:r>
    </w:p>
    <w:p w14:paraId="6C4B54AF" w14:textId="090545D9" w:rsidR="00221CD5" w:rsidRPr="00221CD5" w:rsidRDefault="00221CD5" w:rsidP="00480CAD">
      <w:pPr>
        <w:pStyle w:val="TAMainText"/>
      </w:pPr>
      <w:r w:rsidRPr="00221CD5">
        <w:t xml:space="preserve">Three different types of commercial </w:t>
      </w:r>
      <w:r w:rsidR="009D2340">
        <w:t>bioplastic</w:t>
      </w:r>
      <w:r w:rsidR="009D2340" w:rsidRPr="00221CD5">
        <w:t xml:space="preserve"> </w:t>
      </w:r>
      <w:r w:rsidRPr="00221CD5">
        <w:t xml:space="preserve">tableware, based on </w:t>
      </w:r>
      <w:proofErr w:type="spellStart"/>
      <w:r w:rsidRPr="00221CD5">
        <w:t>cPLA</w:t>
      </w:r>
      <w:proofErr w:type="spellEnd"/>
      <w:r w:rsidRPr="00221CD5">
        <w:t xml:space="preserve">, MB and cellulose, </w:t>
      </w:r>
      <w:r w:rsidR="00247B12">
        <w:t>underwent</w:t>
      </w:r>
      <w:r w:rsidRPr="00221CD5">
        <w:t xml:space="preserve"> HT</w:t>
      </w:r>
      <w:r w:rsidR="000336AE">
        <w:t>s</w:t>
      </w:r>
      <w:r w:rsidRPr="00221CD5">
        <w:t xml:space="preserve"> at 160, 180 and 200 °C. The combination of multiple analytical techniques allowed us to characterize the </w:t>
      </w:r>
      <w:r w:rsidR="000336AE">
        <w:t>bioplastics</w:t>
      </w:r>
      <w:r w:rsidRPr="00221CD5">
        <w:t xml:space="preserve">, and to monitor their degradation during </w:t>
      </w:r>
      <w:proofErr w:type="spellStart"/>
      <w:r w:rsidRPr="00221CD5">
        <w:t>HTs.</w:t>
      </w:r>
      <w:proofErr w:type="spellEnd"/>
      <w:r w:rsidRPr="00221CD5">
        <w:t xml:space="preserve"> Analysis by EGA-MS and </w:t>
      </w:r>
      <w:proofErr w:type="spellStart"/>
      <w:r w:rsidRPr="00221CD5">
        <w:t>Py</w:t>
      </w:r>
      <w:proofErr w:type="spellEnd"/>
      <w:r w:rsidRPr="00221CD5">
        <w:t xml:space="preserve">-GC/MS revealed that MB was a mixture of PLA and PBS, with minimal carbohydrate content, while XRF analysis showed that both </w:t>
      </w:r>
      <w:proofErr w:type="spellStart"/>
      <w:r w:rsidRPr="00221CD5">
        <w:t>cPLA</w:t>
      </w:r>
      <w:proofErr w:type="spellEnd"/>
      <w:r w:rsidRPr="00221CD5">
        <w:t xml:space="preserve"> and MB items contained 20% in mass of inorganic additives. </w:t>
      </w:r>
    </w:p>
    <w:p w14:paraId="20FCAE91" w14:textId="2197889A" w:rsidR="00221CD5" w:rsidRPr="00221CD5" w:rsidRDefault="00221CD5" w:rsidP="00480CAD">
      <w:pPr>
        <w:pStyle w:val="TAMainText"/>
      </w:pPr>
      <w:r w:rsidRPr="00221CD5">
        <w:t xml:space="preserve">MB and </w:t>
      </w:r>
      <w:proofErr w:type="spellStart"/>
      <w:r w:rsidRPr="00221CD5">
        <w:t>cPLA</w:t>
      </w:r>
      <w:proofErr w:type="spellEnd"/>
      <w:r w:rsidRPr="00221CD5">
        <w:t xml:space="preserve"> well responded to HT</w:t>
      </w:r>
      <w:r w:rsidR="000336AE">
        <w:t>s</w:t>
      </w:r>
      <w:r w:rsidRPr="00221CD5">
        <w:t xml:space="preserve">, with their organic fraction virtually totally solubilized after 1 h at 180 °C, producing very high yields of lactic acid and, in the case of MB, </w:t>
      </w:r>
      <w:r w:rsidR="001F14FE">
        <w:t xml:space="preserve">also </w:t>
      </w:r>
      <w:r w:rsidRPr="00221CD5">
        <w:t xml:space="preserve">succinic acid. GC/MS analysis showed the presence of small amounts of PLA and PBS oligomers due to </w:t>
      </w:r>
      <w:r w:rsidRPr="00221CD5">
        <w:lastRenderedPageBreak/>
        <w:t xml:space="preserve">partial hydrolysis during HT at 160 °C; such oligomers were rapidly converted in the corresponding monomers at higher temperatures. Conversely, and in line with previous studies, the investigated temperatures were unable to cause a significant degradation of the cellulose items, which also visually remained nearly unaltered. The treatment could however be effective in removing PLA films that are often added to enhance cellulose impermeability. Finally, treating the three materials together enhanced the overall solubilization, even if only to a very small extent. </w:t>
      </w:r>
    </w:p>
    <w:p w14:paraId="2E59AE10" w14:textId="0E66D350" w:rsidR="00767657" w:rsidRDefault="00221CD5" w:rsidP="00EB0316">
      <w:pPr>
        <w:pStyle w:val="TAMainText"/>
      </w:pPr>
      <w:r w:rsidRPr="00221CD5">
        <w:t xml:space="preserve">In summary, a HT appears as a valid choice to rapidly attain a hydrolytic depolymerization of bioplastic items into their monomeric or oligomeric constituents, also favoring their mechanical handling that often causes problems in OFMSW plants. The choice of the subsequent steps is non-trivial and will depend on several factors. A recovery of platform chemicals could be interesting, but only feasible if these are present in significant concentrations, which may not be the case if the treated mixture also contains significant amounts of other materials, such as food waste and traditional plastics. More simply, a HT could </w:t>
      </w:r>
      <w:r w:rsidR="00110761">
        <w:t>represent</w:t>
      </w:r>
      <w:r w:rsidRPr="00221CD5">
        <w:t xml:space="preserve"> a pre-treatment of anaerobic digestion, significantly speeding up the hydrolysis phase and providing bacteria with molecules that they can easily digest, such as lactic acid. Both scenarios must be carefully addressed in future works.</w:t>
      </w:r>
    </w:p>
    <w:p w14:paraId="1DF02C83" w14:textId="77777777" w:rsidR="004D2BA9" w:rsidRDefault="004D2BA9" w:rsidP="00480CAD">
      <w:pPr>
        <w:pStyle w:val="TAMainText"/>
      </w:pPr>
    </w:p>
    <w:p w14:paraId="75A1B8DA" w14:textId="77777777" w:rsidR="00DD6DBB" w:rsidRDefault="00C10EE0" w:rsidP="000B5610">
      <w:pPr>
        <w:pStyle w:val="TESupportingInformation"/>
        <w:spacing w:after="240"/>
        <w:ind w:firstLine="0"/>
        <w:jc w:val="left"/>
      </w:pPr>
      <w:r>
        <w:t>ASSOCIATED CONTENT</w:t>
      </w:r>
    </w:p>
    <w:p w14:paraId="583D7C81" w14:textId="7E886900" w:rsidR="00C10EE0" w:rsidRPr="009D5232" w:rsidRDefault="00C10EE0" w:rsidP="000B5610">
      <w:pPr>
        <w:pStyle w:val="TESupportingInformation"/>
        <w:spacing w:after="240"/>
        <w:ind w:firstLine="0"/>
        <w:jc w:val="left"/>
        <w:rPr>
          <w:rFonts w:cs="Times"/>
        </w:rPr>
      </w:pPr>
      <w:r w:rsidRPr="009D5232">
        <w:rPr>
          <w:rFonts w:cs="Times"/>
          <w:b/>
        </w:rPr>
        <w:t>Supporting Information</w:t>
      </w:r>
      <w:r w:rsidRPr="009D5232">
        <w:rPr>
          <w:rFonts w:cs="Times"/>
        </w:rPr>
        <w:t xml:space="preserve">. </w:t>
      </w:r>
      <w:r w:rsidR="0031373B" w:rsidRPr="009D5232">
        <w:rPr>
          <w:rFonts w:cs="Times"/>
        </w:rPr>
        <w:br/>
        <w:t>The following files are available free of charge.</w:t>
      </w:r>
      <w:r w:rsidR="0031373B" w:rsidRPr="009D5232">
        <w:rPr>
          <w:rFonts w:cs="Times"/>
        </w:rPr>
        <w:br/>
      </w:r>
      <w:r w:rsidR="00F00EE0" w:rsidRPr="009D5232">
        <w:rPr>
          <w:rFonts w:cs="Times"/>
        </w:rPr>
        <w:t xml:space="preserve">Additional </w:t>
      </w:r>
      <w:proofErr w:type="spellStart"/>
      <w:r w:rsidR="00F00EE0" w:rsidRPr="009D5232">
        <w:rPr>
          <w:rFonts w:cs="Times"/>
          <w:sz w:val="22"/>
          <w:szCs w:val="22"/>
        </w:rPr>
        <w:t>Py</w:t>
      </w:r>
      <w:proofErr w:type="spellEnd"/>
      <w:r w:rsidR="00F00EE0" w:rsidRPr="009D5232">
        <w:rPr>
          <w:rFonts w:cs="Times"/>
          <w:sz w:val="22"/>
          <w:szCs w:val="22"/>
        </w:rPr>
        <w:t xml:space="preserve">-GC/MS and GC/MS profiles, XRF spectra, calibration curves and </w:t>
      </w:r>
      <w:r w:rsidR="0016328B" w:rsidRPr="009D5232">
        <w:rPr>
          <w:rFonts w:cs="Times"/>
          <w:sz w:val="22"/>
          <w:szCs w:val="22"/>
        </w:rPr>
        <w:t xml:space="preserve">ion chromatograms </w:t>
      </w:r>
      <w:r w:rsidR="00F00EE0" w:rsidRPr="009D5232">
        <w:rPr>
          <w:rFonts w:cs="Times"/>
        </w:rPr>
        <w:t>(PDF)</w:t>
      </w:r>
    </w:p>
    <w:p w14:paraId="6D5E934E" w14:textId="77777777" w:rsidR="00767657" w:rsidRDefault="00767657" w:rsidP="00767657">
      <w:pPr>
        <w:rPr>
          <w:rFonts w:cs="Times"/>
        </w:rPr>
      </w:pPr>
    </w:p>
    <w:p w14:paraId="26F07884" w14:textId="77777777" w:rsidR="00EB0316" w:rsidRPr="009D5232" w:rsidRDefault="00EB0316" w:rsidP="00767657">
      <w:pPr>
        <w:rPr>
          <w:rFonts w:cs="Times"/>
        </w:rPr>
      </w:pPr>
    </w:p>
    <w:p w14:paraId="49DE3DB3" w14:textId="77777777" w:rsidR="00DD6DBB" w:rsidRPr="009D5232" w:rsidRDefault="00DD6DBB" w:rsidP="00DD6DBB">
      <w:pPr>
        <w:pStyle w:val="FACorrespondingAuthorFootnote"/>
        <w:spacing w:after="0"/>
        <w:jc w:val="left"/>
        <w:rPr>
          <w:rFonts w:cs="Times"/>
        </w:rPr>
      </w:pPr>
      <w:r w:rsidRPr="009D5232">
        <w:rPr>
          <w:rFonts w:cs="Times"/>
        </w:rPr>
        <w:lastRenderedPageBreak/>
        <w:t>AUTHOR INFORMATION</w:t>
      </w:r>
    </w:p>
    <w:p w14:paraId="6DF1D7E3" w14:textId="6DED11D7" w:rsidR="00DD6DBB" w:rsidRPr="009D5232" w:rsidRDefault="00DD6DBB" w:rsidP="004E7185">
      <w:pPr>
        <w:pStyle w:val="FAAuthorInfoSubtitle"/>
        <w:rPr>
          <w:rFonts w:cs="Times"/>
        </w:rPr>
      </w:pPr>
      <w:r w:rsidRPr="009D5232">
        <w:rPr>
          <w:rFonts w:cs="Times"/>
        </w:rPr>
        <w:t>Corresponding Author</w:t>
      </w:r>
      <w:r w:rsidR="001D0EF2" w:rsidRPr="009D5232">
        <w:rPr>
          <w:rFonts w:cs="Times"/>
        </w:rPr>
        <w:t>s</w:t>
      </w:r>
    </w:p>
    <w:p w14:paraId="72052E5B" w14:textId="0612B42E" w:rsidR="00C10EE0" w:rsidRPr="00564ED3" w:rsidRDefault="00221CD5" w:rsidP="00E47F1C">
      <w:pPr>
        <w:pStyle w:val="FACorrespondingAuthorFootnote"/>
        <w:rPr>
          <w:rFonts w:cs="Times"/>
          <w:lang w:val="it-IT"/>
        </w:rPr>
      </w:pPr>
      <w:r w:rsidRPr="00564ED3">
        <w:rPr>
          <w:rFonts w:cs="Times"/>
          <w:lang w:val="it-IT"/>
        </w:rPr>
        <w:t>*</w:t>
      </w:r>
      <w:proofErr w:type="spellStart"/>
      <w:r w:rsidRPr="00564ED3">
        <w:rPr>
          <w:rFonts w:cs="Times"/>
          <w:lang w:val="it-IT"/>
        </w:rPr>
        <w:t>corresponding</w:t>
      </w:r>
      <w:proofErr w:type="spellEnd"/>
      <w:r w:rsidRPr="00564ED3">
        <w:rPr>
          <w:rFonts w:cs="Times"/>
          <w:lang w:val="it-IT"/>
        </w:rPr>
        <w:t xml:space="preserve"> </w:t>
      </w:r>
      <w:proofErr w:type="spellStart"/>
      <w:r w:rsidRPr="00564ED3">
        <w:rPr>
          <w:rFonts w:cs="Times"/>
          <w:lang w:val="it-IT"/>
        </w:rPr>
        <w:t>authors</w:t>
      </w:r>
      <w:proofErr w:type="spellEnd"/>
      <w:r w:rsidRPr="00564ED3">
        <w:rPr>
          <w:rFonts w:cs="Times"/>
          <w:lang w:val="it-IT"/>
        </w:rPr>
        <w:t>: Filippo Marchelli (filippo.marchelli@unitn.it), Marco Mattonai (</w:t>
      </w:r>
      <w:r w:rsidR="002D7245" w:rsidRPr="00564ED3">
        <w:rPr>
          <w:rFonts w:cs="Times"/>
          <w:lang w:val="it-IT"/>
        </w:rPr>
        <w:t>marco.mattonai@dcci.unipi.com</w:t>
      </w:r>
      <w:r w:rsidRPr="00564ED3">
        <w:rPr>
          <w:rFonts w:cs="Times"/>
          <w:lang w:val="it-IT"/>
        </w:rPr>
        <w:t>)</w:t>
      </w:r>
      <w:r w:rsidR="002D7245" w:rsidRPr="00564ED3">
        <w:rPr>
          <w:rFonts w:cs="Times"/>
          <w:lang w:val="it-IT"/>
        </w:rPr>
        <w:t>, Luca Fiori (luca.fiori@unitn.it)</w:t>
      </w:r>
    </w:p>
    <w:p w14:paraId="4BD03BAA" w14:textId="77777777" w:rsidR="00C10EE0" w:rsidRPr="009D5232" w:rsidRDefault="00C10EE0" w:rsidP="00DD6DBB">
      <w:pPr>
        <w:pStyle w:val="FAAuthorInfoSubtitle"/>
        <w:rPr>
          <w:rFonts w:cs="Times"/>
        </w:rPr>
      </w:pPr>
      <w:r w:rsidRPr="009D5232">
        <w:rPr>
          <w:rFonts w:cs="Times"/>
        </w:rPr>
        <w:t>Author Contributions</w:t>
      </w:r>
    </w:p>
    <w:p w14:paraId="0E8DC419" w14:textId="5F690144" w:rsidR="00C10EE0" w:rsidRPr="009D5232" w:rsidRDefault="00C10EE0" w:rsidP="00DD6DBB">
      <w:pPr>
        <w:pStyle w:val="StyleFACorrespondingAuthorFootnote7pt"/>
        <w:spacing w:after="240" w:line="480" w:lineRule="auto"/>
        <w:rPr>
          <w:rFonts w:ascii="Times" w:hAnsi="Times" w:cs="Times"/>
          <w:kern w:val="0"/>
          <w:sz w:val="24"/>
        </w:rPr>
      </w:pPr>
      <w:r w:rsidRPr="009D5232">
        <w:rPr>
          <w:rFonts w:ascii="Times" w:hAnsi="Times" w:cs="Times"/>
          <w:kern w:val="0"/>
          <w:sz w:val="24"/>
        </w:rPr>
        <w:t>The manuscript was written throug</w:t>
      </w:r>
      <w:r w:rsidR="00DD6DBB" w:rsidRPr="009D5232">
        <w:rPr>
          <w:rFonts w:ascii="Times" w:hAnsi="Times" w:cs="Times"/>
          <w:kern w:val="0"/>
          <w:sz w:val="24"/>
        </w:rPr>
        <w:t xml:space="preserve">h contributions of all authors. </w:t>
      </w:r>
      <w:r w:rsidRPr="009D5232">
        <w:rPr>
          <w:rFonts w:ascii="Times" w:hAnsi="Times" w:cs="Times"/>
          <w:kern w:val="0"/>
          <w:sz w:val="24"/>
        </w:rPr>
        <w:t>All authors have given approval to the final version of the manuscript.</w:t>
      </w:r>
      <w:r w:rsidR="00DD6DBB" w:rsidRPr="009D5232">
        <w:rPr>
          <w:rFonts w:ascii="Times" w:hAnsi="Times" w:cs="Times"/>
          <w:kern w:val="0"/>
          <w:sz w:val="24"/>
        </w:rPr>
        <w:t xml:space="preserve"> </w:t>
      </w:r>
      <w:r w:rsidRPr="009D5232">
        <w:rPr>
          <w:rFonts w:ascii="Times" w:hAnsi="Times" w:cs="Times"/>
          <w:kern w:val="0"/>
          <w:sz w:val="24"/>
        </w:rPr>
        <w:t xml:space="preserve">‡These authors contributed equally. </w:t>
      </w:r>
    </w:p>
    <w:p w14:paraId="296F620E" w14:textId="77777777" w:rsidR="00767657" w:rsidRPr="00767657" w:rsidRDefault="00767657" w:rsidP="00767657">
      <w:pPr>
        <w:pStyle w:val="BGKeywords"/>
      </w:pPr>
    </w:p>
    <w:p w14:paraId="24C31CAC" w14:textId="77777777" w:rsidR="00DD6DBB" w:rsidRDefault="00DD6DBB" w:rsidP="000B5610">
      <w:pPr>
        <w:pStyle w:val="TDAcknowledgments"/>
        <w:spacing w:before="0" w:after="0"/>
        <w:ind w:firstLine="0"/>
        <w:jc w:val="left"/>
      </w:pPr>
      <w:r>
        <w:t>ACKNOWLEDGMENT</w:t>
      </w:r>
    </w:p>
    <w:p w14:paraId="1E506B11" w14:textId="3F9203A0" w:rsidR="00FB6D66" w:rsidRDefault="00FB6D66" w:rsidP="003267C8">
      <w:pPr>
        <w:spacing w:after="0" w:line="480" w:lineRule="auto"/>
      </w:pPr>
      <w:r>
        <w:t xml:space="preserve">The Authors wish to thank the Center for Instrument Sharing of the University of Pisa (CISUP) for providing the EGA-MS and </w:t>
      </w:r>
      <w:proofErr w:type="spellStart"/>
      <w:r>
        <w:t>Py</w:t>
      </w:r>
      <w:proofErr w:type="spellEnd"/>
      <w:r>
        <w:t xml:space="preserve">-GC/MS instrumentation, Dr. Stefano </w:t>
      </w:r>
      <w:proofErr w:type="spellStart"/>
      <w:r>
        <w:t>Legnaioli</w:t>
      </w:r>
      <w:proofErr w:type="spellEnd"/>
      <w:r>
        <w:t xml:space="preserve"> from the Italian National Research Council for XRF analyses, and Arianna Bevilacqua for her help in the HT experimental campaign in the framework of her thesis. </w:t>
      </w:r>
      <w:r w:rsidR="003267C8">
        <w:t xml:space="preserve">The Authors also acknowledge the </w:t>
      </w:r>
      <w:proofErr w:type="spellStart"/>
      <w:r w:rsidR="003267C8">
        <w:t>FrontierLab</w:t>
      </w:r>
      <w:proofErr w:type="spellEnd"/>
      <w:r w:rsidR="003267C8">
        <w:t xml:space="preserve"> Research Fund 2023 (recipient: Marco </w:t>
      </w:r>
      <w:proofErr w:type="spellStart"/>
      <w:r w:rsidR="003267C8">
        <w:t>Mattonai</w:t>
      </w:r>
      <w:proofErr w:type="spellEnd"/>
      <w:r w:rsidR="003267C8">
        <w:t xml:space="preserve">) for financial support in performing the </w:t>
      </w:r>
      <w:proofErr w:type="spellStart"/>
      <w:r w:rsidR="003267C8">
        <w:t>Py</w:t>
      </w:r>
      <w:proofErr w:type="spellEnd"/>
      <w:r w:rsidR="003267C8">
        <w:t xml:space="preserve">-GC/MS and EGA-MS experiments. </w:t>
      </w:r>
      <w:r>
        <w:t xml:space="preserve">In addition, the </w:t>
      </w:r>
      <w:r w:rsidR="0006712F">
        <w:t>A</w:t>
      </w:r>
      <w:r>
        <w:t>uthors thank the project NEST “Network 4 Energy Sustainable Transition” (code PE0000021) funded by the National Recovery and Resilience Plan (NRRP), Mission 4 Component 2 Investment 1.3–Call for tender No. 1561 of 11.10.2022 of MUR, funded by the European Union—</w:t>
      </w:r>
      <w:proofErr w:type="spellStart"/>
      <w:r>
        <w:t>NextGenerationEU</w:t>
      </w:r>
      <w:proofErr w:type="spellEnd"/>
      <w:r>
        <w:t>.</w:t>
      </w:r>
    </w:p>
    <w:p w14:paraId="6C2FAC7A" w14:textId="58AC4887" w:rsidR="009246AD" w:rsidRDefault="00FB6D66" w:rsidP="00FB6D66">
      <w:pPr>
        <w:pStyle w:val="TDAcknowledgments"/>
        <w:spacing w:before="0" w:after="240"/>
        <w:ind w:firstLine="0"/>
        <w:jc w:val="left"/>
      </w:pPr>
      <w:r>
        <w:t>The publication was created with the co-financing of the European Union – FSE-REACT-EU, PON Research and Innovation 2014-2020 DM1062/2021</w:t>
      </w:r>
      <w:r w:rsidR="009246AD">
        <w:t>.</w:t>
      </w:r>
    </w:p>
    <w:p w14:paraId="56128F22" w14:textId="77777777" w:rsidR="00767657" w:rsidRDefault="00767657" w:rsidP="00767657"/>
    <w:p w14:paraId="10011E7D" w14:textId="77777777" w:rsidR="00EB0316" w:rsidRPr="00767657" w:rsidRDefault="00EB0316" w:rsidP="00767657"/>
    <w:p w14:paraId="7BF8B4C9" w14:textId="77777777" w:rsidR="00DD6DBB" w:rsidRDefault="00DD6DBB" w:rsidP="00DD6DBB">
      <w:r>
        <w:lastRenderedPageBreak/>
        <w:t>ABBREVIATIONS</w:t>
      </w:r>
    </w:p>
    <w:p w14:paraId="21A40607" w14:textId="0162629F" w:rsidR="00767657" w:rsidRDefault="008C0CD3" w:rsidP="001D0EF2">
      <w:pPr>
        <w:spacing w:line="480" w:lineRule="auto"/>
      </w:pPr>
      <w:proofErr w:type="spellStart"/>
      <w:r w:rsidRPr="008C0CD3">
        <w:t>cPLA</w:t>
      </w:r>
      <w:proofErr w:type="spellEnd"/>
      <w:r w:rsidRPr="008C0CD3">
        <w:t>, crystallized polylactic acid;</w:t>
      </w:r>
      <w:r w:rsidR="00480CAD" w:rsidRPr="00480CAD">
        <w:t xml:space="preserve"> EGA-MS</w:t>
      </w:r>
      <w:r w:rsidR="00480CAD">
        <w:t>,</w:t>
      </w:r>
      <w:r w:rsidRPr="008C0CD3">
        <w:t xml:space="preserve"> </w:t>
      </w:r>
      <w:r w:rsidR="00480CAD" w:rsidRPr="00480CAD">
        <w:t>evolved gas analysis-mass spectrometry</w:t>
      </w:r>
      <w:r w:rsidR="00480CAD">
        <w:t xml:space="preserve">; GY, gas yield; </w:t>
      </w:r>
      <w:r w:rsidRPr="008C0CD3">
        <w:t xml:space="preserve">HT, hydrothermal treatment; </w:t>
      </w:r>
      <w:r w:rsidR="00480CAD">
        <w:t xml:space="preserve">IC, ion </w:t>
      </w:r>
      <w:r w:rsidR="00DF3D7F">
        <w:t>chromatography</w:t>
      </w:r>
      <w:r w:rsidR="00480CAD">
        <w:t xml:space="preserve">; LY, liquid yield; </w:t>
      </w:r>
      <w:r w:rsidRPr="008C0CD3">
        <w:t>MB, Mater-Bi;</w:t>
      </w:r>
      <w:r w:rsidR="00480CAD">
        <w:t xml:space="preserve"> NVS, non-volatile solids;</w:t>
      </w:r>
      <w:r w:rsidR="00580F5F">
        <w:t xml:space="preserve"> </w:t>
      </w:r>
      <w:r w:rsidR="00580F5F" w:rsidRPr="00221CD5">
        <w:t>OFMSW</w:t>
      </w:r>
      <w:r w:rsidR="00580F5F">
        <w:t>, organic fraction of municipal solid waste;</w:t>
      </w:r>
      <w:r>
        <w:t xml:space="preserve"> PBS, </w:t>
      </w:r>
      <w:r w:rsidRPr="00221CD5">
        <w:t>polybutylene succinate</w:t>
      </w:r>
      <w:r>
        <w:t>;</w:t>
      </w:r>
      <w:r w:rsidR="00480CAD" w:rsidRPr="00480CAD">
        <w:t xml:space="preserve"> </w:t>
      </w:r>
      <w:proofErr w:type="spellStart"/>
      <w:r w:rsidR="00480CAD" w:rsidRPr="008C0CD3">
        <w:t>pPLA</w:t>
      </w:r>
      <w:proofErr w:type="spellEnd"/>
      <w:r w:rsidR="00480CAD" w:rsidRPr="008C0CD3">
        <w:t>, pure polylactic acid;</w:t>
      </w:r>
      <w:r w:rsidR="00480CAD" w:rsidRPr="00480CAD">
        <w:t xml:space="preserve"> </w:t>
      </w:r>
      <w:proofErr w:type="spellStart"/>
      <w:r w:rsidR="00480CAD" w:rsidRPr="00480CAD">
        <w:t>Py</w:t>
      </w:r>
      <w:proofErr w:type="spellEnd"/>
      <w:r w:rsidR="00480CAD" w:rsidRPr="00480CAD">
        <w:t>-GC/MS</w:t>
      </w:r>
      <w:r w:rsidR="00480CAD">
        <w:t>,</w:t>
      </w:r>
      <w:r w:rsidR="00480CAD" w:rsidRPr="00480CAD">
        <w:t xml:space="preserve"> analytical pyrolysis-gas chromatography-mass spectrometry</w:t>
      </w:r>
      <w:r w:rsidR="00480CAD">
        <w:t xml:space="preserve">; SY, solid yield; TS, total solids; </w:t>
      </w:r>
      <w:r w:rsidR="00480CAD" w:rsidRPr="00480CAD">
        <w:t>XRF</w:t>
      </w:r>
      <w:r w:rsidR="00480CAD">
        <w:t xml:space="preserve">, </w:t>
      </w:r>
      <w:r w:rsidR="00480CAD" w:rsidRPr="00480CAD">
        <w:t>X-ray fluorescence</w:t>
      </w:r>
      <w:r w:rsidRPr="008C0CD3">
        <w:t>.</w:t>
      </w:r>
    </w:p>
    <w:p w14:paraId="480F95C5" w14:textId="77777777" w:rsidR="001D0EF2" w:rsidRDefault="001D0EF2" w:rsidP="001D0EF2">
      <w:pPr>
        <w:spacing w:line="480" w:lineRule="auto"/>
      </w:pPr>
    </w:p>
    <w:p w14:paraId="1D77CAFE" w14:textId="3E8223CB" w:rsidR="00DD6DBB" w:rsidRDefault="00DD6DBB" w:rsidP="000B5610">
      <w:pPr>
        <w:pStyle w:val="TFReferencesSection"/>
        <w:spacing w:after="0"/>
        <w:ind w:firstLine="0"/>
      </w:pPr>
      <w:r>
        <w:t>REFERENCES</w:t>
      </w:r>
    </w:p>
    <w:p w14:paraId="40D2B0BF" w14:textId="57265683" w:rsidR="00842BA8" w:rsidRPr="00842BA8" w:rsidRDefault="00C046F0" w:rsidP="00842BA8">
      <w:pPr>
        <w:widowControl w:val="0"/>
        <w:autoSpaceDE w:val="0"/>
        <w:autoSpaceDN w:val="0"/>
        <w:adjustRightInd w:val="0"/>
        <w:spacing w:after="240" w:line="480" w:lineRule="auto"/>
        <w:ind w:left="640" w:hanging="640"/>
        <w:rPr>
          <w:rFonts w:cs="Times"/>
          <w:noProof/>
        </w:rPr>
      </w:pPr>
      <w:r>
        <w:fldChar w:fldCharType="begin" w:fldLock="1"/>
      </w:r>
      <w:r>
        <w:instrText xml:space="preserve">ADDIN Mendeley Bibliography CSL_BIBLIOGRAPHY </w:instrText>
      </w:r>
      <w:r>
        <w:fldChar w:fldCharType="separate"/>
      </w:r>
      <w:r w:rsidR="00842BA8" w:rsidRPr="00842BA8">
        <w:rPr>
          <w:rFonts w:cs="Times"/>
          <w:noProof/>
        </w:rPr>
        <w:t>(1)</w:t>
      </w:r>
      <w:r w:rsidR="00842BA8" w:rsidRPr="00842BA8">
        <w:rPr>
          <w:rFonts w:cs="Times"/>
          <w:noProof/>
        </w:rPr>
        <w:tab/>
      </w:r>
      <w:r w:rsidR="00842BA8" w:rsidRPr="00842BA8">
        <w:rPr>
          <w:rFonts w:cs="Times"/>
          <w:i/>
          <w:iCs/>
          <w:noProof/>
        </w:rPr>
        <w:t>Market – European Bioplastics e.V.</w:t>
      </w:r>
      <w:r w:rsidR="00842BA8" w:rsidRPr="00842BA8">
        <w:rPr>
          <w:rFonts w:cs="Times"/>
          <w:noProof/>
        </w:rPr>
        <w:t xml:space="preserve"> https://www.european-bioplastics.org/market/ (accessed 2023-03-22).</w:t>
      </w:r>
    </w:p>
    <w:p w14:paraId="6DD369F9"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w:t>
      </w:r>
      <w:r w:rsidRPr="00842BA8">
        <w:rPr>
          <w:rFonts w:cs="Times"/>
          <w:noProof/>
        </w:rPr>
        <w:tab/>
        <w:t xml:space="preserve">Paul-Pont, I.; Ghiglione, J. F.; Gastaldi, E.; Ter Halle, A.; Huvet, A.; Bruzaud, S.; Lagarde, F.; Galgani, F.; Duflos, G.; George, M.; Fabre, P. Discussion about Suitable Applications for Biodegradable Plastics Regarding Their Sources, Uses and End of Life. </w:t>
      </w:r>
      <w:r w:rsidRPr="00842BA8">
        <w:rPr>
          <w:rFonts w:cs="Times"/>
          <w:i/>
          <w:iCs/>
          <w:noProof/>
        </w:rPr>
        <w:t>Waste Manag.</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157</w:t>
      </w:r>
      <w:r w:rsidRPr="00842BA8">
        <w:rPr>
          <w:rFonts w:cs="Times"/>
          <w:noProof/>
        </w:rPr>
        <w:t>, 242–248. https://doi.org/10.1016/J.WASMAN.2022.12.022.</w:t>
      </w:r>
    </w:p>
    <w:p w14:paraId="62956672"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w:t>
      </w:r>
      <w:r w:rsidRPr="00842BA8">
        <w:rPr>
          <w:rFonts w:cs="Times"/>
          <w:noProof/>
        </w:rPr>
        <w:tab/>
        <w:t xml:space="preserve">Kiessling, T.; Hinzmann, M.; Mederake, L.; Dittmann, S.; Brennecke, D.; Böhm-Beck, M.; Knickmeier, K.; Thiel, M. What Potential Does the EU Single-Use Plastics Directive Have for Reducing Plastic Pollution at Coastlines and Riversides? An Evaluation Based on Citizen Science Data. </w:t>
      </w:r>
      <w:r w:rsidRPr="00842BA8">
        <w:rPr>
          <w:rFonts w:cs="Times"/>
          <w:i/>
          <w:iCs/>
          <w:noProof/>
        </w:rPr>
        <w:t>Waste Manag.</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164</w:t>
      </w:r>
      <w:r w:rsidRPr="00842BA8">
        <w:rPr>
          <w:rFonts w:cs="Times"/>
          <w:noProof/>
        </w:rPr>
        <w:t>, 106–118. https://doi.org/10.1016/J.WASMAN.2023.03.042.</w:t>
      </w:r>
    </w:p>
    <w:p w14:paraId="18882052"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(4)</w:t>
      </w:r>
      <w:r w:rsidRPr="00842BA8">
        <w:rPr>
          <w:rFonts w:cs="Times"/>
          <w:noProof/>
        </w:rPr>
        <w:tab/>
        <w:t xml:space="preserve">Battista, F.; Frison, N.; Bolzonella, D. Can Bioplastics Be Treated in Conventional Anaerobic Digesters for Food Waste Treatment? </w:t>
      </w:r>
      <w:r w:rsidRPr="00842BA8">
        <w:rPr>
          <w:rFonts w:cs="Times"/>
          <w:i/>
          <w:iCs/>
          <w:noProof/>
        </w:rPr>
        <w:t>Environ. Technol. Innov.</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22</w:t>
      </w:r>
      <w:r w:rsidRPr="00842BA8">
        <w:rPr>
          <w:rFonts w:cs="Times"/>
          <w:noProof/>
        </w:rPr>
        <w:t>, 101393. https://doi.org/10.1016/J.ETI.2021.101393.</w:t>
      </w:r>
    </w:p>
    <w:p w14:paraId="394CBBC3"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lastRenderedPageBreak/>
        <w:t>(5)</w:t>
      </w:r>
      <w:r w:rsidRPr="00842BA8">
        <w:rPr>
          <w:rFonts w:cs="Times"/>
          <w:noProof/>
        </w:rPr>
        <w:tab/>
        <w:t xml:space="preserve">Folino, A.; Pangallo, D.; Calabrò, P. S. Assessing Bioplastics Biodegradability by Standard and Research Methods: Current Trends and Open Issues. </w:t>
      </w:r>
      <w:r w:rsidRPr="00842BA8">
        <w:rPr>
          <w:rFonts w:cs="Times"/>
          <w:i/>
          <w:iCs/>
          <w:noProof/>
        </w:rPr>
        <w:t>J. Environ. Chem. Eng.</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11</w:t>
      </w:r>
      <w:r w:rsidRPr="00842BA8">
        <w:rPr>
          <w:rFonts w:cs="Times"/>
          <w:noProof/>
        </w:rPr>
        <w:t xml:space="preserve"> (2), 109424. https://doi.org/10.1016/J.JECE.2023.109424.</w:t>
      </w:r>
    </w:p>
    <w:p w14:paraId="4FCBF6BD"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(6)</w:t>
      </w:r>
      <w:r w:rsidRPr="00842BA8">
        <w:rPr>
          <w:rFonts w:cs="Times"/>
          <w:noProof/>
        </w:rPr>
        <w:tab/>
        <w:t xml:space="preserve">Cazaudehore, G.; Guyoneaud, R.; Evon, P.; Martin-Closas, L.; Pelacho, A. M.; Raynaud, C.; Monlau, F. Can Anaerobic Digestion Be a Suitable End-of-Life Scenario for Biodegradable Plastics? A Critical Review of the Current Situation, Hurdles, and Challenges. </w:t>
      </w:r>
      <w:r w:rsidRPr="00842BA8">
        <w:rPr>
          <w:rFonts w:cs="Times"/>
          <w:i/>
          <w:iCs/>
          <w:noProof/>
        </w:rPr>
        <w:t>Biotechnol. Adv.</w:t>
      </w:r>
      <w:r w:rsidRPr="00842BA8">
        <w:rPr>
          <w:rFonts w:cs="Times"/>
          <w:noProof/>
        </w:rPr>
        <w:t xml:space="preserve"> </w:t>
      </w:r>
      <w:r w:rsidRPr="00842BA8">
        <w:rPr>
          <w:rFonts w:cs="Times"/>
          <w:b/>
          <w:bCs/>
          <w:noProof/>
        </w:rPr>
        <w:t>2022</w:t>
      </w:r>
      <w:r w:rsidRPr="00842BA8">
        <w:rPr>
          <w:rFonts w:cs="Times"/>
          <w:noProof/>
        </w:rPr>
        <w:t xml:space="preserve">, </w:t>
      </w:r>
      <w:r w:rsidRPr="00842BA8">
        <w:rPr>
          <w:rFonts w:cs="Times"/>
          <w:i/>
          <w:iCs/>
          <w:noProof/>
        </w:rPr>
        <w:t>56</w:t>
      </w:r>
      <w:r w:rsidRPr="00842BA8">
        <w:rPr>
          <w:rFonts w:cs="Times"/>
          <w:noProof/>
        </w:rPr>
        <w:t>, 107916. https://doi.org/10.1016/J.BIOTECHADV.2022.107916.</w:t>
      </w:r>
    </w:p>
    <w:p w14:paraId="5EC594C3"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(7)</w:t>
      </w:r>
      <w:r w:rsidRPr="00842BA8">
        <w:rPr>
          <w:rFonts w:cs="Times"/>
          <w:noProof/>
        </w:rPr>
        <w:tab/>
        <w:t xml:space="preserve">Samantaray, P. K.; Little, A.; Wemyss, A. M.; Iacovidou, E.; Wan, C. Design and Control of Compostability in Synthetic Biopolyesters. </w:t>
      </w:r>
      <w:r w:rsidRPr="00842BA8">
        <w:rPr>
          <w:rFonts w:cs="Times"/>
          <w:i/>
          <w:iCs/>
          <w:noProof/>
        </w:rPr>
        <w:t>ACS Sustain. Chem. Eng.</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9</w:t>
      </w:r>
      <w:r w:rsidRPr="00842BA8">
        <w:rPr>
          <w:rFonts w:cs="Times"/>
          <w:noProof/>
        </w:rPr>
        <w:t xml:space="preserve"> (28), 9151–9164. https://doi.org/10.1021/acssuschemeng.1c01424.</w:t>
      </w:r>
    </w:p>
    <w:p w14:paraId="5CE8F074"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(8)</w:t>
      </w:r>
      <w:r w:rsidRPr="00842BA8">
        <w:rPr>
          <w:rFonts w:cs="Times"/>
          <w:noProof/>
        </w:rPr>
        <w:tab/>
        <w:t xml:space="preserve">Dolci, G.; Rigamonti, L.; Grosso, M. The Challenges of Bioplastics in Waste Management. </w:t>
      </w:r>
      <w:r w:rsidRPr="00842BA8">
        <w:rPr>
          <w:rFonts w:cs="Times"/>
          <w:i/>
          <w:iCs/>
          <w:noProof/>
        </w:rPr>
        <w:t>Waste Manag. Res. J. a Sustain. Circ. Econ.</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41</w:t>
      </w:r>
      <w:r w:rsidRPr="00842BA8">
        <w:rPr>
          <w:rFonts w:cs="Times"/>
          <w:noProof/>
        </w:rPr>
        <w:t xml:space="preserve"> (8), 1281–1282. https://doi.org/10.1177/0734242X231181999.</w:t>
      </w:r>
    </w:p>
    <w:p w14:paraId="6F5D7664"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(9)</w:t>
      </w:r>
      <w:r w:rsidRPr="00842BA8">
        <w:rPr>
          <w:rFonts w:cs="Times"/>
          <w:noProof/>
        </w:rPr>
        <w:tab/>
        <w:t xml:space="preserve">Gioia, C.; Giacobazzi, G.; Vannini, M.; Totaro, G.; Sisti, L.; Colonna, M.; Marchese, P.; Celli, A. End of Life of Biodegradable Plastics: Composting versus Re/Upcycling. </w:t>
      </w:r>
      <w:r w:rsidRPr="00842BA8">
        <w:rPr>
          <w:rFonts w:cs="Times"/>
          <w:i/>
          <w:iCs/>
          <w:noProof/>
        </w:rPr>
        <w:t>ChemSusChem</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14</w:t>
      </w:r>
      <w:r w:rsidRPr="00842BA8">
        <w:rPr>
          <w:rFonts w:cs="Times"/>
          <w:noProof/>
        </w:rPr>
        <w:t xml:space="preserve"> (19), 4167–4175. https://doi.org/10.1002/cssc.202101226.</w:t>
      </w:r>
    </w:p>
    <w:p w14:paraId="6F93DBE0"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(10)</w:t>
      </w:r>
      <w:r w:rsidRPr="00842BA8">
        <w:rPr>
          <w:rFonts w:cs="Times"/>
          <w:noProof/>
        </w:rPr>
        <w:tab/>
        <w:t xml:space="preserve">Mu, L.; Zhang, L.; Ma, J.; Zhu, K.; Chen, C.; Li, A. Enhanced Biomethanization of Waste Polylactic Acid Plastic by Mild Hydrothermal Pretreatment: Taguchi Orthogonal Optimization and Kinetics Modeling. </w:t>
      </w:r>
      <w:r w:rsidRPr="00842BA8">
        <w:rPr>
          <w:rFonts w:cs="Times"/>
          <w:i/>
          <w:iCs/>
          <w:noProof/>
        </w:rPr>
        <w:t>Waste Manag.</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126</w:t>
      </w:r>
      <w:r w:rsidRPr="00842BA8">
        <w:rPr>
          <w:rFonts w:cs="Times"/>
          <w:noProof/>
        </w:rPr>
        <w:t>, 585–596. https://doi.org/10.1016/j.wasman.2021.03.044.</w:t>
      </w:r>
    </w:p>
    <w:p w14:paraId="166722D4"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lastRenderedPageBreak/>
        <w:t>(11)</w:t>
      </w:r>
      <w:r w:rsidRPr="00842BA8">
        <w:rPr>
          <w:rFonts w:cs="Times"/>
          <w:noProof/>
        </w:rPr>
        <w:tab/>
        <w:t xml:space="preserve">Zhou, Y.; Remón, J.; Pang, X.; Jiang, Z.; Liu, H.; Ding, W. Hydrothermal Conversion of Biomass to Fuels, Chemicals and Materials: A Review Holistically Connecting Product Properties and Marketable Applications. </w:t>
      </w:r>
      <w:r w:rsidRPr="00842BA8">
        <w:rPr>
          <w:rFonts w:cs="Times"/>
          <w:i/>
          <w:iCs/>
          <w:noProof/>
        </w:rPr>
        <w:t>Sci. Total Environ.</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886</w:t>
      </w:r>
      <w:r w:rsidRPr="00842BA8">
        <w:rPr>
          <w:rFonts w:cs="Times"/>
          <w:noProof/>
        </w:rPr>
        <w:t>, 163920. https://doi.org/10.1016/J.SCITOTENV.2023.163920.</w:t>
      </w:r>
    </w:p>
    <w:p w14:paraId="0DAFDBA3"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(12)</w:t>
      </w:r>
      <w:r w:rsidRPr="00842BA8">
        <w:rPr>
          <w:rFonts w:cs="Times"/>
          <w:noProof/>
        </w:rPr>
        <w:tab/>
        <w:t xml:space="preserve">Mumtaz, H.; Sobek, S.; Werle, S.; Sajdak, M.; Muzyka, R. Hydrothermal Treatment of Plastic Waste within a Circular Economy Perspective. </w:t>
      </w:r>
      <w:r w:rsidRPr="00842BA8">
        <w:rPr>
          <w:rFonts w:cs="Times"/>
          <w:i/>
          <w:iCs/>
          <w:noProof/>
        </w:rPr>
        <w:t>Sustain. Chem. Pharm.</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32</w:t>
      </w:r>
      <w:r w:rsidRPr="00842BA8">
        <w:rPr>
          <w:rFonts w:cs="Times"/>
          <w:noProof/>
        </w:rPr>
        <w:t>, 100991. https://doi.org/10.1016/J.SCP.2023.100991.</w:t>
      </w:r>
    </w:p>
    <w:p w14:paraId="2E89ADAB"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(13)</w:t>
      </w:r>
      <w:r w:rsidRPr="00842BA8">
        <w:rPr>
          <w:rFonts w:cs="Times"/>
          <w:noProof/>
        </w:rPr>
        <w:tab/>
        <w:t xml:space="preserve">Sahu, A. K.; Mitra, I.; Kleiven, H.; Holte, H. R.; Svensson, K. Cambi Thermal Hydrolysis Process (CambiTHP) for Sewage Sludge Treatment. </w:t>
      </w:r>
      <w:r w:rsidRPr="00842BA8">
        <w:rPr>
          <w:rFonts w:cs="Times"/>
          <w:i/>
          <w:iCs/>
          <w:noProof/>
        </w:rPr>
        <w:t>Clean Energy Resour. Recover. Wastewater Treat. Plants as Biorefineries, Vol. 2</w:t>
      </w:r>
      <w:r w:rsidRPr="00842BA8">
        <w:rPr>
          <w:rFonts w:cs="Times"/>
          <w:noProof/>
        </w:rPr>
        <w:t xml:space="preserve"> </w:t>
      </w:r>
      <w:r w:rsidRPr="00842BA8">
        <w:rPr>
          <w:rFonts w:cs="Times"/>
          <w:b/>
          <w:bCs/>
          <w:noProof/>
        </w:rPr>
        <w:t>2022</w:t>
      </w:r>
      <w:r w:rsidRPr="00842BA8">
        <w:rPr>
          <w:rFonts w:cs="Times"/>
          <w:noProof/>
        </w:rPr>
        <w:t>, 405–422. https://doi.org/10.1016/B978-0-323-90178-9.00020-2.</w:t>
      </w:r>
    </w:p>
    <w:p w14:paraId="72D84E76"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(14)</w:t>
      </w:r>
      <w:r w:rsidRPr="00842BA8">
        <w:rPr>
          <w:rFonts w:cs="Times"/>
          <w:noProof/>
        </w:rPr>
        <w:tab/>
        <w:t xml:space="preserve">Mirsoleimani Azizi, S. M.; Zakaria, B. S.; Haffiez, N.; Dhar, B. R. Sludge Thermal Hydrolysis for Mitigating Oxidative Stress of Polystyrene Nanoplastics in Anaerobic Digestion: Significance of the Solids Content. </w:t>
      </w:r>
      <w:r w:rsidRPr="00842BA8">
        <w:rPr>
          <w:rFonts w:cs="Times"/>
          <w:i/>
          <w:iCs/>
          <w:noProof/>
        </w:rPr>
        <w:t>ACS Sustain. Chem. Eng.</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11</w:t>
      </w:r>
      <w:r w:rsidRPr="00842BA8">
        <w:rPr>
          <w:rFonts w:cs="Times"/>
          <w:noProof/>
        </w:rPr>
        <w:t xml:space="preserve"> (18), 7253–7262. https://doi.org/10.1021/acssuschemeng.3c01349.</w:t>
      </w:r>
    </w:p>
    <w:p w14:paraId="6F4700CC"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(15)</w:t>
      </w:r>
      <w:r w:rsidRPr="00842BA8">
        <w:rPr>
          <w:rFonts w:cs="Times"/>
          <w:noProof/>
        </w:rPr>
        <w:tab/>
        <w:t xml:space="preserve">Ipiales, R. P.; de la Rubia, M. A.; Diaz, E.; Mohedano, A. F.; Rodriguez, J. J. Integration of Hydrothermal Carbonization and Anaerobic Digestion for Energy Recovery of Biomass Waste: An Overview. </w:t>
      </w:r>
      <w:r w:rsidRPr="00842BA8">
        <w:rPr>
          <w:rFonts w:cs="Times"/>
          <w:i/>
          <w:iCs/>
          <w:noProof/>
        </w:rPr>
        <w:t>Energy &amp; Fuels</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35</w:t>
      </w:r>
      <w:r w:rsidRPr="00842BA8">
        <w:rPr>
          <w:rFonts w:cs="Times"/>
          <w:noProof/>
        </w:rPr>
        <w:t xml:space="preserve"> (21), 17032–17050. https://doi.org/10.1021/acs.energyfuels.1c01681.</w:t>
      </w:r>
    </w:p>
    <w:p w14:paraId="11F67CBC"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(16)</w:t>
      </w:r>
      <w:r w:rsidRPr="00842BA8">
        <w:rPr>
          <w:rFonts w:cs="Times"/>
          <w:noProof/>
        </w:rPr>
        <w:tab/>
        <w:t xml:space="preserve">Jiang, D.-H.; Satoh, T.; Tung, S. H.; Kuo, C.-C. Sustainable Alternatives to Nondegradable Medical Plastics. </w:t>
      </w:r>
      <w:r w:rsidRPr="00842BA8">
        <w:rPr>
          <w:rFonts w:cs="Times"/>
          <w:i/>
          <w:iCs/>
          <w:noProof/>
        </w:rPr>
        <w:t>ACS Sustain. Chem. Eng.</w:t>
      </w:r>
      <w:r w:rsidRPr="00842BA8">
        <w:rPr>
          <w:rFonts w:cs="Times"/>
          <w:noProof/>
        </w:rPr>
        <w:t xml:space="preserve"> </w:t>
      </w:r>
      <w:r w:rsidRPr="00842BA8">
        <w:rPr>
          <w:rFonts w:cs="Times"/>
          <w:b/>
          <w:bCs/>
          <w:noProof/>
        </w:rPr>
        <w:t>2022</w:t>
      </w:r>
      <w:r w:rsidRPr="00842BA8">
        <w:rPr>
          <w:rFonts w:cs="Times"/>
          <w:noProof/>
        </w:rPr>
        <w:t xml:space="preserve">, </w:t>
      </w:r>
      <w:r w:rsidRPr="00842BA8">
        <w:rPr>
          <w:rFonts w:cs="Times"/>
          <w:i/>
          <w:iCs/>
          <w:noProof/>
        </w:rPr>
        <w:t>10</w:t>
      </w:r>
      <w:r w:rsidRPr="00842BA8">
        <w:rPr>
          <w:rFonts w:cs="Times"/>
          <w:noProof/>
        </w:rPr>
        <w:t xml:space="preserve"> (15), 4792–4806. </w:t>
      </w:r>
      <w:r w:rsidRPr="00842BA8">
        <w:rPr>
          <w:rFonts w:cs="Times"/>
          <w:noProof/>
        </w:rPr>
        <w:lastRenderedPageBreak/>
        <w:t>https://doi.org/10.1021/acssuschemeng.2c00160.</w:t>
      </w:r>
    </w:p>
    <w:p w14:paraId="381BFE0E"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(17)</w:t>
      </w:r>
      <w:r w:rsidRPr="00842BA8">
        <w:rPr>
          <w:rFonts w:cs="Times"/>
          <w:noProof/>
        </w:rPr>
        <w:tab/>
        <w:t xml:space="preserve">Alhnidi, M.-J.; Wüst, D.; Funke, A.; Hang, L.; Kruse, A. Fate of Nitrogen, Phosphate, and Potassium during Hydrothermal Carbonization and the Potential for Nutrient Recovery. </w:t>
      </w:r>
      <w:r w:rsidRPr="00842BA8">
        <w:rPr>
          <w:rFonts w:cs="Times"/>
          <w:i/>
          <w:iCs/>
          <w:noProof/>
        </w:rPr>
        <w:t>ACS Sustain. Chem. Eng.</w:t>
      </w:r>
      <w:r w:rsidRPr="00842BA8">
        <w:rPr>
          <w:rFonts w:cs="Times"/>
          <w:noProof/>
        </w:rPr>
        <w:t xml:space="preserve"> </w:t>
      </w:r>
      <w:r w:rsidRPr="00842BA8">
        <w:rPr>
          <w:rFonts w:cs="Times"/>
          <w:b/>
          <w:bCs/>
          <w:noProof/>
        </w:rPr>
        <w:t>2020</w:t>
      </w:r>
      <w:r w:rsidRPr="00842BA8">
        <w:rPr>
          <w:rFonts w:cs="Times"/>
          <w:noProof/>
        </w:rPr>
        <w:t xml:space="preserve">, </w:t>
      </w:r>
      <w:r w:rsidRPr="00842BA8">
        <w:rPr>
          <w:rFonts w:cs="Times"/>
          <w:i/>
          <w:iCs/>
          <w:noProof/>
        </w:rPr>
        <w:t>8</w:t>
      </w:r>
      <w:r w:rsidRPr="00842BA8">
        <w:rPr>
          <w:rFonts w:cs="Times"/>
          <w:noProof/>
        </w:rPr>
        <w:t xml:space="preserve"> (41), 15507–15516. https://doi.org/10.1021/acssuschemeng.0c04229.</w:t>
      </w:r>
    </w:p>
    <w:p w14:paraId="24EE3D0C"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(18)</w:t>
      </w:r>
      <w:r w:rsidRPr="00842BA8">
        <w:rPr>
          <w:rFonts w:cs="Times"/>
          <w:noProof/>
        </w:rPr>
        <w:tab/>
        <w:t xml:space="preserve">Marchelli, F.; Ferrentino, R.; Ischia, G.; Calvi, M.; Andreottola, G.; Fiori, L. Valorisation of Eyewear Bioplastics through HTC and Anaerobic Digestion: Preliminary Results. </w:t>
      </w:r>
      <w:r w:rsidRPr="00842BA8">
        <w:rPr>
          <w:rFonts w:cs="Times"/>
          <w:i/>
          <w:iCs/>
          <w:noProof/>
        </w:rPr>
        <w:t>Detritus</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23</w:t>
      </w:r>
      <w:r w:rsidRPr="00842BA8">
        <w:rPr>
          <w:rFonts w:cs="Times"/>
          <w:noProof/>
        </w:rPr>
        <w:t xml:space="preserve"> (23), 35–42. https://doi.org/10.31025/2611-4135/2023.18275.</w:t>
      </w:r>
    </w:p>
    <w:p w14:paraId="62A8C6A8"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(19)</w:t>
      </w:r>
      <w:r w:rsidRPr="00842BA8">
        <w:rPr>
          <w:rFonts w:cs="Times"/>
          <w:noProof/>
        </w:rPr>
        <w:tab/>
        <w:t xml:space="preserve">Bracciale, M. P.; de Caprariis, B.; Musivand, S.; Damizia, M.; De Filippis, P. Chemical Recycling of Cellulose Acetate Eyewear Industry Waste by Hydrothermal Treatment. </w:t>
      </w:r>
      <w:r w:rsidRPr="00842BA8">
        <w:rPr>
          <w:rFonts w:cs="Times"/>
          <w:i/>
          <w:iCs/>
          <w:noProof/>
        </w:rPr>
        <w:t>Ind. Eng. Chem. Res.</w:t>
      </w:r>
      <w:r w:rsidRPr="00842BA8">
        <w:rPr>
          <w:rFonts w:cs="Times"/>
          <w:noProof/>
        </w:rPr>
        <w:t xml:space="preserve"> </w:t>
      </w:r>
      <w:r w:rsidRPr="00842BA8">
        <w:rPr>
          <w:rFonts w:cs="Times"/>
          <w:b/>
          <w:bCs/>
          <w:noProof/>
        </w:rPr>
        <w:t>2024</w:t>
      </w:r>
      <w:r w:rsidRPr="00842BA8">
        <w:rPr>
          <w:rFonts w:cs="Times"/>
          <w:noProof/>
        </w:rPr>
        <w:t xml:space="preserve">, </w:t>
      </w:r>
      <w:r w:rsidRPr="00842BA8">
        <w:rPr>
          <w:rFonts w:cs="Times"/>
          <w:i/>
          <w:iCs/>
          <w:noProof/>
        </w:rPr>
        <w:t>63</w:t>
      </w:r>
      <w:r w:rsidRPr="00842BA8">
        <w:rPr>
          <w:rFonts w:cs="Times"/>
          <w:noProof/>
        </w:rPr>
        <w:t xml:space="preserve"> (12), 5078–5088. https://doi.org/10.1021/acs.iecr.3c04162.</w:t>
      </w:r>
    </w:p>
    <w:p w14:paraId="7FD9F7F0"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(20)</w:t>
      </w:r>
      <w:r w:rsidRPr="00842BA8">
        <w:rPr>
          <w:rFonts w:cs="Times"/>
          <w:noProof/>
        </w:rPr>
        <w:tab/>
        <w:t xml:space="preserve">Ali, W.; Ali, H.; Gillani, S.; Zinck, P.; Souissi, S. Polylactic Acid Synthesis, Biodegradability, Conversion to Microplastics and Toxicity: A Review. </w:t>
      </w:r>
      <w:r w:rsidRPr="00842BA8">
        <w:rPr>
          <w:rFonts w:cs="Times"/>
          <w:i/>
          <w:iCs/>
          <w:noProof/>
        </w:rPr>
        <w:t>Environ. Chem. Lett. 2023 213</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21</w:t>
      </w:r>
      <w:r w:rsidRPr="00842BA8">
        <w:rPr>
          <w:rFonts w:cs="Times"/>
          <w:noProof/>
        </w:rPr>
        <w:t xml:space="preserve"> (3), 1761–1786. https://doi.org/10.1007/S10311-023-01564-8.</w:t>
      </w:r>
    </w:p>
    <w:p w14:paraId="6809BB61"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(21)</w:t>
      </w:r>
      <w:r w:rsidRPr="00842BA8">
        <w:rPr>
          <w:rFonts w:cs="Times"/>
          <w:noProof/>
        </w:rPr>
        <w:tab/>
        <w:t xml:space="preserve">Swetha, T. A.; Bora, A.; Mohanrasu, K.; Balaji, P.; Raja, R.; Ponnuchamy, K.; Muthusamy, G.; Arun, A. A Comprehensive Review on Polylactic Acid (PLA) – Synthesis, Processing and Application in Food Packaging. </w:t>
      </w:r>
      <w:r w:rsidRPr="00842BA8">
        <w:rPr>
          <w:rFonts w:cs="Times"/>
          <w:i/>
          <w:iCs/>
          <w:noProof/>
        </w:rPr>
        <w:t>Int. J. Biol. Macromol.</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234</w:t>
      </w:r>
      <w:r w:rsidRPr="00842BA8">
        <w:rPr>
          <w:rFonts w:cs="Times"/>
          <w:noProof/>
        </w:rPr>
        <w:t>, 123715. https://doi.org/10.1016/J.IJBIOMAC.2023.123715.</w:t>
      </w:r>
    </w:p>
    <w:p w14:paraId="5866688E"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(22)</w:t>
      </w:r>
      <w:r w:rsidRPr="00842BA8">
        <w:rPr>
          <w:rFonts w:cs="Times"/>
          <w:noProof/>
        </w:rPr>
        <w:tab/>
        <w:t xml:space="preserve">Elfehri Borchani, K.; Carrot, C.; Jaziri, M. Biocomposites of Alfa Fibers Dispersed in the Mater-Bi® Type Bioplastic: Morphology, Mechanical and Thermal Properties. </w:t>
      </w:r>
      <w:r w:rsidRPr="00842BA8">
        <w:rPr>
          <w:rFonts w:cs="Times"/>
          <w:i/>
          <w:iCs/>
          <w:noProof/>
        </w:rPr>
        <w:t>Compos. Part A Appl. Sci. Manuf.</w:t>
      </w:r>
      <w:r w:rsidRPr="00842BA8">
        <w:rPr>
          <w:rFonts w:cs="Times"/>
          <w:noProof/>
        </w:rPr>
        <w:t xml:space="preserve"> </w:t>
      </w:r>
      <w:r w:rsidRPr="00842BA8">
        <w:rPr>
          <w:rFonts w:cs="Times"/>
          <w:b/>
          <w:bCs/>
          <w:noProof/>
        </w:rPr>
        <w:t>2015</w:t>
      </w:r>
      <w:r w:rsidRPr="00842BA8">
        <w:rPr>
          <w:rFonts w:cs="Times"/>
          <w:noProof/>
        </w:rPr>
        <w:t xml:space="preserve">, </w:t>
      </w:r>
      <w:r w:rsidRPr="00842BA8">
        <w:rPr>
          <w:rFonts w:cs="Times"/>
          <w:i/>
          <w:iCs/>
          <w:noProof/>
        </w:rPr>
        <w:t>78</w:t>
      </w:r>
      <w:r w:rsidRPr="00842BA8">
        <w:rPr>
          <w:rFonts w:cs="Times"/>
          <w:noProof/>
        </w:rPr>
        <w:t xml:space="preserve">, 371–379. </w:t>
      </w:r>
      <w:r w:rsidRPr="00842BA8">
        <w:rPr>
          <w:rFonts w:cs="Times"/>
          <w:noProof/>
        </w:rPr>
        <w:lastRenderedPageBreak/>
        <w:t>https://doi.org/10.1016/J.COMPOSITESA.2015.08.023.</w:t>
      </w:r>
    </w:p>
    <w:p w14:paraId="6BC5F423"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(23)</w:t>
      </w:r>
      <w:r w:rsidRPr="00842BA8">
        <w:rPr>
          <w:rFonts w:cs="Times"/>
          <w:noProof/>
        </w:rPr>
        <w:tab/>
        <w:t xml:space="preserve">Merzari, F.; Lucian, M.; Volpe, M.; Andreottola, G.; Fiori, L. Hydrothermal Carbonization of Biomass: Design of a Bench-Scale Reactor for Evaluating the Heat of Reaction. </w:t>
      </w:r>
      <w:r w:rsidRPr="00842BA8">
        <w:rPr>
          <w:rFonts w:cs="Times"/>
          <w:i/>
          <w:iCs/>
          <w:noProof/>
        </w:rPr>
        <w:t>Chem. Eng. Trans.</w:t>
      </w:r>
      <w:r w:rsidRPr="00842BA8">
        <w:rPr>
          <w:rFonts w:cs="Times"/>
          <w:noProof/>
        </w:rPr>
        <w:t xml:space="preserve"> </w:t>
      </w:r>
      <w:r w:rsidRPr="00842BA8">
        <w:rPr>
          <w:rFonts w:cs="Times"/>
          <w:b/>
          <w:bCs/>
          <w:noProof/>
        </w:rPr>
        <w:t>2018</w:t>
      </w:r>
      <w:r w:rsidRPr="00842BA8">
        <w:rPr>
          <w:rFonts w:cs="Times"/>
          <w:noProof/>
        </w:rPr>
        <w:t xml:space="preserve">, </w:t>
      </w:r>
      <w:r w:rsidRPr="00842BA8">
        <w:rPr>
          <w:rFonts w:cs="Times"/>
          <w:i/>
          <w:iCs/>
          <w:noProof/>
        </w:rPr>
        <w:t>65</w:t>
      </w:r>
      <w:r w:rsidRPr="00842BA8">
        <w:rPr>
          <w:rFonts w:cs="Times"/>
          <w:noProof/>
        </w:rPr>
        <w:t xml:space="preserve"> (July), 43–48. https://doi.org/10.3303/CET1865008.</w:t>
      </w:r>
    </w:p>
    <w:p w14:paraId="2433D9C7"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(24)</w:t>
      </w:r>
      <w:r w:rsidRPr="00842BA8">
        <w:rPr>
          <w:rFonts w:cs="Times"/>
          <w:noProof/>
        </w:rPr>
        <w:tab/>
        <w:t xml:space="preserve">Burguete, P.; Corma, A.; Hitzl, M.; Modrego, R.; Ponce, E.; Renz, M. Fuel and Chemicals from Wet Lignocellulosic Biomass Waste Streams by Hydrothermal Carbonization. </w:t>
      </w:r>
      <w:r w:rsidRPr="00842BA8">
        <w:rPr>
          <w:rFonts w:cs="Times"/>
          <w:i/>
          <w:iCs/>
          <w:noProof/>
        </w:rPr>
        <w:t>Green Chem.</w:t>
      </w:r>
      <w:r w:rsidRPr="00842BA8">
        <w:rPr>
          <w:rFonts w:cs="Times"/>
          <w:noProof/>
        </w:rPr>
        <w:t xml:space="preserve"> </w:t>
      </w:r>
      <w:r w:rsidRPr="00842BA8">
        <w:rPr>
          <w:rFonts w:cs="Times"/>
          <w:b/>
          <w:bCs/>
          <w:noProof/>
        </w:rPr>
        <w:t>2016</w:t>
      </w:r>
      <w:r w:rsidRPr="00842BA8">
        <w:rPr>
          <w:rFonts w:cs="Times"/>
          <w:noProof/>
        </w:rPr>
        <w:t xml:space="preserve">, </w:t>
      </w:r>
      <w:r w:rsidRPr="00842BA8">
        <w:rPr>
          <w:rFonts w:cs="Times"/>
          <w:i/>
          <w:iCs/>
          <w:noProof/>
        </w:rPr>
        <w:t>18</w:t>
      </w:r>
      <w:r w:rsidRPr="00842BA8">
        <w:rPr>
          <w:rFonts w:cs="Times"/>
          <w:noProof/>
        </w:rPr>
        <w:t xml:space="preserve"> (4), 1051–1060. https://doi.org/10.1039/C5GC02296G.</w:t>
      </w:r>
    </w:p>
    <w:p w14:paraId="743672E5"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(25)</w:t>
      </w:r>
      <w:r w:rsidRPr="00842BA8">
        <w:rPr>
          <w:rFonts w:cs="Times"/>
          <w:noProof/>
        </w:rPr>
        <w:tab/>
        <w:t xml:space="preserve">Shin, T.; Hajime, O.; Chuichi, W. </w:t>
      </w:r>
      <w:r w:rsidRPr="00842BA8">
        <w:rPr>
          <w:rFonts w:cs="Times"/>
          <w:i/>
          <w:iCs/>
          <w:noProof/>
        </w:rPr>
        <w:t>Pyrolysis - GC/MS Data Book of Synthetic Polymers: Pyrograms, Thermograms and MS of Pyrolyzates</w:t>
      </w:r>
      <w:r w:rsidRPr="00842BA8">
        <w:rPr>
          <w:rFonts w:cs="Times"/>
          <w:noProof/>
        </w:rPr>
        <w:t>; Elsevier, 2011. https://doi.org/10.1016/C2010-0-68897-3.</w:t>
      </w:r>
    </w:p>
    <w:p w14:paraId="67E29F98"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(26)</w:t>
      </w:r>
      <w:r w:rsidRPr="00842BA8">
        <w:rPr>
          <w:rFonts w:cs="Times"/>
          <w:noProof/>
        </w:rPr>
        <w:tab/>
        <w:t xml:space="preserve">De Falco, F.; Nacci, T.; Durndell, L.; Thompson, R. C.; Degano, I.; Modugno, F. A Thermoanalytical Insight into the Composition of Biodegradable Polymers and Commercial Products by EGA-MS and Py-GC-MS. </w:t>
      </w:r>
      <w:r w:rsidRPr="00842BA8">
        <w:rPr>
          <w:rFonts w:cs="Times"/>
          <w:i/>
          <w:iCs/>
          <w:noProof/>
        </w:rPr>
        <w:t>J. Anal. Appl. Pyrolysis</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171</w:t>
      </w:r>
      <w:r w:rsidRPr="00842BA8">
        <w:rPr>
          <w:rFonts w:cs="Times"/>
          <w:noProof/>
        </w:rPr>
        <w:t>, 105937. https://doi.org/10.1016/J.JAAP.2023.105937.</w:t>
      </w:r>
    </w:p>
    <w:p w14:paraId="7C117357"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(27)</w:t>
      </w:r>
      <w:r w:rsidRPr="00842BA8">
        <w:rPr>
          <w:rFonts w:cs="Times"/>
          <w:noProof/>
        </w:rPr>
        <w:tab/>
        <w:t xml:space="preserve">Hu, Y.; Du, Z.; Sun, X.; Ma, X.; Song, J.; Sui, H.; Debrah, A. A. Non-Targeted Analysis and Risk Assessment of Non-Volatile Compounds in Polyamide Food Contact Materials. </w:t>
      </w:r>
      <w:r w:rsidRPr="00842BA8">
        <w:rPr>
          <w:rFonts w:cs="Times"/>
          <w:i/>
          <w:iCs/>
          <w:noProof/>
        </w:rPr>
        <w:t>Food Chem.</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345</w:t>
      </w:r>
      <w:r w:rsidRPr="00842BA8">
        <w:rPr>
          <w:rFonts w:cs="Times"/>
          <w:noProof/>
        </w:rPr>
        <w:t>, 128625. https://doi.org/10.1016/j.foodchem.2020.128625.</w:t>
      </w:r>
    </w:p>
    <w:p w14:paraId="4482CABD"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(28)</w:t>
      </w:r>
      <w:r w:rsidRPr="00842BA8">
        <w:rPr>
          <w:rFonts w:cs="Times"/>
          <w:noProof/>
        </w:rPr>
        <w:tab/>
        <w:t xml:space="preserve">Paola Bracciale, M.; De Gioannis, G.; Falzarano, M.; Muntoni, A.; Polettini, A.; Pomi, R.; Rossi, A.; Sarasini, F.; Tirillò, J.; Zonfa, T. Disposable Mater-Bi® Bioplastic Tableware: Characterization and Assessment of Anaerobic Biodegradability. </w:t>
      </w:r>
      <w:r w:rsidRPr="00842BA8">
        <w:rPr>
          <w:rFonts w:cs="Times"/>
          <w:i/>
          <w:iCs/>
          <w:noProof/>
        </w:rPr>
        <w:t>Fuel</w:t>
      </w:r>
      <w:r w:rsidRPr="00842BA8">
        <w:rPr>
          <w:rFonts w:cs="Times"/>
          <w:noProof/>
        </w:rPr>
        <w:t xml:space="preserve"> </w:t>
      </w:r>
      <w:r w:rsidRPr="00842BA8">
        <w:rPr>
          <w:rFonts w:cs="Times"/>
          <w:b/>
          <w:bCs/>
          <w:noProof/>
        </w:rPr>
        <w:t>2024</w:t>
      </w:r>
      <w:r w:rsidRPr="00842BA8">
        <w:rPr>
          <w:rFonts w:cs="Times"/>
          <w:noProof/>
        </w:rPr>
        <w:t xml:space="preserve">, </w:t>
      </w:r>
      <w:r w:rsidRPr="00842BA8">
        <w:rPr>
          <w:rFonts w:cs="Times"/>
          <w:i/>
          <w:iCs/>
          <w:noProof/>
        </w:rPr>
        <w:t>355</w:t>
      </w:r>
      <w:r w:rsidRPr="00842BA8">
        <w:rPr>
          <w:rFonts w:cs="Times"/>
          <w:noProof/>
        </w:rPr>
        <w:t>, 129361. https://doi.org/10.1016/J.FUEL.2023.129361.</w:t>
      </w:r>
    </w:p>
    <w:p w14:paraId="68A8917F"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lastRenderedPageBreak/>
        <w:t>(29)</w:t>
      </w:r>
      <w:r w:rsidRPr="00842BA8">
        <w:rPr>
          <w:rFonts w:cs="Times"/>
          <w:noProof/>
        </w:rPr>
        <w:tab/>
        <w:t xml:space="preserve">Nardella, F.; Mattonai, M.; Ribechini, E. Evolved Gas Analysis-Mass Spectrometry and Isoconversional Methods for the Estimation of Component-Specific Kinetic Data in Wood Pyrolysis. </w:t>
      </w:r>
      <w:r w:rsidRPr="00842BA8">
        <w:rPr>
          <w:rFonts w:cs="Times"/>
          <w:i/>
          <w:iCs/>
          <w:noProof/>
        </w:rPr>
        <w:t>J. Anal. Appl. Pyrolysis</w:t>
      </w:r>
      <w:r w:rsidRPr="00842BA8">
        <w:rPr>
          <w:rFonts w:cs="Times"/>
          <w:noProof/>
        </w:rPr>
        <w:t xml:space="preserve"> </w:t>
      </w:r>
      <w:r w:rsidRPr="00842BA8">
        <w:rPr>
          <w:rFonts w:cs="Times"/>
          <w:b/>
          <w:bCs/>
          <w:noProof/>
        </w:rPr>
        <w:t>2020</w:t>
      </w:r>
      <w:r w:rsidRPr="00842BA8">
        <w:rPr>
          <w:rFonts w:cs="Times"/>
          <w:noProof/>
        </w:rPr>
        <w:t xml:space="preserve">, </w:t>
      </w:r>
      <w:r w:rsidRPr="00842BA8">
        <w:rPr>
          <w:rFonts w:cs="Times"/>
          <w:i/>
          <w:iCs/>
          <w:noProof/>
        </w:rPr>
        <w:t>145</w:t>
      </w:r>
      <w:r w:rsidRPr="00842BA8">
        <w:rPr>
          <w:rFonts w:cs="Times"/>
          <w:noProof/>
        </w:rPr>
        <w:t>, 104725. https://doi.org/10.1016/j.jaap.2019.104725.</w:t>
      </w:r>
    </w:p>
    <w:p w14:paraId="25E29100"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(30)</w:t>
      </w:r>
      <w:r w:rsidRPr="00842BA8">
        <w:rPr>
          <w:rFonts w:cs="Times"/>
          <w:noProof/>
        </w:rPr>
        <w:tab/>
        <w:t xml:space="preserve">Luo, Y.-B.; Wang, X.-L.; Wang, Y.-Z. Effect of TiO2 Nanoparticles on the Long-Term Hydrolytic Degradation Behavior of PLA. </w:t>
      </w:r>
      <w:r w:rsidRPr="00842BA8">
        <w:rPr>
          <w:rFonts w:cs="Times"/>
          <w:i/>
          <w:iCs/>
          <w:noProof/>
        </w:rPr>
        <w:t>Polym. Degrad. Stab.</w:t>
      </w:r>
      <w:r w:rsidRPr="00842BA8">
        <w:rPr>
          <w:rFonts w:cs="Times"/>
          <w:noProof/>
        </w:rPr>
        <w:t xml:space="preserve"> </w:t>
      </w:r>
      <w:r w:rsidRPr="00842BA8">
        <w:rPr>
          <w:rFonts w:cs="Times"/>
          <w:b/>
          <w:bCs/>
          <w:noProof/>
        </w:rPr>
        <w:t>2012</w:t>
      </w:r>
      <w:r w:rsidRPr="00842BA8">
        <w:rPr>
          <w:rFonts w:cs="Times"/>
          <w:noProof/>
        </w:rPr>
        <w:t xml:space="preserve">, </w:t>
      </w:r>
      <w:r w:rsidRPr="00842BA8">
        <w:rPr>
          <w:rFonts w:cs="Times"/>
          <w:i/>
          <w:iCs/>
          <w:noProof/>
        </w:rPr>
        <w:t>97</w:t>
      </w:r>
      <w:r w:rsidRPr="00842BA8">
        <w:rPr>
          <w:rFonts w:cs="Times"/>
          <w:noProof/>
        </w:rPr>
        <w:t xml:space="preserve"> (5), 721–728. https://doi.org/10.1016/j.polymdegradstab.2012.02.011.</w:t>
      </w:r>
    </w:p>
    <w:p w14:paraId="7FE17AFF"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(31)</w:t>
      </w:r>
      <w:r w:rsidRPr="00842BA8">
        <w:rPr>
          <w:rFonts w:cs="Times"/>
          <w:noProof/>
        </w:rPr>
        <w:tab/>
        <w:t xml:space="preserve">Volpe, M.; Messineo, A.; Mäkelä, M.; Barr, M. R.; Volpe, R.; Corrado, C.; Fiori, L. Reactivity of Cellulose during Hydrothermal Carbonization of Lignocellulosic Biomass. </w:t>
      </w:r>
      <w:r w:rsidRPr="00842BA8">
        <w:rPr>
          <w:rFonts w:cs="Times"/>
          <w:i/>
          <w:iCs/>
          <w:noProof/>
        </w:rPr>
        <w:t>Fuel Process. Technol.</w:t>
      </w:r>
      <w:r w:rsidRPr="00842BA8">
        <w:rPr>
          <w:rFonts w:cs="Times"/>
          <w:noProof/>
        </w:rPr>
        <w:t xml:space="preserve"> </w:t>
      </w:r>
      <w:r w:rsidRPr="00842BA8">
        <w:rPr>
          <w:rFonts w:cs="Times"/>
          <w:b/>
          <w:bCs/>
          <w:noProof/>
        </w:rPr>
        <w:t>2020</w:t>
      </w:r>
      <w:r w:rsidRPr="00842BA8">
        <w:rPr>
          <w:rFonts w:cs="Times"/>
          <w:noProof/>
        </w:rPr>
        <w:t xml:space="preserve">, </w:t>
      </w:r>
      <w:r w:rsidRPr="00842BA8">
        <w:rPr>
          <w:rFonts w:cs="Times"/>
          <w:i/>
          <w:iCs/>
          <w:noProof/>
        </w:rPr>
        <w:t>206</w:t>
      </w:r>
      <w:r w:rsidRPr="00842BA8">
        <w:rPr>
          <w:rFonts w:cs="Times"/>
          <w:noProof/>
        </w:rPr>
        <w:t>, 106456. https://doi.org/10.1016/j.fuproc.2020.106456.</w:t>
      </w:r>
    </w:p>
    <w:p w14:paraId="08388C37"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(32)</w:t>
      </w:r>
      <w:r w:rsidRPr="00842BA8">
        <w:rPr>
          <w:rFonts w:cs="Times"/>
          <w:noProof/>
        </w:rPr>
        <w:tab/>
        <w:t xml:space="preserve">Ischia, G.; Goldfarb, J. L.; Miotello, A.; Fiori, L. Green Solvents to Enhance Hydrochar Quality and Clarify Effects of Secondary Char. </w:t>
      </w:r>
      <w:r w:rsidRPr="00842BA8">
        <w:rPr>
          <w:rFonts w:cs="Times"/>
          <w:i/>
          <w:iCs/>
          <w:noProof/>
        </w:rPr>
        <w:t>Bioresour. Technol.</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388</w:t>
      </w:r>
      <w:r w:rsidRPr="00842BA8">
        <w:rPr>
          <w:rFonts w:cs="Times"/>
          <w:noProof/>
        </w:rPr>
        <w:t>, 129724. https://doi.org/10.1016/j.biortech.2023.129724.</w:t>
      </w:r>
    </w:p>
    <w:p w14:paraId="7C67CBF4"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(33)</w:t>
      </w:r>
      <w:r w:rsidRPr="00842BA8">
        <w:rPr>
          <w:rFonts w:cs="Times"/>
          <w:noProof/>
        </w:rPr>
        <w:tab/>
        <w:t xml:space="preserve">Mukarakate, C.; Mittal, A.; Ciesielski, P. N.; Budhi, S.; Thompson, L.; Iisa, K.; Nimlos, M. R.; Donohoe, B. S. Influence of Crystal Allomorph and Crystallinity on the Products and Behavior of Cellulose during Fast Pyrolysis. </w:t>
      </w:r>
      <w:r w:rsidRPr="00842BA8">
        <w:rPr>
          <w:rFonts w:cs="Times"/>
          <w:i/>
          <w:iCs/>
          <w:noProof/>
        </w:rPr>
        <w:t>ACS Sustain. Chem. Eng.</w:t>
      </w:r>
      <w:r w:rsidRPr="00842BA8">
        <w:rPr>
          <w:rFonts w:cs="Times"/>
          <w:noProof/>
        </w:rPr>
        <w:t xml:space="preserve"> </w:t>
      </w:r>
      <w:r w:rsidRPr="00842BA8">
        <w:rPr>
          <w:rFonts w:cs="Times"/>
          <w:b/>
          <w:bCs/>
          <w:noProof/>
        </w:rPr>
        <w:t>2016</w:t>
      </w:r>
      <w:r w:rsidRPr="00842BA8">
        <w:rPr>
          <w:rFonts w:cs="Times"/>
          <w:noProof/>
        </w:rPr>
        <w:t xml:space="preserve">, </w:t>
      </w:r>
      <w:r w:rsidRPr="00842BA8">
        <w:rPr>
          <w:rFonts w:cs="Times"/>
          <w:i/>
          <w:iCs/>
          <w:noProof/>
        </w:rPr>
        <w:t>4</w:t>
      </w:r>
      <w:r w:rsidRPr="00842BA8">
        <w:rPr>
          <w:rFonts w:cs="Times"/>
          <w:noProof/>
        </w:rPr>
        <w:t xml:space="preserve"> (9), 4662–4674. https://doi.org/10.1021/acssuschemeng.6b00812.</w:t>
      </w:r>
    </w:p>
    <w:p w14:paraId="350855C3"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(34)</w:t>
      </w:r>
      <w:r w:rsidRPr="00842BA8">
        <w:rPr>
          <w:rFonts w:cs="Times"/>
          <w:noProof/>
        </w:rPr>
        <w:tab/>
        <w:t xml:space="preserve">Darzi, R.; Dubowski, Y.; Goldfarb, J. L.; Karod, M.; Sills, D.; Posmanik, R. Hydrothermal Processing of Multilayer Plastic Film for Cascaded Valorization of Nonrecyclable Waste. </w:t>
      </w:r>
      <w:r w:rsidRPr="00842BA8">
        <w:rPr>
          <w:rFonts w:cs="Times"/>
          <w:i/>
          <w:iCs/>
          <w:noProof/>
        </w:rPr>
        <w:t>ACS Sustain. Chem. Eng.</w:t>
      </w:r>
      <w:r w:rsidRPr="00842BA8">
        <w:rPr>
          <w:rFonts w:cs="Times"/>
          <w:noProof/>
        </w:rPr>
        <w:t xml:space="preserve"> </w:t>
      </w:r>
      <w:r w:rsidRPr="00842BA8">
        <w:rPr>
          <w:rFonts w:cs="Times"/>
          <w:b/>
          <w:bCs/>
          <w:noProof/>
        </w:rPr>
        <w:t>2023</w:t>
      </w:r>
      <w:r w:rsidRPr="00842BA8">
        <w:rPr>
          <w:rFonts w:cs="Times"/>
          <w:noProof/>
        </w:rPr>
        <w:t>. https://doi.org/10.1021/ACSSUSCHEMENG.3C06003.</w:t>
      </w:r>
    </w:p>
    <w:p w14:paraId="1BCEF914"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(35)</w:t>
      </w:r>
      <w:r w:rsidRPr="00842BA8">
        <w:rPr>
          <w:rFonts w:cs="Times"/>
          <w:noProof/>
        </w:rPr>
        <w:tab/>
        <w:t xml:space="preserve">Hu, Y.; Kwan, T. H.; Daoud, W. A.; Lin, C. S. K. Continuous Ultrasonic-Mediated Solvent </w:t>
      </w:r>
      <w:r w:rsidRPr="00842BA8">
        <w:rPr>
          <w:rFonts w:cs="Times"/>
          <w:noProof/>
        </w:rPr>
        <w:lastRenderedPageBreak/>
        <w:t xml:space="preserve">Extraction of Lactic Acid from Fermentation Broths. </w:t>
      </w:r>
      <w:r w:rsidRPr="00842BA8">
        <w:rPr>
          <w:rFonts w:cs="Times"/>
          <w:i/>
          <w:iCs/>
          <w:noProof/>
        </w:rPr>
        <w:t>J. Clean. Prod.</w:t>
      </w:r>
      <w:r w:rsidRPr="00842BA8">
        <w:rPr>
          <w:rFonts w:cs="Times"/>
          <w:noProof/>
        </w:rPr>
        <w:t xml:space="preserve"> </w:t>
      </w:r>
      <w:r w:rsidRPr="00842BA8">
        <w:rPr>
          <w:rFonts w:cs="Times"/>
          <w:b/>
          <w:bCs/>
          <w:noProof/>
        </w:rPr>
        <w:t>2017</w:t>
      </w:r>
      <w:r w:rsidRPr="00842BA8">
        <w:rPr>
          <w:rFonts w:cs="Times"/>
          <w:noProof/>
        </w:rPr>
        <w:t xml:space="preserve">, </w:t>
      </w:r>
      <w:r w:rsidRPr="00842BA8">
        <w:rPr>
          <w:rFonts w:cs="Times"/>
          <w:i/>
          <w:iCs/>
          <w:noProof/>
        </w:rPr>
        <w:t>145</w:t>
      </w:r>
      <w:r w:rsidRPr="00842BA8">
        <w:rPr>
          <w:rFonts w:cs="Times"/>
          <w:noProof/>
        </w:rPr>
        <w:t>, 142–150. https://doi.org/10.1016/j.jclepro.2017.01.055.</w:t>
      </w:r>
    </w:p>
    <w:p w14:paraId="6E362292"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(36)</w:t>
      </w:r>
      <w:r w:rsidRPr="00842BA8">
        <w:rPr>
          <w:rFonts w:cs="Times"/>
          <w:noProof/>
        </w:rPr>
        <w:tab/>
        <w:t xml:space="preserve">Winnacker, M. Polyhydroxyalkanoates: Recent Advances in Their Synthesis and Applications. </w:t>
      </w:r>
      <w:r w:rsidRPr="00842BA8">
        <w:rPr>
          <w:rFonts w:cs="Times"/>
          <w:i/>
          <w:iCs/>
          <w:noProof/>
        </w:rPr>
        <w:t>Eur. J. Lipid Sci. Technol.</w:t>
      </w:r>
      <w:r w:rsidRPr="00842BA8">
        <w:rPr>
          <w:rFonts w:cs="Times"/>
          <w:noProof/>
        </w:rPr>
        <w:t xml:space="preserve"> </w:t>
      </w:r>
      <w:r w:rsidRPr="00842BA8">
        <w:rPr>
          <w:rFonts w:cs="Times"/>
          <w:b/>
          <w:bCs/>
          <w:noProof/>
        </w:rPr>
        <w:t>2019</w:t>
      </w:r>
      <w:r w:rsidRPr="00842BA8">
        <w:rPr>
          <w:rFonts w:cs="Times"/>
          <w:noProof/>
        </w:rPr>
        <w:t xml:space="preserve">, </w:t>
      </w:r>
      <w:r w:rsidRPr="00842BA8">
        <w:rPr>
          <w:rFonts w:cs="Times"/>
          <w:i/>
          <w:iCs/>
          <w:noProof/>
        </w:rPr>
        <w:t>121</w:t>
      </w:r>
      <w:r w:rsidRPr="00842BA8">
        <w:rPr>
          <w:rFonts w:cs="Times"/>
          <w:noProof/>
        </w:rPr>
        <w:t xml:space="preserve"> (11). https://doi.org/10.1002/ejlt.201900101.</w:t>
      </w:r>
    </w:p>
    <w:p w14:paraId="2DD91E9F"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(37)</w:t>
      </w:r>
      <w:r w:rsidRPr="00842BA8">
        <w:rPr>
          <w:rFonts w:cs="Times"/>
          <w:noProof/>
        </w:rPr>
        <w:tab/>
        <w:t xml:space="preserve">Luo, L.; Kaur, G.; Wong, J. W. C. A Mini-Review on the Metabolic Pathways of Food Waste Two-Phase Anaerobic Digestion System. </w:t>
      </w:r>
      <w:r w:rsidRPr="00842BA8">
        <w:rPr>
          <w:rFonts w:cs="Times"/>
          <w:i/>
          <w:iCs/>
          <w:noProof/>
        </w:rPr>
        <w:t>Waste Manag. Res. J. a Sustain. Circ. Econ.</w:t>
      </w:r>
      <w:r w:rsidRPr="00842BA8">
        <w:rPr>
          <w:rFonts w:cs="Times"/>
          <w:noProof/>
        </w:rPr>
        <w:t xml:space="preserve"> </w:t>
      </w:r>
      <w:r w:rsidRPr="00842BA8">
        <w:rPr>
          <w:rFonts w:cs="Times"/>
          <w:b/>
          <w:bCs/>
          <w:noProof/>
        </w:rPr>
        <w:t>2019</w:t>
      </w:r>
      <w:r w:rsidRPr="00842BA8">
        <w:rPr>
          <w:rFonts w:cs="Times"/>
          <w:noProof/>
        </w:rPr>
        <w:t xml:space="preserve">, </w:t>
      </w:r>
      <w:r w:rsidRPr="00842BA8">
        <w:rPr>
          <w:rFonts w:cs="Times"/>
          <w:i/>
          <w:iCs/>
          <w:noProof/>
        </w:rPr>
        <w:t>37</w:t>
      </w:r>
      <w:r w:rsidRPr="00842BA8">
        <w:rPr>
          <w:rFonts w:cs="Times"/>
          <w:noProof/>
        </w:rPr>
        <w:t xml:space="preserve"> (4), 333–346. https://doi.org/10.1177/0734242X18819954.</w:t>
      </w:r>
    </w:p>
    <w:p w14:paraId="7D787CAB"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(38)</w:t>
      </w:r>
      <w:r w:rsidRPr="00842BA8">
        <w:rPr>
          <w:rFonts w:cs="Times"/>
          <w:noProof/>
        </w:rPr>
        <w:tab/>
        <w:t xml:space="preserve">Mumtaz, H.; Sobek, S.; Werle, S.; Sajdak, M.; Muzyka, R. Hydrothermal Treatment of Plastic Waste within a Circular Economy Perspective. </w:t>
      </w:r>
      <w:r w:rsidRPr="00842BA8">
        <w:rPr>
          <w:rFonts w:cs="Times"/>
          <w:i/>
          <w:iCs/>
          <w:noProof/>
        </w:rPr>
        <w:t>Sustain. Chem. Pharm.</w:t>
      </w:r>
      <w:r w:rsidRPr="00842BA8">
        <w:rPr>
          <w:rFonts w:cs="Times"/>
          <w:noProof/>
        </w:rPr>
        <w:t xml:space="preserve"> </w:t>
      </w:r>
      <w:r w:rsidRPr="00842BA8">
        <w:rPr>
          <w:rFonts w:cs="Times"/>
          <w:b/>
          <w:bCs/>
          <w:noProof/>
        </w:rPr>
        <w:t>2023</w:t>
      </w:r>
      <w:r w:rsidRPr="00842BA8">
        <w:rPr>
          <w:rFonts w:cs="Times"/>
          <w:noProof/>
        </w:rPr>
        <w:t xml:space="preserve">, </w:t>
      </w:r>
      <w:r w:rsidRPr="00842BA8">
        <w:rPr>
          <w:rFonts w:cs="Times"/>
          <w:i/>
          <w:iCs/>
          <w:noProof/>
        </w:rPr>
        <w:t>32</w:t>
      </w:r>
      <w:r w:rsidRPr="00842BA8">
        <w:rPr>
          <w:rFonts w:cs="Times"/>
          <w:noProof/>
        </w:rPr>
        <w:t>, 100991. https://doi.org/10.1016/j.scp.2023.100991.</w:t>
      </w:r>
    </w:p>
    <w:p w14:paraId="1253B432"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(39)</w:t>
      </w:r>
      <w:r w:rsidRPr="00842BA8">
        <w:rPr>
          <w:rFonts w:cs="Times"/>
          <w:noProof/>
        </w:rPr>
        <w:tab/>
        <w:t xml:space="preserve">Alaerts, L.; Augustinus, M.; Van Acker, K. Impact of Bio-Based Plastics on Current Recycling of Plastics. </w:t>
      </w:r>
      <w:r w:rsidRPr="00842BA8">
        <w:rPr>
          <w:rFonts w:cs="Times"/>
          <w:i/>
          <w:iCs/>
          <w:noProof/>
        </w:rPr>
        <w:t>Sustainability</w:t>
      </w:r>
      <w:r w:rsidRPr="00842BA8">
        <w:rPr>
          <w:rFonts w:cs="Times"/>
          <w:noProof/>
        </w:rPr>
        <w:t xml:space="preserve"> </w:t>
      </w:r>
      <w:r w:rsidRPr="00842BA8">
        <w:rPr>
          <w:rFonts w:cs="Times"/>
          <w:b/>
          <w:bCs/>
          <w:noProof/>
        </w:rPr>
        <w:t>2018</w:t>
      </w:r>
      <w:r w:rsidRPr="00842BA8">
        <w:rPr>
          <w:rFonts w:cs="Times"/>
          <w:noProof/>
        </w:rPr>
        <w:t xml:space="preserve">, </w:t>
      </w:r>
      <w:r w:rsidRPr="00842BA8">
        <w:rPr>
          <w:rFonts w:cs="Times"/>
          <w:i/>
          <w:iCs/>
          <w:noProof/>
        </w:rPr>
        <w:t>10</w:t>
      </w:r>
      <w:r w:rsidRPr="00842BA8">
        <w:rPr>
          <w:rFonts w:cs="Times"/>
          <w:noProof/>
        </w:rPr>
        <w:t xml:space="preserve"> (5), 1487. https://doi.org/10.3390/su10051487.</w:t>
      </w:r>
    </w:p>
    <w:p w14:paraId="3034903F" w14:textId="77777777" w:rsidR="00842BA8" w:rsidRPr="00842BA8" w:rsidRDefault="00842BA8" w:rsidP="00842BA8">
      <w:pPr>
        <w:widowControl w:val="0"/>
        <w:autoSpaceDE w:val="0"/>
        <w:autoSpaceDN w:val="0"/>
        <w:adjustRightInd w:val="0"/>
        <w:spacing w:after="240" w:line="480" w:lineRule="auto"/>
        <w:ind w:left="640" w:hanging="640"/>
        <w:rPr>
          <w:rFonts w:cs="Times"/>
          <w:noProof/>
        </w:rPr>
      </w:pPr>
      <w:r w:rsidRPr="00842BA8">
        <w:rPr>
          <w:rFonts w:cs="Times"/>
          <w:noProof/>
        </w:rPr>
        <w:t>(40)</w:t>
      </w:r>
      <w:r w:rsidRPr="00842BA8">
        <w:rPr>
          <w:rFonts w:cs="Times"/>
          <w:noProof/>
        </w:rPr>
        <w:tab/>
        <w:t xml:space="preserve">Dorigato, A. Recycling of Polymer Blends. </w:t>
      </w:r>
      <w:r w:rsidRPr="00842BA8">
        <w:rPr>
          <w:rFonts w:cs="Times"/>
          <w:i/>
          <w:iCs/>
          <w:noProof/>
        </w:rPr>
        <w:t>Adv. Ind. Eng. Polym. Res.</w:t>
      </w:r>
      <w:r w:rsidRPr="00842BA8">
        <w:rPr>
          <w:rFonts w:cs="Times"/>
          <w:noProof/>
        </w:rPr>
        <w:t xml:space="preserve"> </w:t>
      </w:r>
      <w:r w:rsidRPr="00842BA8">
        <w:rPr>
          <w:rFonts w:cs="Times"/>
          <w:b/>
          <w:bCs/>
          <w:noProof/>
        </w:rPr>
        <w:t>2021</w:t>
      </w:r>
      <w:r w:rsidRPr="00842BA8">
        <w:rPr>
          <w:rFonts w:cs="Times"/>
          <w:noProof/>
        </w:rPr>
        <w:t xml:space="preserve">, </w:t>
      </w:r>
      <w:r w:rsidRPr="00842BA8">
        <w:rPr>
          <w:rFonts w:cs="Times"/>
          <w:i/>
          <w:iCs/>
          <w:noProof/>
        </w:rPr>
        <w:t>4</w:t>
      </w:r>
      <w:r w:rsidRPr="00842BA8">
        <w:rPr>
          <w:rFonts w:cs="Times"/>
          <w:noProof/>
        </w:rPr>
        <w:t xml:space="preserve"> (2), 53–69. https://doi.org/10.1016/j.aiepr.2021.02.005.</w:t>
      </w:r>
    </w:p>
    <w:p w14:paraId="4376D188" w14:textId="77777777" w:rsidR="00C046F0" w:rsidRDefault="00C046F0" w:rsidP="00C046F0">
      <w:pPr>
        <w:pStyle w:val="TFReferencesSection"/>
        <w:spacing w:after="240"/>
        <w:ind w:firstLine="0"/>
        <w:jc w:val="left"/>
      </w:pPr>
      <w:r>
        <w:fldChar w:fldCharType="end"/>
      </w:r>
    </w:p>
    <w:p w14:paraId="794C360C" w14:textId="77777777" w:rsidR="004A161B" w:rsidRDefault="004A161B">
      <w:pPr>
        <w:spacing w:after="0"/>
        <w:jc w:val="left"/>
      </w:pPr>
      <w:r>
        <w:br w:type="page"/>
      </w:r>
    </w:p>
    <w:p w14:paraId="512B0E61" w14:textId="407465BD" w:rsidR="00C046F0" w:rsidRPr="00917CF6" w:rsidRDefault="00C046F0" w:rsidP="00C046F0">
      <w:pPr>
        <w:pStyle w:val="TFReferencesSection"/>
        <w:spacing w:after="240"/>
        <w:ind w:firstLine="0"/>
        <w:jc w:val="left"/>
      </w:pPr>
      <w:r w:rsidRPr="001D0EF2">
        <w:rPr>
          <w:b/>
          <w:bCs/>
        </w:rPr>
        <w:lastRenderedPageBreak/>
        <w:t>TOC/Abstract Graphic</w:t>
      </w:r>
    </w:p>
    <w:p w14:paraId="29D3CF5B" w14:textId="61C19C04" w:rsidR="001D0EF2" w:rsidRDefault="001D0EF2" w:rsidP="00C046F0">
      <w:pPr>
        <w:pStyle w:val="TFReferencesSection"/>
        <w:spacing w:after="240"/>
        <w:ind w:firstLine="0"/>
        <w:jc w:val="left"/>
      </w:pPr>
      <w:r>
        <w:rPr>
          <w:noProof/>
        </w:rPr>
        <w:drawing>
          <wp:inline distT="0" distB="0" distL="0" distR="0" wp14:anchorId="68D6E55B" wp14:editId="2038D5F2">
            <wp:extent cx="4143375" cy="2524637"/>
            <wp:effectExtent l="0" t="0" r="0" b="9525"/>
            <wp:docPr id="1591565961" name="Immagine 1" descr="Immagine che contiene testo, grafica, schermata,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65961" name="Immagine 1" descr="Immagine che contiene testo, grafica, schermata, Elementi grafici&#10;&#10;Descrizione generata automaticamen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46523" cy="2526555"/>
                    </a:xfrm>
                    <a:prstGeom prst="rect">
                      <a:avLst/>
                    </a:prstGeom>
                    <a:noFill/>
                    <a:ln>
                      <a:noFill/>
                    </a:ln>
                  </pic:spPr>
                </pic:pic>
              </a:graphicData>
            </a:graphic>
          </wp:inline>
        </w:drawing>
      </w:r>
    </w:p>
    <w:p w14:paraId="2107FD94" w14:textId="77777777" w:rsidR="001D0EF2" w:rsidRDefault="001D0EF2" w:rsidP="00C046F0">
      <w:pPr>
        <w:pStyle w:val="TFReferencesSection"/>
        <w:spacing w:after="240"/>
        <w:ind w:firstLine="0"/>
        <w:jc w:val="left"/>
      </w:pPr>
    </w:p>
    <w:p w14:paraId="34676443" w14:textId="6A8C0036" w:rsidR="000D3717" w:rsidRDefault="00C046F0" w:rsidP="001D0EF2">
      <w:pPr>
        <w:pStyle w:val="TFReferencesSection"/>
        <w:spacing w:after="240"/>
        <w:ind w:firstLine="0"/>
        <w:jc w:val="left"/>
      </w:pPr>
      <w:r w:rsidRPr="001D0EF2">
        <w:rPr>
          <w:b/>
          <w:bCs/>
        </w:rPr>
        <w:t>Synopsis.</w:t>
      </w:r>
      <w:r>
        <w:t xml:space="preserve"> </w:t>
      </w:r>
      <w:r w:rsidR="000D3717">
        <w:t>Hydrothermal treatment of biodegradable bioplastics and characterization of their outputs to assess suitability for improving bioplastic life cycle.</w:t>
      </w:r>
    </w:p>
    <w:sectPr w:rsidR="000D3717" w:rsidSect="001C361D">
      <w:footerReference w:type="even" r:id="rId14"/>
      <w:footerReference w:type="default" r:id="rId15"/>
      <w:type w:val="continuous"/>
      <w:pgSz w:w="12240" w:h="15840"/>
      <w:pgMar w:top="1440" w:right="1440" w:bottom="1440" w:left="1440" w:header="0" w:footer="0" w:gutter="0"/>
      <w:lnNumType w:countBy="1" w:restart="continuous"/>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1AD45F" w14:textId="77777777" w:rsidR="001C361D" w:rsidRDefault="001C361D">
      <w:r>
        <w:separator/>
      </w:r>
    </w:p>
  </w:endnote>
  <w:endnote w:type="continuationSeparator" w:id="0">
    <w:p w14:paraId="47CA42E6" w14:textId="77777777" w:rsidR="001C361D" w:rsidRDefault="001C36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Times">
    <w:altName w:val="﷽﷽﷽﷽﷽﷽㄀풀䀚"/>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B9F753" w14:textId="77777777" w:rsidR="005A6350" w:rsidRDefault="005A635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3051E632" w14:textId="77777777" w:rsidR="005A6350" w:rsidRDefault="005A635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5FFD3D" w14:textId="77777777" w:rsidR="005A6350" w:rsidRDefault="005A6350">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1583013A" w14:textId="77777777" w:rsidR="005A6350" w:rsidRDefault="005A635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2579EB" w14:textId="77777777" w:rsidR="001C361D" w:rsidRDefault="001C361D">
      <w:r>
        <w:separator/>
      </w:r>
    </w:p>
  </w:footnote>
  <w:footnote w:type="continuationSeparator" w:id="0">
    <w:p w14:paraId="3778FB4D" w14:textId="77777777" w:rsidR="001C361D" w:rsidRDefault="001C36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794A50"/>
    <w:multiLevelType w:val="hybridMultilevel"/>
    <w:tmpl w:val="3AE49F74"/>
    <w:lvl w:ilvl="0" w:tplc="B512E4B0">
      <w:start w:val="1"/>
      <w:numFmt w:val="decimal"/>
      <w:lvlText w:val="%1."/>
      <w:lvlJc w:val="left"/>
      <w:pPr>
        <w:ind w:left="1020" w:hanging="360"/>
      </w:pPr>
    </w:lvl>
    <w:lvl w:ilvl="1" w:tplc="E034C16C">
      <w:start w:val="1"/>
      <w:numFmt w:val="decimal"/>
      <w:lvlText w:val="%2."/>
      <w:lvlJc w:val="left"/>
      <w:pPr>
        <w:ind w:left="1020" w:hanging="360"/>
      </w:pPr>
    </w:lvl>
    <w:lvl w:ilvl="2" w:tplc="E35A9A9A">
      <w:start w:val="1"/>
      <w:numFmt w:val="decimal"/>
      <w:lvlText w:val="%3."/>
      <w:lvlJc w:val="left"/>
      <w:pPr>
        <w:ind w:left="1020" w:hanging="360"/>
      </w:pPr>
    </w:lvl>
    <w:lvl w:ilvl="3" w:tplc="9572BF70">
      <w:start w:val="1"/>
      <w:numFmt w:val="decimal"/>
      <w:lvlText w:val="%4."/>
      <w:lvlJc w:val="left"/>
      <w:pPr>
        <w:ind w:left="1020" w:hanging="360"/>
      </w:pPr>
    </w:lvl>
    <w:lvl w:ilvl="4" w:tplc="BC8AA1EE">
      <w:start w:val="1"/>
      <w:numFmt w:val="decimal"/>
      <w:lvlText w:val="%5."/>
      <w:lvlJc w:val="left"/>
      <w:pPr>
        <w:ind w:left="1020" w:hanging="360"/>
      </w:pPr>
    </w:lvl>
    <w:lvl w:ilvl="5" w:tplc="8EEEE722">
      <w:start w:val="1"/>
      <w:numFmt w:val="decimal"/>
      <w:lvlText w:val="%6."/>
      <w:lvlJc w:val="left"/>
      <w:pPr>
        <w:ind w:left="1020" w:hanging="360"/>
      </w:pPr>
    </w:lvl>
    <w:lvl w:ilvl="6" w:tplc="8766DFE8">
      <w:start w:val="1"/>
      <w:numFmt w:val="decimal"/>
      <w:lvlText w:val="%7."/>
      <w:lvlJc w:val="left"/>
      <w:pPr>
        <w:ind w:left="1020" w:hanging="360"/>
      </w:pPr>
    </w:lvl>
    <w:lvl w:ilvl="7" w:tplc="7E2CDC46">
      <w:start w:val="1"/>
      <w:numFmt w:val="decimal"/>
      <w:lvlText w:val="%8."/>
      <w:lvlJc w:val="left"/>
      <w:pPr>
        <w:ind w:left="1020" w:hanging="360"/>
      </w:pPr>
    </w:lvl>
    <w:lvl w:ilvl="8" w:tplc="05A616E4">
      <w:start w:val="1"/>
      <w:numFmt w:val="decimal"/>
      <w:lvlText w:val="%9."/>
      <w:lvlJc w:val="left"/>
      <w:pPr>
        <w:ind w:left="1020" w:hanging="360"/>
      </w:pPr>
    </w:lvl>
  </w:abstractNum>
  <w:abstractNum w:abstractNumId="1" w15:restartNumberingAfterBreak="0">
    <w:nsid w:val="0E84187A"/>
    <w:multiLevelType w:val="multilevel"/>
    <w:tmpl w:val="8F1EF70C"/>
    <w:lvl w:ilvl="0">
      <w:start w:val="94"/>
      <w:numFmt w:val="decimal"/>
      <w:lvlText w:val="%1.0"/>
      <w:lvlJc w:val="left"/>
      <w:pPr>
        <w:ind w:left="405" w:hanging="405"/>
      </w:pPr>
      <w:rPr>
        <w:rFonts w:hint="default"/>
      </w:rPr>
    </w:lvl>
    <w:lvl w:ilvl="1">
      <w:start w:val="1"/>
      <w:numFmt w:val="decimal"/>
      <w:lvlText w:val="%1.%2"/>
      <w:lvlJc w:val="left"/>
      <w:pPr>
        <w:ind w:left="1113" w:hanging="4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763940"/>
    <w:multiLevelType w:val="hybridMultilevel"/>
    <w:tmpl w:val="228CC8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B30B2F"/>
    <w:multiLevelType w:val="multilevel"/>
    <w:tmpl w:val="BFC2F96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9"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1"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2"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3"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4" w15:restartNumberingAfterBreak="0">
    <w:nsid w:val="57AC3B2C"/>
    <w:multiLevelType w:val="multilevel"/>
    <w:tmpl w:val="9550B03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E535576"/>
    <w:multiLevelType w:val="hybridMultilevel"/>
    <w:tmpl w:val="85A2FFEC"/>
    <w:lvl w:ilvl="0" w:tplc="D77C443E">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6" w15:restartNumberingAfterBreak="0">
    <w:nsid w:val="6431705A"/>
    <w:multiLevelType w:val="hybridMultilevel"/>
    <w:tmpl w:val="AC361AD6"/>
    <w:lvl w:ilvl="0" w:tplc="653E8804">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7" w15:restartNumberingAfterBreak="0">
    <w:nsid w:val="695B1CAA"/>
    <w:multiLevelType w:val="hybridMultilevel"/>
    <w:tmpl w:val="BAFE1276"/>
    <w:lvl w:ilvl="0" w:tplc="932450BA">
      <w:start w:val="1"/>
      <w:numFmt w:val="decimal"/>
      <w:lvlText w:val="%1."/>
      <w:lvlJc w:val="left"/>
      <w:pPr>
        <w:ind w:left="1020" w:hanging="360"/>
      </w:pPr>
    </w:lvl>
    <w:lvl w:ilvl="1" w:tplc="7B04E136">
      <w:start w:val="1"/>
      <w:numFmt w:val="decimal"/>
      <w:lvlText w:val="%2."/>
      <w:lvlJc w:val="left"/>
      <w:pPr>
        <w:ind w:left="1020" w:hanging="360"/>
      </w:pPr>
    </w:lvl>
    <w:lvl w:ilvl="2" w:tplc="571ADEDE">
      <w:start w:val="1"/>
      <w:numFmt w:val="decimal"/>
      <w:lvlText w:val="%3."/>
      <w:lvlJc w:val="left"/>
      <w:pPr>
        <w:ind w:left="1020" w:hanging="360"/>
      </w:pPr>
    </w:lvl>
    <w:lvl w:ilvl="3" w:tplc="A8EE1D50">
      <w:start w:val="1"/>
      <w:numFmt w:val="decimal"/>
      <w:lvlText w:val="%4."/>
      <w:lvlJc w:val="left"/>
      <w:pPr>
        <w:ind w:left="1020" w:hanging="360"/>
      </w:pPr>
    </w:lvl>
    <w:lvl w:ilvl="4" w:tplc="CD9A4D24">
      <w:start w:val="1"/>
      <w:numFmt w:val="decimal"/>
      <w:lvlText w:val="%5."/>
      <w:lvlJc w:val="left"/>
      <w:pPr>
        <w:ind w:left="1020" w:hanging="360"/>
      </w:pPr>
    </w:lvl>
    <w:lvl w:ilvl="5" w:tplc="F0FC7CA6">
      <w:start w:val="1"/>
      <w:numFmt w:val="decimal"/>
      <w:lvlText w:val="%6."/>
      <w:lvlJc w:val="left"/>
      <w:pPr>
        <w:ind w:left="1020" w:hanging="360"/>
      </w:pPr>
    </w:lvl>
    <w:lvl w:ilvl="6" w:tplc="4A7A98FE">
      <w:start w:val="1"/>
      <w:numFmt w:val="decimal"/>
      <w:lvlText w:val="%7."/>
      <w:lvlJc w:val="left"/>
      <w:pPr>
        <w:ind w:left="1020" w:hanging="360"/>
      </w:pPr>
    </w:lvl>
    <w:lvl w:ilvl="7" w:tplc="DB366076">
      <w:start w:val="1"/>
      <w:numFmt w:val="decimal"/>
      <w:lvlText w:val="%8."/>
      <w:lvlJc w:val="left"/>
      <w:pPr>
        <w:ind w:left="1020" w:hanging="360"/>
      </w:pPr>
    </w:lvl>
    <w:lvl w:ilvl="8" w:tplc="09C64BEE">
      <w:start w:val="1"/>
      <w:numFmt w:val="decimal"/>
      <w:lvlText w:val="%9."/>
      <w:lvlJc w:val="left"/>
      <w:pPr>
        <w:ind w:left="1020" w:hanging="360"/>
      </w:pPr>
    </w:lvl>
  </w:abstractNum>
  <w:abstractNum w:abstractNumId="18" w15:restartNumberingAfterBreak="0">
    <w:nsid w:val="7B483A4B"/>
    <w:multiLevelType w:val="hybridMultilevel"/>
    <w:tmpl w:val="37C4BAB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31402668">
    <w:abstractNumId w:val="12"/>
  </w:num>
  <w:num w:numId="2" w16cid:durableId="1971209725">
    <w:abstractNumId w:val="10"/>
  </w:num>
  <w:num w:numId="3" w16cid:durableId="99377717">
    <w:abstractNumId w:val="13"/>
  </w:num>
  <w:num w:numId="4" w16cid:durableId="610547863">
    <w:abstractNumId w:val="11"/>
  </w:num>
  <w:num w:numId="5" w16cid:durableId="1602255624">
    <w:abstractNumId w:val="9"/>
  </w:num>
  <w:num w:numId="6" w16cid:durableId="597327707">
    <w:abstractNumId w:val="8"/>
  </w:num>
  <w:num w:numId="7" w16cid:durableId="1288394740">
    <w:abstractNumId w:val="6"/>
  </w:num>
  <w:num w:numId="8" w16cid:durableId="1774663525">
    <w:abstractNumId w:val="4"/>
  </w:num>
  <w:num w:numId="9" w16cid:durableId="101610823">
    <w:abstractNumId w:val="2"/>
  </w:num>
  <w:num w:numId="10" w16cid:durableId="1842963182">
    <w:abstractNumId w:val="5"/>
  </w:num>
  <w:num w:numId="11" w16cid:durableId="1264876743">
    <w:abstractNumId w:val="7"/>
  </w:num>
  <w:num w:numId="12" w16cid:durableId="147676928">
    <w:abstractNumId w:val="18"/>
  </w:num>
  <w:num w:numId="13" w16cid:durableId="1023482308">
    <w:abstractNumId w:val="1"/>
  </w:num>
  <w:num w:numId="14" w16cid:durableId="254826171">
    <w:abstractNumId w:val="14"/>
  </w:num>
  <w:num w:numId="15" w16cid:durableId="1278029877">
    <w:abstractNumId w:val="16"/>
  </w:num>
  <w:num w:numId="16" w16cid:durableId="804664440">
    <w:abstractNumId w:val="17"/>
  </w:num>
  <w:num w:numId="17" w16cid:durableId="2054112493">
    <w:abstractNumId w:val="0"/>
  </w:num>
  <w:num w:numId="18" w16cid:durableId="835652253">
    <w:abstractNumId w:val="15"/>
  </w:num>
  <w:num w:numId="19" w16cid:durableId="378990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ED2"/>
    <w:rsid w:val="000002F2"/>
    <w:rsid w:val="00004907"/>
    <w:rsid w:val="00031DF7"/>
    <w:rsid w:val="000336AE"/>
    <w:rsid w:val="000378B6"/>
    <w:rsid w:val="00037B5E"/>
    <w:rsid w:val="00042960"/>
    <w:rsid w:val="000541A5"/>
    <w:rsid w:val="0005660F"/>
    <w:rsid w:val="000614A6"/>
    <w:rsid w:val="0006712F"/>
    <w:rsid w:val="000702AD"/>
    <w:rsid w:val="00075184"/>
    <w:rsid w:val="0008241B"/>
    <w:rsid w:val="00090036"/>
    <w:rsid w:val="000A2CB7"/>
    <w:rsid w:val="000B2531"/>
    <w:rsid w:val="000B2EEB"/>
    <w:rsid w:val="000B4562"/>
    <w:rsid w:val="000B5610"/>
    <w:rsid w:val="000B6297"/>
    <w:rsid w:val="000C05CC"/>
    <w:rsid w:val="000C5E0E"/>
    <w:rsid w:val="000C7EF2"/>
    <w:rsid w:val="000D3717"/>
    <w:rsid w:val="000F5503"/>
    <w:rsid w:val="00110761"/>
    <w:rsid w:val="00115145"/>
    <w:rsid w:val="00121B6D"/>
    <w:rsid w:val="0012549D"/>
    <w:rsid w:val="00126650"/>
    <w:rsid w:val="00130A8A"/>
    <w:rsid w:val="0016328B"/>
    <w:rsid w:val="00180B84"/>
    <w:rsid w:val="001945DB"/>
    <w:rsid w:val="00195ACA"/>
    <w:rsid w:val="001A63A2"/>
    <w:rsid w:val="001A7A90"/>
    <w:rsid w:val="001C361D"/>
    <w:rsid w:val="001C5A2B"/>
    <w:rsid w:val="001D0EF2"/>
    <w:rsid w:val="001D6CF8"/>
    <w:rsid w:val="001F14FE"/>
    <w:rsid w:val="001F2350"/>
    <w:rsid w:val="001F2777"/>
    <w:rsid w:val="001F36F1"/>
    <w:rsid w:val="00201FB9"/>
    <w:rsid w:val="00212B1D"/>
    <w:rsid w:val="00221CD5"/>
    <w:rsid w:val="002259A7"/>
    <w:rsid w:val="0022684A"/>
    <w:rsid w:val="00247B12"/>
    <w:rsid w:val="00271A02"/>
    <w:rsid w:val="002759DB"/>
    <w:rsid w:val="0028557D"/>
    <w:rsid w:val="002924D6"/>
    <w:rsid w:val="00297108"/>
    <w:rsid w:val="002A33E7"/>
    <w:rsid w:val="002A7493"/>
    <w:rsid w:val="002B15F9"/>
    <w:rsid w:val="002B7F4C"/>
    <w:rsid w:val="002C3431"/>
    <w:rsid w:val="002D7245"/>
    <w:rsid w:val="002E655F"/>
    <w:rsid w:val="002F4E1A"/>
    <w:rsid w:val="00305C78"/>
    <w:rsid w:val="0031373B"/>
    <w:rsid w:val="00324128"/>
    <w:rsid w:val="0032501C"/>
    <w:rsid w:val="003267C8"/>
    <w:rsid w:val="00342A9F"/>
    <w:rsid w:val="00343DF6"/>
    <w:rsid w:val="00357E0E"/>
    <w:rsid w:val="00361E35"/>
    <w:rsid w:val="003664E9"/>
    <w:rsid w:val="003679A1"/>
    <w:rsid w:val="003A2796"/>
    <w:rsid w:val="003A35A2"/>
    <w:rsid w:val="003A42F0"/>
    <w:rsid w:val="003B41AD"/>
    <w:rsid w:val="003B4AF3"/>
    <w:rsid w:val="003B5B4C"/>
    <w:rsid w:val="003C0156"/>
    <w:rsid w:val="003D630A"/>
    <w:rsid w:val="003E1F76"/>
    <w:rsid w:val="003E5990"/>
    <w:rsid w:val="003F3DFD"/>
    <w:rsid w:val="003F61BD"/>
    <w:rsid w:val="00400C63"/>
    <w:rsid w:val="004016B9"/>
    <w:rsid w:val="00413EB6"/>
    <w:rsid w:val="004204E5"/>
    <w:rsid w:val="0042702F"/>
    <w:rsid w:val="0043447A"/>
    <w:rsid w:val="004375A2"/>
    <w:rsid w:val="0044024D"/>
    <w:rsid w:val="00456461"/>
    <w:rsid w:val="00465538"/>
    <w:rsid w:val="004663E8"/>
    <w:rsid w:val="00475FD2"/>
    <w:rsid w:val="00480CAD"/>
    <w:rsid w:val="00487F7C"/>
    <w:rsid w:val="004A161B"/>
    <w:rsid w:val="004A56A4"/>
    <w:rsid w:val="004A5FA1"/>
    <w:rsid w:val="004B49D4"/>
    <w:rsid w:val="004C0DC7"/>
    <w:rsid w:val="004D1636"/>
    <w:rsid w:val="004D2BA9"/>
    <w:rsid w:val="004D4CC5"/>
    <w:rsid w:val="004E283C"/>
    <w:rsid w:val="004E33EA"/>
    <w:rsid w:val="004E4173"/>
    <w:rsid w:val="004E7185"/>
    <w:rsid w:val="004F5D37"/>
    <w:rsid w:val="00503398"/>
    <w:rsid w:val="00520115"/>
    <w:rsid w:val="00530485"/>
    <w:rsid w:val="0054215D"/>
    <w:rsid w:val="00543408"/>
    <w:rsid w:val="00544D65"/>
    <w:rsid w:val="00550E69"/>
    <w:rsid w:val="005553EF"/>
    <w:rsid w:val="00560C7B"/>
    <w:rsid w:val="00564ED3"/>
    <w:rsid w:val="00567E81"/>
    <w:rsid w:val="00580F5F"/>
    <w:rsid w:val="005817BF"/>
    <w:rsid w:val="00591A57"/>
    <w:rsid w:val="005A6350"/>
    <w:rsid w:val="005A7304"/>
    <w:rsid w:val="005C2142"/>
    <w:rsid w:val="005D0C10"/>
    <w:rsid w:val="005D53E8"/>
    <w:rsid w:val="005D7FB7"/>
    <w:rsid w:val="005E53A3"/>
    <w:rsid w:val="005F5FFE"/>
    <w:rsid w:val="0060465D"/>
    <w:rsid w:val="00623229"/>
    <w:rsid w:val="006455A5"/>
    <w:rsid w:val="006462C6"/>
    <w:rsid w:val="006478C5"/>
    <w:rsid w:val="00664D49"/>
    <w:rsid w:val="00672ABA"/>
    <w:rsid w:val="0067324B"/>
    <w:rsid w:val="00674BB8"/>
    <w:rsid w:val="00681B37"/>
    <w:rsid w:val="00683131"/>
    <w:rsid w:val="00684799"/>
    <w:rsid w:val="00694366"/>
    <w:rsid w:val="006A0924"/>
    <w:rsid w:val="006A3E34"/>
    <w:rsid w:val="006A430F"/>
    <w:rsid w:val="006B0ADF"/>
    <w:rsid w:val="006B2581"/>
    <w:rsid w:val="006B48D4"/>
    <w:rsid w:val="006C5269"/>
    <w:rsid w:val="006C74E9"/>
    <w:rsid w:val="006D03EF"/>
    <w:rsid w:val="006D28CB"/>
    <w:rsid w:val="006D319D"/>
    <w:rsid w:val="006D4E51"/>
    <w:rsid w:val="006E737C"/>
    <w:rsid w:val="007000D9"/>
    <w:rsid w:val="00705669"/>
    <w:rsid w:val="00715F97"/>
    <w:rsid w:val="007204B6"/>
    <w:rsid w:val="00722D99"/>
    <w:rsid w:val="007354FD"/>
    <w:rsid w:val="00747701"/>
    <w:rsid w:val="00756EC8"/>
    <w:rsid w:val="00757FCA"/>
    <w:rsid w:val="007629D3"/>
    <w:rsid w:val="0076585B"/>
    <w:rsid w:val="00767657"/>
    <w:rsid w:val="00767E35"/>
    <w:rsid w:val="00794616"/>
    <w:rsid w:val="007A11AD"/>
    <w:rsid w:val="007C3BD6"/>
    <w:rsid w:val="007D454E"/>
    <w:rsid w:val="008047DE"/>
    <w:rsid w:val="008148F5"/>
    <w:rsid w:val="00817D80"/>
    <w:rsid w:val="00842BA8"/>
    <w:rsid w:val="00844673"/>
    <w:rsid w:val="00850191"/>
    <w:rsid w:val="008633FA"/>
    <w:rsid w:val="008655C0"/>
    <w:rsid w:val="00873163"/>
    <w:rsid w:val="00886162"/>
    <w:rsid w:val="00892269"/>
    <w:rsid w:val="008A6DCD"/>
    <w:rsid w:val="008C0CD3"/>
    <w:rsid w:val="008D30F9"/>
    <w:rsid w:val="008D503E"/>
    <w:rsid w:val="008D53B2"/>
    <w:rsid w:val="008E5541"/>
    <w:rsid w:val="00907F8B"/>
    <w:rsid w:val="00912169"/>
    <w:rsid w:val="00917CF6"/>
    <w:rsid w:val="0092037A"/>
    <w:rsid w:val="00923848"/>
    <w:rsid w:val="009246AD"/>
    <w:rsid w:val="00944463"/>
    <w:rsid w:val="00952C95"/>
    <w:rsid w:val="00955C73"/>
    <w:rsid w:val="00961107"/>
    <w:rsid w:val="00971570"/>
    <w:rsid w:val="00977BCA"/>
    <w:rsid w:val="00981A70"/>
    <w:rsid w:val="0098382A"/>
    <w:rsid w:val="009934D1"/>
    <w:rsid w:val="009A6305"/>
    <w:rsid w:val="009B3173"/>
    <w:rsid w:val="009C2BE2"/>
    <w:rsid w:val="009C4754"/>
    <w:rsid w:val="009D2340"/>
    <w:rsid w:val="009D5232"/>
    <w:rsid w:val="009E2EE3"/>
    <w:rsid w:val="009F2E7E"/>
    <w:rsid w:val="00A02D62"/>
    <w:rsid w:val="00A04A93"/>
    <w:rsid w:val="00A16334"/>
    <w:rsid w:val="00A20EB5"/>
    <w:rsid w:val="00A37EEB"/>
    <w:rsid w:val="00A74F87"/>
    <w:rsid w:val="00A7569D"/>
    <w:rsid w:val="00A764EF"/>
    <w:rsid w:val="00AA09F0"/>
    <w:rsid w:val="00AB34C5"/>
    <w:rsid w:val="00AB72A3"/>
    <w:rsid w:val="00AC201B"/>
    <w:rsid w:val="00AC405A"/>
    <w:rsid w:val="00AF4F6D"/>
    <w:rsid w:val="00AF7F6A"/>
    <w:rsid w:val="00B05A88"/>
    <w:rsid w:val="00B22E48"/>
    <w:rsid w:val="00B2733E"/>
    <w:rsid w:val="00B44641"/>
    <w:rsid w:val="00B53856"/>
    <w:rsid w:val="00B632D0"/>
    <w:rsid w:val="00B63CC2"/>
    <w:rsid w:val="00B67667"/>
    <w:rsid w:val="00B70E0B"/>
    <w:rsid w:val="00B7618D"/>
    <w:rsid w:val="00B80F78"/>
    <w:rsid w:val="00BA2E40"/>
    <w:rsid w:val="00BA67EE"/>
    <w:rsid w:val="00BB5942"/>
    <w:rsid w:val="00BD2C44"/>
    <w:rsid w:val="00BF1B38"/>
    <w:rsid w:val="00BF4841"/>
    <w:rsid w:val="00BF790C"/>
    <w:rsid w:val="00C03FC2"/>
    <w:rsid w:val="00C046F0"/>
    <w:rsid w:val="00C06604"/>
    <w:rsid w:val="00C10EE0"/>
    <w:rsid w:val="00C12556"/>
    <w:rsid w:val="00C375DE"/>
    <w:rsid w:val="00C46DDF"/>
    <w:rsid w:val="00C6170A"/>
    <w:rsid w:val="00C63173"/>
    <w:rsid w:val="00C77A9C"/>
    <w:rsid w:val="00C91D23"/>
    <w:rsid w:val="00CB4283"/>
    <w:rsid w:val="00CC10F1"/>
    <w:rsid w:val="00CC135C"/>
    <w:rsid w:val="00CC6313"/>
    <w:rsid w:val="00CD4832"/>
    <w:rsid w:val="00D1797C"/>
    <w:rsid w:val="00D318E5"/>
    <w:rsid w:val="00D32E24"/>
    <w:rsid w:val="00D350BA"/>
    <w:rsid w:val="00D461D9"/>
    <w:rsid w:val="00D5036A"/>
    <w:rsid w:val="00D529D1"/>
    <w:rsid w:val="00D55912"/>
    <w:rsid w:val="00D629CB"/>
    <w:rsid w:val="00D64ED2"/>
    <w:rsid w:val="00D73689"/>
    <w:rsid w:val="00D77210"/>
    <w:rsid w:val="00D7758B"/>
    <w:rsid w:val="00D8696C"/>
    <w:rsid w:val="00D93B7B"/>
    <w:rsid w:val="00DA2473"/>
    <w:rsid w:val="00DB09F6"/>
    <w:rsid w:val="00DB39AE"/>
    <w:rsid w:val="00DB649F"/>
    <w:rsid w:val="00DD6DBB"/>
    <w:rsid w:val="00DE563E"/>
    <w:rsid w:val="00DE6F82"/>
    <w:rsid w:val="00DF3D7F"/>
    <w:rsid w:val="00E074F2"/>
    <w:rsid w:val="00E24E4B"/>
    <w:rsid w:val="00E27A56"/>
    <w:rsid w:val="00E32821"/>
    <w:rsid w:val="00E47F1C"/>
    <w:rsid w:val="00E51A2D"/>
    <w:rsid w:val="00E57410"/>
    <w:rsid w:val="00E6562F"/>
    <w:rsid w:val="00E91482"/>
    <w:rsid w:val="00E96302"/>
    <w:rsid w:val="00EB0316"/>
    <w:rsid w:val="00ED4613"/>
    <w:rsid w:val="00EF1828"/>
    <w:rsid w:val="00EF30C3"/>
    <w:rsid w:val="00EF7E17"/>
    <w:rsid w:val="00F00EE0"/>
    <w:rsid w:val="00F0156F"/>
    <w:rsid w:val="00F10CAD"/>
    <w:rsid w:val="00F11E5D"/>
    <w:rsid w:val="00F12004"/>
    <w:rsid w:val="00F134F5"/>
    <w:rsid w:val="00F27088"/>
    <w:rsid w:val="00F41093"/>
    <w:rsid w:val="00F41AC6"/>
    <w:rsid w:val="00F433A6"/>
    <w:rsid w:val="00F47B85"/>
    <w:rsid w:val="00F514B9"/>
    <w:rsid w:val="00F54BDD"/>
    <w:rsid w:val="00F5645C"/>
    <w:rsid w:val="00F67D26"/>
    <w:rsid w:val="00F85BB3"/>
    <w:rsid w:val="00F95B18"/>
    <w:rsid w:val="00F97274"/>
    <w:rsid w:val="00FA0302"/>
    <w:rsid w:val="00FA3EF3"/>
    <w:rsid w:val="00FA666C"/>
    <w:rsid w:val="00FB6D66"/>
    <w:rsid w:val="00FC6D65"/>
    <w:rsid w:val="00FD1900"/>
    <w:rsid w:val="00FD210B"/>
    <w:rsid w:val="00FD5209"/>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56A920"/>
  <w15:docId w15:val="{8107DE03-7A1D-406A-9596-AE2FBDC96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iPriority="35" w:unhideWhenUsed="1" w:qFormat="1"/>
    <w:lsdException w:name="annotation reference" w:uiPriority="99"/>
    <w:lsdException w:name="line number"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spacing w:after="200"/>
      <w:jc w:val="both"/>
    </w:pPr>
    <w:rPr>
      <w:rFonts w:ascii="Times" w:hAnsi="Time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uiPriority w:val="99"/>
    <w:rPr>
      <w:color w:val="800080"/>
      <w:u w:val="single"/>
    </w:rPr>
  </w:style>
  <w:style w:type="paragraph" w:styleId="Corpotesto">
    <w:name w:val="Body Text"/>
    <w:basedOn w:val="Normale"/>
    <w:pPr>
      <w:jc w:val="center"/>
    </w:pPr>
    <w:rPr>
      <w:b/>
      <w:sz w:val="40"/>
    </w:rPr>
  </w:style>
  <w:style w:type="paragraph" w:styleId="Testonotaapidipagina">
    <w:name w:val="footnote text"/>
    <w:basedOn w:val="Normale"/>
    <w:next w:val="TFReferencesSection"/>
    <w:semiHidden/>
  </w:style>
  <w:style w:type="paragraph" w:customStyle="1" w:styleId="TFReferencesSection">
    <w:name w:val="TF_References_Section"/>
    <w:basedOn w:val="Normale"/>
    <w:pPr>
      <w:spacing w:line="480" w:lineRule="auto"/>
      <w:ind w:firstLine="187"/>
    </w:pPr>
  </w:style>
  <w:style w:type="paragraph" w:customStyle="1" w:styleId="TAMainText">
    <w:name w:val="TA_Main_Text"/>
    <w:basedOn w:val="Normale"/>
    <w:pPr>
      <w:spacing w:after="0" w:line="480" w:lineRule="auto"/>
      <w:ind w:firstLine="202"/>
    </w:pPr>
  </w:style>
  <w:style w:type="paragraph" w:customStyle="1" w:styleId="BATitle">
    <w:name w:val="BA_Title"/>
    <w:basedOn w:val="Normale"/>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pPr>
      <w:spacing w:after="240" w:line="480" w:lineRule="auto"/>
      <w:jc w:val="center"/>
    </w:pPr>
    <w:rPr>
      <w:i/>
    </w:rPr>
  </w:style>
  <w:style w:type="paragraph" w:customStyle="1" w:styleId="BCAuthorAddress">
    <w:name w:val="BC_Author_Address"/>
    <w:basedOn w:val="Normale"/>
    <w:next w:val="BIEmailAddress"/>
    <w:pPr>
      <w:spacing w:after="240" w:line="480" w:lineRule="auto"/>
      <w:jc w:val="center"/>
    </w:pPr>
  </w:style>
  <w:style w:type="paragraph" w:customStyle="1" w:styleId="BIEmailAddress">
    <w:name w:val="BI_Email_Address"/>
    <w:basedOn w:val="Normale"/>
    <w:next w:val="AIReceivedDate"/>
    <w:pPr>
      <w:spacing w:line="480" w:lineRule="auto"/>
    </w:pPr>
  </w:style>
  <w:style w:type="paragraph" w:customStyle="1" w:styleId="AIReceivedDate">
    <w:name w:val="AI_Received_Date"/>
    <w:basedOn w:val="Normale"/>
    <w:next w:val="BDAbstract"/>
    <w:pPr>
      <w:spacing w:after="240" w:line="480" w:lineRule="auto"/>
    </w:pPr>
    <w:rPr>
      <w:b/>
    </w:rPr>
  </w:style>
  <w:style w:type="paragraph" w:customStyle="1" w:styleId="BDAbstract">
    <w:name w:val="BD_Abstract"/>
    <w:basedOn w:val="Normale"/>
    <w:next w:val="TAMainText"/>
    <w:pPr>
      <w:spacing w:before="360" w:after="360" w:line="480" w:lineRule="auto"/>
    </w:pPr>
  </w:style>
  <w:style w:type="paragraph" w:customStyle="1" w:styleId="TDAcknowledgments">
    <w:name w:val="TD_Acknowledgments"/>
    <w:basedOn w:val="Normale"/>
    <w:next w:val="Normale"/>
    <w:pPr>
      <w:spacing w:before="200" w:line="480" w:lineRule="auto"/>
      <w:ind w:firstLine="202"/>
    </w:pPr>
  </w:style>
  <w:style w:type="paragraph" w:customStyle="1" w:styleId="TESupportingInformation">
    <w:name w:val="TE_Supporting_Information"/>
    <w:basedOn w:val="Normale"/>
    <w:next w:val="Normale"/>
    <w:pPr>
      <w:spacing w:line="480" w:lineRule="auto"/>
      <w:ind w:firstLine="187"/>
    </w:pPr>
  </w:style>
  <w:style w:type="paragraph" w:customStyle="1" w:styleId="VCSchemeTitle">
    <w:name w:val="VC_Scheme_Title"/>
    <w:basedOn w:val="Normale"/>
    <w:next w:val="Normale"/>
    <w:pPr>
      <w:spacing w:line="480" w:lineRule="auto"/>
    </w:pPr>
  </w:style>
  <w:style w:type="paragraph" w:customStyle="1" w:styleId="VDTableTitle">
    <w:name w:val="VD_Table_Title"/>
    <w:basedOn w:val="Normale"/>
    <w:next w:val="Normale"/>
    <w:pPr>
      <w:spacing w:line="480" w:lineRule="auto"/>
    </w:pPr>
  </w:style>
  <w:style w:type="paragraph" w:customStyle="1" w:styleId="VAFigureCaption">
    <w:name w:val="VA_Figure_Caption"/>
    <w:basedOn w:val="Normale"/>
    <w:next w:val="Normale"/>
    <w:pPr>
      <w:spacing w:line="480" w:lineRule="auto"/>
    </w:pPr>
  </w:style>
  <w:style w:type="paragraph" w:customStyle="1" w:styleId="VBChartTitle">
    <w:name w:val="VB_Chart_Title"/>
    <w:basedOn w:val="Normale"/>
    <w:next w:val="Normale"/>
    <w:pPr>
      <w:spacing w:line="480" w:lineRule="auto"/>
    </w:pPr>
  </w:style>
  <w:style w:type="paragraph" w:customStyle="1" w:styleId="FETableFootnote">
    <w:name w:val="FE_Table_Footnote"/>
    <w:basedOn w:val="Normale"/>
    <w:next w:val="Normale"/>
    <w:pPr>
      <w:ind w:firstLine="187"/>
    </w:pPr>
  </w:style>
  <w:style w:type="paragraph" w:customStyle="1" w:styleId="FCChartFootnote">
    <w:name w:val="FC_Chart_Footnote"/>
    <w:basedOn w:val="Normale"/>
    <w:next w:val="Normale"/>
    <w:pPr>
      <w:ind w:firstLine="187"/>
    </w:pPr>
  </w:style>
  <w:style w:type="paragraph" w:customStyle="1" w:styleId="FDSchemeFootnote">
    <w:name w:val="FD_Scheme_Footnote"/>
    <w:basedOn w:val="Normale"/>
    <w:next w:val="Normale"/>
    <w:pPr>
      <w:ind w:firstLine="187"/>
    </w:pPr>
  </w:style>
  <w:style w:type="paragraph" w:customStyle="1" w:styleId="TCTableBody">
    <w:name w:val="TC_Table_Body"/>
    <w:basedOn w:val="Normale"/>
  </w:style>
  <w:style w:type="paragraph" w:customStyle="1" w:styleId="AFTitleRunningHead">
    <w:name w:val="AF_Title_Running_Head"/>
    <w:basedOn w:val="Normale"/>
    <w:next w:val="TAMainText"/>
    <w:pPr>
      <w:spacing w:line="480" w:lineRule="auto"/>
    </w:pPr>
  </w:style>
  <w:style w:type="paragraph" w:customStyle="1" w:styleId="BEAuthorBiography">
    <w:name w:val="BE_Author_Biography"/>
    <w:basedOn w:val="Normale"/>
    <w:pPr>
      <w:spacing w:line="480" w:lineRule="auto"/>
    </w:pPr>
  </w:style>
  <w:style w:type="paragraph" w:customStyle="1" w:styleId="FACorrespondingAuthorFootnote">
    <w:name w:val="FA_Corresponding_Author_Footnote"/>
    <w:basedOn w:val="Normale"/>
    <w:next w:val="TAMainText"/>
    <w:pPr>
      <w:spacing w:line="480" w:lineRule="auto"/>
    </w:pPr>
  </w:style>
  <w:style w:type="paragraph" w:customStyle="1" w:styleId="SNSynopsisTOC">
    <w:name w:val="SN_Synopsis_TOC"/>
    <w:basedOn w:val="Normale"/>
    <w:pPr>
      <w:spacing w:line="480" w:lineRule="auto"/>
    </w:pPr>
  </w:style>
  <w:style w:type="character" w:styleId="Collegamentoipertestuale">
    <w:name w:val="Hyperlink"/>
    <w:uiPriority w:val="99"/>
    <w:rPr>
      <w:color w:val="0000FF"/>
      <w:u w:val="single"/>
    </w:rPr>
  </w:style>
  <w:style w:type="paragraph" w:styleId="Pidipagina">
    <w:name w:val="footer"/>
    <w:basedOn w:val="Normale"/>
    <w:link w:val="PidipaginaCarattere"/>
    <w:uiPriority w:val="99"/>
    <w:pPr>
      <w:tabs>
        <w:tab w:val="center" w:pos="4320"/>
        <w:tab w:val="right" w:pos="8640"/>
      </w:tabs>
    </w:pPr>
  </w:style>
  <w:style w:type="paragraph" w:customStyle="1" w:styleId="BGKeywords">
    <w:name w:val="BG_Keywords"/>
    <w:basedOn w:val="Normale"/>
    <w:pPr>
      <w:spacing w:line="480" w:lineRule="auto"/>
    </w:pPr>
  </w:style>
  <w:style w:type="paragraph" w:customStyle="1" w:styleId="BHBriefs">
    <w:name w:val="BH_Briefs"/>
    <w:basedOn w:val="Normale"/>
    <w:pPr>
      <w:spacing w:line="480" w:lineRule="auto"/>
    </w:pPr>
  </w:style>
  <w:style w:type="character" w:styleId="Numeropagina">
    <w:name w:val="page number"/>
    <w:basedOn w:val="Carpredefinitoparagrafo"/>
  </w:style>
  <w:style w:type="paragraph" w:styleId="Testofumetto">
    <w:name w:val="Balloon Text"/>
    <w:basedOn w:val="Normale"/>
    <w:link w:val="TestofumettoCarattere"/>
    <w:uiPriority w:val="99"/>
    <w:semiHidden/>
    <w:rsid w:val="00E96302"/>
    <w:rPr>
      <w:rFonts w:ascii="Tahoma" w:hAnsi="Tahoma" w:cs="Tahoma"/>
      <w:sz w:val="16"/>
      <w:szCs w:val="16"/>
    </w:rPr>
  </w:style>
  <w:style w:type="paragraph" w:customStyle="1" w:styleId="StyleFACorrespondingAuthorFootnote7pt">
    <w:name w:val="Style FA_Corresponding_Author_Footnote + 7 pt"/>
    <w:basedOn w:val="Normale"/>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e"/>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table" w:styleId="Grigliatabella">
    <w:name w:val="Table Grid"/>
    <w:basedOn w:val="Tabellanormale"/>
    <w:uiPriority w:val="39"/>
    <w:rsid w:val="00221C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221CD5"/>
    <w:pPr>
      <w:spacing w:after="160" w:line="259" w:lineRule="auto"/>
      <w:ind w:left="720"/>
      <w:contextualSpacing/>
      <w:jc w:val="left"/>
    </w:pPr>
    <w:rPr>
      <w:rFonts w:asciiTheme="minorHAnsi" w:eastAsiaTheme="minorHAnsi" w:hAnsiTheme="minorHAnsi" w:cstheme="minorBidi"/>
      <w:sz w:val="22"/>
      <w:szCs w:val="22"/>
      <w:lang w:val="it-IT"/>
    </w:rPr>
  </w:style>
  <w:style w:type="character" w:styleId="Numeroriga">
    <w:name w:val="line number"/>
    <w:basedOn w:val="Carpredefinitoparagrafo"/>
    <w:uiPriority w:val="99"/>
    <w:unhideWhenUsed/>
    <w:rsid w:val="00221CD5"/>
  </w:style>
  <w:style w:type="paragraph" w:styleId="Intestazione">
    <w:name w:val="header"/>
    <w:basedOn w:val="Normale"/>
    <w:link w:val="IntestazioneCarattere"/>
    <w:uiPriority w:val="99"/>
    <w:unhideWhenUsed/>
    <w:rsid w:val="00221CD5"/>
    <w:pPr>
      <w:tabs>
        <w:tab w:val="center" w:pos="4819"/>
        <w:tab w:val="right" w:pos="9638"/>
      </w:tabs>
      <w:spacing w:after="0"/>
      <w:jc w:val="left"/>
    </w:pPr>
    <w:rPr>
      <w:rFonts w:asciiTheme="minorHAnsi" w:eastAsiaTheme="minorHAnsi" w:hAnsiTheme="minorHAnsi" w:cstheme="minorBidi"/>
      <w:sz w:val="22"/>
      <w:szCs w:val="22"/>
      <w:lang w:val="it-IT"/>
    </w:rPr>
  </w:style>
  <w:style w:type="character" w:customStyle="1" w:styleId="IntestazioneCarattere">
    <w:name w:val="Intestazione Carattere"/>
    <w:basedOn w:val="Carpredefinitoparagrafo"/>
    <w:link w:val="Intestazione"/>
    <w:uiPriority w:val="99"/>
    <w:rsid w:val="00221CD5"/>
    <w:rPr>
      <w:rFonts w:asciiTheme="minorHAnsi" w:eastAsiaTheme="minorHAnsi" w:hAnsiTheme="minorHAnsi" w:cstheme="minorBidi"/>
      <w:sz w:val="22"/>
      <w:szCs w:val="22"/>
      <w:lang w:val="it-IT"/>
    </w:rPr>
  </w:style>
  <w:style w:type="character" w:customStyle="1" w:styleId="PidipaginaCarattere">
    <w:name w:val="Piè di pagina Carattere"/>
    <w:basedOn w:val="Carpredefinitoparagrafo"/>
    <w:link w:val="Pidipagina"/>
    <w:uiPriority w:val="99"/>
    <w:rsid w:val="00221CD5"/>
    <w:rPr>
      <w:rFonts w:ascii="Times" w:hAnsi="Times"/>
      <w:sz w:val="24"/>
    </w:rPr>
  </w:style>
  <w:style w:type="paragraph" w:styleId="Didascalia">
    <w:name w:val="caption"/>
    <w:basedOn w:val="Normale"/>
    <w:next w:val="Normale"/>
    <w:uiPriority w:val="35"/>
    <w:unhideWhenUsed/>
    <w:qFormat/>
    <w:rsid w:val="00221CD5"/>
    <w:pPr>
      <w:jc w:val="left"/>
    </w:pPr>
    <w:rPr>
      <w:rFonts w:asciiTheme="minorHAnsi" w:eastAsiaTheme="minorHAnsi" w:hAnsiTheme="minorHAnsi" w:cstheme="minorBidi"/>
      <w:i/>
      <w:iCs/>
      <w:color w:val="1F497D" w:themeColor="text2"/>
      <w:sz w:val="18"/>
      <w:szCs w:val="18"/>
      <w:lang w:val="it-IT"/>
    </w:rPr>
  </w:style>
  <w:style w:type="character" w:styleId="Menzionenonrisolta">
    <w:name w:val="Unresolved Mention"/>
    <w:basedOn w:val="Carpredefinitoparagrafo"/>
    <w:uiPriority w:val="99"/>
    <w:semiHidden/>
    <w:unhideWhenUsed/>
    <w:rsid w:val="00221CD5"/>
    <w:rPr>
      <w:color w:val="605E5C"/>
      <w:shd w:val="clear" w:color="auto" w:fill="E1DFDD"/>
    </w:rPr>
  </w:style>
  <w:style w:type="paragraph" w:customStyle="1" w:styleId="EndNoteBibliographyTitle">
    <w:name w:val="EndNote Bibliography Title"/>
    <w:basedOn w:val="Normale"/>
    <w:link w:val="EndNoteBibliographyTitleCarattere"/>
    <w:rsid w:val="00221CD5"/>
    <w:pPr>
      <w:spacing w:after="0" w:line="259" w:lineRule="auto"/>
      <w:jc w:val="center"/>
    </w:pPr>
    <w:rPr>
      <w:rFonts w:ascii="Calibri" w:eastAsiaTheme="minorHAnsi" w:hAnsi="Calibri" w:cs="Calibri"/>
      <w:noProof/>
      <w:sz w:val="22"/>
      <w:szCs w:val="22"/>
    </w:rPr>
  </w:style>
  <w:style w:type="character" w:customStyle="1" w:styleId="EndNoteBibliographyTitleCarattere">
    <w:name w:val="EndNote Bibliography Title Carattere"/>
    <w:basedOn w:val="Carpredefinitoparagrafo"/>
    <w:link w:val="EndNoteBibliographyTitle"/>
    <w:rsid w:val="00221CD5"/>
    <w:rPr>
      <w:rFonts w:ascii="Calibri" w:eastAsiaTheme="minorHAnsi" w:hAnsi="Calibri" w:cs="Calibri"/>
      <w:noProof/>
      <w:sz w:val="22"/>
      <w:szCs w:val="22"/>
    </w:rPr>
  </w:style>
  <w:style w:type="paragraph" w:customStyle="1" w:styleId="EndNoteBibliography">
    <w:name w:val="EndNote Bibliography"/>
    <w:basedOn w:val="Normale"/>
    <w:link w:val="EndNoteBibliographyCarattere"/>
    <w:rsid w:val="00221CD5"/>
    <w:pPr>
      <w:spacing w:after="160"/>
      <w:jc w:val="left"/>
    </w:pPr>
    <w:rPr>
      <w:rFonts w:ascii="Calibri" w:eastAsiaTheme="minorHAnsi" w:hAnsi="Calibri" w:cs="Calibri"/>
      <w:noProof/>
      <w:sz w:val="22"/>
      <w:szCs w:val="22"/>
    </w:rPr>
  </w:style>
  <w:style w:type="character" w:customStyle="1" w:styleId="EndNoteBibliographyCarattere">
    <w:name w:val="EndNote Bibliography Carattere"/>
    <w:basedOn w:val="Carpredefinitoparagrafo"/>
    <w:link w:val="EndNoteBibliography"/>
    <w:rsid w:val="00221CD5"/>
    <w:rPr>
      <w:rFonts w:ascii="Calibri" w:eastAsiaTheme="minorHAnsi" w:hAnsi="Calibri" w:cs="Calibri"/>
      <w:noProof/>
      <w:sz w:val="22"/>
      <w:szCs w:val="22"/>
    </w:rPr>
  </w:style>
  <w:style w:type="table" w:styleId="Tabellaelenco1chiara">
    <w:name w:val="List Table 1 Light"/>
    <w:basedOn w:val="Tabellanormale"/>
    <w:uiPriority w:val="46"/>
    <w:rsid w:val="00221CD5"/>
    <w:rPr>
      <w:rFonts w:asciiTheme="minorHAnsi" w:eastAsiaTheme="minorHAnsi" w:hAnsiTheme="minorHAnsi" w:cstheme="minorBidi"/>
      <w:kern w:val="2"/>
      <w:sz w:val="22"/>
      <w:szCs w:val="22"/>
      <w:lang w:val="it-IT"/>
      <w14:ligatures w14:val="standardContextual"/>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Rimandocommento">
    <w:name w:val="annotation reference"/>
    <w:basedOn w:val="Carpredefinitoparagrafo"/>
    <w:uiPriority w:val="99"/>
    <w:unhideWhenUsed/>
    <w:rsid w:val="00221CD5"/>
    <w:rPr>
      <w:sz w:val="16"/>
      <w:szCs w:val="16"/>
    </w:rPr>
  </w:style>
  <w:style w:type="paragraph" w:styleId="Testocommento">
    <w:name w:val="annotation text"/>
    <w:basedOn w:val="Normale"/>
    <w:link w:val="TestocommentoCarattere"/>
    <w:uiPriority w:val="99"/>
    <w:unhideWhenUsed/>
    <w:rsid w:val="00221CD5"/>
    <w:pPr>
      <w:spacing w:after="160"/>
      <w:jc w:val="left"/>
    </w:pPr>
    <w:rPr>
      <w:rFonts w:asciiTheme="minorHAnsi" w:eastAsiaTheme="minorHAnsi" w:hAnsiTheme="minorHAnsi" w:cstheme="minorBidi"/>
      <w:sz w:val="20"/>
      <w:lang w:val="it-IT"/>
    </w:rPr>
  </w:style>
  <w:style w:type="character" w:customStyle="1" w:styleId="TestocommentoCarattere">
    <w:name w:val="Testo commento Carattere"/>
    <w:basedOn w:val="Carpredefinitoparagrafo"/>
    <w:link w:val="Testocommento"/>
    <w:uiPriority w:val="99"/>
    <w:rsid w:val="00221CD5"/>
    <w:rPr>
      <w:rFonts w:asciiTheme="minorHAnsi" w:eastAsiaTheme="minorHAnsi" w:hAnsiTheme="minorHAnsi" w:cstheme="minorBidi"/>
      <w:lang w:val="it-IT"/>
    </w:rPr>
  </w:style>
  <w:style w:type="paragraph" w:styleId="Soggettocommento">
    <w:name w:val="annotation subject"/>
    <w:basedOn w:val="Testocommento"/>
    <w:next w:val="Testocommento"/>
    <w:link w:val="SoggettocommentoCarattere"/>
    <w:uiPriority w:val="99"/>
    <w:unhideWhenUsed/>
    <w:rsid w:val="00221CD5"/>
    <w:rPr>
      <w:b/>
      <w:bCs/>
    </w:rPr>
  </w:style>
  <w:style w:type="character" w:customStyle="1" w:styleId="SoggettocommentoCarattere">
    <w:name w:val="Soggetto commento Carattere"/>
    <w:basedOn w:val="TestocommentoCarattere"/>
    <w:link w:val="Soggettocommento"/>
    <w:uiPriority w:val="99"/>
    <w:rsid w:val="00221CD5"/>
    <w:rPr>
      <w:rFonts w:asciiTheme="minorHAnsi" w:eastAsiaTheme="minorHAnsi" w:hAnsiTheme="minorHAnsi" w:cstheme="minorBidi"/>
      <w:b/>
      <w:bCs/>
      <w:lang w:val="it-IT"/>
    </w:rPr>
  </w:style>
  <w:style w:type="paragraph" w:styleId="Revisione">
    <w:name w:val="Revision"/>
    <w:hidden/>
    <w:uiPriority w:val="99"/>
    <w:semiHidden/>
    <w:rsid w:val="00221CD5"/>
    <w:rPr>
      <w:rFonts w:asciiTheme="minorHAnsi" w:eastAsiaTheme="minorHAnsi" w:hAnsiTheme="minorHAnsi" w:cstheme="minorBidi"/>
      <w:sz w:val="22"/>
      <w:szCs w:val="22"/>
      <w:lang w:val="it-IT"/>
    </w:rPr>
  </w:style>
  <w:style w:type="character" w:customStyle="1" w:styleId="TestofumettoCarattere">
    <w:name w:val="Testo fumetto Carattere"/>
    <w:basedOn w:val="Carpredefinitoparagrafo"/>
    <w:link w:val="Testofumetto"/>
    <w:uiPriority w:val="99"/>
    <w:semiHidden/>
    <w:rsid w:val="00221CD5"/>
    <w:rPr>
      <w:rFonts w:ascii="Tahoma" w:hAnsi="Tahoma" w:cs="Tahoma"/>
      <w:sz w:val="16"/>
      <w:szCs w:val="16"/>
    </w:rPr>
  </w:style>
  <w:style w:type="paragraph" w:styleId="Sottotitolo">
    <w:name w:val="Subtitle"/>
    <w:basedOn w:val="Normale"/>
    <w:next w:val="Normale"/>
    <w:link w:val="SottotitoloCarattere"/>
    <w:qFormat/>
    <w:rsid w:val="005D53E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ottotitoloCarattere">
    <w:name w:val="Sottotitolo Carattere"/>
    <w:basedOn w:val="Carpredefinitoparagrafo"/>
    <w:link w:val="Sottotitolo"/>
    <w:rsid w:val="005D53E8"/>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1968217">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koe.org" TargetMode="Externa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Il%20mio%20Drive\Filippo\Articoli%20miei\2023_3%20bioplastiche%20pisa\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5F5569-6A8F-4096-AE83-F518713A5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29</TotalTime>
  <Pages>1</Pages>
  <Words>24725</Words>
  <Characters>140938</Characters>
  <Application>Microsoft Office Word</Application>
  <DocSecurity>0</DocSecurity>
  <Lines>1174</Lines>
  <Paragraphs>330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165333</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FMarchelli</dc:creator>
  <cp:keywords/>
  <cp:lastModifiedBy>Filippo Marchelli</cp:lastModifiedBy>
  <cp:revision>4</cp:revision>
  <cp:lastPrinted>2008-06-11T21:33:00Z</cp:lastPrinted>
  <dcterms:created xsi:type="dcterms:W3CDTF">2024-05-03T15:22:00Z</dcterms:created>
  <dcterms:modified xsi:type="dcterms:W3CDTF">2024-05-03T15:48:00Z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http://www.zotero.org/styles/acs-sustainable-chemistry-and-engineering</vt:lpwstr>
  </property>
  <property fmtid="{D5CDD505-2E9C-101B-9397-08002B2CF9AE}" pid="3" name="Mendeley Recent Style Name 0_1">
    <vt:lpwstr>ACS Sustainable Chemistry &amp; Engineering</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 11th edition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http://www.zotero.org/styles/bioresource-technology</vt:lpwstr>
  </property>
  <property fmtid="{D5CDD505-2E9C-101B-9397-08002B2CF9AE}" pid="9" name="Mendeley Recent Style Name 3_1">
    <vt:lpwstr>Bioresource Technology</vt:lpwstr>
  </property>
  <property fmtid="{D5CDD505-2E9C-101B-9397-08002B2CF9AE}" pid="10" name="Mendeley Recent Style Id 4_1">
    <vt:lpwstr>http://www.zotero.org/styles/chemical-engineering-science</vt:lpwstr>
  </property>
  <property fmtid="{D5CDD505-2E9C-101B-9397-08002B2CF9AE}" pid="11" name="Mendeley Recent Style Name 4_1">
    <vt:lpwstr>Chemical Engineering Science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http://www.zotero.org/styles/industrial-and-engineering-chemistry-research</vt:lpwstr>
  </property>
  <property fmtid="{D5CDD505-2E9C-101B-9397-08002B2CF9AE}" pid="17" name="Mendeley Recent Style Name 7_1">
    <vt:lpwstr>Industrial &amp; Engineering Chemistry Research</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http://www.zotero.org/styles/the-canadian-journal-of-chemical-engineering</vt:lpwstr>
  </property>
  <property fmtid="{D5CDD505-2E9C-101B-9397-08002B2CF9AE}" pid="21" name="Mendeley Recent Style Name 9_1">
    <vt:lpwstr>The Canadian Journal of Chemical Engineering</vt:lpwstr>
  </property>
  <property fmtid="{D5CDD505-2E9C-101B-9397-08002B2CF9AE}" pid="22" name="Mendeley Document_1">
    <vt:lpwstr>True</vt:lpwstr>
  </property>
  <property fmtid="{D5CDD505-2E9C-101B-9397-08002B2CF9AE}" pid="23" name="Mendeley Unique User Id_1">
    <vt:lpwstr>09727cc3-47f4-3c5a-aa69-e7acdc6d39c6</vt:lpwstr>
  </property>
  <property fmtid="{D5CDD505-2E9C-101B-9397-08002B2CF9AE}" pid="24" name="Mendeley Citation Style_1">
    <vt:lpwstr>http://www.zotero.org/styles/acs-sustainable-chemistry-and-engineering</vt:lpwstr>
  </property>
  <property fmtid="{D5CDD505-2E9C-101B-9397-08002B2CF9AE}" pid="25" name="GrammarlyDocumentId">
    <vt:lpwstr>3355075ca949377e4dc80ba5db1c7a24fe784f933f5a8b9f315134485c06b517</vt:lpwstr>
  </property>
</Properties>
</file>