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8FB" w:rsidRDefault="00535B8D">
      <w:pPr>
        <w:ind w:firstLine="0"/>
        <w:rPr>
          <w:rFonts w:ascii="Times New Roman" w:hAnsi="Times New Roman"/>
          <w:b/>
          <w:sz w:val="24"/>
        </w:rPr>
      </w:pPr>
      <w:bookmarkStart w:id="0" w:name="_GoBack"/>
      <w:bookmarkEnd w:id="0"/>
      <w:r>
        <w:rPr>
          <w:rFonts w:ascii="Times New Roman" w:hAnsi="Times New Roman"/>
          <w:b/>
          <w:sz w:val="24"/>
        </w:rPr>
        <w:t>Farm sustainability evaluation: Methodology and practice</w:t>
      </w:r>
    </w:p>
    <w:p w:rsidR="005938FB" w:rsidRPr="00990D7A" w:rsidRDefault="00535B8D">
      <w:pPr>
        <w:ind w:firstLine="0"/>
        <w:rPr>
          <w:rFonts w:ascii="Times New Roman" w:hAnsi="Times New Roman"/>
          <w:lang w:val="it-IT"/>
        </w:rPr>
      </w:pPr>
      <w:r w:rsidRPr="00990D7A">
        <w:rPr>
          <w:rFonts w:ascii="Times New Roman" w:hAnsi="Times New Roman"/>
          <w:lang w:val="it-IT"/>
        </w:rPr>
        <w:t>M. Andreoli</w:t>
      </w:r>
      <w:r w:rsidRPr="00990D7A">
        <w:rPr>
          <w:rFonts w:ascii="Times New Roman" w:hAnsi="Times New Roman"/>
          <w:vertAlign w:val="superscript"/>
          <w:lang w:val="it-IT"/>
        </w:rPr>
        <w:t>1</w:t>
      </w:r>
      <w:r w:rsidRPr="00990D7A">
        <w:rPr>
          <w:rFonts w:ascii="Times New Roman" w:hAnsi="Times New Roman"/>
          <w:lang w:val="it-IT"/>
        </w:rPr>
        <w:t xml:space="preserve"> and V. Tellarini</w:t>
      </w:r>
      <w:r w:rsidRPr="00990D7A">
        <w:rPr>
          <w:rFonts w:ascii="Times New Roman" w:hAnsi="Times New Roman"/>
          <w:vertAlign w:val="superscript"/>
          <w:lang w:val="it-IT"/>
        </w:rPr>
        <w:t>2</w:t>
      </w:r>
    </w:p>
    <w:p w:rsidR="005938FB" w:rsidRPr="00990D7A" w:rsidRDefault="00535B8D">
      <w:pPr>
        <w:ind w:firstLine="0"/>
        <w:rPr>
          <w:rFonts w:ascii="Times New Roman" w:hAnsi="Times New Roman"/>
          <w:lang w:val="it-IT"/>
        </w:rPr>
      </w:pPr>
      <w:r w:rsidRPr="00990D7A">
        <w:rPr>
          <w:rFonts w:ascii="Times New Roman" w:hAnsi="Times New Roman"/>
          <w:vertAlign w:val="superscript"/>
          <w:lang w:val="it-IT"/>
        </w:rPr>
        <w:t>1</w:t>
      </w:r>
      <w:r w:rsidRPr="00990D7A">
        <w:rPr>
          <w:rFonts w:ascii="Times New Roman" w:hAnsi="Times New Roman"/>
          <w:lang w:val="it-IT"/>
        </w:rPr>
        <w:t>University of Pisa, Dip. Economia Aziendale</w:t>
      </w:r>
    </w:p>
    <w:p w:rsidR="005938FB" w:rsidRPr="00990D7A" w:rsidRDefault="00535B8D">
      <w:pPr>
        <w:ind w:firstLine="0"/>
        <w:rPr>
          <w:rFonts w:ascii="Times New Roman" w:hAnsi="Times New Roman"/>
          <w:lang w:val="it-IT"/>
        </w:rPr>
      </w:pPr>
      <w:r w:rsidRPr="00990D7A">
        <w:rPr>
          <w:rFonts w:ascii="Times New Roman" w:hAnsi="Times New Roman"/>
          <w:vertAlign w:val="superscript"/>
          <w:lang w:val="it-IT"/>
        </w:rPr>
        <w:t>2</w:t>
      </w:r>
      <w:r w:rsidRPr="00990D7A">
        <w:rPr>
          <w:rFonts w:ascii="Times New Roman" w:hAnsi="Times New Roman"/>
          <w:lang w:val="it-IT"/>
        </w:rPr>
        <w:t>University of Pisa, Dip. Economia dell’Agricoltura dell’Ambiente Agro-forestale e del Territorio</w:t>
      </w:r>
    </w:p>
    <w:p w:rsidR="005938FB" w:rsidRPr="00990D7A" w:rsidRDefault="00535B8D">
      <w:pPr>
        <w:spacing w:before="360"/>
        <w:ind w:firstLine="0"/>
        <w:rPr>
          <w:rFonts w:ascii="Times New Roman" w:hAnsi="Times New Roman"/>
          <w:lang w:val="it-IT"/>
        </w:rPr>
      </w:pPr>
      <w:r w:rsidRPr="00990D7A">
        <w:rPr>
          <w:rFonts w:ascii="Times New Roman" w:hAnsi="Times New Roman"/>
          <w:lang w:val="it-IT"/>
        </w:rPr>
        <w:t>Maria Andreoli, University of Pisa, Dip. Economia Aziendale, Via C. Ridolfi 10, 56124 Pisa, Italy,</w:t>
      </w:r>
    </w:p>
    <w:p w:rsidR="005938FB" w:rsidRDefault="00535B8D">
      <w:pPr>
        <w:ind w:firstLine="0"/>
        <w:rPr>
          <w:rFonts w:ascii="Times New Roman" w:hAnsi="Times New Roman"/>
        </w:rPr>
      </w:pPr>
      <w:r w:rsidRPr="00990D7A">
        <w:rPr>
          <w:rFonts w:ascii="Times New Roman" w:hAnsi="Times New Roman"/>
          <w:lang w:val="it-IT"/>
        </w:rPr>
        <w:t xml:space="preserve">e-mail: mandreol@ec.unipi.it; tel. </w:t>
      </w:r>
      <w:r>
        <w:rPr>
          <w:rFonts w:ascii="Times New Roman" w:hAnsi="Times New Roman"/>
        </w:rPr>
        <w:t>+39 050 945 315; fax: +39 050 541 403.</w:t>
      </w:r>
    </w:p>
    <w:p w:rsidR="005938FB" w:rsidRDefault="00535B8D">
      <w:pPr>
        <w:spacing w:before="480"/>
        <w:ind w:firstLine="0"/>
        <w:rPr>
          <w:rFonts w:ascii="Times New Roman" w:hAnsi="Times New Roman"/>
        </w:rPr>
      </w:pPr>
      <w:r>
        <w:rPr>
          <w:rFonts w:ascii="Times New Roman" w:hAnsi="Times New Roman"/>
        </w:rPr>
        <w:t>Keywords: farm evaluation, sustainable agriculture, multicriterial analysis, Tuscany, farm accountancy network, landscape production, environment, Italy</w:t>
      </w:r>
    </w:p>
    <w:p w:rsidR="005938FB" w:rsidRDefault="00535B8D">
      <w:pPr>
        <w:pStyle w:val="Titolo1"/>
        <w:ind w:left="0" w:firstLine="0"/>
      </w:pPr>
      <w:r>
        <w:t>Abstract</w:t>
      </w:r>
    </w:p>
    <w:p w:rsidR="005938FB" w:rsidRDefault="00535B8D">
      <w:r>
        <w:t xml:space="preserve">For a very long time, agricultural policy has been interested only in productive or economic aspects. Nevertheless, interventions aiming to support farmers’ income or to promote agricultural modernisation have resulted in several ‘negative’ side-effects such as increasing pollution, landscape depletion and deepening of regional disparities. Consequently, a need has emerged of confronting problems with a more comprehensive approach, taking into account the whole range of impacts caused by agriculture. The European Concerted Action on ‘Landscape and Nature Production Capacity of Sustainable/Organic Farms’ has proposed a checklist for criteria for sustainable landscape management. This article discusses procedures for summarising the above mentioned criteria in an ‘overall judgement’. The aim is to provide a tool capable to assess farm performance taking into account all the relevant impacts of farm activities. </w:t>
      </w:r>
    </w:p>
    <w:p w:rsidR="005938FB" w:rsidRDefault="00535B8D">
      <w:pPr>
        <w:rPr>
          <w:rFonts w:ascii="Times New Roman" w:hAnsi="Times New Roman"/>
        </w:rPr>
      </w:pPr>
      <w:r>
        <w:rPr>
          <w:rFonts w:ascii="Times New Roman" w:hAnsi="Times New Roman"/>
        </w:rPr>
        <w:t>Firstly, the paper discusses issues related to information quality, focusing on the differences in procedures for processing quantitative and qualitative data. Secondly, the article analyses methods suitable for reaching an overall judgement based on several criteria. Then, it discusses their application to a set of case study farms or to farm typologies, which can be obtained by processing data from statistics or ad hoc surveys. Advantages and drawbacks of the use of case studies and farm typologies are given while an integrated use of them is recommended.</w:t>
      </w:r>
    </w:p>
    <w:p w:rsidR="005938FB" w:rsidRDefault="00535B8D">
      <w:pPr>
        <w:rPr>
          <w:rFonts w:ascii="Times New Roman" w:hAnsi="Times New Roman"/>
        </w:rPr>
      </w:pPr>
      <w:r>
        <w:rPr>
          <w:rFonts w:ascii="Times New Roman" w:hAnsi="Times New Roman"/>
        </w:rPr>
        <w:lastRenderedPageBreak/>
        <w:t xml:space="preserve">Two types of methodologies are presented. The first methodology, to be preferred if time, information or financial resources are not lacking, transforms initial information in Utility values and processes the latter by using more sophisticated techniques, such as multiple criteria analysis. The second uses a simplified approach, transforming initial data on the base of quartiles and then summing them up without any weighting. The advantages of this method are an easy implementation and a methodology that can be understood by decision-makers and administrators who do not have a background in statistics.  </w:t>
      </w:r>
    </w:p>
    <w:p w:rsidR="005938FB" w:rsidRDefault="00535B8D">
      <w:pPr>
        <w:rPr>
          <w:rFonts w:ascii="Times New Roman" w:hAnsi="Times New Roman"/>
        </w:rPr>
      </w:pPr>
      <w:r>
        <w:rPr>
          <w:rFonts w:ascii="Times New Roman" w:hAnsi="Times New Roman"/>
        </w:rPr>
        <w:t>Conclusions stress the importance of a more comprehensive approach in setting agricultural policies, since farming activity influences landscape and environment quality besides other important features. From this viewpoint, decision-makers have to be able to foresee the whole range of effects induced from policy, to avoid ‘unexpected side-effects’. Regarding</w:t>
      </w:r>
      <w:r>
        <w:rPr>
          <w:rFonts w:ascii="Times New Roman" w:hAnsi="Times New Roman"/>
          <w:b/>
          <w:color w:val="FF0000"/>
        </w:rPr>
        <w:t xml:space="preserve"> </w:t>
      </w:r>
      <w:r>
        <w:rPr>
          <w:rFonts w:ascii="Times New Roman" w:hAnsi="Times New Roman"/>
        </w:rPr>
        <w:t>Landscape Management, interventions aiming to promote the introduction or reintroduction of single landscape elements can give different results from those that were expected. Consequently, subsidising farm typologies or styles of farming that have been proved to have a positive effect on landscape could be a more reliable approach. Farm typologies or styles of farming to be promoted could be selected on the base of their ‘social’ performance, assessed according to a multidimensional approach as the one presented in this article.</w:t>
      </w:r>
    </w:p>
    <w:p w:rsidR="005938FB" w:rsidRDefault="00535B8D">
      <w:pPr>
        <w:pStyle w:val="Titolo1"/>
      </w:pPr>
      <w:r>
        <w:t xml:space="preserve">1. </w:t>
      </w:r>
      <w:r>
        <w:tab/>
        <w:t>Introduction, ‘a holistic view toward farm sustainability’</w:t>
      </w:r>
    </w:p>
    <w:p w:rsidR="005938FB" w:rsidRDefault="00535B8D">
      <w:pPr>
        <w:rPr>
          <w:rFonts w:ascii="Times New Roman" w:hAnsi="Times New Roman"/>
        </w:rPr>
      </w:pPr>
      <w:r>
        <w:rPr>
          <w:rFonts w:ascii="Times New Roman" w:hAnsi="Times New Roman"/>
        </w:rPr>
        <w:t xml:space="preserve">For a very long time science has used a reductionist approach that has lead to an increasing specialisation. Projects have mainly involved researchers working in the same scientific field, deepening knowledge on specific topics, but without reaching a full understanding of phenomena. Thus even interventions based on research have been unidimensional, and they have been aiming to achieve only one goal, like that of increasing income level, landscape preservation, environmental protection, etc. Nevertheless, rather than having only the intended effect these interventions have often caused other unforeseen ‘side-effects’. In Italy, during the last two decades, applied research in agriculture has started broadening its interests, e.g., taking into account: a) the socio-economic impact of farm activities, especially in marginal and rural areas, for instance in the National Research Projects I.P.R.A. and R.A.I.S.A. (Andreoli and Tellarini, 1998), b) their environmental impact (e.g., Accademia Nazionale di </w:t>
      </w:r>
      <w:r>
        <w:rPr>
          <w:rFonts w:ascii="Times New Roman" w:hAnsi="Times New Roman"/>
        </w:rPr>
        <w:lastRenderedPageBreak/>
        <w:t xml:space="preserve">Agricoltura, 1991), and c) the need for counteracting the impacts on landscape of farm specialisation (Chiusoli, 1994). </w:t>
      </w:r>
    </w:p>
    <w:p w:rsidR="005938FB" w:rsidRDefault="00535B8D">
      <w:pPr>
        <w:rPr>
          <w:rFonts w:ascii="Times New Roman" w:hAnsi="Times New Roman"/>
        </w:rPr>
      </w:pPr>
      <w:r>
        <w:rPr>
          <w:rFonts w:ascii="Times New Roman" w:hAnsi="Times New Roman"/>
        </w:rPr>
        <w:t>In recent years an increasing need has emerged to study phenomena from a holistic point of view. This approach is necessary for providing public decision-makers with tools capable of coping with multidimensional problems, thus considering ‘ex-ante’ impacts that with a unidimensional approach would cause the emerging of ‘ex-post’ side-effects.</w:t>
      </w:r>
    </w:p>
    <w:p w:rsidR="005938FB" w:rsidRDefault="00535B8D">
      <w:pPr>
        <w:rPr>
          <w:rFonts w:ascii="Times New Roman" w:hAnsi="Times New Roman"/>
        </w:rPr>
      </w:pPr>
      <w:r>
        <w:rPr>
          <w:rFonts w:ascii="Times New Roman" w:hAnsi="Times New Roman"/>
        </w:rPr>
        <w:t>This article proposes procedures for providing an overall assessment of farms on the basis of the table of criteria proposed by the European Concerted Action on ‘Landscape and Nature Production Capacity of Sustainable / Organic Farms’. An overall judgement consents to assess farm performance accordingly to social goals and not only private ones (Andreoli and Tellarini, 1995), thus individuating farm models and farm typologies that are satisfactory from the point of view of the whole society. This is the first step for being able to implement policies capable to promote ‘sustainable’ farming. A review of the meaning and evolution of the concept of sustainability in agriculture is provided, for instance in Polinori (1998).</w:t>
      </w:r>
    </w:p>
    <w:p w:rsidR="005938FB" w:rsidRDefault="00535B8D">
      <w:pPr>
        <w:rPr>
          <w:rFonts w:ascii="Times New Roman" w:hAnsi="Times New Roman"/>
        </w:rPr>
      </w:pPr>
      <w:r>
        <w:rPr>
          <w:rFonts w:ascii="Times New Roman" w:hAnsi="Times New Roman"/>
        </w:rPr>
        <w:t>The first part of the article mainly deals with the problem of providing an overall judgement of case study farms and refers to a presentation given at one of the Concerted Action meetings (Andreoli et al., 1998). The second part focuses on the use of statistical information giving an example of data processing, based on the data of the Italian Network of Farm Accountancy (R.I.C.A.) for Tuscany. The main aim of the Network of Farm Accountancy is to study farm performance from an economic point of view. Consequently, the information provided presents drawbacks when used for different aims, for instance for analysing the impact of agriculture on the environment. Nevertheless, due to its importance as source of farm information at national level, R.I.C.A. data have been recently used for analysing sustainability and efficiency in the use of resources at farm level (Pennacchi et al., 1998).</w:t>
      </w:r>
    </w:p>
    <w:p w:rsidR="005938FB" w:rsidRDefault="00535B8D">
      <w:pPr>
        <w:pStyle w:val="Titolo1"/>
      </w:pPr>
      <w:r>
        <w:t>2.</w:t>
      </w:r>
      <w:r>
        <w:tab/>
        <w:t>A multiple criteria approach to farm performance evaluation</w:t>
      </w:r>
    </w:p>
    <w:p w:rsidR="005938FB" w:rsidRDefault="00535B8D">
      <w:pPr>
        <w:rPr>
          <w:rFonts w:ascii="Times New Roman" w:hAnsi="Times New Roman"/>
        </w:rPr>
      </w:pPr>
      <w:r>
        <w:rPr>
          <w:rFonts w:ascii="Times New Roman" w:hAnsi="Times New Roman"/>
        </w:rPr>
        <w:t xml:space="preserve">In the case of agricultural policy, reductionist approaches are especially dangerous because the way farms are managed influences not only economic results but also the quality of the environment, landscape production, etc. A checklist of parameters for sustainable landscape management has been produced as final report of the above mentioned Concerted Action on Landscape and Nature Production. Criteria have been organised in six main fields: a) Environment, b) Ecology, c) Economy, d) Sociology, </w:t>
      </w:r>
      <w:r>
        <w:rPr>
          <w:rFonts w:ascii="Times New Roman" w:hAnsi="Times New Roman"/>
        </w:rPr>
        <w:lastRenderedPageBreak/>
        <w:t>e) Psychology, f) Physiognomy/Cultural Geography (van Mansvelt and van der Lubbe, 1999). An overview of the aims and results of the Concerted Action is provided in Stobbelaar and van Mansvelt (this volume).</w:t>
      </w:r>
    </w:p>
    <w:p w:rsidR="005938FB" w:rsidRDefault="00535B8D">
      <w:pPr>
        <w:rPr>
          <w:rFonts w:ascii="Times New Roman" w:hAnsi="Times New Roman"/>
        </w:rPr>
      </w:pPr>
      <w:r>
        <w:rPr>
          <w:rFonts w:ascii="Times New Roman" w:hAnsi="Times New Roman"/>
        </w:rPr>
        <w:t>Besides analysing all the specific effects of farming, it would be useful to summarise the data in an overall judgement (or assessment) of farm performance, either in absolute or relative terms. Summarising data causes a loss of information about the performance on single criteria. Nevertheless, it consents having an assessment that can be used for ranking farms (or farming styles) from the best to the worst, taking into account a whole set of characteristics. This section attempts to systemize some considerations relating to:</w:t>
      </w:r>
    </w:p>
    <w:p w:rsidR="005938FB" w:rsidRDefault="00535B8D" w:rsidP="00990D7A">
      <w:pPr>
        <w:numPr>
          <w:ilvl w:val="0"/>
          <w:numId w:val="1"/>
        </w:numPr>
        <w:rPr>
          <w:rFonts w:ascii="Times New Roman" w:hAnsi="Times New Roman"/>
        </w:rPr>
      </w:pPr>
      <w:r>
        <w:rPr>
          <w:rFonts w:ascii="Times New Roman" w:hAnsi="Times New Roman"/>
        </w:rPr>
        <w:t>The use of qualitative information,</w:t>
      </w:r>
    </w:p>
    <w:p w:rsidR="005938FB" w:rsidRDefault="00535B8D" w:rsidP="00990D7A">
      <w:pPr>
        <w:numPr>
          <w:ilvl w:val="0"/>
          <w:numId w:val="1"/>
        </w:numPr>
        <w:rPr>
          <w:rFonts w:ascii="Times New Roman" w:hAnsi="Times New Roman"/>
        </w:rPr>
      </w:pPr>
      <w:r>
        <w:rPr>
          <w:rFonts w:ascii="Times New Roman" w:hAnsi="Times New Roman"/>
        </w:rPr>
        <w:t>The evaluation of criteria referring to conflicting objectives, and</w:t>
      </w:r>
    </w:p>
    <w:p w:rsidR="005938FB" w:rsidRDefault="00535B8D" w:rsidP="00990D7A">
      <w:pPr>
        <w:numPr>
          <w:ilvl w:val="0"/>
          <w:numId w:val="1"/>
        </w:numPr>
        <w:rPr>
          <w:rFonts w:ascii="Times New Roman" w:hAnsi="Times New Roman"/>
        </w:rPr>
      </w:pPr>
      <w:r>
        <w:rPr>
          <w:rFonts w:ascii="Times New Roman" w:hAnsi="Times New Roman"/>
        </w:rPr>
        <w:t>The possibility of carrying out an evaluation with only one object of analysis (case study).</w:t>
      </w:r>
    </w:p>
    <w:p w:rsidR="005938FB" w:rsidRDefault="00535B8D">
      <w:pPr>
        <w:rPr>
          <w:rFonts w:ascii="Times New Roman" w:hAnsi="Times New Roman"/>
        </w:rPr>
      </w:pPr>
      <w:r>
        <w:rPr>
          <w:rFonts w:ascii="Times New Roman" w:hAnsi="Times New Roman"/>
        </w:rPr>
        <w:t>Procedural issues have been stressed to allow other researchers to apply the same methodology.</w:t>
      </w:r>
    </w:p>
    <w:p w:rsidR="005938FB" w:rsidRDefault="00535B8D">
      <w:pPr>
        <w:pStyle w:val="Titolo2"/>
      </w:pPr>
      <w:r>
        <w:t>2.1.</w:t>
      </w:r>
      <w:r>
        <w:tab/>
        <w:t>The problems of qualitative data and different measurement units</w:t>
      </w:r>
    </w:p>
    <w:p w:rsidR="005938FB" w:rsidRDefault="00535B8D">
      <w:pPr>
        <w:rPr>
          <w:rFonts w:ascii="Times New Roman" w:hAnsi="Times New Roman"/>
        </w:rPr>
      </w:pPr>
      <w:r>
        <w:rPr>
          <w:rFonts w:ascii="Times New Roman" w:hAnsi="Times New Roman"/>
        </w:rPr>
        <w:t>Many of the parameters proposed by the Concerted Action members for the assessment of farm performance are not quantitative, for example landscape completeness or wholeness. Moreover, sometimes the cost of getting quantitative information is so high that, although it might be possible to measure a phenomenon exactly, it is preferable to use a ‘discrete scale’, for example income classes, rather than a continuous scale. Even qualitative data can be used, provided that they can be ordered. However, having continuous quantitative data for all the parameters does not necessarily mean that it is easy to reach an overall judgement, in so far it is necessary to cope with different units of measurement. This requires transforming values into a common unit of measurement, by means of normalisation or other procedures. Normalisation consists in transforming original data, expressed in ‘physical’ units, in non-dimensional data, accordingly to a linear function usually ranging from 0 to 100.</w:t>
      </w:r>
    </w:p>
    <w:p w:rsidR="005938FB" w:rsidRDefault="00535B8D">
      <w:pPr>
        <w:rPr>
          <w:rFonts w:ascii="Times New Roman" w:hAnsi="Times New Roman"/>
        </w:rPr>
      </w:pPr>
      <w:r>
        <w:rPr>
          <w:rFonts w:ascii="Times New Roman" w:hAnsi="Times New Roman"/>
        </w:rPr>
        <w:t xml:space="preserve">Conversion of data expressed in physical units into a ‘common’ measurement unit can be done by transforming criteria into objectives (e.g., Colorni and Laniado; 1988, 1992). In this case, since all parameters are expressed in terms of Utility, high values have always a ‘positive meaning’. When it is possible to set a target, for instance an optimal share of fodder crops or a satisfactory level of income, for a parameter, this transformation can be done by giving score ‘1’ when the target is achieved and ‘0’ when it is not. Nevertheless, since this method provides a too rough measurement scale, where only two values are allowed, it is usually necessary to find a different procedure. </w:t>
      </w:r>
    </w:p>
    <w:p w:rsidR="005938FB" w:rsidRPr="00990D7A" w:rsidRDefault="00535B8D">
      <w:pPr>
        <w:pStyle w:val="Titolo3"/>
        <w:rPr>
          <w:lang w:val="it-IT"/>
        </w:rPr>
      </w:pPr>
      <w:r w:rsidRPr="00990D7A">
        <w:rPr>
          <w:lang w:val="it-IT"/>
        </w:rPr>
        <w:t>2.1.1.</w:t>
      </w:r>
      <w:r w:rsidRPr="00990D7A">
        <w:rPr>
          <w:lang w:val="it-IT"/>
        </w:rPr>
        <w:tab/>
        <w:t>Qualitative ordinal data or quantitative discrete ones?</w:t>
      </w:r>
    </w:p>
    <w:p w:rsidR="005938FB" w:rsidRDefault="00535B8D">
      <w:pPr>
        <w:rPr>
          <w:rFonts w:ascii="Times New Roman" w:hAnsi="Times New Roman"/>
        </w:rPr>
      </w:pPr>
      <w:r>
        <w:rPr>
          <w:rFonts w:ascii="Times New Roman" w:hAnsi="Times New Roman"/>
        </w:rPr>
        <w:t>Giving the same polarity to all parameters is also possible when more than two situations are allowed. Let us take the case of erosion in the analysis of two case study farms by Rossi et al. (1997, this volume), which was performed using a five-step scale, where each step was represented by a symbol associated to a ‘real’ situation. The five-step scale was chosen since the quality of information was judged to be insufficient for a finer scale. For example, in the case of erosion the observed situations associated to symbols were the following:</w:t>
      </w:r>
    </w:p>
    <w:p w:rsidR="005938FB" w:rsidRDefault="00535B8D" w:rsidP="00990D7A">
      <w:pPr>
        <w:numPr>
          <w:ilvl w:val="0"/>
          <w:numId w:val="2"/>
        </w:numPr>
        <w:tabs>
          <w:tab w:val="right" w:pos="5103"/>
        </w:tabs>
        <w:rPr>
          <w:rFonts w:ascii="Times New Roman" w:hAnsi="Times New Roman"/>
        </w:rPr>
      </w:pPr>
      <w:r>
        <w:rPr>
          <w:rFonts w:ascii="Times New Roman" w:hAnsi="Times New Roman"/>
        </w:rPr>
        <w:t>Clear absence of erosion</w:t>
      </w:r>
      <w:r>
        <w:rPr>
          <w:rFonts w:ascii="Times New Roman" w:hAnsi="Times New Roman"/>
        </w:rPr>
        <w:tab/>
        <w:t>++</w:t>
      </w:r>
    </w:p>
    <w:p w:rsidR="005938FB" w:rsidRDefault="00535B8D" w:rsidP="00990D7A">
      <w:pPr>
        <w:numPr>
          <w:ilvl w:val="0"/>
          <w:numId w:val="2"/>
        </w:numPr>
        <w:tabs>
          <w:tab w:val="right" w:pos="5103"/>
        </w:tabs>
        <w:rPr>
          <w:rFonts w:ascii="Times New Roman" w:hAnsi="Times New Roman"/>
        </w:rPr>
      </w:pPr>
      <w:r>
        <w:rPr>
          <w:rFonts w:ascii="Times New Roman" w:hAnsi="Times New Roman"/>
        </w:rPr>
        <w:t>Absence of erosion with some uncertainty</w:t>
      </w:r>
      <w:r>
        <w:rPr>
          <w:rFonts w:ascii="Times New Roman" w:hAnsi="Times New Roman"/>
        </w:rPr>
        <w:tab/>
        <w:t>+</w:t>
      </w:r>
    </w:p>
    <w:p w:rsidR="005938FB" w:rsidRDefault="00535B8D" w:rsidP="00990D7A">
      <w:pPr>
        <w:numPr>
          <w:ilvl w:val="0"/>
          <w:numId w:val="2"/>
        </w:numPr>
        <w:tabs>
          <w:tab w:val="right" w:pos="5103"/>
        </w:tabs>
        <w:rPr>
          <w:rFonts w:ascii="Times New Roman" w:hAnsi="Times New Roman"/>
        </w:rPr>
      </w:pPr>
      <w:r>
        <w:rPr>
          <w:rFonts w:ascii="Times New Roman" w:hAnsi="Times New Roman"/>
        </w:rPr>
        <w:t>Minimal erosion (without consequences)</w:t>
      </w:r>
      <w:r>
        <w:rPr>
          <w:rFonts w:ascii="Times New Roman" w:hAnsi="Times New Roman"/>
        </w:rPr>
        <w:tab/>
        <w:t>+/-</w:t>
      </w:r>
    </w:p>
    <w:p w:rsidR="005938FB" w:rsidRDefault="00535B8D" w:rsidP="00990D7A">
      <w:pPr>
        <w:numPr>
          <w:ilvl w:val="0"/>
          <w:numId w:val="2"/>
        </w:numPr>
        <w:tabs>
          <w:tab w:val="right" w:pos="5103"/>
        </w:tabs>
        <w:rPr>
          <w:rFonts w:ascii="Times New Roman" w:hAnsi="Times New Roman"/>
        </w:rPr>
      </w:pPr>
      <w:r>
        <w:rPr>
          <w:rFonts w:ascii="Times New Roman" w:hAnsi="Times New Roman"/>
        </w:rPr>
        <w:t>Moderate erosion</w:t>
      </w:r>
      <w:r>
        <w:rPr>
          <w:rFonts w:ascii="Times New Roman" w:hAnsi="Times New Roman"/>
        </w:rPr>
        <w:tab/>
        <w:t>-</w:t>
      </w:r>
    </w:p>
    <w:p w:rsidR="005938FB" w:rsidRDefault="00535B8D" w:rsidP="00990D7A">
      <w:pPr>
        <w:numPr>
          <w:ilvl w:val="0"/>
          <w:numId w:val="2"/>
        </w:numPr>
        <w:tabs>
          <w:tab w:val="right" w:pos="5103"/>
        </w:tabs>
        <w:rPr>
          <w:rFonts w:ascii="Times New Roman" w:hAnsi="Times New Roman"/>
        </w:rPr>
      </w:pPr>
      <w:r>
        <w:rPr>
          <w:rFonts w:ascii="Times New Roman" w:hAnsi="Times New Roman"/>
        </w:rPr>
        <w:t>Severe erosion</w:t>
      </w:r>
      <w:r>
        <w:rPr>
          <w:rFonts w:ascii="Times New Roman" w:hAnsi="Times New Roman"/>
        </w:rPr>
        <w:tab/>
        <w:t>--</w:t>
      </w:r>
    </w:p>
    <w:p w:rsidR="005938FB" w:rsidRDefault="00535B8D">
      <w:pPr>
        <w:rPr>
          <w:rFonts w:ascii="Times New Roman" w:hAnsi="Times New Roman"/>
        </w:rPr>
      </w:pPr>
      <w:r>
        <w:rPr>
          <w:rFonts w:ascii="Times New Roman" w:hAnsi="Times New Roman"/>
        </w:rPr>
        <w:t>Starting from this example, it is important to underline that;</w:t>
      </w:r>
    </w:p>
    <w:p w:rsidR="005938FB" w:rsidRDefault="00535B8D" w:rsidP="00990D7A">
      <w:pPr>
        <w:numPr>
          <w:ilvl w:val="0"/>
          <w:numId w:val="3"/>
        </w:numPr>
        <w:rPr>
          <w:rFonts w:ascii="Times New Roman" w:hAnsi="Times New Roman"/>
        </w:rPr>
      </w:pPr>
      <w:r>
        <w:rPr>
          <w:rFonts w:ascii="Times New Roman" w:hAnsi="Times New Roman"/>
        </w:rPr>
        <w:t>In the above example, criteria have been already transformed in objectives, in so far as the symbol ‘++’ is not associated to the highest value of erosion but to the ‘most positive situation’, i.e., clear absence of erosion. If symbol ‘++’ is, for all criteria, associated with the best situation (and not with the highest value) and symbol ‘--’ with the least desirable, the criteria scales have all the same polarity;</w:t>
      </w:r>
    </w:p>
    <w:p w:rsidR="005938FB" w:rsidRDefault="00535B8D" w:rsidP="00990D7A">
      <w:pPr>
        <w:numPr>
          <w:ilvl w:val="0"/>
          <w:numId w:val="3"/>
        </w:numPr>
        <w:rPr>
          <w:rFonts w:ascii="Times New Roman" w:hAnsi="Times New Roman"/>
        </w:rPr>
      </w:pPr>
      <w:r>
        <w:rPr>
          <w:rFonts w:ascii="Times New Roman" w:hAnsi="Times New Roman"/>
        </w:rPr>
        <w:t>In the analysis it was not specified if symbols were used for representing qualitative ordinal data or classes in discrete quantitative data. However, it is important to know whether the scale should be considered on qualitative or a quantitative discrete basis since this has a great influence on the choice of data processing methods (Colorni and Laniado, 1988, 1992);</w:t>
      </w:r>
    </w:p>
    <w:p w:rsidR="005938FB" w:rsidRDefault="00535B8D" w:rsidP="00990D7A">
      <w:pPr>
        <w:numPr>
          <w:ilvl w:val="0"/>
          <w:numId w:val="3"/>
        </w:numPr>
        <w:rPr>
          <w:rFonts w:ascii="Times New Roman" w:hAnsi="Times New Roman"/>
        </w:rPr>
      </w:pPr>
      <w:r>
        <w:rPr>
          <w:rFonts w:ascii="Times New Roman" w:hAnsi="Times New Roman"/>
        </w:rPr>
        <w:t xml:space="preserve">To make comparisons between parameters or between objects of analysis, it is necessary to state the procedures used for ‘calibrating the scale’. Calibrating a scale means, as in the case of a thermometer, establishing to which situation the highest value is associated (100 °C to boiling water) and to which the lowest one (0 °C to freezing water). </w:t>
      </w:r>
    </w:p>
    <w:p w:rsidR="005938FB" w:rsidRDefault="00535B8D">
      <w:pPr>
        <w:rPr>
          <w:rFonts w:ascii="Times New Roman" w:hAnsi="Times New Roman"/>
        </w:rPr>
      </w:pPr>
      <w:r>
        <w:rPr>
          <w:rFonts w:ascii="Times New Roman" w:hAnsi="Times New Roman"/>
        </w:rPr>
        <w:t>Regarding point two above, although software usually requires information to be codified as numbers even if they are qualitative data, it is important for researchers to use methods suitable to the information to be processed. Let us take up again the above described case of erosion; the symbols of the example could be converted into numbers, as follows:</w:t>
      </w:r>
    </w:p>
    <w:p w:rsidR="005938FB" w:rsidRDefault="00535B8D">
      <w:pPr>
        <w:tabs>
          <w:tab w:val="right" w:pos="2552"/>
          <w:tab w:val="right" w:pos="3686"/>
          <w:tab w:val="right" w:pos="4820"/>
          <w:tab w:val="right" w:pos="5954"/>
          <w:tab w:val="right" w:pos="7088"/>
        </w:tabs>
        <w:rPr>
          <w:rFonts w:ascii="Times New Roman" w:hAnsi="Times New Roman"/>
        </w:rPr>
      </w:pPr>
      <w:r>
        <w:rPr>
          <w:rFonts w:ascii="Times New Roman" w:hAnsi="Times New Roman"/>
        </w:rPr>
        <w:t>Symbol</w:t>
      </w:r>
      <w:r>
        <w:rPr>
          <w:rFonts w:ascii="Times New Roman" w:hAnsi="Times New Roman"/>
        </w:rPr>
        <w:tab/>
        <w:t>++</w:t>
      </w:r>
      <w:r>
        <w:rPr>
          <w:rFonts w:ascii="Times New Roman" w:hAnsi="Times New Roman"/>
        </w:rPr>
        <w:tab/>
        <w:t>+</w:t>
      </w:r>
      <w:r>
        <w:rPr>
          <w:rFonts w:ascii="Times New Roman" w:hAnsi="Times New Roman"/>
        </w:rPr>
        <w:tab/>
        <w:t>+/-</w:t>
      </w:r>
      <w:r>
        <w:rPr>
          <w:rFonts w:ascii="Times New Roman" w:hAnsi="Times New Roman"/>
        </w:rPr>
        <w:tab/>
        <w:t>-</w:t>
      </w:r>
      <w:r>
        <w:rPr>
          <w:rFonts w:ascii="Times New Roman" w:hAnsi="Times New Roman"/>
        </w:rPr>
        <w:tab/>
        <w:t>--</w:t>
      </w:r>
    </w:p>
    <w:p w:rsidR="005938FB" w:rsidRDefault="00535B8D">
      <w:pPr>
        <w:tabs>
          <w:tab w:val="right" w:pos="2552"/>
          <w:tab w:val="right" w:pos="3686"/>
          <w:tab w:val="right" w:pos="4820"/>
          <w:tab w:val="right" w:pos="5954"/>
          <w:tab w:val="right" w:pos="7088"/>
        </w:tabs>
        <w:spacing w:after="240"/>
        <w:rPr>
          <w:rFonts w:ascii="Times New Roman" w:hAnsi="Times New Roman"/>
        </w:rPr>
      </w:pPr>
      <w:r>
        <w:rPr>
          <w:rFonts w:ascii="Times New Roman" w:hAnsi="Times New Roman"/>
        </w:rPr>
        <w:t>Value</w:t>
      </w:r>
      <w:r>
        <w:rPr>
          <w:rFonts w:ascii="Times New Roman" w:hAnsi="Times New Roman"/>
        </w:rPr>
        <w:tab/>
        <w:t>1.00</w:t>
      </w:r>
      <w:r>
        <w:rPr>
          <w:rFonts w:ascii="Times New Roman" w:hAnsi="Times New Roman"/>
        </w:rPr>
        <w:tab/>
        <w:t>0.75</w:t>
      </w:r>
      <w:r>
        <w:rPr>
          <w:rFonts w:ascii="Times New Roman" w:hAnsi="Times New Roman"/>
        </w:rPr>
        <w:tab/>
        <w:t>0.50</w:t>
      </w:r>
      <w:r>
        <w:rPr>
          <w:rFonts w:ascii="Times New Roman" w:hAnsi="Times New Roman"/>
        </w:rPr>
        <w:tab/>
        <w:t>0.25</w:t>
      </w:r>
      <w:r>
        <w:rPr>
          <w:rFonts w:ascii="Times New Roman" w:hAnsi="Times New Roman"/>
        </w:rPr>
        <w:tab/>
        <w:t>0.00</w:t>
      </w:r>
    </w:p>
    <w:p w:rsidR="005938FB" w:rsidRDefault="00535B8D">
      <w:pPr>
        <w:rPr>
          <w:rFonts w:ascii="Times New Roman" w:hAnsi="Times New Roman"/>
        </w:rPr>
      </w:pPr>
      <w:r>
        <w:rPr>
          <w:rFonts w:ascii="Times New Roman" w:hAnsi="Times New Roman"/>
        </w:rPr>
        <w:t>In this case the maximum satisfaction (1.00) is attributed to the situation of ‘clear absence of erosion’ and the minimum (0.00) to the case of ‘severe erosion’. The rest of the scale is divided into equal steps, as in the case of a thermometer. However, the satisfaction provided by a situation of ‘clear absence of erosion with some uncertainty’ is very much closer to that of ‘clear absence of erosion’ than to that of ‘minimal erosion’. Again, this difference is smaller than that between moderate erosion and severe erosion. Consequently, the above conversion is correct if erosion data are processed as qualitative, but, in our opinion, it is not correct if these ‘erosion values’ are processed as discrete quantitative data. In the latter case, the scale between clear absence of erosion and severe erosion has to be divided in a way, which more correctly reflects differences in the impact of the erosion levels. Fig. 1 proposes an alternative conversion of symbols. The best and worst situations are still associated to ‘1’ and ‘0’ levels of Utility, respectively, while the intermediate situations have a different distribution. For instance in this case the 0.5 level of Utility is associated to ‘moderate erosion’, while in the previous example it was associated to ‘minimal erosion’.</w:t>
      </w:r>
    </w:p>
    <w:p w:rsidR="005938FB" w:rsidRDefault="00535B8D">
      <w:pPr>
        <w:rPr>
          <w:rFonts w:ascii="Times New Roman" w:hAnsi="Times New Roman"/>
        </w:rPr>
      </w:pPr>
      <w:r>
        <w:rPr>
          <w:rFonts w:ascii="Times New Roman" w:hAnsi="Times New Roman"/>
        </w:rPr>
        <w:t>When quantitative continuous physical data are available, it is possible to have a utility scale that is continuous, rather than dichotomous or discrete. Given that the relationship between physical and utility values is very seldom linear, it is necessary to define it case by case. According to the indices, the shape of the function converting physical data into utility values might vary. Fig. 2 shows three ‘typical’ shapes of Utility functions, that in the text are referred to as Graphs 1, 2 and 3. Graph 1 shows an inverse relationship between the physical parameter (concentration of pollutant) and the Utility associated with it, so that as pollution increases Utility decreases. This relationship, as Graph 1 shows, is not linear, since it is assumed that the level of pollution has no negative effects on the environment, as long as the pollution level is very limited. As the pollutant concentration increases, the quality of the environment worsens, at first quite slowly and then ever more rapidly. In the second case (Graph 2), the relationship between physical parameter (income level) and Utility is direct, in that as the income increases so does the satisfaction, but again the relationship is not linear.</w:t>
      </w:r>
    </w:p>
    <w:p w:rsidR="005938FB" w:rsidRDefault="00535B8D">
      <w:pPr>
        <w:rPr>
          <w:rFonts w:ascii="Times New Roman" w:hAnsi="Times New Roman"/>
        </w:rPr>
      </w:pPr>
      <w:r>
        <w:rPr>
          <w:rFonts w:ascii="Times New Roman" w:hAnsi="Times New Roman"/>
        </w:rPr>
        <w:t>In the third case (Graph 3), there is no consistently positive or negative relationship between the physical parameter and the Utility value. In the case of natural population density, when the density is low, its increase determines an increase in Utility, in that the species is reaching optimum density levels. There is a range of optimum density within which the Utility function maintains its maximum level, but beyond which the satisfaction level decreases again.</w:t>
      </w:r>
    </w:p>
    <w:p w:rsidR="005938FB" w:rsidRDefault="00535B8D">
      <w:pPr>
        <w:rPr>
          <w:rFonts w:ascii="Times New Roman" w:hAnsi="Times New Roman"/>
        </w:rPr>
      </w:pPr>
      <w:r>
        <w:rPr>
          <w:rFonts w:ascii="Times New Roman" w:hAnsi="Times New Roman"/>
        </w:rPr>
        <w:t>The above examples show how Utility functions are usually a more accurate way of transforming data than normalisation, which is based on a linear relationship. An example of application of a Utility function to a real case can be found in Ciani et al., 1993.</w:t>
      </w:r>
    </w:p>
    <w:p w:rsidR="005938FB" w:rsidRDefault="00535B8D">
      <w:pPr>
        <w:pStyle w:val="Titolo3"/>
      </w:pPr>
      <w:r>
        <w:t>2.1.2.</w:t>
      </w:r>
      <w:r>
        <w:tab/>
        <w:t>The importance of external points of reference</w:t>
      </w:r>
    </w:p>
    <w:p w:rsidR="005938FB" w:rsidRDefault="00535B8D">
      <w:pPr>
        <w:rPr>
          <w:rFonts w:ascii="Times New Roman" w:hAnsi="Times New Roman"/>
        </w:rPr>
      </w:pPr>
      <w:r>
        <w:rPr>
          <w:rFonts w:ascii="Times New Roman" w:hAnsi="Times New Roman"/>
        </w:rPr>
        <w:t>From the above example about erosion it is easy to understand that, when processing Utility values as quantitative data, the conversion of the initial physical values has to be done very carefully. Thus, in our opinion, the analysis should start by defining a conversion procedure that:</w:t>
      </w:r>
    </w:p>
    <w:p w:rsidR="005938FB" w:rsidRDefault="00535B8D" w:rsidP="00990D7A">
      <w:pPr>
        <w:numPr>
          <w:ilvl w:val="0"/>
          <w:numId w:val="4"/>
        </w:numPr>
        <w:rPr>
          <w:rFonts w:ascii="Times New Roman" w:hAnsi="Times New Roman"/>
        </w:rPr>
      </w:pPr>
      <w:r>
        <w:rPr>
          <w:rFonts w:ascii="Times New Roman" w:hAnsi="Times New Roman"/>
        </w:rPr>
        <w:t>Sets external points of reference for the minimum and maximum values of the scale, namely the physical situations that correspond to value ‘0’ and value ‘1’ of the Utility function. In this way the conversion is not influenced by the specific set of values included in the analysis;</w:t>
      </w:r>
    </w:p>
    <w:p w:rsidR="005938FB" w:rsidRDefault="00535B8D" w:rsidP="00990D7A">
      <w:pPr>
        <w:numPr>
          <w:ilvl w:val="0"/>
          <w:numId w:val="4"/>
        </w:numPr>
        <w:rPr>
          <w:rFonts w:ascii="Times New Roman" w:hAnsi="Times New Roman"/>
        </w:rPr>
      </w:pPr>
      <w:r>
        <w:rPr>
          <w:rFonts w:ascii="Times New Roman" w:hAnsi="Times New Roman"/>
        </w:rPr>
        <w:t>Does not apply automatic conversions implying a linear transformation of data, but tries to define values that are representative of differences in satisfaction relating to real situations.</w:t>
      </w:r>
    </w:p>
    <w:p w:rsidR="005938FB" w:rsidRDefault="00535B8D">
      <w:pPr>
        <w:rPr>
          <w:rFonts w:ascii="Times New Roman" w:hAnsi="Times New Roman"/>
        </w:rPr>
      </w:pPr>
      <w:r>
        <w:rPr>
          <w:rFonts w:ascii="Times New Roman" w:hAnsi="Times New Roman"/>
        </w:rPr>
        <w:t>The minimum and maximum normalised value are usually attributed to a value (minimum, maximum, average) which is depending on the set of data that are normalised (Colorni and Laniado, 1988). Consequently, normalisation does not comply with the previous stated rules in so far as it usually uses internal points of reference and performs a linear conversion. Thus, when analysing only one case study, normalisation is not possible, but it is possible to use Utility functions with external reference points. When the best situations achievable in the long term for each parameter are used as references for the maximum Utility, the term of comparison for judging the case study is a ‘Utopic farm’. The concept of Utopic Farm, namely a farm that is able to reach contemporarily the best possible situation for all the conflicting objectives (for instance, achieving a high income, landscape conservation, good environmental quality, etc.), is similar to the concept of ‘Ideal Point’ often used in the case of multiple criteria analysis (e.g., Romero and Rehman, 1989).</w:t>
      </w:r>
    </w:p>
    <w:p w:rsidR="005938FB" w:rsidRDefault="00535B8D">
      <w:pPr>
        <w:rPr>
          <w:rFonts w:ascii="Times New Roman" w:hAnsi="Times New Roman"/>
        </w:rPr>
      </w:pPr>
      <w:r>
        <w:rPr>
          <w:rFonts w:ascii="Times New Roman" w:hAnsi="Times New Roman"/>
        </w:rPr>
        <w:t>External reference values may or must differ for different landscape types/regions; according to Hendriks et al. (this volume) an external point of reference can not be global, but must be filled in regionally (e.g., Rossi et al., 1997). A Utopic region is needed as guiding image for farm development.</w:t>
      </w:r>
    </w:p>
    <w:p w:rsidR="005938FB" w:rsidRDefault="00535B8D">
      <w:pPr>
        <w:rPr>
          <w:rFonts w:ascii="Times New Roman" w:hAnsi="Times New Roman"/>
        </w:rPr>
      </w:pPr>
      <w:r>
        <w:rPr>
          <w:rFonts w:ascii="Times New Roman" w:hAnsi="Times New Roman"/>
        </w:rPr>
        <w:t xml:space="preserve">The way external reference points are chosen influences the possibility of making comparisons among farms situated in different regions; for more details about the procedure for judging a single case study farm, see Andreoli et al. (1998). </w:t>
      </w:r>
    </w:p>
    <w:p w:rsidR="005938FB" w:rsidRDefault="00535B8D">
      <w:pPr>
        <w:pStyle w:val="Titolo2"/>
      </w:pPr>
      <w:r>
        <w:t>2.2.</w:t>
      </w:r>
      <w:r>
        <w:tab/>
        <w:t>Summarising all the information in an overall judgement</w:t>
      </w:r>
    </w:p>
    <w:p w:rsidR="005938FB" w:rsidRDefault="00535B8D">
      <w:pPr>
        <w:rPr>
          <w:rFonts w:ascii="Times New Roman" w:hAnsi="Times New Roman"/>
        </w:rPr>
      </w:pPr>
      <w:r>
        <w:rPr>
          <w:rFonts w:ascii="Times New Roman" w:hAnsi="Times New Roman"/>
        </w:rPr>
        <w:t xml:space="preserve">The VISPA environmental impact assessment software provides several methods for summarising criteria in an overall judgement, mainly based on a multiple-attribute approach (Colorni and Laniado, 1992). Reaching an overall judgement allows ranking farm typologies from the best to the worst taking into account not only their economic role, but also other features, for instance their environmental role and the impact on landscape. The two main ranking methods provided by VISPA are the so-called ‘Weighted Sum’ and ‘Best Worst Case’ methods. </w:t>
      </w:r>
    </w:p>
    <w:p w:rsidR="005938FB" w:rsidRDefault="00535B8D">
      <w:pPr>
        <w:pStyle w:val="Titolo3"/>
      </w:pPr>
      <w:r>
        <w:t>2.2.1.</w:t>
      </w:r>
      <w:r>
        <w:tab/>
        <w:t>The ‘Weighted Sum’ ranking method</w:t>
      </w:r>
    </w:p>
    <w:p w:rsidR="005938FB" w:rsidRDefault="00535B8D">
      <w:pPr>
        <w:rPr>
          <w:rFonts w:ascii="Times New Roman" w:hAnsi="Times New Roman"/>
        </w:rPr>
      </w:pPr>
      <w:r>
        <w:rPr>
          <w:rFonts w:ascii="Times New Roman" w:hAnsi="Times New Roman"/>
        </w:rPr>
        <w:t>The easiest way of summarising in an overall judgement utility data referring to a set of criteria is to sum up the value of all the criteria, after having multiplied each of them for the weight attributed to every criterion. Consequently, in this case, as in many others, for reaching an overall judgement it is necessary to decide if the criteria have, or not, the same importance, for instance if economic goals have the same importance as environmental ones. Although weighting criteria is a subjective operation (Colorni and Laniado, 1992), it is important to note that when using weighted sum ranking method:</w:t>
      </w:r>
    </w:p>
    <w:p w:rsidR="005938FB" w:rsidRDefault="00535B8D" w:rsidP="00990D7A">
      <w:pPr>
        <w:numPr>
          <w:ilvl w:val="0"/>
          <w:numId w:val="5"/>
        </w:numPr>
        <w:rPr>
          <w:rFonts w:ascii="Times New Roman" w:hAnsi="Times New Roman"/>
        </w:rPr>
      </w:pPr>
      <w:r>
        <w:rPr>
          <w:rFonts w:ascii="Times New Roman" w:hAnsi="Times New Roman"/>
        </w:rPr>
        <w:t>Not weighting criteria means using the same weight for all;</w:t>
      </w:r>
    </w:p>
    <w:p w:rsidR="005938FB" w:rsidRDefault="00535B8D" w:rsidP="00990D7A">
      <w:pPr>
        <w:numPr>
          <w:ilvl w:val="0"/>
          <w:numId w:val="5"/>
        </w:numPr>
        <w:rPr>
          <w:rFonts w:ascii="Times New Roman" w:hAnsi="Times New Roman"/>
        </w:rPr>
      </w:pPr>
      <w:r>
        <w:rPr>
          <w:rFonts w:ascii="Times New Roman" w:hAnsi="Times New Roman"/>
        </w:rPr>
        <w:t xml:space="preserve">Using only the goal that is considered the most relevant means giving weight 1 to this and weight 0 to all the others, thus adopting a unidimensional approach. </w:t>
      </w:r>
    </w:p>
    <w:p w:rsidR="005938FB" w:rsidRDefault="00535B8D">
      <w:pPr>
        <w:rPr>
          <w:rFonts w:ascii="Times New Roman" w:hAnsi="Times New Roman"/>
        </w:rPr>
      </w:pPr>
      <w:r>
        <w:rPr>
          <w:rFonts w:ascii="Times New Roman" w:hAnsi="Times New Roman"/>
        </w:rPr>
        <w:t>It is sometimes difficult to reach a general agreement about weights, since costs and benefits are often unequally distributed among groups and every group tends to give higher importance to ‘its own’ costs and benefits than to the ones of other groups. Groups that have economic benefits from a polluting productive activity, for instance give a relatively high importance to economic aspects, especially if they do not suffer for the impact of pollution they cause. Vice versa, residents tend to attribute a relatively high importance to the quality of environment, especially if they do not benefit (for instance, getting jobs) from the productive activity.</w:t>
      </w:r>
    </w:p>
    <w:p w:rsidR="005938FB" w:rsidRDefault="00535B8D">
      <w:pPr>
        <w:rPr>
          <w:rFonts w:ascii="Times New Roman" w:hAnsi="Times New Roman"/>
        </w:rPr>
      </w:pPr>
      <w:r>
        <w:rPr>
          <w:rFonts w:ascii="Times New Roman" w:hAnsi="Times New Roman"/>
        </w:rPr>
        <w:t xml:space="preserve">Moreover, since different situations can result in different levels of importance given to (a)biotic, social and cultural needs (Stobbelaar and van Mansvelt, this volume), it is not possible to set a system of weights that could be generally applied. </w:t>
      </w:r>
    </w:p>
    <w:p w:rsidR="005938FB" w:rsidRDefault="00535B8D">
      <w:pPr>
        <w:rPr>
          <w:rFonts w:ascii="Times New Roman" w:hAnsi="Times New Roman"/>
        </w:rPr>
      </w:pPr>
      <w:r>
        <w:rPr>
          <w:rFonts w:ascii="Times New Roman" w:hAnsi="Times New Roman"/>
        </w:rPr>
        <w:t>In the case that a general agreement about weights is not reached, researchers can try to control or to eliminate their influences on the results of the multicriterial analysis by:</w:t>
      </w:r>
    </w:p>
    <w:p w:rsidR="005938FB" w:rsidRDefault="00535B8D" w:rsidP="00990D7A">
      <w:pPr>
        <w:numPr>
          <w:ilvl w:val="0"/>
          <w:numId w:val="6"/>
        </w:numPr>
        <w:ind w:left="851" w:hanging="284"/>
        <w:rPr>
          <w:rFonts w:ascii="Times New Roman" w:hAnsi="Times New Roman"/>
        </w:rPr>
      </w:pPr>
      <w:r>
        <w:rPr>
          <w:rFonts w:ascii="Times New Roman" w:hAnsi="Times New Roman"/>
        </w:rPr>
        <w:t>Performing a sensitivity analysis, for checking how much weights influence results;</w:t>
      </w:r>
    </w:p>
    <w:p w:rsidR="005938FB" w:rsidRDefault="00535B8D" w:rsidP="00990D7A">
      <w:pPr>
        <w:numPr>
          <w:ilvl w:val="0"/>
          <w:numId w:val="6"/>
        </w:numPr>
        <w:ind w:left="851" w:hanging="284"/>
        <w:rPr>
          <w:rFonts w:ascii="Times New Roman" w:hAnsi="Times New Roman"/>
        </w:rPr>
      </w:pPr>
      <w:r>
        <w:rPr>
          <w:rFonts w:ascii="Times New Roman" w:hAnsi="Times New Roman"/>
        </w:rPr>
        <w:t>Repeating the analysis using several weight systems;</w:t>
      </w:r>
    </w:p>
    <w:p w:rsidR="005938FB" w:rsidRDefault="00535B8D" w:rsidP="00990D7A">
      <w:pPr>
        <w:numPr>
          <w:ilvl w:val="0"/>
          <w:numId w:val="6"/>
        </w:numPr>
        <w:ind w:left="851" w:hanging="284"/>
        <w:rPr>
          <w:rFonts w:ascii="Times New Roman" w:hAnsi="Times New Roman"/>
        </w:rPr>
      </w:pPr>
      <w:r>
        <w:rPr>
          <w:rFonts w:ascii="Times New Roman" w:hAnsi="Times New Roman"/>
        </w:rPr>
        <w:t>Using ranking methods that do not make use of weights (Colorni and Laniado, 1992).</w:t>
      </w:r>
    </w:p>
    <w:p w:rsidR="005938FB" w:rsidRDefault="00535B8D">
      <w:pPr>
        <w:pStyle w:val="Titolo3"/>
      </w:pPr>
      <w:r>
        <w:t>2.2.2.</w:t>
      </w:r>
      <w:r>
        <w:tab/>
        <w:t>The ‘Best Worst Case’ ranking method</w:t>
      </w:r>
    </w:p>
    <w:p w:rsidR="005938FB" w:rsidRDefault="00535B8D">
      <w:pPr>
        <w:rPr>
          <w:rFonts w:ascii="Times New Roman" w:hAnsi="Times New Roman"/>
        </w:rPr>
      </w:pPr>
      <w:r>
        <w:rPr>
          <w:rFonts w:ascii="Times New Roman" w:hAnsi="Times New Roman"/>
        </w:rPr>
        <w:t xml:space="preserve">Among the ranking methods that are not using weights there is the so-called ‘best worst case’ method. This consists in evaluating each alternative, for instance each farm, accordingly to the lowest level of utility observed among the criteria. In this case, minimising the risk of a bad choice is considered more important than summing up all the features in a global value of utility. By evaluating every alternative accordingly to the level of the less satisfactory feature this risk is reduced to the maximum, provided that utility levels are reliable (Colorni and Laniado, 1988, 1992). </w:t>
      </w:r>
    </w:p>
    <w:p w:rsidR="005938FB" w:rsidRDefault="00535B8D">
      <w:pPr>
        <w:rPr>
          <w:rFonts w:ascii="Times New Roman" w:hAnsi="Times New Roman"/>
        </w:rPr>
      </w:pPr>
      <w:r>
        <w:rPr>
          <w:rFonts w:ascii="Times New Roman" w:hAnsi="Times New Roman"/>
        </w:rPr>
        <w:t>In our opinion, the ‘minimisation risk’ approach of the worst case method should be partly introduced also into the weighted sum method; this could be done by excluding from the analysis all the alternatives (e.g., farms and farming styles) that do not reach at least an ‘acceptable’ level for all criteria. Only when this minimum level has been achieved it is possible to ‘negotiate between objectives’, that is to say, to allow that a relatively bad performance for one criterion could be compensated by a relatively good performance for another criterion. The trade-off between objectives (criteria) is depending on the weight system, namely on the relative importance of an objective in comparison to another one.</w:t>
      </w:r>
    </w:p>
    <w:p w:rsidR="005938FB" w:rsidRDefault="00535B8D">
      <w:pPr>
        <w:pStyle w:val="Titolo3"/>
      </w:pPr>
      <w:r>
        <w:t>2.2.3.</w:t>
      </w:r>
      <w:r>
        <w:tab/>
        <w:t>Advantages of VISPA approach</w:t>
      </w:r>
    </w:p>
    <w:p w:rsidR="005938FB" w:rsidRDefault="00535B8D">
      <w:pPr>
        <w:rPr>
          <w:rFonts w:ascii="Times New Roman" w:hAnsi="Times New Roman"/>
        </w:rPr>
      </w:pPr>
      <w:r>
        <w:rPr>
          <w:rFonts w:ascii="Times New Roman" w:hAnsi="Times New Roman"/>
        </w:rPr>
        <w:t>VISPA software provides a set of ranking methods capable of coping with different situations as regards:</w:t>
      </w:r>
    </w:p>
    <w:p w:rsidR="005938FB" w:rsidRDefault="00535B8D" w:rsidP="00990D7A">
      <w:pPr>
        <w:numPr>
          <w:ilvl w:val="0"/>
          <w:numId w:val="7"/>
        </w:numPr>
        <w:rPr>
          <w:rFonts w:ascii="Times New Roman" w:hAnsi="Times New Roman"/>
        </w:rPr>
      </w:pPr>
      <w:r>
        <w:rPr>
          <w:rFonts w:ascii="Times New Roman" w:hAnsi="Times New Roman"/>
        </w:rPr>
        <w:t xml:space="preserve">Quality of information (weight and utility data reliability) and </w:t>
      </w:r>
    </w:p>
    <w:p w:rsidR="005938FB" w:rsidRDefault="00535B8D" w:rsidP="00990D7A">
      <w:pPr>
        <w:numPr>
          <w:ilvl w:val="0"/>
          <w:numId w:val="7"/>
        </w:numPr>
        <w:rPr>
          <w:rFonts w:ascii="Times New Roman" w:hAnsi="Times New Roman"/>
        </w:rPr>
      </w:pPr>
      <w:r>
        <w:rPr>
          <w:rFonts w:ascii="Times New Roman" w:hAnsi="Times New Roman"/>
        </w:rPr>
        <w:t xml:space="preserve">Analysis aim (maximisation of the total utility, as in the case of weighted sum, or minimisation of some measure of risk or inequality, as in the ‘best worst case’ approach). </w:t>
      </w:r>
    </w:p>
    <w:p w:rsidR="005938FB" w:rsidRDefault="00535B8D">
      <w:pPr>
        <w:rPr>
          <w:rFonts w:ascii="Times New Roman" w:hAnsi="Times New Roman"/>
        </w:rPr>
      </w:pPr>
      <w:r>
        <w:rPr>
          <w:rFonts w:ascii="Times New Roman" w:hAnsi="Times New Roman"/>
        </w:rPr>
        <w:t>Having several ranking methods makes it possible either to choose the most suitable one for the specific situation or to use more than one to cross-check results. Besides, the philosophy of VISPA consists in gradually eliminating the worst alternatives or at least those which are not satisfactory (i.e., the ones low in rank accordingly to all or most of the ranking methods) more than directly looking for the best alternative (Colorni and Laniado, 1992). Due to these features, VISPA software has been used not only in the case of environmental impact assessment procedures, but also for analysing the impact of management alternatives in natural areas, for instance natural parks (Ciani et al., 1993; Feliziani, 1997).</w:t>
      </w:r>
    </w:p>
    <w:p w:rsidR="005938FB" w:rsidRDefault="00535B8D">
      <w:pPr>
        <w:rPr>
          <w:rFonts w:ascii="Times New Roman" w:hAnsi="Times New Roman"/>
        </w:rPr>
      </w:pPr>
      <w:r>
        <w:rPr>
          <w:rFonts w:ascii="Times New Roman" w:hAnsi="Times New Roman"/>
        </w:rPr>
        <w:t>At farm level VISPA could be useful not only for ranking case study farms but also for processing data concerning farm typologies that can be individuated by means of statistical survey. This could allow ranking farm typologies accordingly to their utility for the whole society and not only accordingly the achievements of farmers’ goals. VISPA approach mainly aims to eliminate unsatisfactory alternatives and, consequently, it could provide a range of farm typologies that are all to be considered as satisfactory.</w:t>
      </w:r>
    </w:p>
    <w:p w:rsidR="005938FB" w:rsidRDefault="00535B8D">
      <w:pPr>
        <w:pStyle w:val="Titolo1"/>
      </w:pPr>
      <w:r>
        <w:t>3.</w:t>
      </w:r>
      <w:r>
        <w:tab/>
        <w:t>From case-study analyses to the use of surveys or statistical data</w:t>
      </w:r>
    </w:p>
    <w:p w:rsidR="005938FB" w:rsidRDefault="00535B8D">
      <w:pPr>
        <w:pStyle w:val="Titolo2"/>
        <w:spacing w:before="120"/>
      </w:pPr>
      <w:r>
        <w:t>3.1.</w:t>
      </w:r>
      <w:r>
        <w:tab/>
        <w:t>Characteristics of case study and survey approaches</w:t>
      </w:r>
    </w:p>
    <w:p w:rsidR="005938FB" w:rsidRDefault="00535B8D">
      <w:pPr>
        <w:rPr>
          <w:rFonts w:ascii="Times New Roman" w:hAnsi="Times New Roman"/>
        </w:rPr>
      </w:pPr>
      <w:r>
        <w:rPr>
          <w:rFonts w:ascii="Times New Roman" w:hAnsi="Times New Roman"/>
        </w:rPr>
        <w:t>Research can be performed either by selecting a few case studies and thoroughly examining them or by using statistical information or ad hoc surveys to analyse many units, albeit in a more superficial way. In our opinion these two approaches, when possible, should be combined, examining problems with both in depth and broad analyses.</w:t>
      </w:r>
    </w:p>
    <w:p w:rsidR="005938FB" w:rsidRDefault="00535B8D">
      <w:pPr>
        <w:rPr>
          <w:rFonts w:ascii="Times New Roman" w:hAnsi="Times New Roman"/>
        </w:rPr>
      </w:pPr>
      <w:r>
        <w:rPr>
          <w:rFonts w:ascii="Times New Roman" w:hAnsi="Times New Roman"/>
        </w:rPr>
        <w:t>Case studies allow researchers to work in depth, concentrating on the relationships existing between the components of a farm system. In addition, the selection and analysis of farms with ‘optimal’ performances may allow transferring their techniques and strategies to other farms. However, this is not always possible, as case study farms may present characteristics so different from those of ‘normal’ farms that they prevent the implementation of similar strategies in other farms.</w:t>
      </w:r>
    </w:p>
    <w:p w:rsidR="005938FB" w:rsidRDefault="00535B8D">
      <w:pPr>
        <w:rPr>
          <w:rFonts w:ascii="Times New Roman" w:hAnsi="Times New Roman"/>
        </w:rPr>
      </w:pPr>
      <w:r>
        <w:rPr>
          <w:rFonts w:ascii="Times New Roman" w:hAnsi="Times New Roman"/>
        </w:rPr>
        <w:t>Surveys or statistical data usually provide less accurate or detailed information than a case study analysis. Nevertheless they can supply a picture of the situation at regional level. They can therefore show by how much case study farm performance is better than average and what kind of overall impact a transfer of improved techniques would have in the area. Dynamic data could also allow researchers (and decision makers) to monitor the results of policy intervention in terms of farm performance changes. From this point of view, in our opinion, the European Network of Farm Accountancy could provide important information, if modified for taking into account more data about ‘non economic’ performances.</w:t>
      </w:r>
    </w:p>
    <w:p w:rsidR="005938FB" w:rsidRDefault="00535B8D">
      <w:pPr>
        <w:pStyle w:val="Titolo2"/>
      </w:pPr>
      <w:r>
        <w:t>3.2.</w:t>
      </w:r>
      <w:r>
        <w:tab/>
        <w:t>Using Farm Accountancy Network data for a more ‘comprehensive’ approach</w:t>
      </w:r>
    </w:p>
    <w:p w:rsidR="005938FB" w:rsidRDefault="00535B8D">
      <w:pPr>
        <w:rPr>
          <w:rFonts w:ascii="Times New Roman" w:hAnsi="Times New Roman"/>
        </w:rPr>
      </w:pPr>
      <w:r>
        <w:rPr>
          <w:rFonts w:ascii="Times New Roman" w:hAnsi="Times New Roman"/>
        </w:rPr>
        <w:t>Italian Network of Farm Accountancy (R.I.C.A.) data have been recently used by Pennacchi et. al (1998) for analysing sustainability and efficiency of Italian farms. One of the products of this research has been a data bank including the information that have been utilised for building the two indices evaluating farm sustainability and efficiency in the use of potentially polluting resources. We have used this data bank to check which of the indices proposed by the European Concerted Action on Landscape and Nature Production (van Mansvelt and van der Lubbe, 1999) can be calculated from R.I.C.A. data. The reason for using the simplified data bank provided by Pennacchi rather than the original information is that the latter consists in hundreds of basic variables for each of the about 20.000 farms under survey, thus asking for more computer and time resources than were at the moment available. However, since the simplified data bank does not include all the R.I.C.A. data, the list of criteria represents a ‘minimum set’. Moreover, due to the fact that only partially processed data were available (and not basic information), some of the values have to be considered as a ‘proxy’. All the values, except those referring to cattle units and crop surfaces, are expressed in monetary values; in the case of ratios between monetary values, the result does not depend from the monetary unit used:</w:t>
      </w:r>
    </w:p>
    <w:p w:rsidR="005938FB" w:rsidRDefault="00535B8D" w:rsidP="00990D7A">
      <w:pPr>
        <w:numPr>
          <w:ilvl w:val="0"/>
          <w:numId w:val="8"/>
        </w:numPr>
        <w:ind w:left="1134" w:hanging="567"/>
        <w:rPr>
          <w:rFonts w:ascii="Times New Roman" w:hAnsi="Times New Roman"/>
        </w:rPr>
      </w:pPr>
      <w:r>
        <w:rPr>
          <w:rFonts w:ascii="Times New Roman" w:hAnsi="Times New Roman"/>
        </w:rPr>
        <w:t>Fodder crops area/total utilised area;</w:t>
      </w:r>
    </w:p>
    <w:p w:rsidR="005938FB" w:rsidRDefault="00535B8D" w:rsidP="00990D7A">
      <w:pPr>
        <w:numPr>
          <w:ilvl w:val="0"/>
          <w:numId w:val="8"/>
        </w:numPr>
        <w:ind w:left="1134" w:hanging="567"/>
        <w:rPr>
          <w:rFonts w:ascii="Times New Roman" w:hAnsi="Times New Roman"/>
        </w:rPr>
      </w:pPr>
      <w:r>
        <w:rPr>
          <w:rFonts w:ascii="Times New Roman" w:hAnsi="Times New Roman"/>
        </w:rPr>
        <w:t>Cattle units/total utilised area;</w:t>
      </w:r>
    </w:p>
    <w:p w:rsidR="005938FB" w:rsidRDefault="00535B8D" w:rsidP="00990D7A">
      <w:pPr>
        <w:numPr>
          <w:ilvl w:val="0"/>
          <w:numId w:val="8"/>
        </w:numPr>
        <w:ind w:left="1134" w:hanging="567"/>
        <w:rPr>
          <w:rFonts w:ascii="Times New Roman" w:hAnsi="Times New Roman"/>
        </w:rPr>
      </w:pPr>
      <w:r>
        <w:rPr>
          <w:rFonts w:ascii="Times New Roman" w:hAnsi="Times New Roman"/>
        </w:rPr>
        <w:t>Value of manure/(value of manure and chemical fertilisers);</w:t>
      </w:r>
    </w:p>
    <w:p w:rsidR="005938FB" w:rsidRDefault="00535B8D" w:rsidP="00990D7A">
      <w:pPr>
        <w:numPr>
          <w:ilvl w:val="0"/>
          <w:numId w:val="8"/>
        </w:numPr>
        <w:ind w:left="1134" w:hanging="567"/>
        <w:rPr>
          <w:rFonts w:ascii="Times New Roman" w:hAnsi="Times New Roman"/>
        </w:rPr>
      </w:pPr>
      <w:r>
        <w:rPr>
          <w:rFonts w:ascii="Times New Roman" w:hAnsi="Times New Roman"/>
        </w:rPr>
        <w:t>Value of pesticides/total utilised area (ECU/hectares);</w:t>
      </w:r>
    </w:p>
    <w:p w:rsidR="005938FB" w:rsidRDefault="00535B8D" w:rsidP="00990D7A">
      <w:pPr>
        <w:numPr>
          <w:ilvl w:val="0"/>
          <w:numId w:val="8"/>
        </w:numPr>
        <w:ind w:left="1134" w:hanging="567"/>
        <w:rPr>
          <w:rFonts w:ascii="Times New Roman" w:hAnsi="Times New Roman"/>
        </w:rPr>
      </w:pPr>
      <w:r>
        <w:rPr>
          <w:rFonts w:ascii="Times New Roman" w:hAnsi="Times New Roman"/>
        </w:rPr>
        <w:t>Farm labour income per labour unit/regional per capita consumption;</w:t>
      </w:r>
    </w:p>
    <w:p w:rsidR="005938FB" w:rsidRDefault="00535B8D" w:rsidP="00990D7A">
      <w:pPr>
        <w:numPr>
          <w:ilvl w:val="0"/>
          <w:numId w:val="8"/>
        </w:numPr>
        <w:ind w:left="1134" w:hanging="567"/>
        <w:rPr>
          <w:rFonts w:ascii="Times New Roman" w:hAnsi="Times New Roman"/>
        </w:rPr>
      </w:pPr>
      <w:r>
        <w:rPr>
          <w:rFonts w:ascii="Times New Roman" w:hAnsi="Times New Roman"/>
        </w:rPr>
        <w:t>Farm net income/regional family consumption;</w:t>
      </w:r>
    </w:p>
    <w:p w:rsidR="005938FB" w:rsidRDefault="00535B8D" w:rsidP="00990D7A">
      <w:pPr>
        <w:numPr>
          <w:ilvl w:val="0"/>
          <w:numId w:val="8"/>
        </w:numPr>
        <w:ind w:left="1134" w:hanging="567"/>
        <w:rPr>
          <w:rFonts w:ascii="Times New Roman" w:hAnsi="Times New Roman"/>
        </w:rPr>
      </w:pPr>
      <w:r>
        <w:rPr>
          <w:rFonts w:ascii="Times New Roman" w:hAnsi="Times New Roman"/>
        </w:rPr>
        <w:t>Farm net income/regional per capita consumption;</w:t>
      </w:r>
    </w:p>
    <w:p w:rsidR="005938FB" w:rsidRDefault="00535B8D" w:rsidP="00990D7A">
      <w:pPr>
        <w:numPr>
          <w:ilvl w:val="0"/>
          <w:numId w:val="8"/>
        </w:numPr>
        <w:ind w:left="1134" w:hanging="567"/>
        <w:rPr>
          <w:rFonts w:ascii="Times New Roman" w:hAnsi="Times New Roman"/>
        </w:rPr>
      </w:pPr>
      <w:r>
        <w:rPr>
          <w:rFonts w:ascii="Times New Roman" w:hAnsi="Times New Roman"/>
        </w:rPr>
        <w:t>Value of re-used inputs/total costs;</w:t>
      </w:r>
    </w:p>
    <w:p w:rsidR="005938FB" w:rsidRDefault="00535B8D" w:rsidP="00990D7A">
      <w:pPr>
        <w:numPr>
          <w:ilvl w:val="0"/>
          <w:numId w:val="8"/>
        </w:numPr>
        <w:ind w:left="1134" w:hanging="567"/>
        <w:rPr>
          <w:rFonts w:ascii="Times New Roman" w:hAnsi="Times New Roman"/>
        </w:rPr>
      </w:pPr>
      <w:r>
        <w:rPr>
          <w:rFonts w:ascii="Times New Roman" w:hAnsi="Times New Roman"/>
        </w:rPr>
        <w:t>Proxy of the value of non-renewable inputs/total costs;</w:t>
      </w:r>
    </w:p>
    <w:p w:rsidR="005938FB" w:rsidRDefault="00535B8D" w:rsidP="00990D7A">
      <w:pPr>
        <w:numPr>
          <w:ilvl w:val="0"/>
          <w:numId w:val="8"/>
        </w:numPr>
        <w:ind w:left="1134" w:hanging="567"/>
        <w:rPr>
          <w:rFonts w:ascii="Times New Roman" w:hAnsi="Times New Roman"/>
        </w:rPr>
      </w:pPr>
      <w:r>
        <w:rPr>
          <w:rFonts w:ascii="Times New Roman" w:hAnsi="Times New Roman"/>
        </w:rPr>
        <w:t>Gross production/proxy of the value of non-renewable inputs;</w:t>
      </w:r>
    </w:p>
    <w:p w:rsidR="005938FB" w:rsidRDefault="00535B8D" w:rsidP="00990D7A">
      <w:pPr>
        <w:numPr>
          <w:ilvl w:val="0"/>
          <w:numId w:val="8"/>
        </w:numPr>
        <w:ind w:left="1134" w:hanging="567"/>
        <w:rPr>
          <w:rFonts w:ascii="Times New Roman" w:hAnsi="Times New Roman"/>
        </w:rPr>
      </w:pPr>
      <w:r>
        <w:rPr>
          <w:rFonts w:ascii="Times New Roman" w:hAnsi="Times New Roman"/>
        </w:rPr>
        <w:t>Net income/proxy of the value of non-renewable inputs;</w:t>
      </w:r>
    </w:p>
    <w:p w:rsidR="005938FB" w:rsidRDefault="00535B8D" w:rsidP="00990D7A">
      <w:pPr>
        <w:numPr>
          <w:ilvl w:val="0"/>
          <w:numId w:val="8"/>
        </w:numPr>
        <w:ind w:left="1134" w:hanging="567"/>
        <w:rPr>
          <w:rFonts w:ascii="Times New Roman" w:hAnsi="Times New Roman"/>
        </w:rPr>
      </w:pPr>
      <w:r>
        <w:rPr>
          <w:rFonts w:ascii="Times New Roman" w:hAnsi="Times New Roman"/>
        </w:rPr>
        <w:t>Proxy of farm financial autonomy (net income/value of invested capital).</w:t>
      </w:r>
    </w:p>
    <w:p w:rsidR="005938FB" w:rsidRDefault="00535B8D">
      <w:pPr>
        <w:spacing w:before="240"/>
        <w:rPr>
          <w:rFonts w:ascii="Times New Roman" w:hAnsi="Times New Roman"/>
        </w:rPr>
      </w:pPr>
      <w:r>
        <w:rPr>
          <w:rFonts w:ascii="Times New Roman" w:hAnsi="Times New Roman"/>
        </w:rPr>
        <w:t>These indices have been calculated for Tuscany, distinguishing between lowlands, hills and mountains. Since the main problems from an environmental viewpoint were concerning lowlands, where, for example the use of pesticides was almost ten times higher than in hills and mountains, the focus has been put on this region. The main indices for farms located in Tuscany lowlands were used for classifying farms in quartiles, giving to farms a decreasing score from the ‘best’ to the ‘worst’ quartile for each index. This meant performing a linear normalisation allowing a final scale with only four values. Although it has been previously stressed that the use of utility functions is preferable to the use of normalisation, the lack of time and information about external points of reference, in our opinion, can justify a less sophisticated approach. Moreover, this kind of approach could be used by everybody, since it does not ask for a deep knowledge on statistical techniques or the use of a specific software. According to Pieroni (1989), a simplified approach can be very useful every time that data and indices are provided to a final user, like a decision maker or a public administrator, who often does not have a scientific background in statistics. In this case the results of sophisticated analyses have the problem that they might not always be correctly interpreted by final users. As regards to weights, all the indices used for assessing Tuscany lowlands farm performances were considered as having the same importance and the scores were added together without weighting them. Farms were ranked according to their total score and divided into 4 classes. Class I (total score from 16 to 20) includes the best farms according to the value of the set of indices; class II is the second best (total score from 11 to 15), followed by class III (total score from 6 to 10) and class IV (total score from 0 to 5).</w:t>
      </w:r>
    </w:p>
    <w:p w:rsidR="005938FB" w:rsidRDefault="00535B8D">
      <w:pPr>
        <w:rPr>
          <w:rFonts w:ascii="Times New Roman" w:hAnsi="Times New Roman"/>
        </w:rPr>
      </w:pPr>
      <w:r>
        <w:rPr>
          <w:rFonts w:ascii="Times New Roman" w:hAnsi="Times New Roman"/>
        </w:rPr>
        <w:t>Table 1 shows the number of farms included in each class, by production type. In Table 1 farms of some production types, for instance farms cropping cereals, seem to have, on the whole, unsatisfactory performances, since 15 farms on a total amount of 18 are classified in the two worst groups. Vice versa, other farms, for example non specialised farms with crops and livestock, seem to score quite well, since 17 farms on a total of 20 are classified in the two best groups. Some of the productive types, for instance root crop cultivation/others, permanent crops and mixed crops, have farms included in all the four groups, thus showing that farms may have very different performances accordingly to the way they are managed. Thus, also inside a specific region such as Tuscany lowlands and within a group of farms using the same production mix (for instance mixed crops), it is possible to find farms adopting either very positive or very negative ‘styles of farming’.</w:t>
      </w:r>
      <w:r>
        <w:rPr>
          <w:rFonts w:ascii="Times New Roman" w:hAnsi="Times New Roman"/>
          <w:b/>
        </w:rPr>
        <w:t xml:space="preserve"> </w:t>
      </w:r>
      <w:r>
        <w:rPr>
          <w:rFonts w:ascii="Times New Roman" w:hAnsi="Times New Roman"/>
        </w:rPr>
        <w:t xml:space="preserve">It is widely accepted that some productive types are less satisfactory, especially from an environmental and landscape point of view, than others. Nevertheless it is usually impossible to exclude all of them, hypothesising a major simplification of the productive mix of a region (Pennacchi et al., 1998). Thus it is important to find relatively positive styles of farming for these production types. The study of the features allowing farms belonging to these productive types to score quite well may enable a transfer of their strategies to the other farms of the same productive type. </w:t>
      </w:r>
    </w:p>
    <w:p w:rsidR="005938FB" w:rsidRDefault="00535B8D">
      <w:pPr>
        <w:pStyle w:val="Titolo1"/>
      </w:pPr>
      <w:r>
        <w:t>4.</w:t>
      </w:r>
      <w:r>
        <w:tab/>
        <w:t>Conclusions</w:t>
      </w:r>
    </w:p>
    <w:p w:rsidR="005938FB" w:rsidRDefault="00535B8D">
      <w:pPr>
        <w:rPr>
          <w:rFonts w:ascii="Times New Roman" w:hAnsi="Times New Roman"/>
        </w:rPr>
      </w:pPr>
      <w:r>
        <w:rPr>
          <w:rFonts w:ascii="Times New Roman" w:hAnsi="Times New Roman"/>
        </w:rPr>
        <w:t>Like other human activities, farming does not only result in economic and productive effects, but it has an impact on environment and landscape quality. It is thus important to assess farm performance taking into account not only economic performance, but also a more comprehensive set of indices. This holistic approach should make researchers and decision-makers aware that it is necessary to foresee ex-ante all the possible effects of agricultural interventions, also when they aim at a specific target. From this point of view, it is important to have tools capable of ‘measuring’ farm performance considering landscape, nature and environmental quality production, besides that of agricultural products.</w:t>
      </w:r>
    </w:p>
    <w:p w:rsidR="005938FB" w:rsidRDefault="00535B8D">
      <w:pPr>
        <w:rPr>
          <w:rFonts w:ascii="Times New Roman" w:hAnsi="Times New Roman"/>
        </w:rPr>
      </w:pPr>
      <w:r>
        <w:rPr>
          <w:rFonts w:ascii="Times New Roman" w:hAnsi="Times New Roman"/>
        </w:rPr>
        <w:t>To achieve an overall judgement, it is necessary to express criteria in the same measurement unit, for instance in terms of Utility (scoring farms accordingly) and usually to weight them. Since it is difficult to provide an objective and reliable evaluation, the use of several combined ranking methods and sets of weights can provide a ‘cross-checked’ evaluation. These evaluations could allow implementing policies discouraging or supporting selected farm types or styles of farming, rather than introducing rules for compulsory adoption. Thus, individuating farm types and styles of farming that are to be promoted is not only relevant for research purposes, but also for providing guidelines to decisions-makers.</w:t>
      </w:r>
    </w:p>
    <w:p w:rsidR="005938FB" w:rsidRDefault="00535B8D">
      <w:pPr>
        <w:rPr>
          <w:rFonts w:ascii="Times New Roman" w:hAnsi="Times New Roman"/>
        </w:rPr>
      </w:pPr>
      <w:r>
        <w:rPr>
          <w:rFonts w:ascii="Times New Roman" w:hAnsi="Times New Roman"/>
        </w:rPr>
        <w:t>Since in the field of landscape production and protection it is not easy to implement successful and effective interventions, providing guidelines for decision-makers is very important. In fact, from one hand, decision makers might think that the only way to deal with landscape is to prevent any kind of change, ‘freezing’ landscape in its present (or even past) state. Nevertheless, this kind of policy could be suitable only for very small areas or regions with specific features. On the other hand, difficulties in managing landscape arise from the fact that landscape is something that cannot be reconstructed by adding together its elements, but it is heavily dependent on the relationships between those elements. From this point of view, in our opinion, providing subsidies for single elements could be a successful strategy when the maintenance or improvement of already existing elements of landscape (walls, hedges, etc.) is involved. A more careful approach is needed in the case that decision-makers try to support the introduction or reintroduction of single elements that are not already present. This because the way farmers respond to interventions may cause results that are very far away from those initially expected. Consequently, supporting farm typologies (e.g., mixed crops) or ‘styles of farming’ (e.g., organic farming) that have already proved having a positive influence on landscape quality (and other features) might be, in our opinion, a more reliable approach than subsidising single elements of landscape. This kind of approach could benefit, in our opinion, from an assessment of farm typologies or styles of farming performance as the one proposed in this article.</w:t>
      </w:r>
    </w:p>
    <w:p w:rsidR="005938FB" w:rsidRDefault="00535B8D">
      <w:pPr>
        <w:pStyle w:val="Titolo1"/>
      </w:pPr>
      <w:r>
        <w:t>Acknowledgements</w:t>
      </w:r>
    </w:p>
    <w:p w:rsidR="005938FB" w:rsidRDefault="00535B8D">
      <w:pPr>
        <w:rPr>
          <w:rFonts w:ascii="Times New Roman" w:hAnsi="Times New Roman"/>
        </w:rPr>
      </w:pPr>
      <w:r>
        <w:rPr>
          <w:rFonts w:ascii="Times New Roman" w:hAnsi="Times New Roman"/>
        </w:rPr>
        <w:t>This research has been supported by National Research Council under contribution n. 94.00965.CT06 and n. 95.03251.CT06 and by the University of Pisa.</w:t>
      </w:r>
    </w:p>
    <w:p w:rsidR="005938FB" w:rsidRPr="00990D7A" w:rsidRDefault="00535B8D">
      <w:pPr>
        <w:pStyle w:val="Titolo1"/>
        <w:rPr>
          <w:lang w:val="it-IT"/>
        </w:rPr>
      </w:pPr>
      <w:r w:rsidRPr="00990D7A">
        <w:rPr>
          <w:lang w:val="it-IT"/>
        </w:rPr>
        <w:t>References</w:t>
      </w:r>
    </w:p>
    <w:p w:rsidR="005938FB" w:rsidRPr="00990D7A" w:rsidRDefault="00535B8D">
      <w:pPr>
        <w:ind w:left="567" w:hanging="567"/>
        <w:rPr>
          <w:rFonts w:ascii="Times New Roman" w:hAnsi="Times New Roman"/>
          <w:lang w:val="it-IT"/>
        </w:rPr>
      </w:pPr>
      <w:r w:rsidRPr="00990D7A">
        <w:rPr>
          <w:rFonts w:ascii="Times New Roman" w:hAnsi="Times New Roman"/>
          <w:lang w:val="it-IT"/>
        </w:rPr>
        <w:t>Accademia Nazionale di Agricoltura, 1991. Agricoltura e Ambiente, Edagricole, Bologna.</w:t>
      </w:r>
    </w:p>
    <w:p w:rsidR="005938FB" w:rsidRPr="00990D7A" w:rsidRDefault="00535B8D">
      <w:pPr>
        <w:ind w:left="567" w:hanging="567"/>
        <w:rPr>
          <w:rFonts w:ascii="Times New Roman" w:hAnsi="Times New Roman"/>
          <w:lang w:val="it-IT"/>
        </w:rPr>
      </w:pPr>
      <w:r w:rsidRPr="00990D7A">
        <w:rPr>
          <w:rFonts w:ascii="Times New Roman" w:hAnsi="Times New Roman"/>
          <w:lang w:val="it-IT"/>
        </w:rPr>
        <w:t>Andreoli, M., De Simone, A., Rossi, R. and Tellarini, V., 1998. Una proposta di percorso per la valutazione di realtà aziendali o comprensoriali in base ad un set di criteri di tipo qualitativo, Il Borghetto, Pisa.</w:t>
      </w:r>
    </w:p>
    <w:p w:rsidR="005938FB" w:rsidRDefault="00535B8D">
      <w:pPr>
        <w:ind w:left="567" w:hanging="567"/>
        <w:rPr>
          <w:rFonts w:ascii="Times New Roman" w:hAnsi="Times New Roman"/>
        </w:rPr>
      </w:pPr>
      <w:r>
        <w:rPr>
          <w:rFonts w:ascii="Times New Roman" w:hAnsi="Times New Roman"/>
        </w:rPr>
        <w:t>Andreoli, M. and Tellarini, V., 1998. Marginality and development in Italy: a study review, in Jussila, H., Leimgruber, W. and Majoral, R. (Editors) Perceptions of Marginality. Theoretical issues and regional perceptions of marginality in geographical space, Ashgate, Aldershot, United Kingdom.</w:t>
      </w:r>
    </w:p>
    <w:p w:rsidR="005938FB" w:rsidRPr="00990D7A" w:rsidRDefault="00535B8D">
      <w:pPr>
        <w:ind w:left="567" w:hanging="567"/>
        <w:rPr>
          <w:rFonts w:ascii="Times New Roman" w:hAnsi="Times New Roman"/>
          <w:lang w:val="it-IT"/>
        </w:rPr>
      </w:pPr>
      <w:r w:rsidRPr="00990D7A">
        <w:rPr>
          <w:rFonts w:ascii="Times New Roman" w:hAnsi="Times New Roman"/>
          <w:lang w:val="it-IT"/>
        </w:rPr>
        <w:t>Andreoli, M. and Tellarini, V., 1995. Le imprese agricole ed il successo, in Cannata, G. (Editor) Per una definizione delle condizioni di “successo” nelle aree collinari e montane, CNR-RAISA n.2418, Rubbettino, Soveria Mannelli (CZ), pp. 50-72.</w:t>
      </w:r>
    </w:p>
    <w:p w:rsidR="005938FB" w:rsidRPr="00990D7A" w:rsidRDefault="00535B8D">
      <w:pPr>
        <w:ind w:left="567" w:hanging="567"/>
        <w:rPr>
          <w:rFonts w:ascii="Times New Roman" w:hAnsi="Times New Roman"/>
          <w:lang w:val="it-IT"/>
        </w:rPr>
      </w:pPr>
      <w:r w:rsidRPr="00990D7A">
        <w:rPr>
          <w:rFonts w:ascii="Times New Roman" w:hAnsi="Times New Roman"/>
          <w:lang w:val="it-IT"/>
        </w:rPr>
        <w:t>Ciani, A., Boggia A. and Marinozzi, G., 1993. Metodologie di valutazione di alternative di parchi: il caso del Parco del Nera, Genio Rurale, 11: 46-54.</w:t>
      </w:r>
    </w:p>
    <w:p w:rsidR="005938FB" w:rsidRPr="00990D7A" w:rsidRDefault="00535B8D">
      <w:pPr>
        <w:ind w:left="567" w:hanging="567"/>
        <w:rPr>
          <w:rFonts w:ascii="Times New Roman" w:hAnsi="Times New Roman"/>
          <w:lang w:val="it-IT"/>
        </w:rPr>
      </w:pPr>
      <w:r w:rsidRPr="00990D7A">
        <w:rPr>
          <w:rFonts w:ascii="Times New Roman" w:hAnsi="Times New Roman"/>
          <w:lang w:val="it-IT"/>
        </w:rPr>
        <w:t>Chiusoli, A., 1994. La rinaturalizzazione del paesaggio agrario: una esigenza ambientale, culturale e civile, Genio Rurale, 4: 42-51.</w:t>
      </w:r>
    </w:p>
    <w:p w:rsidR="005938FB" w:rsidRPr="00990D7A" w:rsidRDefault="00535B8D">
      <w:pPr>
        <w:ind w:left="567" w:hanging="567"/>
        <w:rPr>
          <w:rFonts w:ascii="Times New Roman" w:hAnsi="Times New Roman"/>
          <w:lang w:val="it-IT"/>
        </w:rPr>
      </w:pPr>
      <w:r w:rsidRPr="00990D7A">
        <w:rPr>
          <w:rFonts w:ascii="Times New Roman" w:hAnsi="Times New Roman"/>
          <w:lang w:val="it-IT"/>
        </w:rPr>
        <w:t>Colorni, A. and Laniado, E., 1988. VISPA, Software Territoriale e Ambientale, CLUP, Milano.</w:t>
      </w:r>
    </w:p>
    <w:p w:rsidR="005938FB" w:rsidRDefault="00535B8D">
      <w:pPr>
        <w:ind w:left="567" w:hanging="567"/>
        <w:rPr>
          <w:rFonts w:ascii="Times New Roman" w:hAnsi="Times New Roman"/>
        </w:rPr>
      </w:pPr>
      <w:r>
        <w:rPr>
          <w:rFonts w:ascii="Times New Roman" w:hAnsi="Times New Roman"/>
        </w:rPr>
        <w:t>Colorni, A. and Laniado, E., 1992. SILVIA: a decision support system for environmental impact assessment, in Colombo A. G. (Editor), Environmental Impact Assessment, ECSC, EEC, EAEC, Brussels and Luxembourg, printed in the Netherlands, pp. 167-180.</w:t>
      </w:r>
    </w:p>
    <w:p w:rsidR="005938FB" w:rsidRPr="00990D7A" w:rsidRDefault="00535B8D">
      <w:pPr>
        <w:ind w:left="567" w:hanging="567"/>
        <w:rPr>
          <w:rFonts w:ascii="Times New Roman" w:hAnsi="Times New Roman"/>
          <w:lang w:val="it-IT"/>
        </w:rPr>
      </w:pPr>
      <w:r w:rsidRPr="00990D7A">
        <w:rPr>
          <w:rFonts w:ascii="Times New Roman" w:hAnsi="Times New Roman"/>
          <w:lang w:val="it-IT"/>
        </w:rPr>
        <w:t>Feliziani, R., 1997. Valutazione di alternative di gestione: il caso del Parco Nazionale dei Monti Sibillini, Genio Rurale, 12: 25-32.</w:t>
      </w:r>
    </w:p>
    <w:p w:rsidR="005938FB" w:rsidRPr="00990D7A" w:rsidRDefault="00535B8D">
      <w:pPr>
        <w:ind w:left="567" w:hanging="567"/>
        <w:rPr>
          <w:rFonts w:ascii="Times New Roman" w:hAnsi="Times New Roman"/>
          <w:lang w:val="it-IT"/>
        </w:rPr>
      </w:pPr>
      <w:r>
        <w:rPr>
          <w:rFonts w:ascii="Times New Roman" w:hAnsi="Times New Roman"/>
        </w:rPr>
        <w:t xml:space="preserve">Hendriks, K., Stobbelaar D.J. and van Mansvelt J.D., 1999. The appearance of agriculture. Assessment of landscape quality of (organic and conventional) horticultural farms in West-Friesland, Agric. </w:t>
      </w:r>
      <w:r w:rsidRPr="00990D7A">
        <w:rPr>
          <w:rFonts w:ascii="Times New Roman" w:hAnsi="Times New Roman"/>
          <w:lang w:val="it-IT"/>
        </w:rPr>
        <w:t>Ecosyst. Environ., this volume.</w:t>
      </w:r>
    </w:p>
    <w:p w:rsidR="005938FB" w:rsidRPr="00990D7A" w:rsidRDefault="00535B8D">
      <w:pPr>
        <w:ind w:left="567" w:hanging="567"/>
        <w:rPr>
          <w:rFonts w:ascii="Times New Roman" w:hAnsi="Times New Roman"/>
          <w:lang w:val="it-IT"/>
        </w:rPr>
      </w:pPr>
      <w:r w:rsidRPr="00990D7A">
        <w:rPr>
          <w:rFonts w:ascii="Times New Roman" w:hAnsi="Times New Roman"/>
          <w:lang w:val="it-IT"/>
        </w:rPr>
        <w:t>Pennacchi, F., Abitabile, C., Andreoli, M., Colosimo, V., Marino, D., Polinori, P. and Tellarini, V., 1998. Sostenibilità Efficienza e Successo Aziendale. Una valutazione nelle aziende della R.I.C.A., CNR-RAISA, Quaderni dell’Istituto di Economia e Politica Agraria, quaderno n. 24, Tipografia dell’Università degli Studi di Perugia, Perugia.</w:t>
      </w:r>
    </w:p>
    <w:p w:rsidR="005938FB" w:rsidRPr="00990D7A" w:rsidRDefault="00535B8D">
      <w:pPr>
        <w:ind w:left="567" w:hanging="567"/>
        <w:rPr>
          <w:rFonts w:ascii="Times New Roman" w:hAnsi="Times New Roman"/>
          <w:lang w:val="it-IT"/>
        </w:rPr>
      </w:pPr>
      <w:r w:rsidRPr="00990D7A">
        <w:rPr>
          <w:rFonts w:ascii="Times New Roman" w:hAnsi="Times New Roman"/>
          <w:lang w:val="it-IT"/>
        </w:rPr>
        <w:t>Pieroni, O., 1989. Il Progetto «I.P.R.A. 2.2», la carta della marginalità ed i limiti e vantaggi del metodo proposto, in Pieroni, O. and Andreoli, M. Agricoltura, Marginalità e Sistemi socio-economici locali, CNR-IPRA, Pacini Editore, pp.13-16.</w:t>
      </w:r>
    </w:p>
    <w:p w:rsidR="005938FB" w:rsidRPr="00990D7A" w:rsidRDefault="00535B8D">
      <w:pPr>
        <w:ind w:left="567" w:hanging="567"/>
        <w:rPr>
          <w:rFonts w:ascii="Times New Roman" w:hAnsi="Times New Roman"/>
          <w:lang w:val="it-IT"/>
        </w:rPr>
      </w:pPr>
      <w:r w:rsidRPr="00990D7A">
        <w:rPr>
          <w:rFonts w:ascii="Times New Roman" w:hAnsi="Times New Roman"/>
          <w:lang w:val="it-IT"/>
        </w:rPr>
        <w:t>Polinori, P., 1998. Agricoltura e Sostenibilità, in Pennacchi, F., Abitabile, C., Andreoli, M., Colosimo, V., Marino, D., Polinori, P. and Tellarini, V., 1998. Sostenibilità Efficienza e Successo Aziendale. Una valutazione nelle aziende della R.I.C.A., CNR-RAISA, Quaderni dell’Istituto di Economia e Politica Agraria, quaderno n. 24, Tipografia dell’Università degli Studi di Perugia, Perugia, pp. 3-37.</w:t>
      </w:r>
    </w:p>
    <w:p w:rsidR="005938FB" w:rsidRDefault="00535B8D">
      <w:pPr>
        <w:ind w:left="567" w:hanging="567"/>
        <w:rPr>
          <w:rFonts w:ascii="Times New Roman" w:hAnsi="Times New Roman"/>
        </w:rPr>
      </w:pPr>
      <w:r>
        <w:rPr>
          <w:rFonts w:ascii="Times New Roman" w:hAnsi="Times New Roman"/>
        </w:rPr>
        <w:t>Romero, C. and Rehman, T., 1989. Multiple Criteria Analysis for Agricultural Decision, Elsevier, Amsterdam.</w:t>
      </w:r>
    </w:p>
    <w:p w:rsidR="005938FB" w:rsidRDefault="00535B8D">
      <w:pPr>
        <w:ind w:left="567" w:hanging="567"/>
        <w:rPr>
          <w:rFonts w:ascii="Times New Roman" w:hAnsi="Times New Roman"/>
        </w:rPr>
      </w:pPr>
      <w:r w:rsidRPr="00990D7A">
        <w:rPr>
          <w:rFonts w:ascii="Times New Roman" w:hAnsi="Times New Roman"/>
          <w:lang w:val="it-IT"/>
        </w:rPr>
        <w:t xml:space="preserve">Rossi, R., Nota, D. and Fossi, F., 1997. </w:t>
      </w:r>
      <w:r>
        <w:rPr>
          <w:rFonts w:ascii="Times New Roman" w:hAnsi="Times New Roman"/>
        </w:rPr>
        <w:t>Landscape and nature production capacity of organic types of agriculture: examples of organic farms in two Tuscan landscapes, Agric. Ecosyst. Environ., 63/2,3: 159-171.</w:t>
      </w:r>
    </w:p>
    <w:p w:rsidR="005938FB" w:rsidRDefault="00535B8D">
      <w:pPr>
        <w:ind w:left="567" w:hanging="567"/>
        <w:rPr>
          <w:rFonts w:ascii="Times New Roman" w:hAnsi="Times New Roman"/>
        </w:rPr>
      </w:pPr>
      <w:r>
        <w:rPr>
          <w:rFonts w:ascii="Times New Roman" w:hAnsi="Times New Roman"/>
        </w:rPr>
        <w:t>Rossi, R. and Nota, D., 1999. Nature and landscape production potentials of organic types of agriculture: a check of evaluation criteria and parameters in two Tuscan farm-landscapes, Agric. Ecosyst. Environ., this volume.</w:t>
      </w:r>
    </w:p>
    <w:p w:rsidR="005938FB" w:rsidRDefault="00535B8D">
      <w:pPr>
        <w:ind w:left="567" w:hanging="567"/>
        <w:rPr>
          <w:rFonts w:ascii="Times New Roman" w:hAnsi="Times New Roman"/>
        </w:rPr>
      </w:pPr>
      <w:r>
        <w:rPr>
          <w:rFonts w:ascii="Times New Roman" w:hAnsi="Times New Roman"/>
        </w:rPr>
        <w:t>Stobbelaar, D.J. and van Mansvelt, J.D., 1999. The process of landscape evaluation. Introduction to 2</w:t>
      </w:r>
      <w:r>
        <w:rPr>
          <w:rFonts w:ascii="Times New Roman" w:hAnsi="Times New Roman"/>
          <w:position w:val="12"/>
          <w:sz w:val="16"/>
        </w:rPr>
        <w:t>nd</w:t>
      </w:r>
      <w:r>
        <w:rPr>
          <w:rFonts w:ascii="Times New Roman" w:hAnsi="Times New Roman"/>
        </w:rPr>
        <w:t xml:space="preserve"> special Agric. Ecosyst. Environ. issue of the Concerted Action: the Landscape and Nature Production Capacity of Organic/Sustainable Types of Agriculture, Agric. Ecosyst. Environ., in press.</w:t>
      </w:r>
    </w:p>
    <w:p w:rsidR="005938FB" w:rsidRDefault="00535B8D">
      <w:pPr>
        <w:ind w:left="567" w:hanging="567"/>
        <w:rPr>
          <w:rFonts w:ascii="Times New Roman" w:hAnsi="Times New Roman"/>
        </w:rPr>
      </w:pPr>
      <w:r>
        <w:rPr>
          <w:rFonts w:ascii="Times New Roman" w:hAnsi="Times New Roman"/>
        </w:rPr>
        <w:t>van Mansvelt, J.D. 1997. An interdisciplinary approach to integrate a range of agro-landscape values as proposed by representatives of various disciplines, in Agric. Ecosyst. Environ., 63/2,3: 233-250.</w:t>
      </w:r>
    </w:p>
    <w:p w:rsidR="005938FB" w:rsidRDefault="00535B8D">
      <w:pPr>
        <w:ind w:left="567" w:hanging="567"/>
        <w:rPr>
          <w:rFonts w:ascii="Times New Roman" w:hAnsi="Times New Roman"/>
        </w:rPr>
      </w:pPr>
      <w:r>
        <w:rPr>
          <w:rFonts w:ascii="Times New Roman" w:hAnsi="Times New Roman"/>
        </w:rPr>
        <w:t>van Mansvelt, J.D., and van der Lubbe, M.J., 1999. Checlist for Sustainable Landscape Management, Elsevier, Amsterdam.</w:t>
      </w:r>
    </w:p>
    <w:p w:rsidR="000014B6" w:rsidRDefault="000014B6">
      <w:pPr>
        <w:ind w:left="567" w:hanging="567"/>
        <w:rPr>
          <w:rFonts w:ascii="Times New Roman" w:hAnsi="Times New Roman"/>
        </w:rPr>
      </w:pPr>
    </w:p>
    <w:p w:rsidR="000014B6" w:rsidRDefault="000014B6">
      <w:pPr>
        <w:ind w:left="567" w:hanging="567"/>
        <w:rPr>
          <w:rFonts w:ascii="Times New Roman" w:hAnsi="Times New Roman"/>
        </w:rPr>
      </w:pPr>
    </w:p>
    <w:p w:rsidR="000014B6" w:rsidRPr="000014B6" w:rsidRDefault="000014B6">
      <w:pPr>
        <w:ind w:left="567" w:hanging="567"/>
        <w:rPr>
          <w:rFonts w:ascii="Times New Roman" w:hAnsi="Times New Roman"/>
          <w:b/>
        </w:rPr>
      </w:pPr>
      <w:r w:rsidRPr="000014B6">
        <w:rPr>
          <w:rFonts w:ascii="Times New Roman" w:hAnsi="Times New Roman"/>
          <w:b/>
        </w:rPr>
        <w:t>ERRATA-CORRIGE ON PRINT PROOF</w:t>
      </w:r>
    </w:p>
    <w:p w:rsidR="000014B6" w:rsidRDefault="000014B6" w:rsidP="000014B6">
      <w:pPr>
        <w:ind w:right="-285"/>
      </w:pPr>
      <w:r>
        <w:t>LIST OF CORRECTIONS:</w:t>
      </w:r>
      <w:r>
        <w:tab/>
      </w:r>
      <w:r>
        <w:tab/>
        <w:t>WRONG</w:t>
      </w:r>
      <w:r>
        <w:tab/>
      </w:r>
      <w:r>
        <w:tab/>
      </w:r>
      <w:r>
        <w:tab/>
        <w:t>CORRECT</w:t>
      </w:r>
    </w:p>
    <w:p w:rsidR="000014B6" w:rsidRDefault="000014B6" w:rsidP="000014B6">
      <w:pPr>
        <w:ind w:right="-285"/>
      </w:pPr>
      <w:r>
        <w:t>1) Page 1, note b (2</w:t>
      </w:r>
      <w:r>
        <w:rPr>
          <w:vertAlign w:val="superscript"/>
        </w:rPr>
        <w:t>nd</w:t>
      </w:r>
      <w:r>
        <w:t xml:space="preserve"> author’s address)</w:t>
      </w:r>
      <w:r>
        <w:tab/>
        <w:t>Via C. Ridolfi 10</w:t>
      </w:r>
      <w:r>
        <w:tab/>
        <w:t>Via del Borghetto 80</w:t>
      </w:r>
    </w:p>
    <w:p w:rsidR="000014B6" w:rsidRDefault="000014B6" w:rsidP="000014B6">
      <w:pPr>
        <w:ind w:right="-285"/>
      </w:pPr>
      <w:r>
        <w:t>2) Page 2, first line of paragraph 1</w:t>
      </w:r>
      <w:r>
        <w:tab/>
      </w:r>
      <w:r>
        <w:tab/>
        <w:t>reductionist</w:t>
      </w:r>
      <w:r>
        <w:tab/>
      </w:r>
      <w:r>
        <w:tab/>
        <w:t>reductionistic</w:t>
      </w:r>
    </w:p>
    <w:p w:rsidR="000014B6" w:rsidRDefault="000014B6" w:rsidP="000014B6">
      <w:pPr>
        <w:ind w:right="-285"/>
      </w:pPr>
      <w:r>
        <w:t>3) Page 3, par. 2.1.1., 5</w:t>
      </w:r>
      <w:r>
        <w:rPr>
          <w:vertAlign w:val="superscript"/>
        </w:rPr>
        <w:t>th</w:t>
      </w:r>
      <w:r>
        <w:t xml:space="preserve"> line</w:t>
      </w:r>
      <w:r>
        <w:tab/>
      </w:r>
      <w:r>
        <w:tab/>
        <w:t>et al., this volume</w:t>
      </w:r>
      <w:r>
        <w:tab/>
        <w:t>and Nota, 1999</w:t>
      </w:r>
    </w:p>
    <w:p w:rsidR="000014B6" w:rsidRDefault="000014B6" w:rsidP="000014B6">
      <w:pPr>
        <w:ind w:right="-285"/>
      </w:pPr>
      <w:r>
        <w:t>4) Page 3, par. 2.1.1., 16</w:t>
      </w:r>
      <w:r>
        <w:rPr>
          <w:vertAlign w:val="superscript"/>
        </w:rPr>
        <w:t>th</w:t>
      </w:r>
      <w:r>
        <w:t xml:space="preserve"> line</w:t>
      </w:r>
      <w:r>
        <w:tab/>
      </w:r>
      <w:r>
        <w:tab/>
        <w:t>-</w:t>
      </w:r>
      <w:r>
        <w:tab/>
      </w:r>
      <w:r>
        <w:tab/>
      </w:r>
      <w:r>
        <w:tab/>
        <w:t>- -</w:t>
      </w:r>
    </w:p>
    <w:p w:rsidR="000014B6" w:rsidRDefault="000014B6" w:rsidP="000014B6">
      <w:pPr>
        <w:ind w:right="-285"/>
      </w:pPr>
      <w:r>
        <w:t>5) Page 3, par. 2.1.1., 25</w:t>
      </w:r>
      <w:r>
        <w:rPr>
          <w:vertAlign w:val="superscript"/>
        </w:rPr>
        <w:t>th</w:t>
      </w:r>
      <w:r>
        <w:t xml:space="preserve"> line</w:t>
      </w:r>
      <w:r>
        <w:tab/>
      </w:r>
      <w:r>
        <w:tab/>
        <w:t>-</w:t>
      </w:r>
      <w:r>
        <w:tab/>
      </w:r>
      <w:r>
        <w:tab/>
      </w:r>
      <w:r>
        <w:tab/>
        <w:t>- -</w:t>
      </w:r>
    </w:p>
    <w:p w:rsidR="000014B6" w:rsidRDefault="000014B6" w:rsidP="000014B6">
      <w:pPr>
        <w:ind w:right="-285"/>
      </w:pPr>
      <w:r>
        <w:t>6) Page 4, line 15</w:t>
      </w:r>
      <w:r>
        <w:tab/>
      </w:r>
      <w:r>
        <w:tab/>
      </w:r>
      <w:r>
        <w:tab/>
      </w:r>
      <w:r>
        <w:tab/>
        <w:t>-</w:t>
      </w:r>
      <w:r>
        <w:tab/>
      </w:r>
      <w:r>
        <w:tab/>
      </w:r>
      <w:r>
        <w:tab/>
        <w:t>- -</w:t>
      </w:r>
    </w:p>
    <w:p w:rsidR="000014B6" w:rsidRDefault="000014B6" w:rsidP="000014B6">
      <w:pPr>
        <w:ind w:right="-285"/>
      </w:pPr>
      <w:r>
        <w:t>7) Page 4, line 26</w:t>
      </w:r>
      <w:r>
        <w:tab/>
      </w:r>
      <w:r>
        <w:tab/>
      </w:r>
      <w:r>
        <w:tab/>
      </w:r>
      <w:r>
        <w:tab/>
        <w:t>moderate erosion</w:t>
      </w:r>
      <w:r>
        <w:tab/>
        <w:t>‘moderate erosion’</w:t>
      </w:r>
    </w:p>
    <w:p w:rsidR="000014B6" w:rsidRDefault="000014B6" w:rsidP="000014B6">
      <w:pPr>
        <w:ind w:right="-285"/>
      </w:pPr>
      <w:r>
        <w:t>8 and 9) Page 4, line 26 and 31</w:t>
      </w:r>
      <w:r>
        <w:tab/>
      </w:r>
      <w:r>
        <w:tab/>
        <w:t>severe erosion</w:t>
      </w:r>
      <w:r>
        <w:tab/>
      </w:r>
      <w:r>
        <w:tab/>
        <w:t>‘severe erosion’</w:t>
      </w:r>
    </w:p>
    <w:p w:rsidR="000014B6" w:rsidRDefault="000014B6" w:rsidP="000014B6">
      <w:pPr>
        <w:ind w:right="-285"/>
      </w:pPr>
      <w:r>
        <w:t>10) Page 4, line 31</w:t>
      </w:r>
      <w:r>
        <w:tab/>
      </w:r>
      <w:r>
        <w:tab/>
      </w:r>
      <w:r>
        <w:tab/>
        <w:t>clear absence of erosion</w:t>
      </w:r>
      <w:r>
        <w:tab/>
      </w:r>
      <w:r>
        <w:tab/>
        <w:t>‘clear absence of erosion’</w:t>
      </w:r>
    </w:p>
    <w:p w:rsidR="000014B6" w:rsidRDefault="000014B6" w:rsidP="000014B6">
      <w:pPr>
        <w:ind w:right="-285"/>
      </w:pPr>
      <w:r>
        <w:t>11) Page 6, line 9</w:t>
      </w:r>
      <w:r>
        <w:tab/>
      </w:r>
      <w:r>
        <w:tab/>
      </w:r>
      <w:r>
        <w:tab/>
      </w:r>
      <w:r>
        <w:tab/>
        <w:t>to note it when</w:t>
      </w:r>
      <w:r>
        <w:tab/>
      </w:r>
      <w:r>
        <w:tab/>
        <w:t>to note that</w:t>
      </w:r>
    </w:p>
    <w:p w:rsidR="000014B6" w:rsidRDefault="000014B6" w:rsidP="000014B6">
      <w:pPr>
        <w:ind w:right="-285"/>
      </w:pPr>
      <w:r>
        <w:t>12) Page 6, line 31</w:t>
      </w:r>
      <w:r>
        <w:tab/>
      </w:r>
      <w:r>
        <w:tab/>
      </w:r>
      <w:r>
        <w:tab/>
      </w:r>
      <w:r>
        <w:tab/>
      </w:r>
      <w:r>
        <w:tab/>
      </w:r>
      <w:r>
        <w:tab/>
      </w:r>
      <w:r>
        <w:tab/>
        <w:t xml:space="preserve">add the following before </w:t>
      </w:r>
    </w:p>
    <w:p w:rsidR="000014B6" w:rsidRDefault="000014B6" w:rsidP="000014B6">
      <w:pPr>
        <w:ind w:right="-285"/>
      </w:pPr>
      <w:r>
        <w:tab/>
      </w:r>
      <w:r>
        <w:tab/>
      </w:r>
      <w:r>
        <w:tab/>
      </w:r>
      <w:r>
        <w:tab/>
      </w:r>
      <w:r>
        <w:tab/>
      </w:r>
      <w:r>
        <w:tab/>
      </w:r>
      <w:r>
        <w:tab/>
      </w:r>
      <w:r>
        <w:tab/>
      </w:r>
      <w:r>
        <w:tab/>
        <w:t>Stobbelaar:</w:t>
      </w:r>
    </w:p>
    <w:p w:rsidR="000014B6" w:rsidRDefault="000014B6" w:rsidP="000014B6">
      <w:pPr>
        <w:ind w:right="-285"/>
      </w:pPr>
      <w:r>
        <w:tab/>
      </w:r>
      <w:r>
        <w:tab/>
      </w:r>
      <w:r>
        <w:tab/>
      </w:r>
      <w:r>
        <w:tab/>
      </w:r>
      <w:r>
        <w:tab/>
      </w:r>
      <w:r>
        <w:tab/>
      </w:r>
      <w:r>
        <w:tab/>
      </w:r>
      <w:r>
        <w:tab/>
      </w:r>
      <w:r>
        <w:tab/>
        <w:t>Van Mansvelt, 1997;</w:t>
      </w:r>
    </w:p>
    <w:p w:rsidR="000014B6" w:rsidRDefault="000014B6" w:rsidP="000014B6">
      <w:pPr>
        <w:ind w:right="-285"/>
      </w:pPr>
      <w:r>
        <w:t>13) Page 6, line 42</w:t>
      </w:r>
      <w:r>
        <w:tab/>
      </w:r>
      <w:r>
        <w:tab/>
      </w:r>
      <w:r>
        <w:tab/>
      </w:r>
      <w:r>
        <w:tab/>
        <w:t>Using</w:t>
      </w:r>
      <w:r>
        <w:tab/>
      </w:r>
      <w:r>
        <w:tab/>
      </w:r>
      <w:r>
        <w:tab/>
        <w:t>using</w:t>
      </w:r>
    </w:p>
    <w:p w:rsidR="000014B6" w:rsidRDefault="000014B6" w:rsidP="000014B6">
      <w:pPr>
        <w:ind w:right="-285"/>
      </w:pPr>
      <w:r>
        <w:t>14) Page 6, par. 2.2.3, line 1</w:t>
      </w:r>
      <w:r>
        <w:tab/>
      </w:r>
      <w:r>
        <w:tab/>
        <w:t>VISPA</w:t>
      </w:r>
      <w:r>
        <w:tab/>
      </w:r>
      <w:r>
        <w:tab/>
      </w:r>
      <w:r>
        <w:tab/>
        <w:t>small cap (*)</w:t>
      </w:r>
    </w:p>
    <w:p w:rsidR="000014B6" w:rsidRDefault="000014B6" w:rsidP="000014B6">
      <w:pPr>
        <w:ind w:right="-285"/>
      </w:pPr>
      <w:r>
        <w:tab/>
        <w:t>(*) although their Authors do not use dots when writing “VISPA”, this is an acronym standing for “Valutazione Interattiva per la Scelta tra Progetti Alternativi” (Interactive Evaluation for choosing among alternative projects)</w:t>
      </w:r>
    </w:p>
    <w:p w:rsidR="000014B6" w:rsidRDefault="000014B6" w:rsidP="000014B6">
      <w:pPr>
        <w:ind w:right="-285"/>
      </w:pPr>
      <w:r>
        <w:t>15) Page 7, par. 3, line 6</w:t>
      </w:r>
      <w:r>
        <w:tab/>
      </w:r>
      <w:r>
        <w:tab/>
      </w:r>
      <w:r>
        <w:tab/>
        <w:t>both,</w:t>
      </w:r>
      <w:r>
        <w:tab/>
      </w:r>
      <w:r>
        <w:tab/>
      </w:r>
      <w:r>
        <w:tab/>
        <w:t>both</w:t>
      </w:r>
    </w:p>
    <w:p w:rsidR="000014B6" w:rsidRDefault="000014B6" w:rsidP="000014B6">
      <w:pPr>
        <w:ind w:right="-285"/>
      </w:pPr>
      <w:r>
        <w:t>16) Page 7, par. 3.2., line 30</w:t>
      </w:r>
      <w:r>
        <w:tab/>
      </w:r>
      <w:r>
        <w:tab/>
        <w:t>(value</w:t>
      </w:r>
      <w:r>
        <w:tab/>
      </w:r>
      <w:r>
        <w:tab/>
      </w:r>
      <w:r>
        <w:tab/>
        <w:t xml:space="preserve">value </w:t>
      </w:r>
    </w:p>
    <w:p w:rsidR="000014B6" w:rsidRDefault="000014B6" w:rsidP="000014B6">
      <w:pPr>
        <w:ind w:right="-285"/>
      </w:pPr>
      <w:r>
        <w:t>17) Page 7, par. 3.2., line 30</w:t>
      </w:r>
      <w:r>
        <w:tab/>
      </w:r>
      <w:r>
        <w:tab/>
        <w:t>fertilisers)</w:t>
      </w:r>
      <w:r>
        <w:tab/>
      </w:r>
      <w:r>
        <w:tab/>
        <w:t xml:space="preserve">fertilisers </w:t>
      </w:r>
    </w:p>
    <w:p w:rsidR="000014B6" w:rsidRDefault="000014B6" w:rsidP="000014B6">
      <w:pPr>
        <w:ind w:right="-285"/>
      </w:pPr>
    </w:p>
    <w:p w:rsidR="000014B6" w:rsidRDefault="000014B6" w:rsidP="000014B6">
      <w:pPr>
        <w:ind w:right="-285"/>
      </w:pPr>
    </w:p>
    <w:p w:rsidR="000014B6" w:rsidRDefault="000014B6" w:rsidP="000014B6">
      <w:pPr>
        <w:ind w:right="-285"/>
      </w:pPr>
      <w:r>
        <w:t>UNCITED REFERENCE: see the above points 3 and 12</w:t>
      </w:r>
    </w:p>
    <w:p w:rsidR="000014B6" w:rsidRDefault="000014B6">
      <w:pPr>
        <w:ind w:left="567" w:hanging="567"/>
        <w:rPr>
          <w:rFonts w:ascii="Times New Roman" w:hAnsi="Times New Roman"/>
        </w:rPr>
      </w:pPr>
    </w:p>
    <w:p w:rsidR="005938FB" w:rsidRDefault="00535B8D">
      <w:pPr>
        <w:ind w:firstLine="0"/>
        <w:rPr>
          <w:rFonts w:ascii="Times New Roman" w:hAnsi="Times New Roman"/>
        </w:rPr>
      </w:pPr>
      <w:r>
        <w:rPr>
          <w:rFonts w:ascii="Times New Roman" w:hAnsi="Times New Roman"/>
        </w:rPr>
        <w:br w:type="page"/>
        <w:t>Fig. 1. Positioning of erosion situations expressed in physical terms on a Utility scale</w:t>
      </w:r>
    </w:p>
    <w:p w:rsidR="005938FB" w:rsidRDefault="00535B8D">
      <w:pPr>
        <w:ind w:firstLine="0"/>
        <w:rPr>
          <w:rFonts w:ascii="Times New Roman" w:hAnsi="Times New Roman"/>
        </w:rPr>
      </w:pPr>
      <w:r>
        <w:rPr>
          <w:rFonts w:ascii="Times New Roman" w:hAnsi="Times New Roman"/>
        </w:rPr>
        <w:t>Fig. 2. Examples of functions for converting parameters expressed in physical units into Utility terms</w:t>
      </w:r>
    </w:p>
    <w:p w:rsidR="005938FB" w:rsidRDefault="00535B8D">
      <w:pPr>
        <w:spacing w:after="240"/>
        <w:ind w:firstLine="0"/>
        <w:rPr>
          <w:rFonts w:ascii="Times New Roman" w:hAnsi="Times New Roman"/>
        </w:rPr>
      </w:pPr>
      <w:r>
        <w:rPr>
          <w:rFonts w:ascii="Times New Roman" w:hAnsi="Times New Roman"/>
        </w:rPr>
        <w:br w:type="page"/>
        <w:t>Table 1.</w:t>
      </w:r>
    </w:p>
    <w:p w:rsidR="005938FB" w:rsidRDefault="00535B8D">
      <w:pPr>
        <w:spacing w:after="240"/>
        <w:ind w:firstLine="0"/>
        <w:rPr>
          <w:rFonts w:ascii="Times New Roman" w:hAnsi="Times New Roman"/>
        </w:rPr>
      </w:pPr>
      <w:r>
        <w:rPr>
          <w:rFonts w:ascii="Times New Roman" w:hAnsi="Times New Roman"/>
        </w:rPr>
        <w:t>Tuscany lowlands: farm classification according to performance class and production type (data at 1994)</w:t>
      </w:r>
    </w:p>
    <w:p w:rsidR="005938FB" w:rsidRDefault="00535B8D">
      <w:pPr>
        <w:pBdr>
          <w:top w:val="single" w:sz="6" w:space="21" w:color="auto"/>
        </w:pBdr>
        <w:tabs>
          <w:tab w:val="right" w:pos="3828"/>
          <w:tab w:val="right" w:pos="4962"/>
          <w:tab w:val="right" w:pos="6096"/>
          <w:tab w:val="right" w:pos="7230"/>
          <w:tab w:val="right" w:pos="8364"/>
        </w:tabs>
        <w:spacing w:line="360" w:lineRule="auto"/>
        <w:ind w:firstLine="0"/>
        <w:rPr>
          <w:rFonts w:ascii="Times New Roman" w:hAnsi="Times New Roman"/>
        </w:rPr>
      </w:pPr>
      <w:r>
        <w:rPr>
          <w:rFonts w:ascii="Times New Roman" w:hAnsi="Times New Roman"/>
        </w:rPr>
        <w:t>Production Types</w:t>
      </w:r>
      <w:r>
        <w:rPr>
          <w:rFonts w:ascii="Times New Roman" w:hAnsi="Times New Roman"/>
        </w:rPr>
        <w:tab/>
        <w:t>Class I</w:t>
      </w:r>
      <w:r>
        <w:rPr>
          <w:rFonts w:ascii="Times New Roman" w:hAnsi="Times New Roman"/>
        </w:rPr>
        <w:tab/>
        <w:t xml:space="preserve">Class II </w:t>
      </w:r>
      <w:r>
        <w:rPr>
          <w:rFonts w:ascii="Times New Roman" w:hAnsi="Times New Roman"/>
        </w:rPr>
        <w:tab/>
        <w:t>Class III</w:t>
      </w:r>
      <w:r>
        <w:rPr>
          <w:rFonts w:ascii="Times New Roman" w:hAnsi="Times New Roman"/>
        </w:rPr>
        <w:tab/>
        <w:t xml:space="preserve">Class IV </w:t>
      </w:r>
      <w:r>
        <w:rPr>
          <w:rFonts w:ascii="Times New Roman" w:hAnsi="Times New Roman"/>
        </w:rPr>
        <w:tab/>
        <w:t>TOTAL</w:t>
      </w:r>
    </w:p>
    <w:p w:rsidR="005938FB" w:rsidRDefault="00535B8D">
      <w:pPr>
        <w:pBdr>
          <w:bottom w:val="single" w:sz="6" w:space="4" w:color="auto"/>
        </w:pBdr>
        <w:tabs>
          <w:tab w:val="right" w:pos="3828"/>
          <w:tab w:val="right" w:pos="4962"/>
          <w:tab w:val="right" w:pos="6096"/>
          <w:tab w:val="right" w:pos="7230"/>
          <w:tab w:val="right" w:pos="8364"/>
        </w:tabs>
        <w:spacing w:line="360" w:lineRule="auto"/>
        <w:ind w:firstLine="0"/>
        <w:rPr>
          <w:rFonts w:ascii="Times New Roman" w:hAnsi="Times New Roman"/>
        </w:rPr>
      </w:pPr>
      <w:r>
        <w:rPr>
          <w:rFonts w:ascii="Times New Roman" w:hAnsi="Times New Roman"/>
        </w:rPr>
        <w:tab/>
        <w:t>(++)</w:t>
      </w:r>
      <w:r>
        <w:rPr>
          <w:rFonts w:ascii="Times New Roman" w:hAnsi="Times New Roman"/>
        </w:rPr>
        <w:tab/>
        <w:t>(+)</w:t>
      </w:r>
      <w:r>
        <w:rPr>
          <w:rFonts w:ascii="Times New Roman" w:hAnsi="Times New Roman"/>
        </w:rPr>
        <w:tab/>
        <w:t>(-)</w:t>
      </w:r>
      <w:r>
        <w:rPr>
          <w:rFonts w:ascii="Times New Roman" w:hAnsi="Times New Roman"/>
        </w:rPr>
        <w:tab/>
        <w:t>(--)</w:t>
      </w:r>
      <w:r>
        <w:rPr>
          <w:rFonts w:ascii="Times New Roman" w:hAnsi="Times New Roman"/>
        </w:rPr>
        <w:tab/>
      </w:r>
    </w:p>
    <w:p w:rsidR="005938FB" w:rsidRDefault="00535B8D">
      <w:pPr>
        <w:tabs>
          <w:tab w:val="right" w:pos="3686"/>
          <w:tab w:val="right" w:pos="4820"/>
          <w:tab w:val="right" w:pos="5954"/>
          <w:tab w:val="right" w:pos="7088"/>
          <w:tab w:val="right" w:pos="8222"/>
        </w:tabs>
        <w:spacing w:before="240"/>
        <w:ind w:firstLine="0"/>
        <w:rPr>
          <w:rFonts w:ascii="Times New Roman" w:hAnsi="Times New Roman"/>
        </w:rPr>
      </w:pPr>
      <w:r>
        <w:rPr>
          <w:rFonts w:ascii="Times New Roman" w:hAnsi="Times New Roman"/>
        </w:rPr>
        <w:t>Cereals</w:t>
      </w:r>
      <w:r>
        <w:rPr>
          <w:rFonts w:ascii="Times New Roman" w:hAnsi="Times New Roman"/>
        </w:rPr>
        <w:tab/>
        <w:t>0</w:t>
      </w:r>
      <w:r>
        <w:rPr>
          <w:rFonts w:ascii="Times New Roman" w:hAnsi="Times New Roman"/>
        </w:rPr>
        <w:tab/>
        <w:t>3</w:t>
      </w:r>
      <w:r>
        <w:rPr>
          <w:rFonts w:ascii="Times New Roman" w:hAnsi="Times New Roman"/>
        </w:rPr>
        <w:tab/>
        <w:t>7</w:t>
      </w:r>
      <w:r>
        <w:rPr>
          <w:rFonts w:ascii="Times New Roman" w:hAnsi="Times New Roman"/>
        </w:rPr>
        <w:tab/>
        <w:t>8</w:t>
      </w:r>
      <w:r>
        <w:rPr>
          <w:rFonts w:ascii="Times New Roman" w:hAnsi="Times New Roman"/>
        </w:rPr>
        <w:tab/>
        <w:t>18</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Root crop cultivat./others</w:t>
      </w:r>
      <w:r>
        <w:rPr>
          <w:rFonts w:ascii="Times New Roman" w:hAnsi="Times New Roman"/>
        </w:rPr>
        <w:tab/>
        <w:t>2</w:t>
      </w:r>
      <w:r>
        <w:rPr>
          <w:rFonts w:ascii="Times New Roman" w:hAnsi="Times New Roman"/>
        </w:rPr>
        <w:tab/>
        <w:t>14</w:t>
      </w:r>
      <w:r>
        <w:rPr>
          <w:rFonts w:ascii="Times New Roman" w:hAnsi="Times New Roman"/>
        </w:rPr>
        <w:tab/>
        <w:t>32</w:t>
      </w:r>
      <w:r>
        <w:rPr>
          <w:rFonts w:ascii="Times New Roman" w:hAnsi="Times New Roman"/>
        </w:rPr>
        <w:tab/>
        <w:t>23</w:t>
      </w:r>
      <w:r>
        <w:rPr>
          <w:rFonts w:ascii="Times New Roman" w:hAnsi="Times New Roman"/>
        </w:rPr>
        <w:tab/>
        <w:t>71</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Horticult./industrial crops</w:t>
      </w:r>
      <w:r>
        <w:rPr>
          <w:rFonts w:ascii="Times New Roman" w:hAnsi="Times New Roman"/>
        </w:rPr>
        <w:tab/>
        <w:t>0</w:t>
      </w:r>
      <w:r>
        <w:rPr>
          <w:rFonts w:ascii="Times New Roman" w:hAnsi="Times New Roman"/>
        </w:rPr>
        <w:tab/>
        <w:t>3</w:t>
      </w:r>
      <w:r>
        <w:rPr>
          <w:rFonts w:ascii="Times New Roman" w:hAnsi="Times New Roman"/>
        </w:rPr>
        <w:tab/>
        <w:t>7</w:t>
      </w:r>
      <w:r>
        <w:rPr>
          <w:rFonts w:ascii="Times New Roman" w:hAnsi="Times New Roman"/>
        </w:rPr>
        <w:tab/>
        <w:t>1</w:t>
      </w:r>
      <w:r>
        <w:rPr>
          <w:rFonts w:ascii="Times New Roman" w:hAnsi="Times New Roman"/>
        </w:rPr>
        <w:tab/>
        <w:t>11</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Flowers</w:t>
      </w:r>
      <w:r>
        <w:rPr>
          <w:rFonts w:ascii="Times New Roman" w:hAnsi="Times New Roman"/>
        </w:rPr>
        <w:tab/>
        <w:t>0</w:t>
      </w:r>
      <w:r>
        <w:rPr>
          <w:rFonts w:ascii="Times New Roman" w:hAnsi="Times New Roman"/>
        </w:rPr>
        <w:tab/>
        <w:t>15</w:t>
      </w:r>
      <w:r>
        <w:rPr>
          <w:rFonts w:ascii="Times New Roman" w:hAnsi="Times New Roman"/>
        </w:rPr>
        <w:tab/>
        <w:t>42</w:t>
      </w:r>
      <w:r>
        <w:rPr>
          <w:rFonts w:ascii="Times New Roman" w:hAnsi="Times New Roman"/>
        </w:rPr>
        <w:tab/>
        <w:t>7</w:t>
      </w:r>
      <w:r>
        <w:rPr>
          <w:rFonts w:ascii="Times New Roman" w:hAnsi="Times New Roman"/>
        </w:rPr>
        <w:tab/>
        <w:t>64</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Vine</w:t>
      </w:r>
      <w:r>
        <w:rPr>
          <w:rFonts w:ascii="Times New Roman" w:hAnsi="Times New Roman"/>
        </w:rPr>
        <w:tab/>
        <w:t>0</w:t>
      </w:r>
      <w:r>
        <w:rPr>
          <w:rFonts w:ascii="Times New Roman" w:hAnsi="Times New Roman"/>
        </w:rPr>
        <w:tab/>
        <w:t>4</w:t>
      </w:r>
      <w:r>
        <w:rPr>
          <w:rFonts w:ascii="Times New Roman" w:hAnsi="Times New Roman"/>
        </w:rPr>
        <w:tab/>
        <w:t>9</w:t>
      </w:r>
      <w:r>
        <w:rPr>
          <w:rFonts w:ascii="Times New Roman" w:hAnsi="Times New Roman"/>
        </w:rPr>
        <w:tab/>
        <w:t>8</w:t>
      </w:r>
      <w:r>
        <w:rPr>
          <w:rFonts w:ascii="Times New Roman" w:hAnsi="Times New Roman"/>
        </w:rPr>
        <w:tab/>
        <w:t>21</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Permanent crops (fruit)</w:t>
      </w:r>
      <w:r>
        <w:rPr>
          <w:rFonts w:ascii="Times New Roman" w:hAnsi="Times New Roman"/>
        </w:rPr>
        <w:tab/>
        <w:t>1</w:t>
      </w:r>
      <w:r>
        <w:rPr>
          <w:rFonts w:ascii="Times New Roman" w:hAnsi="Times New Roman"/>
        </w:rPr>
        <w:tab/>
        <w:t>20</w:t>
      </w:r>
      <w:r>
        <w:rPr>
          <w:rFonts w:ascii="Times New Roman" w:hAnsi="Times New Roman"/>
        </w:rPr>
        <w:tab/>
        <w:t>37</w:t>
      </w:r>
      <w:r>
        <w:rPr>
          <w:rFonts w:ascii="Times New Roman" w:hAnsi="Times New Roman"/>
        </w:rPr>
        <w:tab/>
        <w:t>20</w:t>
      </w:r>
      <w:r>
        <w:rPr>
          <w:rFonts w:ascii="Times New Roman" w:hAnsi="Times New Roman"/>
        </w:rPr>
        <w:tab/>
        <w:t>78</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Olive</w:t>
      </w:r>
      <w:r>
        <w:rPr>
          <w:rFonts w:ascii="Times New Roman" w:hAnsi="Times New Roman"/>
        </w:rPr>
        <w:tab/>
        <w:t>0</w:t>
      </w:r>
      <w:r>
        <w:rPr>
          <w:rFonts w:ascii="Times New Roman" w:hAnsi="Times New Roman"/>
        </w:rPr>
        <w:tab/>
        <w:t>3</w:t>
      </w:r>
      <w:r>
        <w:rPr>
          <w:rFonts w:ascii="Times New Roman" w:hAnsi="Times New Roman"/>
        </w:rPr>
        <w:tab/>
        <w:t>4</w:t>
      </w:r>
      <w:r>
        <w:rPr>
          <w:rFonts w:ascii="Times New Roman" w:hAnsi="Times New Roman"/>
        </w:rPr>
        <w:tab/>
        <w:t>7</w:t>
      </w:r>
      <w:r>
        <w:rPr>
          <w:rFonts w:ascii="Times New Roman" w:hAnsi="Times New Roman"/>
        </w:rPr>
        <w:tab/>
        <w:t>14</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Dairy cows</w:t>
      </w:r>
      <w:r>
        <w:rPr>
          <w:rFonts w:ascii="Times New Roman" w:hAnsi="Times New Roman"/>
        </w:rPr>
        <w:tab/>
        <w:t>6</w:t>
      </w:r>
      <w:r>
        <w:rPr>
          <w:rFonts w:ascii="Times New Roman" w:hAnsi="Times New Roman"/>
        </w:rPr>
        <w:tab/>
        <w:t>4</w:t>
      </w:r>
      <w:r>
        <w:rPr>
          <w:rFonts w:ascii="Times New Roman" w:hAnsi="Times New Roman"/>
        </w:rPr>
        <w:tab/>
        <w:t>2</w:t>
      </w:r>
      <w:r>
        <w:rPr>
          <w:rFonts w:ascii="Times New Roman" w:hAnsi="Times New Roman"/>
        </w:rPr>
        <w:tab/>
        <w:t>0</w:t>
      </w:r>
      <w:r>
        <w:rPr>
          <w:rFonts w:ascii="Times New Roman" w:hAnsi="Times New Roman"/>
        </w:rPr>
        <w:tab/>
        <w:t>12</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Beef prod. + Mixed cattle</w:t>
      </w:r>
      <w:r>
        <w:rPr>
          <w:rFonts w:ascii="Times New Roman" w:hAnsi="Times New Roman"/>
        </w:rPr>
        <w:tab/>
        <w:t>0</w:t>
      </w:r>
      <w:r>
        <w:rPr>
          <w:rFonts w:ascii="Times New Roman" w:hAnsi="Times New Roman"/>
        </w:rPr>
        <w:tab/>
        <w:t>2</w:t>
      </w:r>
      <w:r>
        <w:rPr>
          <w:rFonts w:ascii="Times New Roman" w:hAnsi="Times New Roman"/>
        </w:rPr>
        <w:tab/>
        <w:t>1</w:t>
      </w:r>
      <w:r>
        <w:rPr>
          <w:rFonts w:ascii="Times New Roman" w:hAnsi="Times New Roman"/>
        </w:rPr>
        <w:tab/>
        <w:t>0</w:t>
      </w:r>
      <w:r>
        <w:rPr>
          <w:rFonts w:ascii="Times New Roman" w:hAnsi="Times New Roman"/>
        </w:rPr>
        <w:tab/>
        <w:t>3</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Sheep production</w:t>
      </w:r>
      <w:r>
        <w:rPr>
          <w:rFonts w:ascii="Times New Roman" w:hAnsi="Times New Roman"/>
        </w:rPr>
        <w:tab/>
        <w:t>1</w:t>
      </w:r>
      <w:r>
        <w:rPr>
          <w:rFonts w:ascii="Times New Roman" w:hAnsi="Times New Roman"/>
        </w:rPr>
        <w:tab/>
        <w:t>3</w:t>
      </w:r>
      <w:r>
        <w:rPr>
          <w:rFonts w:ascii="Times New Roman" w:hAnsi="Times New Roman"/>
        </w:rPr>
        <w:tab/>
        <w:t>1</w:t>
      </w:r>
      <w:r>
        <w:rPr>
          <w:rFonts w:ascii="Times New Roman" w:hAnsi="Times New Roman"/>
        </w:rPr>
        <w:tab/>
        <w:t>0</w:t>
      </w:r>
      <w:r>
        <w:rPr>
          <w:rFonts w:ascii="Times New Roman" w:hAnsi="Times New Roman"/>
        </w:rPr>
        <w:tab/>
        <w:t>5</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Mixed crops</w:t>
      </w:r>
      <w:r>
        <w:rPr>
          <w:rFonts w:ascii="Times New Roman" w:hAnsi="Times New Roman"/>
        </w:rPr>
        <w:tab/>
        <w:t>1</w:t>
      </w:r>
      <w:r>
        <w:rPr>
          <w:rFonts w:ascii="Times New Roman" w:hAnsi="Times New Roman"/>
        </w:rPr>
        <w:tab/>
        <w:t>6</w:t>
      </w:r>
      <w:r>
        <w:rPr>
          <w:rFonts w:ascii="Times New Roman" w:hAnsi="Times New Roman"/>
        </w:rPr>
        <w:tab/>
        <w:t>19</w:t>
      </w:r>
      <w:r>
        <w:rPr>
          <w:rFonts w:ascii="Times New Roman" w:hAnsi="Times New Roman"/>
        </w:rPr>
        <w:tab/>
        <w:t>13</w:t>
      </w:r>
      <w:r>
        <w:rPr>
          <w:rFonts w:ascii="Times New Roman" w:hAnsi="Times New Roman"/>
        </w:rPr>
        <w:tab/>
        <w:t>39</w:t>
      </w:r>
    </w:p>
    <w:p w:rsidR="005938FB" w:rsidRDefault="00535B8D">
      <w:pP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Mixed livestock/herbivore.</w:t>
      </w:r>
      <w:r>
        <w:rPr>
          <w:rFonts w:ascii="Times New Roman" w:hAnsi="Times New Roman"/>
        </w:rPr>
        <w:tab/>
        <w:t>3</w:t>
      </w:r>
      <w:r>
        <w:rPr>
          <w:rFonts w:ascii="Times New Roman" w:hAnsi="Times New Roman"/>
        </w:rPr>
        <w:tab/>
        <w:t>10</w:t>
      </w:r>
      <w:r>
        <w:rPr>
          <w:rFonts w:ascii="Times New Roman" w:hAnsi="Times New Roman"/>
        </w:rPr>
        <w:tab/>
        <w:t>2</w:t>
      </w:r>
      <w:r>
        <w:rPr>
          <w:rFonts w:ascii="Times New Roman" w:hAnsi="Times New Roman"/>
        </w:rPr>
        <w:tab/>
        <w:t>0</w:t>
      </w:r>
      <w:r>
        <w:rPr>
          <w:rFonts w:ascii="Times New Roman" w:hAnsi="Times New Roman"/>
        </w:rPr>
        <w:tab/>
        <w:t>15</w:t>
      </w:r>
    </w:p>
    <w:p w:rsidR="005938FB" w:rsidRDefault="00535B8D">
      <w:pPr>
        <w:pBdr>
          <w:bottom w:val="single" w:sz="6" w:space="1" w:color="auto"/>
          <w:between w:val="single" w:sz="6" w:space="1" w:color="auto"/>
        </w:pBdr>
        <w:tabs>
          <w:tab w:val="right" w:pos="3686"/>
          <w:tab w:val="right" w:pos="4820"/>
          <w:tab w:val="right" w:pos="5954"/>
          <w:tab w:val="right" w:pos="7088"/>
          <w:tab w:val="right" w:pos="8222"/>
        </w:tabs>
        <w:ind w:firstLine="0"/>
        <w:rPr>
          <w:rFonts w:ascii="Times New Roman" w:hAnsi="Times New Roman"/>
        </w:rPr>
      </w:pPr>
      <w:r>
        <w:rPr>
          <w:rFonts w:ascii="Times New Roman" w:hAnsi="Times New Roman"/>
        </w:rPr>
        <w:t>Crops + Livestock</w:t>
      </w:r>
      <w:r>
        <w:rPr>
          <w:rFonts w:ascii="Times New Roman" w:hAnsi="Times New Roman"/>
        </w:rPr>
        <w:tab/>
        <w:t>7</w:t>
      </w:r>
      <w:r>
        <w:rPr>
          <w:rFonts w:ascii="Times New Roman" w:hAnsi="Times New Roman"/>
        </w:rPr>
        <w:tab/>
        <w:t>10</w:t>
      </w:r>
      <w:r>
        <w:rPr>
          <w:rFonts w:ascii="Times New Roman" w:hAnsi="Times New Roman"/>
        </w:rPr>
        <w:tab/>
        <w:t>3</w:t>
      </w:r>
      <w:r>
        <w:rPr>
          <w:rFonts w:ascii="Times New Roman" w:hAnsi="Times New Roman"/>
        </w:rPr>
        <w:tab/>
        <w:t>0</w:t>
      </w:r>
      <w:r>
        <w:rPr>
          <w:rFonts w:ascii="Times New Roman" w:hAnsi="Times New Roman"/>
        </w:rPr>
        <w:tab/>
        <w:t>20</w:t>
      </w:r>
    </w:p>
    <w:p w:rsidR="005938FB" w:rsidRDefault="00535B8D">
      <w:pPr>
        <w:pBdr>
          <w:bottom w:val="single" w:sz="6" w:space="0" w:color="auto"/>
        </w:pBdr>
        <w:tabs>
          <w:tab w:val="right" w:pos="3686"/>
          <w:tab w:val="right" w:pos="4820"/>
          <w:tab w:val="right" w:pos="5954"/>
          <w:tab w:val="right" w:pos="7088"/>
          <w:tab w:val="right" w:pos="8222"/>
        </w:tabs>
        <w:spacing w:before="240"/>
        <w:ind w:firstLine="0"/>
        <w:rPr>
          <w:rFonts w:ascii="Times New Roman" w:hAnsi="Times New Roman"/>
        </w:rPr>
      </w:pPr>
      <w:r>
        <w:rPr>
          <w:rFonts w:ascii="Times New Roman" w:hAnsi="Times New Roman"/>
        </w:rPr>
        <w:t>TOTAL</w:t>
      </w:r>
      <w:r>
        <w:rPr>
          <w:rFonts w:ascii="Times New Roman" w:hAnsi="Times New Roman"/>
        </w:rPr>
        <w:tab/>
        <w:t>21</w:t>
      </w:r>
      <w:r>
        <w:rPr>
          <w:rFonts w:ascii="Times New Roman" w:hAnsi="Times New Roman"/>
        </w:rPr>
        <w:tab/>
        <w:t>97</w:t>
      </w:r>
      <w:r>
        <w:rPr>
          <w:rFonts w:ascii="Times New Roman" w:hAnsi="Times New Roman"/>
        </w:rPr>
        <w:tab/>
        <w:t>166</w:t>
      </w:r>
      <w:r>
        <w:rPr>
          <w:rFonts w:ascii="Times New Roman" w:hAnsi="Times New Roman"/>
        </w:rPr>
        <w:tab/>
        <w:t>87</w:t>
      </w:r>
      <w:r>
        <w:rPr>
          <w:rFonts w:ascii="Times New Roman" w:hAnsi="Times New Roman"/>
        </w:rPr>
        <w:tab/>
        <w:t>371</w:t>
      </w:r>
    </w:p>
    <w:p w:rsidR="005938FB" w:rsidRDefault="005938FB">
      <w:pPr>
        <w:tabs>
          <w:tab w:val="right" w:pos="3686"/>
          <w:tab w:val="right" w:pos="4820"/>
          <w:tab w:val="right" w:pos="5954"/>
          <w:tab w:val="right" w:pos="7088"/>
          <w:tab w:val="right" w:pos="8222"/>
        </w:tabs>
        <w:spacing w:before="240"/>
        <w:ind w:firstLine="0"/>
        <w:rPr>
          <w:rFonts w:ascii="Times New Roman" w:hAnsi="Times New Roman"/>
        </w:rPr>
        <w:sectPr w:rsidR="005938FB">
          <w:type w:val="continuous"/>
          <w:pgSz w:w="11900" w:h="16820"/>
          <w:pgMar w:top="1724" w:right="1729" w:bottom="1684" w:left="1729" w:header="737" w:footer="737" w:gutter="0"/>
          <w:lnNumType w:countBy="1" w:distance="360" w:restart="continuous"/>
          <w:cols w:space="720"/>
        </w:sectPr>
      </w:pPr>
    </w:p>
    <w:p w:rsidR="005938FB" w:rsidRDefault="005938FB">
      <w:pPr>
        <w:tabs>
          <w:tab w:val="right" w:pos="3686"/>
          <w:tab w:val="right" w:pos="4820"/>
          <w:tab w:val="right" w:pos="5954"/>
          <w:tab w:val="right" w:pos="7088"/>
          <w:tab w:val="right" w:pos="8222"/>
        </w:tabs>
        <w:spacing w:before="240"/>
        <w:ind w:firstLine="0"/>
        <w:rPr>
          <w:rFonts w:ascii="Times New Roman" w:hAnsi="Times New Roman"/>
        </w:rPr>
        <w:sectPr w:rsidR="005938FB">
          <w:type w:val="continuous"/>
          <w:pgSz w:w="11900" w:h="16820"/>
          <w:pgMar w:top="1724" w:right="1729" w:bottom="1684" w:left="1729" w:header="737" w:footer="737" w:gutter="0"/>
          <w:lnNumType w:countBy="1" w:distance="360" w:restart="continuous"/>
          <w:cols w:space="720"/>
        </w:sectPr>
      </w:pPr>
    </w:p>
    <w:p w:rsidR="005938FB" w:rsidRDefault="005938FB">
      <w:pPr>
        <w:tabs>
          <w:tab w:val="right" w:pos="3686"/>
          <w:tab w:val="right" w:pos="4820"/>
          <w:tab w:val="right" w:pos="5954"/>
          <w:tab w:val="right" w:pos="7088"/>
          <w:tab w:val="right" w:pos="8222"/>
        </w:tabs>
        <w:spacing w:before="240"/>
        <w:ind w:firstLine="0"/>
        <w:rPr>
          <w:rFonts w:ascii="Times New Roman" w:hAnsi="Times New Roman"/>
        </w:rPr>
      </w:pPr>
    </w:p>
    <w:p w:rsidR="005938FB" w:rsidRDefault="00F53A8B">
      <w:pPr>
        <w:tabs>
          <w:tab w:val="right" w:pos="3686"/>
          <w:tab w:val="right" w:pos="4820"/>
          <w:tab w:val="right" w:pos="5954"/>
          <w:tab w:val="right" w:pos="7088"/>
          <w:tab w:val="right" w:pos="8222"/>
        </w:tabs>
        <w:spacing w:before="240"/>
        <w:ind w:firstLine="0"/>
        <w:rPr>
          <w:rFonts w:ascii="Times New Roman" w:hAnsi="Times New Roman"/>
        </w:rPr>
      </w:pPr>
      <w:r>
        <w:rPr>
          <w:rFonts w:ascii="Times New Roman" w:hAnsi="Times New Roman"/>
          <w:noProof/>
          <w:lang w:val="it-IT" w:eastAsia="it-IT"/>
        </w:rPr>
        <w:drawing>
          <wp:inline distT="0" distB="0" distL="0" distR="0">
            <wp:extent cx="5353050" cy="572452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353050" cy="5724525"/>
                    </a:xfrm>
                    <a:prstGeom prst="rect">
                      <a:avLst/>
                    </a:prstGeom>
                    <a:noFill/>
                    <a:ln>
                      <a:noFill/>
                    </a:ln>
                  </pic:spPr>
                </pic:pic>
              </a:graphicData>
            </a:graphic>
          </wp:inline>
        </w:drawing>
      </w: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35B8D">
      <w:pPr>
        <w:ind w:firstLine="0"/>
        <w:rPr>
          <w:rFonts w:ascii="Times New Roman" w:hAnsi="Times New Roman"/>
        </w:rPr>
      </w:pPr>
      <w:r>
        <w:rPr>
          <w:rFonts w:ascii="Times New Roman" w:hAnsi="Times New Roman"/>
        </w:rPr>
        <w:t>Fig. 1. Positioning of erosion situations expressed in physical terms on a Utility scale</w:t>
      </w:r>
    </w:p>
    <w:p w:rsidR="005938FB" w:rsidRDefault="005938FB">
      <w:pPr>
        <w:ind w:firstLine="0"/>
        <w:rPr>
          <w:rFonts w:ascii="Times New Roman" w:hAnsi="Times New Roman"/>
        </w:rPr>
      </w:pPr>
    </w:p>
    <w:p w:rsidR="005938FB" w:rsidRDefault="005938FB">
      <w:pPr>
        <w:tabs>
          <w:tab w:val="right" w:pos="3686"/>
          <w:tab w:val="right" w:pos="4820"/>
          <w:tab w:val="right" w:pos="5954"/>
          <w:tab w:val="right" w:pos="7088"/>
          <w:tab w:val="right" w:pos="8222"/>
        </w:tabs>
        <w:spacing w:before="240"/>
        <w:ind w:firstLine="0"/>
        <w:rPr>
          <w:rFonts w:ascii="Times New Roman" w:hAnsi="Times New Roman"/>
        </w:rPr>
        <w:sectPr w:rsidR="005938FB">
          <w:pgSz w:w="11900" w:h="16820"/>
          <w:pgMar w:top="1724" w:right="1729" w:bottom="1684" w:left="1729" w:header="737" w:footer="737" w:gutter="0"/>
          <w:cols w:space="720"/>
        </w:sectPr>
      </w:pPr>
    </w:p>
    <w:p w:rsidR="005938FB" w:rsidRDefault="00F53A8B">
      <w:pPr>
        <w:tabs>
          <w:tab w:val="right" w:pos="3686"/>
          <w:tab w:val="right" w:pos="4820"/>
          <w:tab w:val="right" w:pos="5954"/>
          <w:tab w:val="right" w:pos="7088"/>
          <w:tab w:val="right" w:pos="8222"/>
        </w:tabs>
        <w:spacing w:before="240"/>
        <w:ind w:firstLine="0"/>
        <w:rPr>
          <w:rFonts w:ascii="Times New Roman" w:hAnsi="Times New Roman"/>
        </w:rPr>
      </w:pPr>
      <w:r>
        <w:rPr>
          <w:rFonts w:ascii="Times New Roman" w:hAnsi="Times New Roman"/>
          <w:noProof/>
          <w:lang w:val="it-IT" w:eastAsia="it-IT"/>
        </w:rPr>
        <w:drawing>
          <wp:inline distT="0" distB="0" distL="0" distR="0">
            <wp:extent cx="8515350" cy="3657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515350" cy="3657600"/>
                    </a:xfrm>
                    <a:prstGeom prst="rect">
                      <a:avLst/>
                    </a:prstGeom>
                    <a:noFill/>
                    <a:ln>
                      <a:noFill/>
                    </a:ln>
                  </pic:spPr>
                </pic:pic>
              </a:graphicData>
            </a:graphic>
          </wp:inline>
        </w:drawing>
      </w: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938FB" w:rsidRDefault="005938FB">
      <w:pPr>
        <w:ind w:firstLine="0"/>
        <w:rPr>
          <w:rFonts w:ascii="Times New Roman" w:hAnsi="Times New Roman"/>
        </w:rPr>
      </w:pPr>
    </w:p>
    <w:p w:rsidR="00535B8D" w:rsidRDefault="00535B8D">
      <w:pPr>
        <w:ind w:firstLine="0"/>
        <w:rPr>
          <w:rFonts w:ascii="Times New Roman" w:hAnsi="Times New Roman"/>
        </w:rPr>
      </w:pPr>
      <w:r>
        <w:rPr>
          <w:rFonts w:ascii="Times New Roman" w:hAnsi="Times New Roman"/>
        </w:rPr>
        <w:t>Fig. 2. Examples of functions for converting parameters expressed in physical units into Utility terms</w:t>
      </w:r>
    </w:p>
    <w:sectPr w:rsidR="00535B8D">
      <w:pgSz w:w="16820" w:h="11900" w:orient="landscape"/>
      <w:pgMar w:top="1134" w:right="1684" w:bottom="1276" w:left="1724" w:header="737" w:footer="737"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ew York">
    <w:altName w:val="Times New Roman"/>
    <w:panose1 w:val="02040503060506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E0EC8"/>
    <w:multiLevelType w:val="singleLevel"/>
    <w:tmpl w:val="90BCE938"/>
    <w:lvl w:ilvl="0">
      <w:start w:val="1"/>
      <w:numFmt w:val="decimal"/>
      <w:lvlText w:val="%1)"/>
      <w:legacy w:legacy="1" w:legacySpace="0" w:legacyIndent="283"/>
      <w:lvlJc w:val="left"/>
      <w:pPr>
        <w:ind w:left="851" w:hanging="283"/>
      </w:pPr>
    </w:lvl>
  </w:abstractNum>
  <w:abstractNum w:abstractNumId="1">
    <w:nsid w:val="4FF238AC"/>
    <w:multiLevelType w:val="singleLevel"/>
    <w:tmpl w:val="735C0A18"/>
    <w:lvl w:ilvl="0">
      <w:start w:val="1"/>
      <w:numFmt w:val="lowerLetter"/>
      <w:lvlText w:val="%1)"/>
      <w:legacy w:legacy="1" w:legacySpace="0" w:legacyIndent="283"/>
      <w:lvlJc w:val="left"/>
      <w:pPr>
        <w:ind w:left="851" w:hanging="283"/>
      </w:pPr>
    </w:lvl>
  </w:abstractNum>
  <w:abstractNum w:abstractNumId="2">
    <w:nsid w:val="54A21F31"/>
    <w:multiLevelType w:val="singleLevel"/>
    <w:tmpl w:val="735C0A18"/>
    <w:lvl w:ilvl="0">
      <w:start w:val="1"/>
      <w:numFmt w:val="lowerLetter"/>
      <w:lvlText w:val="%1)"/>
      <w:legacy w:legacy="1" w:legacySpace="0" w:legacyIndent="283"/>
      <w:lvlJc w:val="left"/>
      <w:pPr>
        <w:ind w:left="851" w:hanging="283"/>
      </w:pPr>
    </w:lvl>
  </w:abstractNum>
  <w:abstractNum w:abstractNumId="3">
    <w:nsid w:val="583247D8"/>
    <w:multiLevelType w:val="singleLevel"/>
    <w:tmpl w:val="735C0A18"/>
    <w:lvl w:ilvl="0">
      <w:start w:val="1"/>
      <w:numFmt w:val="lowerLetter"/>
      <w:lvlText w:val="%1)"/>
      <w:legacy w:legacy="1" w:legacySpace="0" w:legacyIndent="283"/>
      <w:lvlJc w:val="left"/>
      <w:pPr>
        <w:ind w:left="851" w:hanging="283"/>
      </w:pPr>
    </w:lvl>
  </w:abstractNum>
  <w:abstractNum w:abstractNumId="4">
    <w:nsid w:val="63F7465A"/>
    <w:multiLevelType w:val="singleLevel"/>
    <w:tmpl w:val="735C0A18"/>
    <w:lvl w:ilvl="0">
      <w:start w:val="1"/>
      <w:numFmt w:val="lowerLetter"/>
      <w:lvlText w:val="%1)"/>
      <w:legacy w:legacy="1" w:legacySpace="0" w:legacyIndent="283"/>
      <w:lvlJc w:val="left"/>
      <w:pPr>
        <w:ind w:left="567" w:hanging="283"/>
      </w:pPr>
    </w:lvl>
  </w:abstractNum>
  <w:abstractNum w:abstractNumId="5">
    <w:nsid w:val="72AF7110"/>
    <w:multiLevelType w:val="singleLevel"/>
    <w:tmpl w:val="90BCE938"/>
    <w:lvl w:ilvl="0">
      <w:start w:val="1"/>
      <w:numFmt w:val="decimal"/>
      <w:lvlText w:val="%1)"/>
      <w:legacy w:legacy="1" w:legacySpace="0" w:legacyIndent="283"/>
      <w:lvlJc w:val="left"/>
      <w:pPr>
        <w:ind w:left="850" w:hanging="283"/>
      </w:pPr>
    </w:lvl>
  </w:abstractNum>
  <w:abstractNum w:abstractNumId="6">
    <w:nsid w:val="7904620C"/>
    <w:multiLevelType w:val="singleLevel"/>
    <w:tmpl w:val="735C0A18"/>
    <w:lvl w:ilvl="0">
      <w:start w:val="1"/>
      <w:numFmt w:val="lowerLetter"/>
      <w:lvlText w:val="%1)"/>
      <w:legacy w:legacy="1" w:legacySpace="0" w:legacyIndent="283"/>
      <w:lvlJc w:val="left"/>
      <w:pPr>
        <w:ind w:left="850" w:hanging="283"/>
      </w:pPr>
    </w:lvl>
  </w:abstractNum>
  <w:abstractNum w:abstractNumId="7">
    <w:nsid w:val="7A043AD4"/>
    <w:multiLevelType w:val="singleLevel"/>
    <w:tmpl w:val="735C0A18"/>
    <w:lvl w:ilvl="0">
      <w:start w:val="1"/>
      <w:numFmt w:val="lowerLetter"/>
      <w:lvlText w:val="%1)"/>
      <w:legacy w:legacy="1" w:legacySpace="0" w:legacyIndent="283"/>
      <w:lvlJc w:val="left"/>
      <w:pPr>
        <w:ind w:left="851" w:hanging="283"/>
      </w:pPr>
    </w:lvl>
  </w:abstractNum>
  <w:num w:numId="1">
    <w:abstractNumId w:val="7"/>
  </w:num>
  <w:num w:numId="2">
    <w:abstractNumId w:val="3"/>
  </w:num>
  <w:num w:numId="3">
    <w:abstractNumId w:val="0"/>
  </w:num>
  <w:num w:numId="4">
    <w:abstractNumId w:val="1"/>
  </w:num>
  <w:num w:numId="5">
    <w:abstractNumId w:val="2"/>
  </w:num>
  <w:num w:numId="6">
    <w:abstractNumId w:val="6"/>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defaultTabStop w:val="720"/>
  <w:hyphenationZone w:val="0"/>
  <w:doNotHyphenateCaps/>
  <w:drawingGridHorizontalSpacing w:val="120"/>
  <w:drawingGridVerticalSpacing w:val="120"/>
  <w:displayVerticalDrawingGridEvery w:val="0"/>
  <w:doNotUseMarginsForDrawingGridOrigin/>
  <w:doNotShadeFormData/>
  <w:characterSpacingControl w:val="doNotCompress"/>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D7A"/>
    <w:rsid w:val="000014B6"/>
    <w:rsid w:val="00332D37"/>
    <w:rsid w:val="00535B8D"/>
    <w:rsid w:val="005938FB"/>
    <w:rsid w:val="00990D7A"/>
    <w:rsid w:val="00F53A8B"/>
    <w:rsid w:val="00F96ADE"/>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IE" w:eastAsia="en-I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overflowPunct w:val="0"/>
      <w:autoSpaceDE w:val="0"/>
      <w:autoSpaceDN w:val="0"/>
      <w:adjustRightInd w:val="0"/>
      <w:spacing w:line="480" w:lineRule="auto"/>
      <w:ind w:firstLine="284"/>
      <w:jc w:val="both"/>
      <w:textAlignment w:val="baseline"/>
    </w:pPr>
    <w:rPr>
      <w:rFonts w:ascii="Times" w:hAnsi="Times"/>
      <w:lang w:val="en-GB"/>
    </w:rPr>
  </w:style>
  <w:style w:type="paragraph" w:styleId="Titolo1">
    <w:name w:val="heading 1"/>
    <w:basedOn w:val="Normale"/>
    <w:next w:val="Normale"/>
    <w:qFormat/>
    <w:pPr>
      <w:keepNext/>
      <w:spacing w:before="480"/>
      <w:ind w:left="284" w:hanging="284"/>
      <w:outlineLvl w:val="0"/>
    </w:pPr>
    <w:rPr>
      <w:rFonts w:ascii="Times New Roman" w:hAnsi="Times New Roman"/>
      <w:b/>
    </w:rPr>
  </w:style>
  <w:style w:type="paragraph" w:styleId="Titolo2">
    <w:name w:val="heading 2"/>
    <w:basedOn w:val="Normale"/>
    <w:next w:val="Normale"/>
    <w:qFormat/>
    <w:pPr>
      <w:keepNext/>
      <w:spacing w:before="360"/>
      <w:ind w:left="397" w:hanging="397"/>
      <w:outlineLvl w:val="1"/>
    </w:pPr>
    <w:rPr>
      <w:rFonts w:ascii="Times New Roman" w:hAnsi="Times New Roman"/>
      <w:i/>
    </w:rPr>
  </w:style>
  <w:style w:type="paragraph" w:styleId="Titolo3">
    <w:name w:val="heading 3"/>
    <w:basedOn w:val="Normale"/>
    <w:next w:val="Normale"/>
    <w:qFormat/>
    <w:pPr>
      <w:keepNext/>
      <w:tabs>
        <w:tab w:val="left" w:pos="567"/>
      </w:tabs>
      <w:spacing w:before="240"/>
      <w:ind w:left="567" w:hanging="567"/>
      <w:outlineLvl w:val="2"/>
    </w:pPr>
    <w:rPr>
      <w:rFonts w:ascii="Times New Roman" w:hAnsi="Times New Roman"/>
      <w:i/>
    </w:rPr>
  </w:style>
  <w:style w:type="paragraph" w:styleId="Titolo4">
    <w:name w:val="heading 4"/>
    <w:basedOn w:val="Normale"/>
    <w:next w:val="Normale"/>
    <w:qFormat/>
    <w:pPr>
      <w:keepNext/>
      <w:spacing w:before="240" w:after="60"/>
      <w:ind w:left="2832" w:hanging="708"/>
      <w:outlineLvl w:val="3"/>
    </w:pPr>
    <w:rPr>
      <w:b/>
      <w:i/>
    </w:rPr>
  </w:style>
  <w:style w:type="paragraph" w:styleId="Titolo5">
    <w:name w:val="heading 5"/>
    <w:basedOn w:val="Normale"/>
    <w:next w:val="Normale"/>
    <w:qFormat/>
    <w:pPr>
      <w:spacing w:before="240" w:after="60"/>
      <w:ind w:left="3540" w:hanging="708"/>
      <w:outlineLvl w:val="4"/>
    </w:pPr>
    <w:rPr>
      <w:rFonts w:ascii="Helvetica" w:hAnsi="Helvetica"/>
      <w:sz w:val="22"/>
    </w:rPr>
  </w:style>
  <w:style w:type="paragraph" w:styleId="Titolo6">
    <w:name w:val="heading 6"/>
    <w:basedOn w:val="Normale"/>
    <w:next w:val="Normale"/>
    <w:qFormat/>
    <w:pPr>
      <w:spacing w:before="240" w:after="60"/>
      <w:ind w:left="4248" w:hanging="708"/>
      <w:outlineLvl w:val="5"/>
    </w:pPr>
    <w:rPr>
      <w:rFonts w:ascii="Helvetica" w:hAnsi="Helvetica"/>
      <w:i/>
      <w:sz w:val="22"/>
    </w:rPr>
  </w:style>
  <w:style w:type="paragraph" w:styleId="Titolo7">
    <w:name w:val="heading 7"/>
    <w:basedOn w:val="Normale"/>
    <w:next w:val="Normale"/>
    <w:qFormat/>
    <w:pPr>
      <w:spacing w:before="240" w:after="60"/>
      <w:ind w:left="4956" w:hanging="708"/>
      <w:outlineLvl w:val="6"/>
    </w:pPr>
    <w:rPr>
      <w:rFonts w:ascii="Helvetica" w:hAnsi="Helvetica"/>
    </w:rPr>
  </w:style>
  <w:style w:type="paragraph" w:styleId="Titolo8">
    <w:name w:val="heading 8"/>
    <w:basedOn w:val="Normale"/>
    <w:next w:val="Normale"/>
    <w:qFormat/>
    <w:pPr>
      <w:spacing w:before="240" w:after="60"/>
      <w:ind w:left="5664" w:hanging="708"/>
      <w:outlineLvl w:val="7"/>
    </w:pPr>
    <w:rPr>
      <w:rFonts w:ascii="Helvetica" w:hAnsi="Helvetica"/>
      <w:i/>
    </w:rPr>
  </w:style>
  <w:style w:type="paragraph" w:styleId="Titolo9">
    <w:name w:val="heading 9"/>
    <w:basedOn w:val="Normale"/>
    <w:next w:val="Normale"/>
    <w:qFormat/>
    <w:pPr>
      <w:spacing w:before="240" w:after="60"/>
      <w:ind w:left="6372" w:hanging="708"/>
      <w:outlineLvl w:val="8"/>
    </w:pPr>
    <w:rPr>
      <w:rFonts w:ascii="Helvetica" w:hAnsi="Helvetica"/>
      <w:i/>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semiHidden/>
  </w:style>
  <w:style w:type="paragraph" w:styleId="Testofumetto">
    <w:name w:val="Balloon Text"/>
    <w:basedOn w:val="Normale"/>
    <w:link w:val="TestofumettoCarattere"/>
    <w:uiPriority w:val="99"/>
    <w:semiHidden/>
    <w:unhideWhenUsed/>
    <w:rsid w:val="000014B6"/>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014B6"/>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IE" w:eastAsia="en-I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overflowPunct w:val="0"/>
      <w:autoSpaceDE w:val="0"/>
      <w:autoSpaceDN w:val="0"/>
      <w:adjustRightInd w:val="0"/>
      <w:spacing w:line="480" w:lineRule="auto"/>
      <w:ind w:firstLine="284"/>
      <w:jc w:val="both"/>
      <w:textAlignment w:val="baseline"/>
    </w:pPr>
    <w:rPr>
      <w:rFonts w:ascii="Times" w:hAnsi="Times"/>
      <w:lang w:val="en-GB"/>
    </w:rPr>
  </w:style>
  <w:style w:type="paragraph" w:styleId="Titolo1">
    <w:name w:val="heading 1"/>
    <w:basedOn w:val="Normale"/>
    <w:next w:val="Normale"/>
    <w:qFormat/>
    <w:pPr>
      <w:keepNext/>
      <w:spacing w:before="480"/>
      <w:ind w:left="284" w:hanging="284"/>
      <w:outlineLvl w:val="0"/>
    </w:pPr>
    <w:rPr>
      <w:rFonts w:ascii="Times New Roman" w:hAnsi="Times New Roman"/>
      <w:b/>
    </w:rPr>
  </w:style>
  <w:style w:type="paragraph" w:styleId="Titolo2">
    <w:name w:val="heading 2"/>
    <w:basedOn w:val="Normale"/>
    <w:next w:val="Normale"/>
    <w:qFormat/>
    <w:pPr>
      <w:keepNext/>
      <w:spacing w:before="360"/>
      <w:ind w:left="397" w:hanging="397"/>
      <w:outlineLvl w:val="1"/>
    </w:pPr>
    <w:rPr>
      <w:rFonts w:ascii="Times New Roman" w:hAnsi="Times New Roman"/>
      <w:i/>
    </w:rPr>
  </w:style>
  <w:style w:type="paragraph" w:styleId="Titolo3">
    <w:name w:val="heading 3"/>
    <w:basedOn w:val="Normale"/>
    <w:next w:val="Normale"/>
    <w:qFormat/>
    <w:pPr>
      <w:keepNext/>
      <w:tabs>
        <w:tab w:val="left" w:pos="567"/>
      </w:tabs>
      <w:spacing w:before="240"/>
      <w:ind w:left="567" w:hanging="567"/>
      <w:outlineLvl w:val="2"/>
    </w:pPr>
    <w:rPr>
      <w:rFonts w:ascii="Times New Roman" w:hAnsi="Times New Roman"/>
      <w:i/>
    </w:rPr>
  </w:style>
  <w:style w:type="paragraph" w:styleId="Titolo4">
    <w:name w:val="heading 4"/>
    <w:basedOn w:val="Normale"/>
    <w:next w:val="Normale"/>
    <w:qFormat/>
    <w:pPr>
      <w:keepNext/>
      <w:spacing w:before="240" w:after="60"/>
      <w:ind w:left="2832" w:hanging="708"/>
      <w:outlineLvl w:val="3"/>
    </w:pPr>
    <w:rPr>
      <w:b/>
      <w:i/>
    </w:rPr>
  </w:style>
  <w:style w:type="paragraph" w:styleId="Titolo5">
    <w:name w:val="heading 5"/>
    <w:basedOn w:val="Normale"/>
    <w:next w:val="Normale"/>
    <w:qFormat/>
    <w:pPr>
      <w:spacing w:before="240" w:after="60"/>
      <w:ind w:left="3540" w:hanging="708"/>
      <w:outlineLvl w:val="4"/>
    </w:pPr>
    <w:rPr>
      <w:rFonts w:ascii="Helvetica" w:hAnsi="Helvetica"/>
      <w:sz w:val="22"/>
    </w:rPr>
  </w:style>
  <w:style w:type="paragraph" w:styleId="Titolo6">
    <w:name w:val="heading 6"/>
    <w:basedOn w:val="Normale"/>
    <w:next w:val="Normale"/>
    <w:qFormat/>
    <w:pPr>
      <w:spacing w:before="240" w:after="60"/>
      <w:ind w:left="4248" w:hanging="708"/>
      <w:outlineLvl w:val="5"/>
    </w:pPr>
    <w:rPr>
      <w:rFonts w:ascii="Helvetica" w:hAnsi="Helvetica"/>
      <w:i/>
      <w:sz w:val="22"/>
    </w:rPr>
  </w:style>
  <w:style w:type="paragraph" w:styleId="Titolo7">
    <w:name w:val="heading 7"/>
    <w:basedOn w:val="Normale"/>
    <w:next w:val="Normale"/>
    <w:qFormat/>
    <w:pPr>
      <w:spacing w:before="240" w:after="60"/>
      <w:ind w:left="4956" w:hanging="708"/>
      <w:outlineLvl w:val="6"/>
    </w:pPr>
    <w:rPr>
      <w:rFonts w:ascii="Helvetica" w:hAnsi="Helvetica"/>
    </w:rPr>
  </w:style>
  <w:style w:type="paragraph" w:styleId="Titolo8">
    <w:name w:val="heading 8"/>
    <w:basedOn w:val="Normale"/>
    <w:next w:val="Normale"/>
    <w:qFormat/>
    <w:pPr>
      <w:spacing w:before="240" w:after="60"/>
      <w:ind w:left="5664" w:hanging="708"/>
      <w:outlineLvl w:val="7"/>
    </w:pPr>
    <w:rPr>
      <w:rFonts w:ascii="Helvetica" w:hAnsi="Helvetica"/>
      <w:i/>
    </w:rPr>
  </w:style>
  <w:style w:type="paragraph" w:styleId="Titolo9">
    <w:name w:val="heading 9"/>
    <w:basedOn w:val="Normale"/>
    <w:next w:val="Normale"/>
    <w:qFormat/>
    <w:pPr>
      <w:spacing w:before="240" w:after="60"/>
      <w:ind w:left="6372" w:hanging="708"/>
      <w:outlineLvl w:val="8"/>
    </w:pPr>
    <w:rPr>
      <w:rFonts w:ascii="Helvetica" w:hAnsi="Helvetica"/>
      <w:i/>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semiHidden/>
  </w:style>
  <w:style w:type="paragraph" w:styleId="Testofumetto">
    <w:name w:val="Balloon Text"/>
    <w:basedOn w:val="Normale"/>
    <w:link w:val="TestofumettoCarattere"/>
    <w:uiPriority w:val="99"/>
    <w:semiHidden/>
    <w:unhideWhenUsed/>
    <w:rsid w:val="000014B6"/>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014B6"/>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6080</Words>
  <Characters>34657</Characters>
  <Application>Microsoft Office Word</Application>
  <DocSecurity>0</DocSecurity>
  <Lines>288</Lines>
  <Paragraphs>81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per WLO-marzo 1998</vt:lpstr>
      <vt:lpstr>per WLO-marzo 1998</vt:lpstr>
    </vt:vector>
  </TitlesOfParts>
  <Company/>
  <LinksUpToDate>false</LinksUpToDate>
  <CharactersWithSpaces>40656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 WLO-marzo 1998</dc:title>
  <dc:creator>Maria Andreoli &amp; Heikki Jussila</dc:creator>
  <cp:lastModifiedBy>Raffaella</cp:lastModifiedBy>
  <cp:revision>2</cp:revision>
  <cp:lastPrinted>1999-04-12T10:28:00Z</cp:lastPrinted>
  <dcterms:created xsi:type="dcterms:W3CDTF">2017-03-09T12:30:00Z</dcterms:created>
  <dcterms:modified xsi:type="dcterms:W3CDTF">2017-03-09T12:30:00Z</dcterms:modified>
</cp:coreProperties>
</file>