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1B5" w:rsidRPr="00EA38B9" w:rsidRDefault="00F711B5" w:rsidP="00D90C79">
      <w:pPr>
        <w:autoSpaceDE w:val="0"/>
        <w:autoSpaceDN w:val="0"/>
        <w:adjustRightInd w:val="0"/>
        <w:spacing w:after="0" w:line="240" w:lineRule="auto"/>
        <w:rPr>
          <w:rFonts w:ascii="Garamond" w:hAnsi="Garamond" w:cs="Times New Roman"/>
          <w:b/>
          <w:bCs/>
          <w:sz w:val="24"/>
          <w:szCs w:val="24"/>
        </w:rPr>
      </w:pPr>
    </w:p>
    <w:p w:rsidR="004000A9" w:rsidRPr="00EA38B9" w:rsidRDefault="00A15AD8" w:rsidP="00A15AD8">
      <w:pPr>
        <w:autoSpaceDE w:val="0"/>
        <w:autoSpaceDN w:val="0"/>
        <w:adjustRightInd w:val="0"/>
        <w:spacing w:after="0" w:line="240" w:lineRule="auto"/>
        <w:rPr>
          <w:rFonts w:ascii="Garamond" w:hAnsi="Garamond" w:cs="Times New Roman"/>
          <w:b/>
          <w:bCs/>
          <w:sz w:val="24"/>
          <w:szCs w:val="24"/>
        </w:rPr>
      </w:pPr>
      <w:r>
        <w:rPr>
          <w:rFonts w:ascii="Garamond" w:hAnsi="Garamond" w:cs="Times New Roman"/>
          <w:b/>
          <w:bCs/>
          <w:sz w:val="24"/>
          <w:szCs w:val="24"/>
        </w:rPr>
        <w:t>I riflessi</w:t>
      </w:r>
      <w:r w:rsidR="004000A9" w:rsidRPr="00EA38B9">
        <w:rPr>
          <w:rFonts w:ascii="Garamond" w:hAnsi="Garamond" w:cs="Times New Roman"/>
          <w:b/>
          <w:bCs/>
          <w:sz w:val="24"/>
          <w:szCs w:val="24"/>
        </w:rPr>
        <w:t xml:space="preserve"> de</w:t>
      </w:r>
      <w:r w:rsidR="00D90C79" w:rsidRPr="00EA38B9">
        <w:rPr>
          <w:rFonts w:ascii="Garamond" w:hAnsi="Garamond" w:cs="Times New Roman"/>
          <w:b/>
          <w:bCs/>
          <w:sz w:val="24"/>
          <w:szCs w:val="24"/>
        </w:rPr>
        <w:t xml:space="preserve">lla nuova </w:t>
      </w:r>
      <w:proofErr w:type="spellStart"/>
      <w:r w:rsidR="00D90C79" w:rsidRPr="00EA38B9">
        <w:rPr>
          <w:rFonts w:ascii="Garamond" w:hAnsi="Garamond" w:cs="Times New Roman"/>
          <w:b/>
          <w:bCs/>
          <w:i/>
          <w:iCs/>
          <w:sz w:val="24"/>
          <w:szCs w:val="24"/>
        </w:rPr>
        <w:t>governance</w:t>
      </w:r>
      <w:proofErr w:type="spellEnd"/>
      <w:r w:rsidR="00D90C79" w:rsidRPr="00EA38B9">
        <w:rPr>
          <w:rFonts w:ascii="Garamond" w:hAnsi="Garamond" w:cs="Times New Roman"/>
          <w:b/>
          <w:bCs/>
          <w:sz w:val="24"/>
          <w:szCs w:val="24"/>
        </w:rPr>
        <w:t xml:space="preserve"> economica europea</w:t>
      </w:r>
      <w:r w:rsidR="004000A9" w:rsidRPr="00EA38B9">
        <w:rPr>
          <w:rFonts w:ascii="Garamond" w:hAnsi="Garamond" w:cs="Times New Roman"/>
          <w:b/>
          <w:bCs/>
          <w:sz w:val="24"/>
          <w:szCs w:val="24"/>
        </w:rPr>
        <w:t xml:space="preserve"> sul ruolo del Parlamento europeo</w:t>
      </w:r>
      <w:r w:rsidR="00BD21C6" w:rsidRPr="00EA38B9">
        <w:rPr>
          <w:rFonts w:ascii="Garamond" w:hAnsi="Garamond" w:cs="Times New Roman"/>
          <w:b/>
          <w:bCs/>
          <w:sz w:val="24"/>
          <w:szCs w:val="24"/>
        </w:rPr>
        <w:t xml:space="preserve"> e del parlamento italiano</w:t>
      </w:r>
    </w:p>
    <w:p w:rsidR="00A86ED7" w:rsidRPr="00EA38B9" w:rsidRDefault="00A86ED7" w:rsidP="00A86ED7">
      <w:pPr>
        <w:autoSpaceDE w:val="0"/>
        <w:autoSpaceDN w:val="0"/>
        <w:adjustRightInd w:val="0"/>
        <w:spacing w:after="0" w:line="240" w:lineRule="auto"/>
        <w:jc w:val="center"/>
        <w:rPr>
          <w:rFonts w:ascii="Garamond" w:hAnsi="Garamond" w:cs="Times New Roman"/>
          <w:b/>
          <w:bCs/>
          <w:sz w:val="24"/>
          <w:szCs w:val="24"/>
        </w:rPr>
      </w:pPr>
      <w:r w:rsidRPr="00EA38B9">
        <w:rPr>
          <w:rFonts w:ascii="Garamond" w:hAnsi="Garamond" w:cs="Times New Roman"/>
          <w:b/>
          <w:bCs/>
          <w:sz w:val="24"/>
          <w:szCs w:val="24"/>
        </w:rPr>
        <w:t xml:space="preserve">Francesca </w:t>
      </w:r>
      <w:proofErr w:type="spellStart"/>
      <w:r w:rsidRPr="00EA38B9">
        <w:rPr>
          <w:rFonts w:ascii="Garamond" w:hAnsi="Garamond" w:cs="Times New Roman"/>
          <w:b/>
          <w:bCs/>
          <w:sz w:val="24"/>
          <w:szCs w:val="24"/>
        </w:rPr>
        <w:t>Nugnes</w:t>
      </w:r>
      <w:proofErr w:type="spellEnd"/>
    </w:p>
    <w:p w:rsidR="00A86ED7" w:rsidRPr="00EA38B9" w:rsidRDefault="00A86ED7" w:rsidP="00BF3FA0">
      <w:pPr>
        <w:autoSpaceDE w:val="0"/>
        <w:autoSpaceDN w:val="0"/>
        <w:adjustRightInd w:val="0"/>
        <w:spacing w:after="0" w:line="240" w:lineRule="auto"/>
        <w:rPr>
          <w:rFonts w:ascii="Garamond" w:hAnsi="Garamond" w:cs="Times New Roman"/>
          <w:sz w:val="24"/>
          <w:szCs w:val="24"/>
        </w:rPr>
      </w:pPr>
    </w:p>
    <w:p w:rsidR="00D90C79" w:rsidRPr="00EA38B9" w:rsidRDefault="004000A9" w:rsidP="00C62A6A">
      <w:pPr>
        <w:autoSpaceDE w:val="0"/>
        <w:autoSpaceDN w:val="0"/>
        <w:adjustRightInd w:val="0"/>
        <w:spacing w:after="0" w:line="240" w:lineRule="auto"/>
        <w:jc w:val="both"/>
        <w:rPr>
          <w:rFonts w:ascii="Garamond" w:hAnsi="Garamond" w:cs="Arial,Italic"/>
          <w:i/>
          <w:iCs/>
          <w:sz w:val="24"/>
          <w:szCs w:val="24"/>
        </w:rPr>
      </w:pPr>
      <w:r w:rsidRPr="00EA38B9">
        <w:rPr>
          <w:rFonts w:ascii="Garamond" w:hAnsi="Garamond" w:cs="Times New Roman"/>
          <w:i/>
          <w:iCs/>
          <w:sz w:val="24"/>
          <w:szCs w:val="24"/>
        </w:rPr>
        <w:t>1.Introduzione</w:t>
      </w:r>
      <w:r w:rsidR="00BF3FA0" w:rsidRPr="00EA38B9">
        <w:rPr>
          <w:rFonts w:ascii="Garamond" w:hAnsi="Garamond" w:cs="Times New Roman"/>
          <w:i/>
          <w:iCs/>
          <w:sz w:val="24"/>
          <w:szCs w:val="24"/>
        </w:rPr>
        <w:t>.</w:t>
      </w:r>
      <w:r w:rsidR="004B5493">
        <w:rPr>
          <w:rFonts w:ascii="Garamond" w:hAnsi="Garamond" w:cs="Times New Roman"/>
          <w:i/>
          <w:iCs/>
          <w:sz w:val="24"/>
          <w:szCs w:val="24"/>
        </w:rPr>
        <w:t>Le dinamiche degli equilibri istituzionali-</w:t>
      </w:r>
      <w:r w:rsidRPr="00EA38B9">
        <w:rPr>
          <w:rFonts w:ascii="Garamond" w:hAnsi="Garamond" w:cs="Times New Roman"/>
          <w:i/>
          <w:iCs/>
          <w:sz w:val="24"/>
          <w:szCs w:val="24"/>
        </w:rPr>
        <w:t xml:space="preserve"> </w:t>
      </w:r>
      <w:r w:rsidR="00C62A6A">
        <w:rPr>
          <w:rFonts w:ascii="Garamond" w:hAnsi="Garamond" w:cs="Times New Roman"/>
          <w:i/>
          <w:iCs/>
          <w:sz w:val="24"/>
          <w:szCs w:val="24"/>
        </w:rPr>
        <w:t>2</w:t>
      </w:r>
      <w:r w:rsidR="004B5493">
        <w:rPr>
          <w:rFonts w:ascii="Garamond" w:hAnsi="Garamond" w:cs="Times New Roman"/>
          <w:i/>
          <w:iCs/>
          <w:sz w:val="24"/>
          <w:szCs w:val="24"/>
        </w:rPr>
        <w:t>.</w:t>
      </w:r>
      <w:r w:rsidRPr="00EA38B9">
        <w:rPr>
          <w:rFonts w:ascii="Garamond" w:hAnsi="Garamond" w:cs="Times New Roman"/>
          <w:i/>
          <w:iCs/>
          <w:sz w:val="24"/>
          <w:szCs w:val="24"/>
        </w:rPr>
        <w:t>Il ruolo del Parlamento europeo dal rafforzamento formale all’emarginazione sostanziale</w:t>
      </w:r>
      <w:r w:rsidR="00BF3FA0" w:rsidRPr="00EA38B9">
        <w:rPr>
          <w:rFonts w:ascii="Garamond" w:hAnsi="Garamond" w:cs="Times New Roman"/>
          <w:i/>
          <w:iCs/>
          <w:sz w:val="24"/>
          <w:szCs w:val="24"/>
        </w:rPr>
        <w:t xml:space="preserve">- 3.Il potenziale rafforzamento del Parlamento europeo attraverso il parlamentarismo multilivello- 4.Gli strumenti del Parlamento italiano nell’ambito della nuova </w:t>
      </w:r>
      <w:proofErr w:type="spellStart"/>
      <w:r w:rsidR="00BF3FA0" w:rsidRPr="00EA38B9">
        <w:rPr>
          <w:rFonts w:ascii="Garamond" w:hAnsi="Garamond" w:cs="Times New Roman"/>
          <w:i/>
          <w:iCs/>
          <w:sz w:val="24"/>
          <w:szCs w:val="24"/>
        </w:rPr>
        <w:t>governance</w:t>
      </w:r>
      <w:proofErr w:type="spellEnd"/>
      <w:r w:rsidR="00BF3FA0" w:rsidRPr="00EA38B9">
        <w:rPr>
          <w:rFonts w:ascii="Garamond" w:hAnsi="Garamond" w:cs="Times New Roman"/>
          <w:i/>
          <w:iCs/>
          <w:sz w:val="24"/>
          <w:szCs w:val="24"/>
        </w:rPr>
        <w:t xml:space="preserve"> economica europea-4.1 ( segue) L’istituzione dell’Ufficio parlamentare di bilancio- 5. Conclusioni</w:t>
      </w:r>
    </w:p>
    <w:p w:rsidR="00D107E0" w:rsidRDefault="00D107E0" w:rsidP="009D14FA">
      <w:pPr>
        <w:rPr>
          <w:rFonts w:ascii="Garamond" w:hAnsi="Garamond"/>
          <w:sz w:val="24"/>
          <w:szCs w:val="24"/>
        </w:rPr>
      </w:pPr>
    </w:p>
    <w:p w:rsidR="00C44236" w:rsidRPr="00EA38B9" w:rsidRDefault="00C44236" w:rsidP="009D14FA">
      <w:pPr>
        <w:rPr>
          <w:rFonts w:ascii="Garamond" w:hAnsi="Garamond"/>
          <w:sz w:val="24"/>
          <w:szCs w:val="24"/>
        </w:rPr>
      </w:pPr>
    </w:p>
    <w:p w:rsidR="007D52DF" w:rsidRPr="00AB424F" w:rsidRDefault="00C62A6A" w:rsidP="00C44236">
      <w:pPr>
        <w:rPr>
          <w:rFonts w:ascii="Garamond" w:hAnsi="Garamond"/>
          <w:b/>
          <w:bCs/>
          <w:sz w:val="24"/>
          <w:szCs w:val="24"/>
        </w:rPr>
      </w:pPr>
      <w:r>
        <w:rPr>
          <w:rFonts w:ascii="Garamond" w:hAnsi="Garamond"/>
          <w:b/>
          <w:bCs/>
          <w:sz w:val="24"/>
          <w:szCs w:val="24"/>
        </w:rPr>
        <w:t>1</w:t>
      </w:r>
      <w:r w:rsidR="00C44236">
        <w:rPr>
          <w:rFonts w:ascii="Garamond" w:hAnsi="Garamond"/>
          <w:b/>
          <w:bCs/>
          <w:sz w:val="24"/>
          <w:szCs w:val="24"/>
        </w:rPr>
        <w:t xml:space="preserve"> </w:t>
      </w:r>
      <w:r>
        <w:rPr>
          <w:rFonts w:ascii="Garamond" w:hAnsi="Garamond"/>
          <w:b/>
          <w:bCs/>
          <w:sz w:val="24"/>
          <w:szCs w:val="24"/>
        </w:rPr>
        <w:t xml:space="preserve">Introduzione. </w:t>
      </w:r>
      <w:r w:rsidR="00C44236">
        <w:rPr>
          <w:rFonts w:ascii="Garamond" w:hAnsi="Garamond"/>
          <w:b/>
          <w:bCs/>
          <w:sz w:val="24"/>
          <w:szCs w:val="24"/>
        </w:rPr>
        <w:t>Le dinamiche degli equilibri istituzionali</w:t>
      </w:r>
    </w:p>
    <w:p w:rsidR="00D54E4A" w:rsidRPr="00EA38B9" w:rsidRDefault="00D54E4A" w:rsidP="00D54E4A">
      <w:pPr>
        <w:autoSpaceDE w:val="0"/>
        <w:autoSpaceDN w:val="0"/>
        <w:adjustRightInd w:val="0"/>
        <w:spacing w:after="0" w:line="240" w:lineRule="auto"/>
        <w:jc w:val="both"/>
        <w:rPr>
          <w:rFonts w:ascii="Garamond" w:hAnsi="Garamond" w:cs="SimonciniGaramond"/>
          <w:sz w:val="24"/>
          <w:szCs w:val="24"/>
        </w:rPr>
      </w:pPr>
      <w:r w:rsidRPr="00EA38B9">
        <w:rPr>
          <w:rFonts w:ascii="Garamond" w:hAnsi="Garamond" w:cs="SimonciniGaramond"/>
          <w:sz w:val="24"/>
          <w:szCs w:val="24"/>
        </w:rPr>
        <w:t xml:space="preserve">La riflessione sugli effetti che la nuova </w:t>
      </w:r>
      <w:proofErr w:type="spellStart"/>
      <w:r w:rsidRPr="00EA38B9">
        <w:rPr>
          <w:rFonts w:ascii="Garamond" w:hAnsi="Garamond" w:cs="SimonciniGaramond"/>
          <w:i/>
          <w:iCs/>
          <w:sz w:val="24"/>
          <w:szCs w:val="24"/>
        </w:rPr>
        <w:t>governance</w:t>
      </w:r>
      <w:proofErr w:type="spellEnd"/>
      <w:r w:rsidRPr="00EA38B9">
        <w:rPr>
          <w:rFonts w:ascii="Garamond" w:hAnsi="Garamond" w:cs="SimonciniGaramond"/>
          <w:sz w:val="24"/>
          <w:szCs w:val="24"/>
        </w:rPr>
        <w:t xml:space="preserve"> economica produce sul ruolo del Parlamento europeo e dei parlamenti nazionali deve collocarsi nel più ampio quadro degli equilibri istituzionali che si sono creati in seguito alle riforme innescate per contrastare la crisi</w:t>
      </w:r>
      <w:r w:rsidR="001B2D65">
        <w:rPr>
          <w:rFonts w:ascii="Garamond" w:hAnsi="Garamond" w:cs="SimonciniGaramond"/>
          <w:sz w:val="24"/>
          <w:szCs w:val="24"/>
        </w:rPr>
        <w:t xml:space="preserve"> economica e finanziaria</w:t>
      </w:r>
      <w:r w:rsidRPr="00EA38B9">
        <w:rPr>
          <w:rFonts w:ascii="Garamond" w:hAnsi="Garamond" w:cs="SimonciniGaramond"/>
          <w:sz w:val="24"/>
          <w:szCs w:val="24"/>
        </w:rPr>
        <w:t xml:space="preserve"> iniziata nel 2008.</w:t>
      </w:r>
    </w:p>
    <w:p w:rsidR="007D52DF" w:rsidRPr="00EA38B9" w:rsidRDefault="007D52DF" w:rsidP="006B6609">
      <w:pPr>
        <w:autoSpaceDE w:val="0"/>
        <w:autoSpaceDN w:val="0"/>
        <w:adjustRightInd w:val="0"/>
        <w:spacing w:after="0" w:line="240" w:lineRule="auto"/>
        <w:jc w:val="both"/>
        <w:rPr>
          <w:rFonts w:ascii="Garamond" w:hAnsi="Garamond" w:cs="SimonciniGaramond"/>
          <w:sz w:val="24"/>
          <w:szCs w:val="24"/>
        </w:rPr>
      </w:pPr>
      <w:r w:rsidRPr="00EA38B9">
        <w:rPr>
          <w:rFonts w:ascii="Garamond" w:hAnsi="Garamond" w:cs="SimonciniGaramond"/>
          <w:sz w:val="24"/>
          <w:szCs w:val="24"/>
        </w:rPr>
        <w:t xml:space="preserve">L’impatto che la crisi e la nuova </w:t>
      </w:r>
      <w:proofErr w:type="spellStart"/>
      <w:r w:rsidRPr="00EA38B9">
        <w:rPr>
          <w:rFonts w:ascii="Garamond" w:hAnsi="Garamond" w:cs="SimonciniGaramond"/>
          <w:sz w:val="24"/>
          <w:szCs w:val="24"/>
        </w:rPr>
        <w:t>governance</w:t>
      </w:r>
      <w:proofErr w:type="spellEnd"/>
      <w:r w:rsidRPr="00EA38B9">
        <w:rPr>
          <w:rFonts w:ascii="Garamond" w:hAnsi="Garamond" w:cs="SimonciniGaramond"/>
          <w:sz w:val="24"/>
          <w:szCs w:val="24"/>
        </w:rPr>
        <w:t xml:space="preserve"> economica europea hanno avuto sugli equilibri istituzionali si</w:t>
      </w:r>
      <w:r w:rsidR="001B63F9">
        <w:rPr>
          <w:rFonts w:ascii="Garamond" w:hAnsi="Garamond" w:cs="SimonciniGaramond"/>
          <w:sz w:val="24"/>
          <w:szCs w:val="24"/>
        </w:rPr>
        <w:t xml:space="preserve"> può inserire </w:t>
      </w:r>
      <w:r w:rsidRPr="00EA38B9">
        <w:rPr>
          <w:rFonts w:ascii="Garamond" w:hAnsi="Garamond" w:cs="SimonciniGaramond"/>
          <w:sz w:val="24"/>
          <w:szCs w:val="24"/>
        </w:rPr>
        <w:t xml:space="preserve">nell’ambito di una dinamica in cui </w:t>
      </w:r>
      <w:r w:rsidR="001B63F9">
        <w:rPr>
          <w:rFonts w:ascii="Garamond" w:hAnsi="Garamond" w:cs="SimonciniGaramond"/>
          <w:sz w:val="24"/>
          <w:szCs w:val="24"/>
        </w:rPr>
        <w:t>appaiono</w:t>
      </w:r>
      <w:r w:rsidRPr="00EA38B9">
        <w:rPr>
          <w:rFonts w:ascii="Garamond" w:hAnsi="Garamond" w:cs="SimonciniGaramond"/>
          <w:sz w:val="24"/>
          <w:szCs w:val="24"/>
        </w:rPr>
        <w:t xml:space="preserve"> contrapposte due diverse influenze: quella derivante dal metodo intergovernativo, connessa al ruolo del Consiglio europeo e del Consiglio; quella derivante dal metodo comunitario, riconducibile al ruolo esercitato dalla Commissione, dal Parlamento europeo e dalla Corte di Giustizia</w:t>
      </w:r>
      <w:r w:rsidRPr="00EA38B9">
        <w:rPr>
          <w:rStyle w:val="Rimandonotaapidipagina"/>
          <w:rFonts w:ascii="Garamond" w:hAnsi="Garamond" w:cs="SimonciniGaramond"/>
          <w:sz w:val="24"/>
          <w:szCs w:val="24"/>
        </w:rPr>
        <w:footnoteReference w:id="1"/>
      </w:r>
      <w:r w:rsidRPr="00EA38B9">
        <w:rPr>
          <w:rFonts w:ascii="Garamond" w:hAnsi="Garamond" w:cs="SimonciniGaramond"/>
          <w:sz w:val="24"/>
          <w:szCs w:val="24"/>
        </w:rPr>
        <w:t xml:space="preserve">. </w:t>
      </w:r>
    </w:p>
    <w:p w:rsidR="000A5F8B" w:rsidRPr="00EA38B9" w:rsidRDefault="001B63F9" w:rsidP="001B63F9">
      <w:pPr>
        <w:autoSpaceDE w:val="0"/>
        <w:autoSpaceDN w:val="0"/>
        <w:adjustRightInd w:val="0"/>
        <w:spacing w:after="0" w:line="240" w:lineRule="auto"/>
        <w:jc w:val="both"/>
        <w:rPr>
          <w:rFonts w:ascii="Garamond" w:hAnsi="Garamond" w:cs="Times New Roman"/>
          <w:sz w:val="24"/>
          <w:szCs w:val="24"/>
        </w:rPr>
      </w:pPr>
      <w:r>
        <w:rPr>
          <w:rFonts w:ascii="Garamond" w:hAnsi="Garamond" w:cs="SimonciniGaramond"/>
          <w:sz w:val="24"/>
          <w:szCs w:val="24"/>
        </w:rPr>
        <w:t>In particolare</w:t>
      </w:r>
      <w:r w:rsidR="000A5F8B" w:rsidRPr="00EA38B9">
        <w:rPr>
          <w:rFonts w:ascii="Garamond" w:hAnsi="Garamond" w:cs="SimonciniGaramond"/>
          <w:sz w:val="24"/>
          <w:szCs w:val="24"/>
        </w:rPr>
        <w:t xml:space="preserve">, il Trattato sulla stabilità, il coordinamento e la </w:t>
      </w:r>
      <w:proofErr w:type="spellStart"/>
      <w:r w:rsidR="000A5F8B" w:rsidRPr="00EA38B9">
        <w:rPr>
          <w:rFonts w:ascii="Garamond" w:hAnsi="Garamond" w:cs="SimonciniGaramond"/>
          <w:sz w:val="24"/>
          <w:szCs w:val="24"/>
        </w:rPr>
        <w:t>governance</w:t>
      </w:r>
      <w:proofErr w:type="spellEnd"/>
      <w:r w:rsidR="000A5F8B" w:rsidRPr="00EA38B9">
        <w:rPr>
          <w:rFonts w:ascii="Garamond" w:hAnsi="Garamond" w:cs="SimonciniGaramond"/>
          <w:sz w:val="24"/>
          <w:szCs w:val="24"/>
        </w:rPr>
        <w:t xml:space="preserve"> dell’Unione ( </w:t>
      </w:r>
      <w:proofErr w:type="spellStart"/>
      <w:r w:rsidR="000A5F8B" w:rsidRPr="00EA38B9">
        <w:rPr>
          <w:rFonts w:ascii="Garamond" w:hAnsi="Garamond" w:cs="SimonciniGaramond"/>
          <w:sz w:val="24"/>
          <w:szCs w:val="24"/>
        </w:rPr>
        <w:t>Tscg</w:t>
      </w:r>
      <w:proofErr w:type="spellEnd"/>
      <w:r w:rsidR="000A5F8B" w:rsidRPr="00EA38B9">
        <w:rPr>
          <w:rFonts w:ascii="Garamond" w:hAnsi="Garamond" w:cs="SimonciniGaramond"/>
          <w:sz w:val="24"/>
          <w:szCs w:val="24"/>
        </w:rPr>
        <w:t xml:space="preserve"> ), c.d. </w:t>
      </w:r>
      <w:r w:rsidR="000A5F8B" w:rsidRPr="00EA38B9">
        <w:rPr>
          <w:rFonts w:ascii="Garamond" w:hAnsi="Garamond" w:cs="SimonciniGaramond"/>
          <w:i/>
          <w:iCs/>
          <w:sz w:val="24"/>
          <w:szCs w:val="24"/>
        </w:rPr>
        <w:t>Fiscal Compact</w:t>
      </w:r>
      <w:r w:rsidR="000A5F8B" w:rsidRPr="00EA38B9">
        <w:rPr>
          <w:rFonts w:ascii="Garamond" w:hAnsi="Garamond" w:cs="SimonciniGaramond"/>
          <w:sz w:val="24"/>
          <w:szCs w:val="24"/>
        </w:rPr>
        <w:t>, rafforza</w:t>
      </w:r>
      <w:r w:rsidR="007D52DF" w:rsidRPr="00EA38B9">
        <w:rPr>
          <w:rFonts w:ascii="Garamond" w:hAnsi="Garamond" w:cs="SimonciniGaramond"/>
          <w:sz w:val="24"/>
          <w:szCs w:val="24"/>
        </w:rPr>
        <w:t xml:space="preserve"> </w:t>
      </w:r>
      <w:r w:rsidR="007D52DF" w:rsidRPr="00EA38B9">
        <w:rPr>
          <w:rFonts w:ascii="Garamond" w:hAnsi="Garamond" w:cs="Times New Roman"/>
          <w:sz w:val="24"/>
          <w:szCs w:val="24"/>
        </w:rPr>
        <w:t xml:space="preserve">la prevalenza, nelle materie economiche, del metodo intergovernativo già rinvenibile nel Trattato di Lisbona che all’art.137 </w:t>
      </w:r>
      <w:proofErr w:type="spellStart"/>
      <w:r w:rsidR="007D52DF" w:rsidRPr="00EA38B9">
        <w:rPr>
          <w:rFonts w:ascii="Garamond" w:hAnsi="Garamond" w:cs="Times New Roman"/>
          <w:sz w:val="24"/>
          <w:szCs w:val="24"/>
        </w:rPr>
        <w:t>Tfue</w:t>
      </w:r>
      <w:proofErr w:type="spellEnd"/>
      <w:r w:rsidR="007D52DF" w:rsidRPr="00EA38B9">
        <w:rPr>
          <w:rFonts w:ascii="Garamond" w:hAnsi="Garamond" w:cs="Times New Roman"/>
          <w:sz w:val="24"/>
          <w:szCs w:val="24"/>
        </w:rPr>
        <w:t>, ad esempio, stabili</w:t>
      </w:r>
      <w:r w:rsidR="000A5F8B" w:rsidRPr="00EA38B9">
        <w:rPr>
          <w:rFonts w:ascii="Garamond" w:hAnsi="Garamond" w:cs="Times New Roman"/>
          <w:sz w:val="24"/>
          <w:szCs w:val="24"/>
        </w:rPr>
        <w:t>zza l’attività dell’Eurogruppo.</w:t>
      </w:r>
    </w:p>
    <w:p w:rsidR="007D52DF" w:rsidRPr="00EA38B9" w:rsidRDefault="007D52DF" w:rsidP="000A5F8B">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In tal senso, a differenza dell’Ecofin dotato di una presidenza a rotazione, il </w:t>
      </w:r>
      <w:proofErr w:type="spellStart"/>
      <w:r w:rsidRPr="00EA38B9">
        <w:rPr>
          <w:rFonts w:ascii="Garamond" w:hAnsi="Garamond" w:cs="Times New Roman"/>
          <w:sz w:val="24"/>
          <w:szCs w:val="24"/>
        </w:rPr>
        <w:t>Tscg</w:t>
      </w:r>
      <w:proofErr w:type="spellEnd"/>
      <w:r w:rsidRPr="00EA38B9">
        <w:rPr>
          <w:rFonts w:ascii="Garamond" w:hAnsi="Garamond" w:cs="Times New Roman"/>
          <w:sz w:val="24"/>
          <w:szCs w:val="24"/>
        </w:rPr>
        <w:t xml:space="preserve"> dispone per l’Eurogruppo una presidenza stabile di due anni e mezzo, periodo che consente la maturazione di una linea comune tra gli Stati dell’eurozona in vista del successivo Ecofin.</w:t>
      </w:r>
    </w:p>
    <w:p w:rsidR="007D52DF" w:rsidRPr="00EA38B9" w:rsidRDefault="007D52DF" w:rsidP="007D52DF">
      <w:pPr>
        <w:pStyle w:val="Default"/>
        <w:jc w:val="both"/>
        <w:rPr>
          <w:rFonts w:ascii="Garamond" w:hAnsi="Garamond"/>
          <w:color w:val="auto"/>
        </w:rPr>
      </w:pPr>
      <w:r w:rsidRPr="00EA38B9">
        <w:rPr>
          <w:rFonts w:ascii="Garamond" w:hAnsi="Garamond"/>
          <w:color w:val="auto"/>
        </w:rPr>
        <w:t xml:space="preserve">Sul piano della prassi, inoltre, va considerato che le emergenze indotte dalla crisi hanno rafforzato il ruolo dell’ </w:t>
      </w:r>
      <w:proofErr w:type="spellStart"/>
      <w:r w:rsidRPr="00EA38B9">
        <w:rPr>
          <w:rFonts w:ascii="Garamond" w:hAnsi="Garamond"/>
          <w:color w:val="auto"/>
        </w:rPr>
        <w:t>Eurosummit</w:t>
      </w:r>
      <w:proofErr w:type="spellEnd"/>
      <w:r w:rsidRPr="00EA38B9">
        <w:rPr>
          <w:rFonts w:ascii="Garamond" w:hAnsi="Garamond"/>
          <w:color w:val="auto"/>
        </w:rPr>
        <w:t xml:space="preserve"> giunto, il 26 ottobre 2011 ad introdurre un nuovo organismo, poi istituzionalizzato dal </w:t>
      </w:r>
      <w:proofErr w:type="spellStart"/>
      <w:r w:rsidRPr="00EA38B9">
        <w:rPr>
          <w:rFonts w:ascii="Garamond" w:hAnsi="Garamond"/>
          <w:color w:val="auto"/>
        </w:rPr>
        <w:t>Tscg</w:t>
      </w:r>
      <w:proofErr w:type="spellEnd"/>
      <w:r w:rsidRPr="00EA38B9">
        <w:rPr>
          <w:rFonts w:ascii="Garamond" w:hAnsi="Garamond"/>
          <w:color w:val="auto"/>
        </w:rPr>
        <w:t>: il Vertice euro, consistente nella riunione dei Capi di Stato e di Governo degli Stati euro e della Commissione. Si prevede( art.12 TSCG) che le riunioni del Vertice euro si tengano almeno due volte l’anno, che il suo Presidente sia eletto a maggioranza semplice</w:t>
      </w:r>
      <w:r w:rsidRPr="00EA38B9">
        <w:rPr>
          <w:rStyle w:val="Rimandonotaapidipagina"/>
          <w:rFonts w:ascii="Garamond" w:hAnsi="Garamond"/>
          <w:color w:val="auto"/>
        </w:rPr>
        <w:footnoteReference w:id="2"/>
      </w:r>
      <w:r w:rsidRPr="00EA38B9">
        <w:rPr>
          <w:rFonts w:ascii="Garamond" w:hAnsi="Garamond"/>
          <w:color w:val="auto"/>
        </w:rPr>
        <w:t xml:space="preserve"> dai capi di Stato o di governo delle parti contraenti la cui moneta è l'euro nello stesso momento in cui il Consiglio europeo elegge il proprio presidente e con un mandato di pari durata.</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Il Presidente dovrà garantire la preparazione e la continuità delle riunioni, in collaborazione con il Presidente della Commissione che, insieme al Presidente della Bce partecipa alle riunioni. </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lastRenderedPageBreak/>
        <w:t xml:space="preserve">In definitiva il </w:t>
      </w:r>
      <w:proofErr w:type="spellStart"/>
      <w:r w:rsidRPr="00EA38B9">
        <w:rPr>
          <w:rFonts w:ascii="Garamond" w:hAnsi="Garamond" w:cs="Times New Roman"/>
          <w:sz w:val="24"/>
          <w:szCs w:val="24"/>
        </w:rPr>
        <w:t>Tscg</w:t>
      </w:r>
      <w:proofErr w:type="spellEnd"/>
      <w:r w:rsidRPr="00EA38B9">
        <w:rPr>
          <w:rFonts w:ascii="Garamond" w:hAnsi="Garamond" w:cs="Times New Roman"/>
          <w:sz w:val="24"/>
          <w:szCs w:val="24"/>
        </w:rPr>
        <w:t xml:space="preserve"> rafforza l’architettura istituzionale della </w:t>
      </w:r>
      <w:proofErr w:type="spellStart"/>
      <w:r w:rsidRPr="00EA38B9">
        <w:rPr>
          <w:rFonts w:ascii="Garamond" w:hAnsi="Garamond" w:cs="Times New Roman"/>
          <w:sz w:val="24"/>
          <w:szCs w:val="24"/>
        </w:rPr>
        <w:t>governance</w:t>
      </w:r>
      <w:proofErr w:type="spellEnd"/>
      <w:r w:rsidRPr="00EA38B9">
        <w:rPr>
          <w:rFonts w:ascii="Garamond" w:hAnsi="Garamond" w:cs="Times New Roman"/>
          <w:sz w:val="24"/>
          <w:szCs w:val="24"/>
        </w:rPr>
        <w:t xml:space="preserve"> economica con un doppio binario: uno relativo all’Eurogruppo, comprendente i ministri finanziari dell’eurozona, le cui riunioni hanno assunto carattere sostanzialmente decisionale, sebbene il protocollo n.14 attribuisca ad esse un carattere informale e concertativo; l’altro binario relativo al Vertice euro, comprendente i capi di Stato e di governo della zona euro, i cui condizionamenti di politica economica sono assimilabili a quelli del Consiglio Europeo. </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Si realizza in questo modo una struttura speculare a quella istituzionale intergovernativa dell’Unione in cui il binomio Vertice ed Eurogruppo, ricalca il binomio Consiglio Europeo e Consiglio dell’Unione</w:t>
      </w:r>
      <w:r w:rsidRPr="00EA38B9">
        <w:rPr>
          <w:rStyle w:val="Rimandonotaapidipagina"/>
          <w:rFonts w:ascii="Garamond" w:hAnsi="Garamond" w:cs="Times New Roman"/>
          <w:sz w:val="24"/>
          <w:szCs w:val="24"/>
        </w:rPr>
        <w:footnoteReference w:id="3"/>
      </w:r>
      <w:r w:rsidRPr="00EA38B9">
        <w:rPr>
          <w:rFonts w:ascii="Garamond" w:hAnsi="Garamond" w:cs="Times New Roman"/>
          <w:sz w:val="24"/>
          <w:szCs w:val="24"/>
        </w:rPr>
        <w:t xml:space="preserve">. In forza del protocollo n.14, entrambi gli organismi rientrano nella </w:t>
      </w:r>
      <w:proofErr w:type="spellStart"/>
      <w:r w:rsidRPr="00EA38B9">
        <w:rPr>
          <w:rFonts w:ascii="Garamond" w:hAnsi="Garamond" w:cs="Times New Roman"/>
          <w:sz w:val="24"/>
          <w:szCs w:val="24"/>
        </w:rPr>
        <w:t>governance</w:t>
      </w:r>
      <w:proofErr w:type="spellEnd"/>
      <w:r w:rsidRPr="00EA38B9">
        <w:rPr>
          <w:rFonts w:ascii="Garamond" w:hAnsi="Garamond" w:cs="Times New Roman"/>
          <w:sz w:val="24"/>
          <w:szCs w:val="24"/>
        </w:rPr>
        <w:t xml:space="preserve"> dell’Eurozona e di conseguenza nel quadro giuridico dell’Unione, il che consente un interazione che non comporta complicazioni di sistema</w:t>
      </w:r>
      <w:r w:rsidRPr="00EA38B9">
        <w:rPr>
          <w:rStyle w:val="Rimandonotaapidipagina"/>
          <w:rFonts w:ascii="Garamond" w:hAnsi="Garamond" w:cs="Times New Roman"/>
          <w:sz w:val="24"/>
          <w:szCs w:val="24"/>
        </w:rPr>
        <w:footnoteReference w:id="4"/>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Si viene dunque a configurare una specie di dilatazione della dimensione intergovernativa e un rafforzamento dell’influenza dei governi nazionali rispetto alle istituzioni europee</w:t>
      </w:r>
      <w:r w:rsidRPr="00EA38B9">
        <w:rPr>
          <w:rStyle w:val="Rimandonotaapidipagina"/>
          <w:rFonts w:ascii="Garamond" w:hAnsi="Garamond" w:cs="Times New Roman"/>
          <w:sz w:val="24"/>
          <w:szCs w:val="24"/>
        </w:rPr>
        <w:footnoteReference w:id="5"/>
      </w:r>
      <w:r w:rsidRPr="00EA38B9">
        <w:rPr>
          <w:rFonts w:ascii="Garamond" w:hAnsi="Garamond" w:cs="Times New Roman"/>
          <w:sz w:val="24"/>
          <w:szCs w:val="24"/>
        </w:rPr>
        <w:t>. In tal senso una dimostrazione è offerta dal ruolo che il Consiglio europeo ha giocato soprattutto durante la crisi andando oltre la sua funzione di impulso ( art.15, par.1 Tue) per giungere ad assumere la conduzione della gestione della crisi attraverso riunioni sempre più frequenti dei capi di Stato e di governo</w:t>
      </w:r>
      <w:r w:rsidRPr="00EA38B9">
        <w:rPr>
          <w:rStyle w:val="Rimandonotaapidipagina"/>
          <w:rFonts w:ascii="Garamond" w:hAnsi="Garamond" w:cs="Times New Roman"/>
          <w:sz w:val="24"/>
          <w:szCs w:val="24"/>
        </w:rPr>
        <w:footnoteReference w:id="6"/>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In realtà, il ruolo assunto dal Consiglio europeo durante la crisi rappresenta solo un aspetto di una dinamica più ampia che riguarda il rafforzamento dell’intero esecutivo dell’Unione, inteso come potere costituito da istituzioni composte dai governi degli Stati membri, quali il Consiglio e il Consiglio europeo, oltre a quelle sovranazionali quali la Commissione e, a livello amministrativo, le agenzie e i comitati</w:t>
      </w:r>
      <w:r w:rsidRPr="00EA38B9">
        <w:rPr>
          <w:rStyle w:val="Rimandonotaapidipagina"/>
          <w:rFonts w:ascii="Garamond" w:hAnsi="Garamond" w:cs="Times New Roman"/>
          <w:sz w:val="24"/>
          <w:szCs w:val="24"/>
        </w:rPr>
        <w:footnoteReference w:id="7"/>
      </w:r>
      <w:r w:rsidRPr="00EA38B9">
        <w:rPr>
          <w:rFonts w:ascii="Garamond" w:hAnsi="Garamond" w:cs="Times New Roman"/>
          <w:sz w:val="24"/>
          <w:szCs w:val="24"/>
        </w:rPr>
        <w:t xml:space="preserve">. </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lastRenderedPageBreak/>
        <w:t xml:space="preserve">In tale assetto la nuova </w:t>
      </w:r>
      <w:proofErr w:type="spellStart"/>
      <w:r w:rsidRPr="00EA38B9">
        <w:rPr>
          <w:rFonts w:ascii="Garamond" w:hAnsi="Garamond" w:cs="Times New Roman"/>
          <w:i/>
          <w:iCs/>
          <w:sz w:val="24"/>
          <w:szCs w:val="24"/>
        </w:rPr>
        <w:t>governance</w:t>
      </w:r>
      <w:proofErr w:type="spellEnd"/>
      <w:r w:rsidRPr="00EA38B9">
        <w:rPr>
          <w:rFonts w:ascii="Garamond" w:hAnsi="Garamond" w:cs="Times New Roman"/>
          <w:i/>
          <w:iCs/>
          <w:sz w:val="24"/>
          <w:szCs w:val="24"/>
        </w:rPr>
        <w:t xml:space="preserve"> economica</w:t>
      </w:r>
      <w:r w:rsidRPr="00EA38B9">
        <w:rPr>
          <w:rFonts w:ascii="Garamond" w:hAnsi="Garamond" w:cs="Times New Roman"/>
          <w:sz w:val="24"/>
          <w:szCs w:val="24"/>
        </w:rPr>
        <w:t xml:space="preserve"> europea rimarca per la Commissione, un ruolo essenzialmente volto a tradurre sul piano tecnico amministrativo le indicazioni del Consiglio europeo.</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L’osservazione non equivale a sostenere che la Commissione abbia assunto un ruolo poco significativo anzi le disposizioni del </w:t>
      </w:r>
      <w:proofErr w:type="spellStart"/>
      <w:r w:rsidRPr="00EA38B9">
        <w:rPr>
          <w:rFonts w:ascii="Garamond" w:hAnsi="Garamond" w:cs="Times New Roman"/>
          <w:sz w:val="24"/>
          <w:szCs w:val="24"/>
        </w:rPr>
        <w:t>six</w:t>
      </w:r>
      <w:proofErr w:type="spellEnd"/>
      <w:r w:rsidRPr="00EA38B9">
        <w:rPr>
          <w:rFonts w:ascii="Garamond" w:hAnsi="Garamond" w:cs="Times New Roman"/>
          <w:sz w:val="24"/>
          <w:szCs w:val="24"/>
        </w:rPr>
        <w:t xml:space="preserve"> pack e del </w:t>
      </w:r>
      <w:proofErr w:type="spellStart"/>
      <w:r w:rsidRPr="00EA38B9">
        <w:rPr>
          <w:rFonts w:ascii="Garamond" w:hAnsi="Garamond" w:cs="Times New Roman"/>
          <w:sz w:val="24"/>
          <w:szCs w:val="24"/>
        </w:rPr>
        <w:t>two</w:t>
      </w:r>
      <w:proofErr w:type="spellEnd"/>
      <w:r w:rsidRPr="00EA38B9">
        <w:rPr>
          <w:rFonts w:ascii="Garamond" w:hAnsi="Garamond" w:cs="Times New Roman"/>
          <w:sz w:val="24"/>
          <w:szCs w:val="24"/>
        </w:rPr>
        <w:t xml:space="preserve"> pack, oltre a quelle dei nuovi Trattati, hanno rafforzato il ruolo della Commissione nel monitoraggio degli Stati membri in relazione al rispetto della nuova disciplina fiscale</w:t>
      </w:r>
      <w:r w:rsidRPr="00EA38B9">
        <w:rPr>
          <w:rStyle w:val="Rimandonotaapidipagina"/>
          <w:rFonts w:ascii="Garamond" w:hAnsi="Garamond" w:cs="Times New Roman"/>
          <w:sz w:val="24"/>
          <w:szCs w:val="24"/>
        </w:rPr>
        <w:footnoteReference w:id="8"/>
      </w:r>
      <w:r w:rsidRPr="00EA38B9">
        <w:rPr>
          <w:rFonts w:ascii="Garamond" w:hAnsi="Garamond" w:cs="Times New Roman"/>
          <w:sz w:val="24"/>
          <w:szCs w:val="24"/>
        </w:rPr>
        <w:t xml:space="preserve">. L’articolo 7 del </w:t>
      </w:r>
      <w:proofErr w:type="spellStart"/>
      <w:r w:rsidRPr="00EA38B9">
        <w:rPr>
          <w:rFonts w:ascii="Garamond" w:hAnsi="Garamond" w:cs="Times New Roman"/>
          <w:sz w:val="24"/>
          <w:szCs w:val="24"/>
        </w:rPr>
        <w:t>Tscg</w:t>
      </w:r>
      <w:proofErr w:type="spellEnd"/>
      <w:r w:rsidRPr="00EA38B9">
        <w:rPr>
          <w:rFonts w:ascii="Garamond" w:hAnsi="Garamond" w:cs="Times New Roman"/>
          <w:sz w:val="24"/>
          <w:szCs w:val="24"/>
        </w:rPr>
        <w:t xml:space="preserve">, ad esempio, dispone l’impegno per gli Stati la cui moneta è l’euro a sostenere le proposte e le raccomandazioni della Commissione europea laddove uno Stato membro non abbia rispettato i limiti relativi al deficit nell’ambito della procedura per i disavanzi eccessivi, a meno che le decisioni o raccomandazioni della Commissione non siano respinte da una maggioranza qualificata delle parti contraenti, con l’esclusione del voto dello Stato interessato, c.d. “maggioranza inversa”. </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La formulazione dell’art.7 del </w:t>
      </w:r>
      <w:proofErr w:type="spellStart"/>
      <w:r w:rsidRPr="00EA38B9">
        <w:rPr>
          <w:rFonts w:ascii="Garamond" w:hAnsi="Garamond" w:cs="Times New Roman"/>
          <w:sz w:val="24"/>
          <w:szCs w:val="24"/>
        </w:rPr>
        <w:t>Tscg</w:t>
      </w:r>
      <w:proofErr w:type="spellEnd"/>
      <w:r w:rsidRPr="00EA38B9">
        <w:rPr>
          <w:rFonts w:ascii="Garamond" w:hAnsi="Garamond" w:cs="Times New Roman"/>
          <w:sz w:val="24"/>
          <w:szCs w:val="24"/>
        </w:rPr>
        <w:t xml:space="preserve">, riprendendo quanto già previsto nell’ambito del </w:t>
      </w:r>
      <w:proofErr w:type="spellStart"/>
      <w:r w:rsidRPr="00EA38B9">
        <w:rPr>
          <w:rFonts w:ascii="Garamond" w:hAnsi="Garamond" w:cs="Times New Roman"/>
          <w:sz w:val="24"/>
          <w:szCs w:val="24"/>
        </w:rPr>
        <w:t>six</w:t>
      </w:r>
      <w:proofErr w:type="spellEnd"/>
      <w:r w:rsidRPr="00EA38B9">
        <w:rPr>
          <w:rFonts w:ascii="Garamond" w:hAnsi="Garamond" w:cs="Times New Roman"/>
          <w:sz w:val="24"/>
          <w:szCs w:val="24"/>
        </w:rPr>
        <w:t xml:space="preserve"> pack ( reg.Ue1173/2011 artt. 4,par. 2; 5 par.2; 6, par. 2), configura un intervento della Commissione quasi automatico, il cui avvio potrà essere disinnescato solo da una maggioranza qualificata inversa.</w:t>
      </w:r>
    </w:p>
    <w:p w:rsidR="007D52DF" w:rsidRPr="00EA38B9" w:rsidRDefault="007D52DF" w:rsidP="000A5F8B">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Nel senso di un rafforzamento della Commissione si interpretano non solo le disposizioni relative al braccio preventivo e al braccio correttivo del Patto di stab</w:t>
      </w:r>
      <w:r w:rsidR="000A5F8B" w:rsidRPr="00EA38B9">
        <w:rPr>
          <w:rFonts w:ascii="Garamond" w:hAnsi="Garamond"/>
          <w:sz w:val="24"/>
          <w:szCs w:val="24"/>
        </w:rPr>
        <w:t>ilità e crescita</w:t>
      </w:r>
      <w:r w:rsidRPr="00EA38B9">
        <w:rPr>
          <w:rFonts w:ascii="Garamond" w:hAnsi="Garamond"/>
          <w:sz w:val="24"/>
          <w:szCs w:val="24"/>
        </w:rPr>
        <w:t xml:space="preserve">, ma anche alcune disposizioni del Trattato </w:t>
      </w:r>
      <w:proofErr w:type="spellStart"/>
      <w:r w:rsidRPr="00EA38B9">
        <w:rPr>
          <w:rFonts w:ascii="Garamond" w:hAnsi="Garamond"/>
          <w:sz w:val="24"/>
          <w:szCs w:val="24"/>
        </w:rPr>
        <w:t>Mes</w:t>
      </w:r>
      <w:proofErr w:type="spellEnd"/>
      <w:r w:rsidRPr="00EA38B9">
        <w:rPr>
          <w:rFonts w:ascii="Garamond" w:hAnsi="Garamond"/>
          <w:sz w:val="24"/>
          <w:szCs w:val="24"/>
        </w:rPr>
        <w:t xml:space="preserve"> che attribuiscono alla Commissione il compito di valutare il rispetto delle condizioni necessarie perché uno Stato benefici dell’assistenza finanziaria.</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 xml:space="preserve">La concessione di un sostegno finanziario da parte del </w:t>
      </w:r>
      <w:proofErr w:type="spellStart"/>
      <w:r w:rsidRPr="00EA38B9">
        <w:rPr>
          <w:rFonts w:ascii="Garamond" w:hAnsi="Garamond"/>
          <w:sz w:val="24"/>
          <w:szCs w:val="24"/>
        </w:rPr>
        <w:t>Mes</w:t>
      </w:r>
      <w:proofErr w:type="spellEnd"/>
      <w:r w:rsidRPr="00EA38B9">
        <w:rPr>
          <w:rFonts w:ascii="Garamond" w:hAnsi="Garamond"/>
          <w:sz w:val="24"/>
          <w:szCs w:val="24"/>
        </w:rPr>
        <w:t xml:space="preserve"> ad uno Stato, infatti, si avvia su proposta della Commissione al </w:t>
      </w:r>
      <w:proofErr w:type="spellStart"/>
      <w:r w:rsidRPr="00EA38B9">
        <w:rPr>
          <w:rFonts w:ascii="Garamond" w:hAnsi="Garamond"/>
          <w:sz w:val="24"/>
          <w:szCs w:val="24"/>
        </w:rPr>
        <w:t>Board</w:t>
      </w:r>
      <w:proofErr w:type="spellEnd"/>
      <w:r w:rsidRPr="00EA38B9">
        <w:rPr>
          <w:rFonts w:ascii="Garamond" w:hAnsi="Garamond"/>
          <w:sz w:val="24"/>
          <w:szCs w:val="24"/>
        </w:rPr>
        <w:t xml:space="preserve"> </w:t>
      </w:r>
      <w:proofErr w:type="spellStart"/>
      <w:r w:rsidRPr="00EA38B9">
        <w:rPr>
          <w:rFonts w:ascii="Garamond" w:hAnsi="Garamond"/>
          <w:sz w:val="24"/>
          <w:szCs w:val="24"/>
        </w:rPr>
        <w:t>of</w:t>
      </w:r>
      <w:proofErr w:type="spellEnd"/>
      <w:r w:rsidRPr="00EA38B9">
        <w:rPr>
          <w:rFonts w:ascii="Garamond" w:hAnsi="Garamond"/>
          <w:sz w:val="24"/>
          <w:szCs w:val="24"/>
        </w:rPr>
        <w:t xml:space="preserve"> </w:t>
      </w:r>
      <w:proofErr w:type="spellStart"/>
      <w:r w:rsidRPr="00EA38B9">
        <w:rPr>
          <w:rFonts w:ascii="Garamond" w:hAnsi="Garamond"/>
          <w:sz w:val="24"/>
          <w:szCs w:val="24"/>
        </w:rPr>
        <w:t>Governors</w:t>
      </w:r>
      <w:proofErr w:type="spellEnd"/>
      <w:r w:rsidRPr="00EA38B9">
        <w:rPr>
          <w:rFonts w:ascii="Garamond" w:hAnsi="Garamond"/>
          <w:sz w:val="24"/>
          <w:szCs w:val="24"/>
        </w:rPr>
        <w:t xml:space="preserve"> e una volta erogati i fondi, spetta alla Commissione sottoscrivere e monitorare il Memorandum di impegni assunti e mantenuti dallo Stato beneficiario</w:t>
      </w:r>
      <w:r w:rsidRPr="00EA38B9">
        <w:rPr>
          <w:rStyle w:val="Rimandonotaapidipagina"/>
          <w:rFonts w:ascii="Garamond" w:hAnsi="Garamond"/>
          <w:sz w:val="24"/>
          <w:szCs w:val="24"/>
        </w:rPr>
        <w:footnoteReference w:id="9"/>
      </w:r>
      <w:r w:rsidRPr="00EA38B9">
        <w:rPr>
          <w:rFonts w:ascii="Garamond" w:hAnsi="Garamond"/>
          <w:sz w:val="24"/>
          <w:szCs w:val="24"/>
        </w:rPr>
        <w:t>.</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 xml:space="preserve">Dunque, rispetto al ruolo istruttorio configurato dal precedente sistema di Maastricht in cui la decisione relativa all’esistenza di un deficit eccessivo spettava in ultima analisi al Consiglio, appare evidente il netto rafforzamento della Commissione verificatosi per effetto del </w:t>
      </w:r>
      <w:proofErr w:type="spellStart"/>
      <w:r w:rsidRPr="00EA38B9">
        <w:rPr>
          <w:rFonts w:ascii="Garamond" w:hAnsi="Garamond"/>
          <w:sz w:val="24"/>
          <w:szCs w:val="24"/>
        </w:rPr>
        <w:t>six</w:t>
      </w:r>
      <w:proofErr w:type="spellEnd"/>
      <w:r w:rsidRPr="00EA38B9">
        <w:rPr>
          <w:rFonts w:ascii="Garamond" w:hAnsi="Garamond"/>
          <w:sz w:val="24"/>
          <w:szCs w:val="24"/>
        </w:rPr>
        <w:t xml:space="preserve"> pack e del Fiscal compact.</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Ma tale rafforzamento non si sta rivelando sufficiente ad impermeabilizzare la Commissione dai condizionamenti politici derivanti dal Consiglio europeo e dal Consiglio e a garantirle la serena applicazione della disciplina del Patto di stabilità nei confronti degli Stati membri. In tal senso basti pensare al caso del rinvio del pareggio di bilancio da parte del governo italiano nel 2014 e al caso del deficit eccessivo della Francia, che hanno rivelato l’estrema difficoltà di tradurre in parametri numerici, situazioni determinate da fattori di valutazione discrezionale, quali i fattori significativi e le circostanze eccezionali che giustificherebbero una deviazione dall’obiettivo di bilancio di medio termine</w:t>
      </w:r>
      <w:r w:rsidRPr="00EA38B9">
        <w:rPr>
          <w:rStyle w:val="Rimandonotaapidipagina"/>
          <w:rFonts w:ascii="Garamond" w:hAnsi="Garamond"/>
          <w:sz w:val="24"/>
          <w:szCs w:val="24"/>
        </w:rPr>
        <w:footnoteReference w:id="10"/>
      </w:r>
      <w:r w:rsidRPr="00EA38B9">
        <w:rPr>
          <w:rFonts w:ascii="Garamond" w:hAnsi="Garamond"/>
          <w:sz w:val="24"/>
          <w:szCs w:val="24"/>
        </w:rPr>
        <w:t>.</w:t>
      </w:r>
    </w:p>
    <w:p w:rsidR="006B6609" w:rsidRDefault="007D52DF" w:rsidP="007D52DF">
      <w:pPr>
        <w:autoSpaceDE w:val="0"/>
        <w:autoSpaceDN w:val="0"/>
        <w:adjustRightInd w:val="0"/>
        <w:spacing w:after="0" w:line="240" w:lineRule="auto"/>
        <w:jc w:val="both"/>
        <w:rPr>
          <w:rFonts w:ascii="Garamond" w:hAnsi="Garamond" w:cs="SimonciniGaramond"/>
          <w:sz w:val="24"/>
          <w:szCs w:val="24"/>
        </w:rPr>
      </w:pPr>
      <w:r w:rsidRPr="00EA38B9">
        <w:rPr>
          <w:rFonts w:ascii="Garamond" w:hAnsi="Garamond"/>
          <w:sz w:val="24"/>
          <w:szCs w:val="24"/>
        </w:rPr>
        <w:t>Si può dunque dedurre che sotto il profilo dell’equilibrio interistituzionale si constata un rafforzamento della Commissione, ma che tale rafforzamento appare ridimensionato se collocato nell’ambito delle dinamiche degli equilibri di potere che hanno determinato lo spostamento del centro decisionale verso il Consiglio europeo/ Euro summit e l’Ecofin/ Eurogruppo, più che verso la dimensione comunitaria della Commissione e del Parlamento</w:t>
      </w:r>
      <w:r w:rsidRPr="00EA38B9">
        <w:rPr>
          <w:rStyle w:val="Rimandonotaapidipagina"/>
          <w:rFonts w:ascii="Garamond" w:hAnsi="Garamond"/>
          <w:sz w:val="24"/>
          <w:szCs w:val="24"/>
        </w:rPr>
        <w:footnoteReference w:id="11"/>
      </w:r>
      <w:r w:rsidRPr="00EA38B9">
        <w:rPr>
          <w:rFonts w:ascii="Garamond" w:hAnsi="Garamond"/>
          <w:sz w:val="24"/>
          <w:szCs w:val="24"/>
        </w:rPr>
        <w:t>.</w:t>
      </w:r>
      <w:r w:rsidR="006B6609" w:rsidRPr="00EA38B9">
        <w:rPr>
          <w:rFonts w:ascii="Garamond" w:hAnsi="Garamond" w:cs="SimonciniGaramond"/>
          <w:sz w:val="24"/>
          <w:szCs w:val="24"/>
        </w:rPr>
        <w:t xml:space="preserve"> </w:t>
      </w:r>
    </w:p>
    <w:p w:rsidR="007D52DF" w:rsidRPr="00EA38B9" w:rsidRDefault="006B6609" w:rsidP="006B6609">
      <w:pPr>
        <w:autoSpaceDE w:val="0"/>
        <w:autoSpaceDN w:val="0"/>
        <w:adjustRightInd w:val="0"/>
        <w:spacing w:after="0" w:line="240" w:lineRule="auto"/>
        <w:jc w:val="both"/>
        <w:rPr>
          <w:rFonts w:ascii="Garamond" w:hAnsi="Garamond"/>
          <w:sz w:val="24"/>
          <w:szCs w:val="24"/>
        </w:rPr>
      </w:pPr>
      <w:r>
        <w:rPr>
          <w:rFonts w:ascii="Garamond" w:hAnsi="Garamond" w:cs="SimonciniGaramond"/>
          <w:sz w:val="24"/>
          <w:szCs w:val="24"/>
        </w:rPr>
        <w:t>Rispetto a tale quadro, un’osservazione a parte</w:t>
      </w:r>
      <w:r w:rsidRPr="00EA38B9">
        <w:rPr>
          <w:rFonts w:ascii="Garamond" w:hAnsi="Garamond" w:cs="SimonciniGaramond"/>
          <w:sz w:val="24"/>
          <w:szCs w:val="24"/>
        </w:rPr>
        <w:t xml:space="preserve"> riguarda il Trattato per l’istituzione del Meccanismo europeo di stabilità (</w:t>
      </w:r>
      <w:proofErr w:type="spellStart"/>
      <w:r w:rsidRPr="00EA38B9">
        <w:rPr>
          <w:rFonts w:ascii="Garamond" w:hAnsi="Garamond" w:cs="SimonciniGaramond"/>
          <w:sz w:val="24"/>
          <w:szCs w:val="24"/>
        </w:rPr>
        <w:t>Mes</w:t>
      </w:r>
      <w:proofErr w:type="spellEnd"/>
      <w:r w:rsidRPr="00EA38B9">
        <w:rPr>
          <w:rFonts w:ascii="Garamond" w:hAnsi="Garamond" w:cs="SimonciniGaramond"/>
          <w:sz w:val="24"/>
          <w:szCs w:val="24"/>
        </w:rPr>
        <w:t xml:space="preserve">) che pur essendo una istituzione internazionale, con stretti raccordi con le </w:t>
      </w:r>
      <w:r w:rsidRPr="00EA38B9">
        <w:rPr>
          <w:rFonts w:ascii="Garamond" w:hAnsi="Garamond" w:cs="SimonciniGaramond"/>
          <w:sz w:val="24"/>
          <w:szCs w:val="24"/>
        </w:rPr>
        <w:lastRenderedPageBreak/>
        <w:t xml:space="preserve">istituzioni europee, ha una struttura intergovernativa del </w:t>
      </w:r>
      <w:proofErr w:type="spellStart"/>
      <w:r w:rsidRPr="00EA38B9">
        <w:rPr>
          <w:rFonts w:ascii="Garamond" w:hAnsi="Garamond" w:cs="SimonciniGaramond"/>
          <w:sz w:val="24"/>
          <w:szCs w:val="24"/>
        </w:rPr>
        <w:t>Board</w:t>
      </w:r>
      <w:proofErr w:type="spellEnd"/>
      <w:r w:rsidRPr="00EA38B9">
        <w:rPr>
          <w:rFonts w:ascii="Garamond" w:hAnsi="Garamond" w:cs="SimonciniGaramond"/>
          <w:sz w:val="24"/>
          <w:szCs w:val="24"/>
        </w:rPr>
        <w:t xml:space="preserve"> </w:t>
      </w:r>
      <w:proofErr w:type="spellStart"/>
      <w:r w:rsidRPr="00EA38B9">
        <w:rPr>
          <w:rFonts w:ascii="Garamond" w:hAnsi="Garamond" w:cs="SimonciniGaramond"/>
          <w:sz w:val="24"/>
          <w:szCs w:val="24"/>
        </w:rPr>
        <w:t>of</w:t>
      </w:r>
      <w:proofErr w:type="spellEnd"/>
      <w:r w:rsidRPr="00EA38B9">
        <w:rPr>
          <w:rFonts w:ascii="Garamond" w:hAnsi="Garamond" w:cs="SimonciniGaramond"/>
          <w:sz w:val="24"/>
          <w:szCs w:val="24"/>
        </w:rPr>
        <w:t xml:space="preserve"> </w:t>
      </w:r>
      <w:proofErr w:type="spellStart"/>
      <w:r w:rsidRPr="00EA38B9">
        <w:rPr>
          <w:rFonts w:ascii="Garamond" w:hAnsi="Garamond" w:cs="SimonciniGaramond"/>
          <w:sz w:val="24"/>
          <w:szCs w:val="24"/>
        </w:rPr>
        <w:t>directors</w:t>
      </w:r>
      <w:proofErr w:type="spellEnd"/>
      <w:r w:rsidRPr="00EA38B9">
        <w:rPr>
          <w:rFonts w:ascii="Garamond" w:hAnsi="Garamond" w:cs="SimonciniGaramond"/>
          <w:sz w:val="24"/>
          <w:szCs w:val="24"/>
        </w:rPr>
        <w:t>, il che indirettamente rafforza l’influenza dei governi nazionali nello sviluppo degli equilibri istituzionali</w:t>
      </w:r>
    </w:p>
    <w:p w:rsidR="00BF3FA0" w:rsidRPr="00EA38B9" w:rsidRDefault="00BF3FA0" w:rsidP="00BF3FA0">
      <w:pPr>
        <w:autoSpaceDE w:val="0"/>
        <w:autoSpaceDN w:val="0"/>
        <w:adjustRightInd w:val="0"/>
        <w:spacing w:after="0" w:line="240" w:lineRule="auto"/>
        <w:rPr>
          <w:rFonts w:ascii="Garamond" w:hAnsi="Garamond" w:cs="Times New Roman"/>
          <w:b/>
          <w:bCs/>
          <w:sz w:val="24"/>
          <w:szCs w:val="24"/>
        </w:rPr>
      </w:pPr>
    </w:p>
    <w:p w:rsidR="00BF3FA0" w:rsidRPr="00EA38B9" w:rsidRDefault="00C62A6A" w:rsidP="00BF3FA0">
      <w:pPr>
        <w:autoSpaceDE w:val="0"/>
        <w:autoSpaceDN w:val="0"/>
        <w:adjustRightInd w:val="0"/>
        <w:spacing w:after="0" w:line="240" w:lineRule="auto"/>
        <w:rPr>
          <w:rFonts w:ascii="Garamond" w:hAnsi="Garamond" w:cs="Arial,Italic"/>
          <w:b/>
          <w:bCs/>
          <w:i/>
          <w:iCs/>
          <w:sz w:val="24"/>
          <w:szCs w:val="24"/>
        </w:rPr>
      </w:pPr>
      <w:r>
        <w:rPr>
          <w:rFonts w:ascii="Garamond" w:hAnsi="Garamond" w:cs="Times New Roman"/>
          <w:b/>
          <w:bCs/>
          <w:sz w:val="24"/>
          <w:szCs w:val="24"/>
        </w:rPr>
        <w:t>2</w:t>
      </w:r>
      <w:r w:rsidR="00BF3FA0" w:rsidRPr="00EA38B9">
        <w:rPr>
          <w:rFonts w:ascii="Garamond" w:hAnsi="Garamond" w:cs="Times New Roman"/>
          <w:b/>
          <w:bCs/>
          <w:sz w:val="24"/>
          <w:szCs w:val="24"/>
        </w:rPr>
        <w:t>. Il ruolo del Parlamento europeo dal rafforzamento formale all’emarginazione sostanziale</w:t>
      </w:r>
    </w:p>
    <w:p w:rsidR="007D52DF" w:rsidRPr="00EA38B9" w:rsidRDefault="00F50CEA" w:rsidP="006B6609">
      <w:pPr>
        <w:autoSpaceDE w:val="0"/>
        <w:autoSpaceDN w:val="0"/>
        <w:adjustRightInd w:val="0"/>
        <w:spacing w:after="0" w:line="240" w:lineRule="auto"/>
        <w:rPr>
          <w:rFonts w:ascii="Garamond" w:hAnsi="Garamond" w:cs="Arial,Italic"/>
          <w:i/>
          <w:iCs/>
          <w:sz w:val="24"/>
          <w:szCs w:val="24"/>
        </w:rPr>
      </w:pPr>
      <w:r w:rsidRPr="00EA38B9">
        <w:rPr>
          <w:rFonts w:ascii="Garamond" w:hAnsi="Garamond" w:cs="Times New Roman"/>
          <w:sz w:val="24"/>
          <w:szCs w:val="24"/>
        </w:rPr>
        <w:t>Nell’ambito di queste dinamiche istituzionali va collocata la riflessione sull’</w:t>
      </w:r>
      <w:proofErr w:type="spellStart"/>
      <w:r w:rsidRPr="00EA38B9">
        <w:rPr>
          <w:rFonts w:ascii="Garamond" w:hAnsi="Garamond" w:cs="Times New Roman"/>
          <w:sz w:val="24"/>
          <w:szCs w:val="24"/>
        </w:rPr>
        <w:t>evoluione</w:t>
      </w:r>
      <w:proofErr w:type="spellEnd"/>
      <w:r w:rsidRPr="00EA38B9">
        <w:rPr>
          <w:rFonts w:ascii="Garamond" w:hAnsi="Garamond" w:cs="Times New Roman"/>
          <w:sz w:val="24"/>
          <w:szCs w:val="24"/>
        </w:rPr>
        <w:t xml:space="preserve"> del ruolo del Parlamento europeo che dov</w:t>
      </w:r>
      <w:r w:rsidR="006B6609">
        <w:rPr>
          <w:rFonts w:ascii="Garamond" w:hAnsi="Garamond" w:cs="Times New Roman"/>
          <w:sz w:val="24"/>
          <w:szCs w:val="24"/>
        </w:rPr>
        <w:t>rà par</w:t>
      </w:r>
      <w:r w:rsidRPr="00EA38B9">
        <w:rPr>
          <w:rFonts w:ascii="Garamond" w:hAnsi="Garamond" w:cs="Times New Roman"/>
          <w:sz w:val="24"/>
          <w:szCs w:val="24"/>
        </w:rPr>
        <w:t xml:space="preserve">tire dalla constatazione di come </w:t>
      </w:r>
      <w:r w:rsidR="007D52DF" w:rsidRPr="00EA38B9">
        <w:rPr>
          <w:rFonts w:ascii="Garamond" w:hAnsi="Garamond" w:cs="Times New Roman"/>
          <w:sz w:val="24"/>
          <w:szCs w:val="24"/>
        </w:rPr>
        <w:t>le disposizioni del Trattato di Lisbona</w:t>
      </w:r>
      <w:r w:rsidRPr="00EA38B9">
        <w:rPr>
          <w:rFonts w:ascii="Garamond" w:hAnsi="Garamond" w:cs="Times New Roman"/>
          <w:sz w:val="24"/>
          <w:szCs w:val="24"/>
        </w:rPr>
        <w:t xml:space="preserve"> abbiamo contribuito ad un suo rafforzamento</w:t>
      </w:r>
      <w:r w:rsidR="007D52DF" w:rsidRPr="00EA38B9">
        <w:rPr>
          <w:rFonts w:ascii="Garamond" w:hAnsi="Garamond" w:cs="Times New Roman"/>
          <w:sz w:val="24"/>
          <w:szCs w:val="24"/>
        </w:rPr>
        <w:t xml:space="preserve"> rispetto al passato.</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 xml:space="preserve">In tal senso, basti pensare che la procedura di </w:t>
      </w:r>
      <w:proofErr w:type="spellStart"/>
      <w:r w:rsidRPr="00EA38B9">
        <w:rPr>
          <w:rFonts w:ascii="Garamond" w:hAnsi="Garamond"/>
          <w:sz w:val="24"/>
          <w:szCs w:val="24"/>
        </w:rPr>
        <w:t>codecisione</w:t>
      </w:r>
      <w:proofErr w:type="spellEnd"/>
      <w:r w:rsidRPr="00EA38B9">
        <w:rPr>
          <w:rFonts w:ascii="Garamond" w:hAnsi="Garamond"/>
          <w:sz w:val="24"/>
          <w:szCs w:val="24"/>
        </w:rPr>
        <w:t xml:space="preserve"> si applica in numerosi settori tra cui anche il bilancio europeo, rispetto al quale i poteri parlamentari si sono progressivamente ampliati sin dalla abrogazione della distinzione tra spese ordinarie e spese straordinarie.</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 xml:space="preserve">Si tratta di lievi ma significativi progressi sui quali si inserisce anche l’attribuzione al Parlamento europeo dell’ “ultima parola” sull’approvazione del bilancio dell’Unione, come anche il consenso che è tenuto ad esprimere sulla programmazione finanziaria annuale. </w:t>
      </w:r>
    </w:p>
    <w:p w:rsidR="007D52DF" w:rsidRPr="00EA38B9" w:rsidRDefault="007D52DF" w:rsidP="00C62A6A">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Né</w:t>
      </w:r>
      <w:r w:rsidR="00C62A6A">
        <w:rPr>
          <w:rFonts w:ascii="Garamond" w:hAnsi="Garamond"/>
          <w:sz w:val="24"/>
          <w:szCs w:val="24"/>
        </w:rPr>
        <w:t xml:space="preserve"> </w:t>
      </w:r>
      <w:r w:rsidRPr="00EA38B9">
        <w:rPr>
          <w:rFonts w:ascii="Garamond" w:hAnsi="Garamond"/>
          <w:sz w:val="24"/>
          <w:szCs w:val="24"/>
        </w:rPr>
        <w:t xml:space="preserve">si può sottovalutare che le misure di contrasto alla crisi sono state introdotte dal </w:t>
      </w:r>
      <w:proofErr w:type="spellStart"/>
      <w:r w:rsidRPr="00EA38B9">
        <w:rPr>
          <w:rFonts w:ascii="Garamond" w:hAnsi="Garamond"/>
          <w:sz w:val="24"/>
          <w:szCs w:val="24"/>
        </w:rPr>
        <w:t>six</w:t>
      </w:r>
      <w:proofErr w:type="spellEnd"/>
      <w:r w:rsidRPr="00EA38B9">
        <w:rPr>
          <w:rFonts w:ascii="Garamond" w:hAnsi="Garamond"/>
          <w:sz w:val="24"/>
          <w:szCs w:val="24"/>
        </w:rPr>
        <w:t xml:space="preserve"> pack e dal </w:t>
      </w:r>
      <w:proofErr w:type="spellStart"/>
      <w:r w:rsidRPr="00EA38B9">
        <w:rPr>
          <w:rFonts w:ascii="Garamond" w:hAnsi="Garamond"/>
          <w:sz w:val="24"/>
          <w:szCs w:val="24"/>
        </w:rPr>
        <w:t>two</w:t>
      </w:r>
      <w:proofErr w:type="spellEnd"/>
      <w:r w:rsidRPr="00EA38B9">
        <w:rPr>
          <w:rFonts w:ascii="Garamond" w:hAnsi="Garamond"/>
          <w:sz w:val="24"/>
          <w:szCs w:val="24"/>
        </w:rPr>
        <w:t xml:space="preserve"> pack, approvati secondo la procedura legislativa ordinaria coinvolgendo anche il Parlamento europeo</w:t>
      </w:r>
      <w:r w:rsidRPr="00EA38B9">
        <w:rPr>
          <w:rStyle w:val="Rimandonotaapidipagina"/>
          <w:rFonts w:ascii="Garamond" w:hAnsi="Garamond"/>
          <w:sz w:val="24"/>
          <w:szCs w:val="24"/>
        </w:rPr>
        <w:footnoteReference w:id="12"/>
      </w:r>
      <w:r w:rsidRPr="00EA38B9">
        <w:rPr>
          <w:rFonts w:ascii="Garamond" w:hAnsi="Garamond"/>
          <w:sz w:val="24"/>
          <w:szCs w:val="24"/>
        </w:rPr>
        <w:t>.</w:t>
      </w:r>
    </w:p>
    <w:p w:rsidR="00F50CEA" w:rsidRPr="00EA38B9" w:rsidRDefault="007D52DF" w:rsidP="00C62A6A">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Tuttavia, questi elementi non sono giunti a tradursi in un maggior controllo sugli orientamenti e sull’applicazione della politica economica dell’Unione</w:t>
      </w:r>
      <w:r w:rsidR="00C62A6A">
        <w:rPr>
          <w:rFonts w:ascii="Garamond" w:hAnsi="Garamond"/>
          <w:sz w:val="24"/>
          <w:szCs w:val="24"/>
        </w:rPr>
        <w:t>, rimasti essenzialmente</w:t>
      </w:r>
      <w:r w:rsidRPr="00EA38B9">
        <w:rPr>
          <w:rFonts w:ascii="Garamond" w:hAnsi="Garamond"/>
          <w:sz w:val="24"/>
          <w:szCs w:val="24"/>
        </w:rPr>
        <w:t xml:space="preserve"> nell’ambito della dimensione intergovern</w:t>
      </w:r>
      <w:r w:rsidR="00F50CEA" w:rsidRPr="00EA38B9">
        <w:rPr>
          <w:rFonts w:ascii="Garamond" w:hAnsi="Garamond"/>
          <w:sz w:val="24"/>
          <w:szCs w:val="24"/>
        </w:rPr>
        <w:t>ativa ed esecutiva dell’Unione.</w:t>
      </w:r>
    </w:p>
    <w:p w:rsidR="007D52DF" w:rsidRPr="00EA38B9" w:rsidRDefault="007D52DF" w:rsidP="00F50CEA">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 xml:space="preserve">Il Parlamento europeo, infatti, non concorre alla definizione delle priorità strategiche nell’ambito del Semestre europeo, così come non è coinvolto nelle raccomandazioni specifiche per ciascun Paese che Commissione e Consiglio definiscono nell’ambito del braccio preventivo e correttivo del Patto di stabilità e crescita. </w:t>
      </w:r>
      <w:r w:rsidRPr="00EA38B9">
        <w:rPr>
          <w:rFonts w:ascii="Garamond" w:hAnsi="Garamond" w:cs="Times New Roman"/>
          <w:sz w:val="24"/>
          <w:szCs w:val="24"/>
        </w:rPr>
        <w:t>L’osservazione è rafforzata in riferimento al</w:t>
      </w:r>
      <w:r w:rsidR="00F50CEA" w:rsidRPr="00EA38B9">
        <w:rPr>
          <w:rFonts w:ascii="Garamond" w:hAnsi="Garamond" w:cs="Times New Roman"/>
          <w:sz w:val="24"/>
          <w:szCs w:val="24"/>
        </w:rPr>
        <w:t xml:space="preserve"> Trattato istitutivo del Meccanismo europeo di stabilità (</w:t>
      </w:r>
      <w:proofErr w:type="spellStart"/>
      <w:r w:rsidRPr="00EA38B9">
        <w:rPr>
          <w:rFonts w:ascii="Garamond" w:hAnsi="Garamond" w:cs="Times New Roman"/>
          <w:sz w:val="24"/>
          <w:szCs w:val="24"/>
        </w:rPr>
        <w:t>Mes</w:t>
      </w:r>
      <w:proofErr w:type="spellEnd"/>
      <w:r w:rsidR="00F50CEA" w:rsidRPr="00EA38B9">
        <w:rPr>
          <w:rFonts w:ascii="Garamond" w:hAnsi="Garamond" w:cs="Times New Roman"/>
          <w:sz w:val="24"/>
          <w:szCs w:val="24"/>
        </w:rPr>
        <w:t>)</w:t>
      </w:r>
      <w:r w:rsidRPr="00EA38B9">
        <w:rPr>
          <w:rFonts w:ascii="Garamond" w:hAnsi="Garamond" w:cs="Times New Roman"/>
          <w:sz w:val="24"/>
          <w:szCs w:val="24"/>
        </w:rPr>
        <w:t xml:space="preserve"> le cui risorse non derivano dal bilancio </w:t>
      </w:r>
      <w:r w:rsidR="00F50CEA" w:rsidRPr="00EA38B9">
        <w:rPr>
          <w:rFonts w:ascii="Garamond" w:hAnsi="Garamond" w:cs="Times New Roman"/>
          <w:sz w:val="24"/>
          <w:szCs w:val="24"/>
        </w:rPr>
        <w:t>europeo</w:t>
      </w:r>
      <w:r w:rsidRPr="00EA38B9">
        <w:rPr>
          <w:rFonts w:ascii="Garamond" w:hAnsi="Garamond" w:cs="Times New Roman"/>
          <w:sz w:val="24"/>
          <w:szCs w:val="24"/>
        </w:rPr>
        <w:t>, il che comporta automaticamente l’esclusione del Parlamento europeo da decisioni concernenti uno strumento chiave per la stabilità dell’Unione</w:t>
      </w:r>
      <w:r w:rsidRPr="00EA38B9">
        <w:rPr>
          <w:rStyle w:val="Rimandonotaapidipagina"/>
          <w:rFonts w:ascii="Garamond" w:hAnsi="Garamond" w:cs="Times New Roman"/>
          <w:sz w:val="24"/>
          <w:szCs w:val="24"/>
        </w:rPr>
        <w:footnoteReference w:id="13"/>
      </w:r>
      <w:r w:rsidRPr="00EA38B9">
        <w:rPr>
          <w:rFonts w:ascii="Garamond" w:hAnsi="Garamond" w:cs="Times New Roman"/>
          <w:sz w:val="24"/>
          <w:szCs w:val="24"/>
        </w:rPr>
        <w:t>.</w:t>
      </w:r>
    </w:p>
    <w:p w:rsidR="005E2545" w:rsidRPr="00EA38B9" w:rsidRDefault="007D52DF" w:rsidP="00C62A6A">
      <w:pPr>
        <w:autoSpaceDE w:val="0"/>
        <w:autoSpaceDN w:val="0"/>
        <w:adjustRightInd w:val="0"/>
        <w:spacing w:after="0" w:line="240" w:lineRule="auto"/>
        <w:jc w:val="both"/>
        <w:rPr>
          <w:rFonts w:ascii="Garamond" w:hAnsi="Garamond" w:cs="Times New Roman"/>
          <w:sz w:val="24"/>
          <w:szCs w:val="24"/>
        </w:rPr>
      </w:pPr>
      <w:r w:rsidRPr="00EA38B9">
        <w:rPr>
          <w:rFonts w:ascii="Garamond" w:hAnsi="Garamond"/>
          <w:sz w:val="24"/>
          <w:szCs w:val="24"/>
        </w:rPr>
        <w:t>Tale debolezza del Parlamento si evidenzia in particolar modo rispetto al Consiglio europeo il cui presidente è tenuto soltanto a presentare una relazione al</w:t>
      </w:r>
      <w:r w:rsidR="00C62A6A">
        <w:rPr>
          <w:rFonts w:ascii="Garamond" w:hAnsi="Garamond"/>
          <w:sz w:val="24"/>
          <w:szCs w:val="24"/>
        </w:rPr>
        <w:t>l’Assemblea</w:t>
      </w:r>
      <w:r w:rsidRPr="00EA38B9">
        <w:rPr>
          <w:rFonts w:ascii="Garamond" w:hAnsi="Garamond"/>
          <w:sz w:val="24"/>
          <w:szCs w:val="24"/>
        </w:rPr>
        <w:t xml:space="preserve"> dopo ogni riunione (art.15, par. 6, lettera d, Tue); peraltro alle suddette riunioni il Presidente del Parlamento europeo può partecipare per essere ascoltato circa le posizioni dell’assemblea sui lavori oggetto della riunione, ma solo su invito ( art.235, par.2 </w:t>
      </w:r>
      <w:proofErr w:type="spellStart"/>
      <w:r w:rsidRPr="00EA38B9">
        <w:rPr>
          <w:rFonts w:ascii="Garamond" w:hAnsi="Garamond"/>
          <w:sz w:val="24"/>
          <w:szCs w:val="24"/>
        </w:rPr>
        <w:t>Tfue</w:t>
      </w:r>
      <w:proofErr w:type="spellEnd"/>
      <w:r w:rsidRPr="00EA38B9">
        <w:rPr>
          <w:rFonts w:ascii="Garamond" w:hAnsi="Garamond"/>
          <w:sz w:val="24"/>
          <w:szCs w:val="24"/>
        </w:rPr>
        <w:t>)</w:t>
      </w:r>
      <w:r w:rsidRPr="00EA38B9">
        <w:rPr>
          <w:rStyle w:val="Rimandonotaapidipagina"/>
          <w:rFonts w:ascii="Garamond" w:hAnsi="Garamond"/>
          <w:sz w:val="24"/>
          <w:szCs w:val="24"/>
        </w:rPr>
        <w:footnoteReference w:id="14"/>
      </w:r>
      <w:r w:rsidRPr="00EA38B9">
        <w:rPr>
          <w:rFonts w:ascii="Garamond" w:hAnsi="Garamond"/>
          <w:sz w:val="24"/>
          <w:szCs w:val="24"/>
        </w:rPr>
        <w:t xml:space="preserve">; analoghe disposizioni sono previste dal </w:t>
      </w:r>
      <w:proofErr w:type="spellStart"/>
      <w:r w:rsidRPr="00EA38B9">
        <w:rPr>
          <w:rFonts w:ascii="Garamond" w:hAnsi="Garamond"/>
          <w:sz w:val="24"/>
          <w:szCs w:val="24"/>
        </w:rPr>
        <w:t>Tscg</w:t>
      </w:r>
      <w:proofErr w:type="spellEnd"/>
      <w:r w:rsidRPr="00EA38B9">
        <w:rPr>
          <w:rFonts w:ascii="Garamond" w:hAnsi="Garamond"/>
          <w:sz w:val="24"/>
          <w:szCs w:val="24"/>
        </w:rPr>
        <w:t xml:space="preserve"> per il Presidente del Vertice euro e per la partecipazione alle relative riunioni (art.12, par.5).</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Allo stesso tempo, va evidenziato come la nuova </w:t>
      </w:r>
      <w:proofErr w:type="spellStart"/>
      <w:r w:rsidRPr="00EA38B9">
        <w:rPr>
          <w:rFonts w:ascii="Garamond" w:hAnsi="Garamond" w:cs="Times New Roman"/>
          <w:i/>
          <w:iCs/>
          <w:sz w:val="24"/>
          <w:szCs w:val="24"/>
        </w:rPr>
        <w:t>governance</w:t>
      </w:r>
      <w:proofErr w:type="spellEnd"/>
      <w:r w:rsidRPr="00EA38B9">
        <w:rPr>
          <w:rFonts w:ascii="Garamond" w:hAnsi="Garamond" w:cs="Times New Roman"/>
          <w:i/>
          <w:iCs/>
          <w:sz w:val="24"/>
          <w:szCs w:val="24"/>
        </w:rPr>
        <w:t xml:space="preserve"> </w:t>
      </w:r>
      <w:r w:rsidRPr="00EA38B9">
        <w:rPr>
          <w:rFonts w:ascii="Garamond" w:hAnsi="Garamond" w:cs="Times New Roman"/>
          <w:sz w:val="24"/>
          <w:szCs w:val="24"/>
        </w:rPr>
        <w:t xml:space="preserve">economica europea abbia, sotto specifici profili, rafforzato il ruolo del Parlamento rispetto alle diposizioni della precedente versione del Patto di stabilità. Così, ad esempio è stata istituzionalizzata, mediante il “dialogo economico”, la prassi che vedeva il Parlamento confrontarsi con le principali istituzioni europee quali il Governatore della Banca centrale europea, il Presidente della Commissione e il Presidente del Vertice euro ( </w:t>
      </w:r>
      <w:proofErr w:type="spellStart"/>
      <w:r w:rsidRPr="00EA38B9">
        <w:rPr>
          <w:rFonts w:ascii="Garamond" w:hAnsi="Garamond" w:cs="Times New Roman"/>
          <w:sz w:val="24"/>
          <w:szCs w:val="24"/>
        </w:rPr>
        <w:t>reg.Ue</w:t>
      </w:r>
      <w:proofErr w:type="spellEnd"/>
      <w:r w:rsidRPr="00EA38B9">
        <w:rPr>
          <w:rFonts w:ascii="Garamond" w:hAnsi="Garamond" w:cs="Times New Roman"/>
          <w:sz w:val="24"/>
          <w:szCs w:val="24"/>
        </w:rPr>
        <w:t xml:space="preserve"> n.1175/2011). Ma si tratta di strumenti che consolidano comunque un ruolo essenzialmente consultivo del Parlamento europeo</w:t>
      </w:r>
      <w:r w:rsidRPr="00EA38B9">
        <w:rPr>
          <w:rStyle w:val="Rimandonotaapidipagina"/>
          <w:rFonts w:ascii="Garamond" w:hAnsi="Garamond" w:cs="Times New Roman"/>
          <w:sz w:val="24"/>
          <w:szCs w:val="24"/>
        </w:rPr>
        <w:footnoteReference w:id="15"/>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Lungi dall’applicare ad un ordinamento composito come quello europeo, categorie proprie degli ordinamenti statali, non si può fare a meno di notare che gli effetti delle misure applicative del </w:t>
      </w:r>
      <w:proofErr w:type="spellStart"/>
      <w:r w:rsidRPr="00EA38B9">
        <w:rPr>
          <w:rFonts w:ascii="Garamond" w:hAnsi="Garamond" w:cs="Times New Roman"/>
          <w:sz w:val="24"/>
          <w:szCs w:val="24"/>
        </w:rPr>
        <w:t>Tscg</w:t>
      </w:r>
      <w:proofErr w:type="spellEnd"/>
      <w:r w:rsidRPr="00EA38B9">
        <w:rPr>
          <w:rFonts w:ascii="Garamond" w:hAnsi="Garamond" w:cs="Times New Roman"/>
          <w:sz w:val="24"/>
          <w:szCs w:val="24"/>
        </w:rPr>
        <w:t xml:space="preserve"> </w:t>
      </w:r>
      <w:r w:rsidRPr="00EA38B9">
        <w:rPr>
          <w:rFonts w:ascii="Garamond" w:hAnsi="Garamond" w:cs="Times New Roman"/>
          <w:sz w:val="24"/>
          <w:szCs w:val="24"/>
        </w:rPr>
        <w:lastRenderedPageBreak/>
        <w:t>incidono sulle politiche di bilancio degli Stati membri con risvolti negativi anche sul piano della percezione della legittimità delle decisioni adottate a livello sovranazionale</w:t>
      </w:r>
      <w:r w:rsidRPr="00EA38B9">
        <w:rPr>
          <w:rStyle w:val="Rimandonotaapidipagina"/>
          <w:rFonts w:ascii="Garamond" w:hAnsi="Garamond" w:cs="Times New Roman"/>
          <w:sz w:val="24"/>
          <w:szCs w:val="24"/>
        </w:rPr>
        <w:footnoteReference w:id="16"/>
      </w:r>
      <w:r w:rsidRPr="00EA38B9">
        <w:rPr>
          <w:rFonts w:ascii="Garamond" w:hAnsi="Garamond" w:cs="Times New Roman"/>
          <w:sz w:val="24"/>
          <w:szCs w:val="24"/>
        </w:rPr>
        <w:t xml:space="preserve">. </w:t>
      </w:r>
    </w:p>
    <w:p w:rsidR="007D52DF" w:rsidRPr="00EA38B9" w:rsidRDefault="007D52DF" w:rsidP="001A3997">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Si tratta di un tema complesso poiché il deficit di democrazia percepito è in gran parte riconducibile ad una debolezza del Parlamento europeo che deriva non solo dalle prevalenti dinamiche intergovernative, ma soprattutto dalla circostanza che il suo ruolo mal si concilia con il processo di integrazione a geometria variabile seguito finora.</w:t>
      </w:r>
      <w:r w:rsidR="001A3997" w:rsidRPr="00EA38B9">
        <w:rPr>
          <w:rFonts w:ascii="Garamond" w:hAnsi="Garamond" w:cs="Times New Roman"/>
          <w:sz w:val="24"/>
          <w:szCs w:val="24"/>
        </w:rPr>
        <w:t xml:space="preserve"> A</w:t>
      </w:r>
      <w:r w:rsidRPr="00EA38B9">
        <w:rPr>
          <w:rFonts w:ascii="Garamond" w:hAnsi="Garamond" w:cs="Times New Roman"/>
          <w:sz w:val="24"/>
          <w:szCs w:val="24"/>
        </w:rPr>
        <w:t xml:space="preserve">d esempio, non tutti gli Stati dell’Unione hanno aderito al Fiscal compact, ma tutti gli Stati hanno un loro rappresentante in Parlamento. Nello specifico la questione non rileva ai fini pratici poiché il Fiscal compact riprende quanto già disposto dalla normativa europea, ma serve a testimoniare come il ruolo e le funzioni del Parlamento, in quanto assestate sulla dimensione e sul metodo comunitario, non appaiono adeguate alle dinamiche intergovernative accentuate dalla crisi e dalla nuova </w:t>
      </w:r>
      <w:proofErr w:type="spellStart"/>
      <w:r w:rsidRPr="00EA38B9">
        <w:rPr>
          <w:rFonts w:ascii="Garamond" w:hAnsi="Garamond" w:cs="Times New Roman"/>
          <w:sz w:val="24"/>
          <w:szCs w:val="24"/>
        </w:rPr>
        <w:t>governance</w:t>
      </w:r>
      <w:proofErr w:type="spellEnd"/>
      <w:r w:rsidRPr="00EA38B9">
        <w:rPr>
          <w:rFonts w:ascii="Garamond" w:hAnsi="Garamond" w:cs="Times New Roman"/>
          <w:sz w:val="24"/>
          <w:szCs w:val="24"/>
        </w:rPr>
        <w:t xml:space="preserve"> economica europea. </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La questione è spinosa e rimanda alle possibili modalità per legittimare le deliberazioni parlamentari in materie economiche, in un Parlamento composto anche da rappresentanti di Paesi non compresi nell’eurozona</w:t>
      </w:r>
      <w:r w:rsidRPr="00EA38B9">
        <w:rPr>
          <w:rStyle w:val="Rimandonotaapidipagina"/>
          <w:rFonts w:ascii="Garamond" w:hAnsi="Garamond" w:cs="Times New Roman"/>
          <w:sz w:val="24"/>
          <w:szCs w:val="24"/>
        </w:rPr>
        <w:footnoteReference w:id="17"/>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Sul punto sono state avanzate diverse ipotesi riconducibili essenzialmente a due filoni.</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Sono riconducibili al primo filone la proposta di creare un Euro parlamento, costituito dai membri dei parlamenti nazionali e solo dai membri del Parlamento europeo provenienti dagli Stati della zona euro</w:t>
      </w:r>
      <w:r w:rsidRPr="00EA38B9">
        <w:rPr>
          <w:rStyle w:val="Rimandonotaapidipagina"/>
          <w:rFonts w:ascii="Garamond" w:hAnsi="Garamond" w:cs="Times New Roman"/>
          <w:sz w:val="24"/>
          <w:szCs w:val="24"/>
        </w:rPr>
        <w:footnoteReference w:id="18"/>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Sulla stessa linea anche l’idea di creare una Euro Camera composta soltanto da membri dei parlamenti nazionali, dedicata all’esame e controllo delle misure proposte dai governi dell’Eurozona</w:t>
      </w:r>
      <w:r w:rsidRPr="00EA38B9">
        <w:rPr>
          <w:rStyle w:val="Rimandonotaapidipagina"/>
          <w:rFonts w:ascii="Garamond" w:hAnsi="Garamond" w:cs="Times New Roman"/>
          <w:sz w:val="24"/>
          <w:szCs w:val="24"/>
        </w:rPr>
        <w:footnoteReference w:id="19"/>
      </w:r>
      <w:r w:rsidRPr="00EA38B9">
        <w:rPr>
          <w:rFonts w:ascii="Garamond" w:hAnsi="Garamond" w:cs="Times New Roman"/>
          <w:sz w:val="24"/>
          <w:szCs w:val="24"/>
        </w:rPr>
        <w:t>, il che, come è stato osservato, delineerebbe una situazione simile al doppio mandato verificatasi fino all’elezione diretta del Parlamento europeo avvenuta nel 1979</w:t>
      </w:r>
      <w:r w:rsidRPr="00EA38B9">
        <w:rPr>
          <w:rStyle w:val="Rimandonotaapidipagina"/>
          <w:rFonts w:ascii="Garamond" w:hAnsi="Garamond" w:cs="Times New Roman"/>
          <w:sz w:val="24"/>
          <w:szCs w:val="24"/>
        </w:rPr>
        <w:footnoteReference w:id="20"/>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Più recentemente, è stata avanzata l’ipotesi di creare una Camera europea composta dai rappresentanti nazionali che nella fase iniziale coinvolgerebbe solo i paesi dell’Eurozona che intendano progredire verso una maggiore integrazione politica e fiscale</w:t>
      </w:r>
      <w:r w:rsidRPr="00EA38B9">
        <w:rPr>
          <w:rStyle w:val="Rimandonotaapidipagina"/>
          <w:rFonts w:ascii="Garamond" w:hAnsi="Garamond" w:cs="Times New Roman"/>
          <w:sz w:val="24"/>
          <w:szCs w:val="24"/>
        </w:rPr>
        <w:footnoteReference w:id="21"/>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La principale ipotesi riconducibile al secondo filone è contenuta nel </w:t>
      </w:r>
      <w:proofErr w:type="spellStart"/>
      <w:r w:rsidRPr="00EA38B9">
        <w:rPr>
          <w:rFonts w:ascii="Garamond" w:hAnsi="Garamond" w:cs="Times New Roman"/>
          <w:sz w:val="24"/>
          <w:szCs w:val="24"/>
        </w:rPr>
        <w:t>Final</w:t>
      </w:r>
      <w:proofErr w:type="spellEnd"/>
      <w:r w:rsidRPr="00EA38B9">
        <w:rPr>
          <w:rFonts w:ascii="Garamond" w:hAnsi="Garamond" w:cs="Times New Roman"/>
          <w:sz w:val="24"/>
          <w:szCs w:val="24"/>
        </w:rPr>
        <w:t xml:space="preserve"> Report </w:t>
      </w:r>
      <w:proofErr w:type="spellStart"/>
      <w:r w:rsidRPr="00EA38B9">
        <w:rPr>
          <w:rFonts w:ascii="Garamond" w:hAnsi="Garamond" w:cs="Times New Roman"/>
          <w:sz w:val="24"/>
          <w:szCs w:val="24"/>
        </w:rPr>
        <w:t>of</w:t>
      </w:r>
      <w:proofErr w:type="spellEnd"/>
      <w:r w:rsidRPr="00EA38B9">
        <w:rPr>
          <w:rFonts w:ascii="Garamond" w:hAnsi="Garamond" w:cs="Times New Roman"/>
          <w:sz w:val="24"/>
          <w:szCs w:val="24"/>
        </w:rPr>
        <w:t xml:space="preserve"> the future </w:t>
      </w:r>
      <w:proofErr w:type="spellStart"/>
      <w:r w:rsidRPr="00EA38B9">
        <w:rPr>
          <w:rFonts w:ascii="Garamond" w:hAnsi="Garamond" w:cs="Times New Roman"/>
          <w:sz w:val="24"/>
          <w:szCs w:val="24"/>
        </w:rPr>
        <w:t>of</w:t>
      </w:r>
      <w:proofErr w:type="spellEnd"/>
      <w:r w:rsidRPr="00EA38B9">
        <w:rPr>
          <w:rFonts w:ascii="Garamond" w:hAnsi="Garamond" w:cs="Times New Roman"/>
          <w:sz w:val="24"/>
          <w:szCs w:val="24"/>
        </w:rPr>
        <w:t xml:space="preserve"> </w:t>
      </w:r>
      <w:proofErr w:type="spellStart"/>
      <w:r w:rsidRPr="00EA38B9">
        <w:rPr>
          <w:rFonts w:ascii="Garamond" w:hAnsi="Garamond" w:cs="Times New Roman"/>
          <w:sz w:val="24"/>
          <w:szCs w:val="24"/>
        </w:rPr>
        <w:t>Europe</w:t>
      </w:r>
      <w:proofErr w:type="spellEnd"/>
      <w:r w:rsidRPr="00EA38B9">
        <w:rPr>
          <w:rFonts w:ascii="Garamond" w:hAnsi="Garamond" w:cs="Times New Roman"/>
          <w:sz w:val="24"/>
          <w:szCs w:val="24"/>
        </w:rPr>
        <w:t xml:space="preserve"> Group, dei ministri degli Affari esteri di Austria, Belgio, Danimarca, Francia, Italia, Germania, Lussemburgo Olanda, Polonia, Portogallo e Spagna. Si propone di riservare il diritto di voto esclusivamente ai parlamentari europei eletti nei Paesi dell’eurozona, relativamente alle decisioni applicabili agli Stati effettivamente già membri dell’eurozona</w:t>
      </w:r>
      <w:r w:rsidRPr="00EA38B9">
        <w:rPr>
          <w:rStyle w:val="Rimandonotaapidipagina"/>
          <w:rFonts w:ascii="Garamond" w:hAnsi="Garamond" w:cs="Times New Roman"/>
          <w:sz w:val="24"/>
          <w:szCs w:val="24"/>
        </w:rPr>
        <w:footnoteReference w:id="22"/>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lastRenderedPageBreak/>
        <w:t>Entrambe le tipologie di proposta presentano difficoltà applicative derivanti dalla contraddittorietà rispetto ai principi su cui si fonda il ruolo e la funzione del Parlamento europeo.</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Il riferimento è innanzitutto all’art.14 del Tue in base al quale la rappresentanza è riferita ai cittadini europei e non ai singoli Stati, il che significherebbe che una distinzione del diritto di voto per i rappresentanti della zona euro, comunque avvenga, rappresenti un alterazione del ruolo e della funzione del parlamento così come definito dai Trattati. </w:t>
      </w:r>
    </w:p>
    <w:p w:rsidR="001A3997"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Peraltro, operando un’analogia con i sistemi federali, il Parlamento europeo svolge un ruolo paragonabile alla camera bassa il cui funzionamento è basato sul principio di “un cittadino un voto” che costituisce una garanzia di eguaglianza e rappresentanza.</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Diversamente, nelle istituzioni intergovernative quali il Consiglio, si tende a rappresentare gli interessi dello Stato, allontanandosi dal principio di un cittadino un voto. Ne deriva che se anche nel Parlamento europeo si adottasse un criterio di rappresentanza diverso da quello scelto per la cittadinanza europea nel suo insieme, si avrebbe una sovra rappresentazione degli interessi territoriali, il che configurerebbe una violazione del principio di eguaglianza</w:t>
      </w:r>
      <w:r w:rsidRPr="00EA38B9">
        <w:rPr>
          <w:rStyle w:val="Rimandonotaapidipagina"/>
          <w:rFonts w:ascii="Garamond" w:hAnsi="Garamond" w:cs="Times New Roman"/>
          <w:sz w:val="24"/>
          <w:szCs w:val="24"/>
        </w:rPr>
        <w:footnoteReference w:id="23"/>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Inoltre, anche le proposte relative alla creazione di una Euro Camera composta da parlamentari nazionali, comporterebbe la creazione di una nuova istituzione parlamentare che appesantirebbe l’architettura europea, senza una chiara comprensione di quali potrebbero essere le interazioni e gli equilibri tra la nuova istituzione parlamentare e il preesistente Parlamento europeo</w:t>
      </w:r>
      <w:r w:rsidRPr="00EA38B9">
        <w:rPr>
          <w:rStyle w:val="Rimandonotaapidipagina"/>
          <w:rFonts w:ascii="Garamond" w:hAnsi="Garamond" w:cs="Times New Roman"/>
          <w:sz w:val="24"/>
          <w:szCs w:val="24"/>
        </w:rPr>
        <w:footnoteReference w:id="24"/>
      </w:r>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Un ulteriore aspetto critico riguarda il secondo ordine di proposte relativo alla limitazione del diritto di voto solo ai rappresentati degli Stati euro. In questo caso la soluzione implicherebbe una rinuncia al divieto di mandato imperativo e una sostanziale trasformazione del Parlamento europeo in una seconda camera di rappresentanza territoriale. Sul punto una delle principali obiezioni è stata che l’euro è la moneta dell’Unione e non solo dell’Eurozona e che è nella naturale funzione dei parlamenti decidere su questioni di particolare interesse per un territorio</w:t>
      </w:r>
      <w:r w:rsidRPr="00EA38B9">
        <w:rPr>
          <w:rStyle w:val="Rimandonotaapidipagina"/>
          <w:rFonts w:ascii="Garamond" w:hAnsi="Garamond" w:cs="Times New Roman"/>
          <w:sz w:val="24"/>
          <w:szCs w:val="24"/>
        </w:rPr>
        <w:footnoteReference w:id="25"/>
      </w:r>
      <w:r w:rsidRPr="00EA38B9">
        <w:rPr>
          <w:rFonts w:ascii="Garamond" w:hAnsi="Garamond" w:cs="Times New Roman"/>
          <w:sz w:val="24"/>
          <w:szCs w:val="24"/>
        </w:rPr>
        <w:t>. Inoltre si configurerebbe una situazione in cui la nuova Camera finirebbe per ridimensionare il ruolo del Parlamento europeo, rimarcherebbe la differenziazione tra Eurozona ed Unione europea, rallentandone il superamento.</w:t>
      </w:r>
    </w:p>
    <w:p w:rsidR="007D52DF" w:rsidRPr="00EA38B9" w:rsidRDefault="007D52DF" w:rsidP="007D52D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Peraltro, una delle motivazioni per obiettare all’introduzione di adeguamenti del Parlamento europeo alla geometria variabile, è offerta dalle cooperazioni rafforzate nell’ambito delle quali gli Stati partecipanti conservano la loro interazione con le istituzioni europee senza alcuna differenza rispetto ai non partecipanti</w:t>
      </w:r>
      <w:r w:rsidRPr="00EA38B9">
        <w:rPr>
          <w:rStyle w:val="Rimandonotaapidipagina"/>
          <w:rFonts w:ascii="Garamond" w:hAnsi="Garamond" w:cs="Times New Roman"/>
          <w:sz w:val="24"/>
          <w:szCs w:val="24"/>
        </w:rPr>
        <w:footnoteReference w:id="26"/>
      </w:r>
      <w:r w:rsidRPr="00EA38B9">
        <w:rPr>
          <w:rFonts w:ascii="Garamond" w:hAnsi="Garamond" w:cs="Times New Roman"/>
          <w:sz w:val="24"/>
          <w:szCs w:val="24"/>
        </w:rPr>
        <w:t>.</w:t>
      </w:r>
    </w:p>
    <w:p w:rsidR="007D52DF" w:rsidRPr="00EA38B9" w:rsidRDefault="007D52DF" w:rsidP="001A3997">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Ad ogni modo, allo stato attuale, una modalità di adeguamento per il Parlamento europeo all’Unione differenziata è fornita, nell’ambito delle cooperazioni interparlamentari, paradossalmente proprio dal </w:t>
      </w:r>
      <w:proofErr w:type="spellStart"/>
      <w:r w:rsidRPr="00EA38B9">
        <w:rPr>
          <w:rFonts w:ascii="Garamond" w:hAnsi="Garamond" w:cs="Times New Roman"/>
          <w:sz w:val="24"/>
          <w:szCs w:val="24"/>
        </w:rPr>
        <w:t>Tscg</w:t>
      </w:r>
      <w:proofErr w:type="spellEnd"/>
      <w:r w:rsidRPr="00EA38B9">
        <w:rPr>
          <w:rFonts w:ascii="Garamond" w:hAnsi="Garamond" w:cs="Times New Roman"/>
          <w:sz w:val="24"/>
          <w:szCs w:val="24"/>
        </w:rPr>
        <w:t>.</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cs="Times New Roman"/>
          <w:sz w:val="24"/>
          <w:szCs w:val="24"/>
        </w:rPr>
        <w:t xml:space="preserve">Riprendendo le disposizioni di cui al </w:t>
      </w:r>
      <w:r w:rsidRPr="00EA38B9">
        <w:rPr>
          <w:rFonts w:ascii="Garamond" w:hAnsi="Garamond"/>
          <w:sz w:val="24"/>
          <w:szCs w:val="24"/>
        </w:rPr>
        <w:t>titolo II del protocollo (n. 1) sul ruolo dei parlamenti nazionali nell'Unione europea allegato ai trattati dell'Unione europea, l’art.13 del Trattato internazionale, prevede che il Parlamento europeo e i parlamenti nazionali delle parti contraenti definiscano insieme l'organizzazione e la promozione di una conferenza dei rappresentanti delle pertinenti commissioni del Parlamento europeo e dei rappresentanti delle pertinenti commissioni dei parlamenti nazionali ai fini della discussione delle politiche di bilancio e di altre questioni rientranti nell'ambito di applicazione del trattato</w:t>
      </w:r>
      <w:r w:rsidRPr="00EA38B9">
        <w:rPr>
          <w:rStyle w:val="Rimandonotaapidipagina"/>
          <w:rFonts w:ascii="Garamond" w:hAnsi="Garamond"/>
          <w:sz w:val="24"/>
          <w:szCs w:val="24"/>
        </w:rPr>
        <w:footnoteReference w:id="27"/>
      </w:r>
      <w:r w:rsidRPr="00EA38B9">
        <w:rPr>
          <w:rFonts w:ascii="Garamond" w:hAnsi="Garamond"/>
          <w:sz w:val="24"/>
          <w:szCs w:val="24"/>
        </w:rPr>
        <w:t>.</w:t>
      </w:r>
    </w:p>
    <w:p w:rsidR="007D52DF" w:rsidRPr="00EA38B9" w:rsidRDefault="007D52DF" w:rsidP="00340EC5">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lastRenderedPageBreak/>
        <w:t xml:space="preserve">Si coglie l’intento dei contraenti di garantire all’accordo intergovernativo un aggancio con l’ordinamento europeo e un parziale recupero della rappresentatività tramite una cooperazione interparlamentare, sul modello della </w:t>
      </w:r>
      <w:proofErr w:type="spellStart"/>
      <w:r w:rsidRPr="00EA38B9">
        <w:rPr>
          <w:rFonts w:ascii="Garamond" w:hAnsi="Garamond"/>
          <w:sz w:val="24"/>
          <w:szCs w:val="24"/>
        </w:rPr>
        <w:t>Cosac</w:t>
      </w:r>
      <w:proofErr w:type="spellEnd"/>
      <w:r w:rsidRPr="00EA38B9">
        <w:rPr>
          <w:rFonts w:ascii="Garamond" w:hAnsi="Garamond"/>
          <w:sz w:val="24"/>
          <w:szCs w:val="24"/>
        </w:rPr>
        <w:t>, ma che allo stesso tempo richiama il metodo delle Convenzioni create per la elaborazione della Carta dei diritti e per il Trattato costituzionale</w:t>
      </w:r>
      <w:r w:rsidR="00340EC5">
        <w:rPr>
          <w:rFonts w:ascii="Garamond" w:hAnsi="Garamond"/>
          <w:sz w:val="24"/>
          <w:szCs w:val="24"/>
        </w:rPr>
        <w:t>.</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 xml:space="preserve">La Conferenza interparlamentare sulla </w:t>
      </w:r>
      <w:proofErr w:type="spellStart"/>
      <w:r w:rsidRPr="00EA38B9">
        <w:rPr>
          <w:rFonts w:ascii="Garamond" w:hAnsi="Garamond" w:cs="Arial,Italic"/>
          <w:i/>
          <w:iCs/>
          <w:sz w:val="24"/>
          <w:szCs w:val="24"/>
        </w:rPr>
        <w:t>governance</w:t>
      </w:r>
      <w:proofErr w:type="spellEnd"/>
      <w:r w:rsidRPr="00EA38B9">
        <w:rPr>
          <w:rFonts w:ascii="Garamond" w:hAnsi="Garamond" w:cs="Arial,Italic"/>
          <w:i/>
          <w:iCs/>
          <w:sz w:val="24"/>
          <w:szCs w:val="24"/>
        </w:rPr>
        <w:t xml:space="preserve"> </w:t>
      </w:r>
      <w:r w:rsidRPr="00EA38B9">
        <w:rPr>
          <w:rFonts w:ascii="Garamond" w:hAnsi="Garamond"/>
          <w:sz w:val="24"/>
          <w:szCs w:val="24"/>
        </w:rPr>
        <w:t>economica e finanziaria di cui all’art. 13 del Fiscal Compact, è costituita dai membri del Parlamento europeo e di tutti i Parlamenti nazionali, non solo di quelli dei paesi aderenti al Fiscal Compact o della zona euro</w:t>
      </w:r>
      <w:r w:rsidRPr="00EA38B9">
        <w:rPr>
          <w:rStyle w:val="Rimandonotaapidipagina"/>
          <w:rFonts w:ascii="Garamond" w:hAnsi="Garamond"/>
          <w:sz w:val="24"/>
          <w:szCs w:val="24"/>
        </w:rPr>
        <w:footnoteReference w:id="28"/>
      </w:r>
      <w:r w:rsidRPr="00EA38B9">
        <w:rPr>
          <w:rFonts w:ascii="Garamond" w:hAnsi="Garamond"/>
          <w:sz w:val="24"/>
          <w:szCs w:val="24"/>
        </w:rPr>
        <w:t>.</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Non è stata pertanto colta la possibilità di realizzare una Conferenza interparlamentare ristretta, né ancora è stato approvato un regolamento interno o la composizione delle delegazioni, attribuendo a ciascun Parlamento il compito di stabilirne la dimensione</w:t>
      </w:r>
      <w:r w:rsidRPr="00EA38B9">
        <w:rPr>
          <w:rStyle w:val="Rimandonotaapidipagina"/>
          <w:rFonts w:ascii="Garamond" w:hAnsi="Garamond"/>
          <w:sz w:val="24"/>
          <w:szCs w:val="24"/>
        </w:rPr>
        <w:footnoteReference w:id="29"/>
      </w:r>
      <w:r w:rsidRPr="00EA38B9">
        <w:rPr>
          <w:rFonts w:ascii="Garamond" w:hAnsi="Garamond"/>
          <w:sz w:val="24"/>
          <w:szCs w:val="24"/>
        </w:rPr>
        <w:t xml:space="preserve">. Il che, come è stato osservato, sembra essere indice della difficoltà di trovare un accordo analogo a quello raggiunto per la Conferenza interparlamentare sulla </w:t>
      </w:r>
      <w:proofErr w:type="spellStart"/>
      <w:r w:rsidRPr="00EA38B9">
        <w:rPr>
          <w:rFonts w:ascii="Garamond" w:hAnsi="Garamond"/>
          <w:sz w:val="24"/>
          <w:szCs w:val="24"/>
        </w:rPr>
        <w:t>Pesc-Pscd</w:t>
      </w:r>
      <w:proofErr w:type="spellEnd"/>
      <w:r w:rsidRPr="00EA38B9">
        <w:rPr>
          <w:rStyle w:val="Rimandonotaapidipagina"/>
          <w:rFonts w:ascii="Garamond" w:hAnsi="Garamond"/>
          <w:sz w:val="24"/>
          <w:szCs w:val="24"/>
        </w:rPr>
        <w:footnoteReference w:id="30"/>
      </w:r>
      <w:r w:rsidRPr="00EA38B9">
        <w:rPr>
          <w:rFonts w:ascii="Garamond" w:hAnsi="Garamond"/>
          <w:sz w:val="24"/>
          <w:szCs w:val="24"/>
        </w:rPr>
        <w:t>.</w:t>
      </w:r>
    </w:p>
    <w:p w:rsidR="007D52DF" w:rsidRPr="00EA38B9" w:rsidRDefault="007D52DF" w:rsidP="007D52DF">
      <w:pPr>
        <w:autoSpaceDE w:val="0"/>
        <w:autoSpaceDN w:val="0"/>
        <w:adjustRightInd w:val="0"/>
        <w:spacing w:after="0" w:line="240" w:lineRule="auto"/>
        <w:jc w:val="both"/>
        <w:rPr>
          <w:rFonts w:ascii="Garamond" w:hAnsi="Garamond"/>
          <w:sz w:val="24"/>
          <w:szCs w:val="24"/>
        </w:rPr>
      </w:pPr>
      <w:r w:rsidRPr="00EA38B9">
        <w:rPr>
          <w:rFonts w:ascii="Garamond" w:hAnsi="Garamond"/>
          <w:sz w:val="24"/>
          <w:szCs w:val="24"/>
        </w:rPr>
        <w:t xml:space="preserve">Finora dunque non sono state sfruttate appieno le potenzialità della cooperazione interparlamentare offerte dall’art.13 del </w:t>
      </w:r>
      <w:proofErr w:type="spellStart"/>
      <w:r w:rsidRPr="00EA38B9">
        <w:rPr>
          <w:rFonts w:ascii="Garamond" w:hAnsi="Garamond"/>
          <w:sz w:val="24"/>
          <w:szCs w:val="24"/>
        </w:rPr>
        <w:t>Tscg</w:t>
      </w:r>
      <w:proofErr w:type="spellEnd"/>
      <w:r w:rsidRPr="00EA38B9">
        <w:rPr>
          <w:rFonts w:ascii="Garamond" w:hAnsi="Garamond"/>
          <w:sz w:val="24"/>
          <w:szCs w:val="24"/>
        </w:rPr>
        <w:t>, il che confermerebbe, indirettamente e anche da questa prospettiva, la preminenza dell’influenza dei governi sulle dinamiche decisionali in materia economica</w:t>
      </w:r>
      <w:r w:rsidRPr="00EA38B9">
        <w:rPr>
          <w:rStyle w:val="Rimandonotaapidipagina"/>
          <w:rFonts w:ascii="Garamond" w:hAnsi="Garamond"/>
          <w:sz w:val="24"/>
          <w:szCs w:val="24"/>
        </w:rPr>
        <w:footnoteReference w:id="31"/>
      </w:r>
      <w:r w:rsidRPr="00EA38B9">
        <w:rPr>
          <w:rFonts w:ascii="Garamond" w:hAnsi="Garamond"/>
          <w:sz w:val="24"/>
          <w:szCs w:val="24"/>
        </w:rPr>
        <w:t xml:space="preserve">. </w:t>
      </w:r>
    </w:p>
    <w:p w:rsidR="00BF3FA0" w:rsidRPr="00EA38B9" w:rsidRDefault="00BF3FA0" w:rsidP="00BF3FA0">
      <w:pPr>
        <w:autoSpaceDE w:val="0"/>
        <w:autoSpaceDN w:val="0"/>
        <w:adjustRightInd w:val="0"/>
        <w:spacing w:after="0" w:line="240" w:lineRule="auto"/>
        <w:rPr>
          <w:rFonts w:ascii="Garamond" w:hAnsi="Garamond" w:cs="Arial,Italic"/>
          <w:i/>
          <w:iCs/>
          <w:sz w:val="24"/>
          <w:szCs w:val="24"/>
        </w:rPr>
      </w:pPr>
      <w:r w:rsidRPr="00EA38B9">
        <w:rPr>
          <w:rFonts w:ascii="Garamond" w:hAnsi="Garamond" w:cs="Times New Roman"/>
          <w:sz w:val="24"/>
          <w:szCs w:val="24"/>
        </w:rPr>
        <w:t xml:space="preserve"> </w:t>
      </w:r>
      <w:r w:rsidRPr="00EA38B9">
        <w:rPr>
          <w:rFonts w:ascii="Garamond" w:hAnsi="Garamond" w:cs="Times New Roman"/>
          <w:b/>
          <w:bCs/>
          <w:sz w:val="24"/>
          <w:szCs w:val="24"/>
        </w:rPr>
        <w:t>3.Il potenziale rafforzamento del Parlamento europeo attraverso il parlamentarismo multilivello</w:t>
      </w:r>
    </w:p>
    <w:p w:rsidR="002B28BE" w:rsidRPr="00EA38B9" w:rsidRDefault="002B28BE" w:rsidP="00BD5DC5">
      <w:pPr>
        <w:spacing w:after="0"/>
        <w:jc w:val="both"/>
        <w:rPr>
          <w:rFonts w:ascii="Garamond" w:hAnsi="Garamond"/>
          <w:sz w:val="24"/>
          <w:szCs w:val="24"/>
        </w:rPr>
      </w:pPr>
      <w:r w:rsidRPr="00EA38B9">
        <w:rPr>
          <w:rFonts w:ascii="Garamond" w:hAnsi="Garamond"/>
          <w:sz w:val="24"/>
          <w:szCs w:val="24"/>
        </w:rPr>
        <w:t>In generale, opportunità per un rafforzamento del Parlamento</w:t>
      </w:r>
      <w:r w:rsidR="00204918" w:rsidRPr="00EA38B9">
        <w:rPr>
          <w:rFonts w:ascii="Garamond" w:hAnsi="Garamond"/>
          <w:sz w:val="24"/>
          <w:szCs w:val="24"/>
        </w:rPr>
        <w:t xml:space="preserve"> europeo</w:t>
      </w:r>
      <w:r w:rsidRPr="00EA38B9">
        <w:rPr>
          <w:rFonts w:ascii="Garamond" w:hAnsi="Garamond"/>
          <w:sz w:val="24"/>
          <w:szCs w:val="24"/>
        </w:rPr>
        <w:t xml:space="preserve"> nelle decisioni relative alle materie economiche e finanziarie, si possono delineare sulla base dei poteri europei riconosciuti ai parlamenti nazionali</w:t>
      </w:r>
      <w:r w:rsidR="00BD5DC5"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Il Trattato di Lisbona, ed in particolare le disposizioni contenute nei protocolli allegati (</w:t>
      </w:r>
      <w:proofErr w:type="spellStart"/>
      <w:r w:rsidRPr="00EA38B9">
        <w:rPr>
          <w:rFonts w:ascii="Garamond" w:hAnsi="Garamond"/>
          <w:sz w:val="24"/>
          <w:szCs w:val="24"/>
        </w:rPr>
        <w:t>nn</w:t>
      </w:r>
      <w:proofErr w:type="spellEnd"/>
      <w:r w:rsidRPr="00EA38B9">
        <w:rPr>
          <w:rFonts w:ascii="Garamond" w:hAnsi="Garamond"/>
          <w:sz w:val="24"/>
          <w:szCs w:val="24"/>
        </w:rPr>
        <w:t>.1 e 2), relativi al ruolo dei Parlamenti nazionali e sulle applicazione dei principi di sussidiarietà e proporzionalità, consentono di  rilevare l’accentuazione di un percorso teso al consolidamento di un parlamentarismo multilivello</w:t>
      </w:r>
      <w:r w:rsidRPr="00EA38B9">
        <w:rPr>
          <w:rStyle w:val="Rimandonotaapidipagina"/>
          <w:rFonts w:ascii="Garamond" w:hAnsi="Garamond"/>
          <w:sz w:val="24"/>
          <w:szCs w:val="24"/>
        </w:rPr>
        <w:footnoteReference w:id="32"/>
      </w:r>
      <w:r w:rsidRPr="00EA38B9">
        <w:rPr>
          <w:rFonts w:ascii="Garamond" w:hAnsi="Garamond"/>
          <w:sz w:val="24"/>
          <w:szCs w:val="24"/>
        </w:rPr>
        <w:t>.</w:t>
      </w:r>
    </w:p>
    <w:p w:rsidR="002B28BE" w:rsidRPr="00EA38B9" w:rsidRDefault="002B28BE" w:rsidP="002B28BE">
      <w:pPr>
        <w:spacing w:after="0"/>
        <w:jc w:val="both"/>
        <w:rPr>
          <w:rFonts w:ascii="Garamond" w:hAnsi="Garamond" w:cs="Cambria"/>
          <w:sz w:val="24"/>
          <w:szCs w:val="24"/>
        </w:rPr>
      </w:pPr>
      <w:r w:rsidRPr="00EA38B9">
        <w:rPr>
          <w:rFonts w:ascii="Garamond" w:hAnsi="Garamond"/>
          <w:sz w:val="24"/>
          <w:szCs w:val="24"/>
        </w:rPr>
        <w:t>Ai Parlamenti nazionali sono riconosciuti poteri, di cui il nucleo fondamentale è recato dall’art.12 del Tue, che consentono loro di influenzare la formazione degli atti europei non solo per il tramite dei loro governi, ma anche direttamente</w:t>
      </w:r>
      <w:r w:rsidRPr="00EA38B9">
        <w:rPr>
          <w:rStyle w:val="Rimandonotaapidipagina"/>
          <w:rFonts w:ascii="Garamond" w:hAnsi="Garamond" w:cs="Cambria"/>
          <w:sz w:val="24"/>
          <w:szCs w:val="24"/>
        </w:rPr>
        <w:footnoteReference w:id="33"/>
      </w:r>
      <w:r w:rsidRPr="00EA38B9">
        <w:rPr>
          <w:rFonts w:ascii="Garamond" w:hAnsi="Garamond" w:cs="Cambria"/>
          <w:sz w:val="24"/>
          <w:szCs w:val="24"/>
        </w:rPr>
        <w:t xml:space="preserve">. In questa prospettiva di interlocuzione diretta con le istituzioni </w:t>
      </w:r>
      <w:r w:rsidRPr="00EA38B9">
        <w:rPr>
          <w:rFonts w:ascii="Garamond" w:hAnsi="Garamond" w:cs="Cambria"/>
          <w:sz w:val="24"/>
          <w:szCs w:val="24"/>
        </w:rPr>
        <w:lastRenderedPageBreak/>
        <w:t>dell’Unione, i parlamenti nazionali assolvono al “presidio” della sovranità nazionale, da un lato, e concorrono al “buon funzionamento” dell’Unione, dall’altro</w:t>
      </w:r>
      <w:r w:rsidRPr="00EA38B9">
        <w:rPr>
          <w:rStyle w:val="Rimandonotaapidipagina"/>
          <w:rFonts w:ascii="Garamond" w:hAnsi="Garamond" w:cs="Cambria"/>
          <w:sz w:val="24"/>
          <w:szCs w:val="24"/>
        </w:rPr>
        <w:footnoteReference w:id="34"/>
      </w:r>
      <w:r w:rsidRPr="00EA38B9">
        <w:rPr>
          <w:rFonts w:ascii="Garamond" w:hAnsi="Garamond" w:cs="Cambria"/>
          <w:sz w:val="24"/>
          <w:szCs w:val="24"/>
        </w:rPr>
        <w:t>.</w:t>
      </w:r>
    </w:p>
    <w:p w:rsidR="002B28BE" w:rsidRPr="00EA38B9" w:rsidRDefault="002B28BE" w:rsidP="002B28BE">
      <w:pPr>
        <w:spacing w:after="0"/>
        <w:jc w:val="both"/>
        <w:rPr>
          <w:rFonts w:ascii="Garamond" w:hAnsi="Garamond" w:cs="Cambria"/>
          <w:sz w:val="24"/>
          <w:szCs w:val="24"/>
        </w:rPr>
      </w:pPr>
      <w:r w:rsidRPr="00EA38B9">
        <w:rPr>
          <w:rFonts w:ascii="Garamond" w:hAnsi="Garamond" w:cs="Cambria"/>
          <w:sz w:val="24"/>
          <w:szCs w:val="24"/>
        </w:rPr>
        <w:t xml:space="preserve">In tale assetto i Parlamenti nazionali operano con funzioni di legittimazione e controllo degli atti  e degli organi dell’Unione, esercitando le loro </w:t>
      </w:r>
      <w:proofErr w:type="spellStart"/>
      <w:r w:rsidRPr="00EA38B9">
        <w:rPr>
          <w:rFonts w:ascii="Garamond" w:hAnsi="Garamond" w:cs="Cambria"/>
          <w:sz w:val="24"/>
          <w:szCs w:val="24"/>
        </w:rPr>
        <w:t>c.d</w:t>
      </w:r>
      <w:proofErr w:type="spellEnd"/>
      <w:r w:rsidRPr="00EA38B9">
        <w:rPr>
          <w:rFonts w:ascii="Garamond" w:hAnsi="Garamond" w:cs="Cambria"/>
          <w:sz w:val="24"/>
          <w:szCs w:val="24"/>
        </w:rPr>
        <w:t xml:space="preserve"> funzioni europee. Allo stesso tempo svolgono funzioni di raccordo internazionale, dando vita all’</w:t>
      </w:r>
      <w:proofErr w:type="spellStart"/>
      <w:r w:rsidRPr="00EA38B9">
        <w:rPr>
          <w:rFonts w:ascii="Garamond" w:hAnsi="Garamond" w:cs="Cambria"/>
          <w:sz w:val="24"/>
          <w:szCs w:val="24"/>
        </w:rPr>
        <w:t>international</w:t>
      </w:r>
      <w:proofErr w:type="spellEnd"/>
      <w:r w:rsidRPr="00EA38B9">
        <w:rPr>
          <w:rFonts w:ascii="Garamond" w:hAnsi="Garamond" w:cs="Cambria"/>
          <w:sz w:val="24"/>
          <w:szCs w:val="24"/>
        </w:rPr>
        <w:t xml:space="preserve"> </w:t>
      </w:r>
      <w:proofErr w:type="spellStart"/>
      <w:r w:rsidRPr="00EA38B9">
        <w:rPr>
          <w:rFonts w:ascii="Garamond" w:hAnsi="Garamond" w:cs="Cambria"/>
          <w:sz w:val="24"/>
          <w:szCs w:val="24"/>
        </w:rPr>
        <w:t>networking</w:t>
      </w:r>
      <w:proofErr w:type="spellEnd"/>
      <w:r w:rsidRPr="00EA38B9">
        <w:rPr>
          <w:rFonts w:ascii="Garamond" w:hAnsi="Garamond" w:cs="Cambria"/>
          <w:sz w:val="24"/>
          <w:szCs w:val="24"/>
        </w:rPr>
        <w:t xml:space="preserve"> </w:t>
      </w:r>
      <w:proofErr w:type="spellStart"/>
      <w:r w:rsidRPr="00EA38B9">
        <w:rPr>
          <w:rFonts w:ascii="Garamond" w:hAnsi="Garamond" w:cs="Cambria"/>
          <w:sz w:val="24"/>
          <w:szCs w:val="24"/>
        </w:rPr>
        <w:t>functions</w:t>
      </w:r>
      <w:proofErr w:type="spellEnd"/>
      <w:r w:rsidRPr="00EA38B9">
        <w:rPr>
          <w:rFonts w:ascii="Garamond" w:hAnsi="Garamond" w:cs="Cambria"/>
          <w:sz w:val="24"/>
          <w:szCs w:val="24"/>
        </w:rPr>
        <w:t xml:space="preserve"> nell’ambito del quale interagiscono con il Parlamento europeo e con altri Parlamenti nazionali</w:t>
      </w:r>
      <w:r w:rsidRPr="00EA38B9">
        <w:rPr>
          <w:rStyle w:val="Rimandonotaapidipagina"/>
          <w:rFonts w:ascii="Garamond" w:hAnsi="Garamond" w:cs="Cambria"/>
          <w:sz w:val="24"/>
          <w:szCs w:val="24"/>
        </w:rPr>
        <w:footnoteReference w:id="35"/>
      </w:r>
      <w:r w:rsidRPr="00EA38B9">
        <w:rPr>
          <w:rFonts w:ascii="Garamond" w:hAnsi="Garamond" w:cs="Cambria"/>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cs="Cambria"/>
          <w:sz w:val="24"/>
          <w:szCs w:val="24"/>
        </w:rPr>
        <w:t xml:space="preserve">In particolare, relativamente alla cooperazione interparlamentare, </w:t>
      </w:r>
      <w:r w:rsidRPr="00EA38B9">
        <w:rPr>
          <w:rFonts w:ascii="Garamond" w:hAnsi="Garamond"/>
          <w:sz w:val="24"/>
          <w:szCs w:val="24"/>
        </w:rPr>
        <w:t>l’art.9 del Protocollo n.1 stabilisce che “ i parlamenti nazionali definiscono insieme l’organizzazione e la promozione di una cooperazione interparlamentare efficace e regolare in seno all’Unione”; l’art.10 inoltre dispone che “una conferenza degli organi parlamentari specializzati può sottoporre all’attenzione del parlamento europeo, del Consiglio e della Commissione i contributi che ritiene utili. La conferenza promuove inoltre lo scambio di informazioni e buone prassi tra i parlamenti nazionali e il Parlamento europeo, e tra le loro commissioni specializzate. Può altresì organizzare conferenze interparlamentari su temi specifici(…). I contributi della conferenza non vincolano i parlamenti nazionali e non pregiudicano la loro posizione”</w:t>
      </w:r>
      <w:r w:rsidRPr="00EA38B9">
        <w:rPr>
          <w:rStyle w:val="Rimandonotaapidipagina"/>
          <w:rFonts w:ascii="Garamond" w:hAnsi="Garamond"/>
          <w:sz w:val="24"/>
          <w:szCs w:val="24"/>
        </w:rPr>
        <w:footnoteReference w:id="36"/>
      </w:r>
      <w:r w:rsidRPr="00EA38B9">
        <w:rPr>
          <w:rFonts w:ascii="Garamond" w:hAnsi="Garamond"/>
          <w:sz w:val="24"/>
          <w:szCs w:val="24"/>
        </w:rPr>
        <w:t>.</w:t>
      </w:r>
    </w:p>
    <w:p w:rsidR="002B28BE" w:rsidRPr="00EA38B9" w:rsidRDefault="002B28BE" w:rsidP="002B28BE">
      <w:pPr>
        <w:spacing w:after="0"/>
        <w:jc w:val="both"/>
        <w:rPr>
          <w:rFonts w:ascii="Garamond" w:hAnsi="Garamond" w:cs="Cambria"/>
          <w:sz w:val="24"/>
          <w:szCs w:val="24"/>
        </w:rPr>
      </w:pPr>
      <w:r w:rsidRPr="00EA38B9">
        <w:rPr>
          <w:rFonts w:ascii="Garamond" w:hAnsi="Garamond" w:cs="Cambria"/>
          <w:sz w:val="24"/>
          <w:szCs w:val="24"/>
        </w:rPr>
        <w:lastRenderedPageBreak/>
        <w:t>Si è così venuto a configurare un ruolo progressivamente rilevante per i Parlamenti nazionali.</w:t>
      </w:r>
    </w:p>
    <w:p w:rsidR="002B28BE" w:rsidRPr="00EA38B9" w:rsidRDefault="002B28BE" w:rsidP="002B28BE">
      <w:pPr>
        <w:spacing w:after="0"/>
        <w:jc w:val="both"/>
        <w:rPr>
          <w:rFonts w:ascii="Garamond" w:hAnsi="Garamond"/>
          <w:sz w:val="24"/>
          <w:szCs w:val="24"/>
        </w:rPr>
      </w:pPr>
      <w:r w:rsidRPr="00EA38B9">
        <w:rPr>
          <w:rFonts w:ascii="Garamond" w:hAnsi="Garamond" w:cs="Cambria"/>
          <w:sz w:val="24"/>
          <w:szCs w:val="24"/>
        </w:rPr>
        <w:t xml:space="preserve">Sebbene la componente interparlamentare non abbia acquisito una valenza paragonabile alla componente intergovernativa, dato il carattere essenzialmente consultivo riservato ai parlamenti nazionali, sembrano configurarsi le condizioni per un passaggio verso il “superamento del paradigma </w:t>
      </w:r>
      <w:proofErr w:type="spellStart"/>
      <w:r w:rsidRPr="00EA38B9">
        <w:rPr>
          <w:rFonts w:ascii="Garamond" w:hAnsi="Garamond" w:cs="Cambria"/>
          <w:sz w:val="24"/>
          <w:szCs w:val="24"/>
        </w:rPr>
        <w:t>lockeiano</w:t>
      </w:r>
      <w:proofErr w:type="spellEnd"/>
      <w:r w:rsidRPr="00EA38B9">
        <w:rPr>
          <w:rFonts w:ascii="Garamond" w:hAnsi="Garamond" w:cs="Cambria"/>
          <w:sz w:val="24"/>
          <w:szCs w:val="24"/>
        </w:rPr>
        <w:t xml:space="preserve"> della riserva agli esecutivi del “federative </w:t>
      </w:r>
      <w:proofErr w:type="spellStart"/>
      <w:r w:rsidRPr="00EA38B9">
        <w:rPr>
          <w:rFonts w:ascii="Garamond" w:hAnsi="Garamond" w:cs="Cambria"/>
          <w:sz w:val="24"/>
          <w:szCs w:val="24"/>
        </w:rPr>
        <w:t>power</w:t>
      </w:r>
      <w:proofErr w:type="spellEnd"/>
      <w:r w:rsidRPr="00EA38B9">
        <w:rPr>
          <w:rFonts w:ascii="Garamond" w:hAnsi="Garamond" w:cs="Cambria"/>
          <w:sz w:val="24"/>
          <w:szCs w:val="24"/>
        </w:rPr>
        <w:t>”.</w:t>
      </w:r>
      <w:r w:rsidRPr="00EA38B9">
        <w:rPr>
          <w:rStyle w:val="Rimandonotaapidipagina"/>
          <w:rFonts w:ascii="Garamond" w:hAnsi="Garamond" w:cs="Cambria"/>
          <w:sz w:val="24"/>
          <w:szCs w:val="24"/>
        </w:rPr>
        <w:footnoteReference w:id="37"/>
      </w:r>
      <w:r w:rsidRPr="00EA38B9">
        <w:rPr>
          <w:rFonts w:ascii="Garamond" w:hAnsi="Garamond" w:cs="Cambria"/>
          <w:sz w:val="24"/>
          <w:szCs w:val="24"/>
        </w:rPr>
        <w:t xml:space="preserve"> </w:t>
      </w:r>
      <w:r w:rsidRPr="00EA38B9">
        <w:rPr>
          <w:rFonts w:ascii="Garamond" w:hAnsi="Garamond"/>
          <w:sz w:val="24"/>
          <w:szCs w:val="24"/>
        </w:rPr>
        <w:t xml:space="preserve">Questa osservazione relativa alla “forza” della dimensione interparlamentare trova un’eccezione proprio nelle materie economiche e finanziarie, per le quali il Trattato di Lisbona non offre specifici strumenti di partecipazione e controllo. </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 xml:space="preserve">Tuttavia, è nell’ambito della nuova </w:t>
      </w:r>
      <w:proofErr w:type="spellStart"/>
      <w:r w:rsidRPr="00EA38B9">
        <w:rPr>
          <w:rFonts w:ascii="Garamond" w:hAnsi="Garamond"/>
          <w:sz w:val="24"/>
          <w:szCs w:val="24"/>
        </w:rPr>
        <w:t>governance</w:t>
      </w:r>
      <w:proofErr w:type="spellEnd"/>
      <w:r w:rsidRPr="00EA38B9">
        <w:rPr>
          <w:rFonts w:ascii="Garamond" w:hAnsi="Garamond"/>
          <w:sz w:val="24"/>
          <w:szCs w:val="24"/>
        </w:rPr>
        <w:t xml:space="preserve"> economica europea che è possibile individuare elementi per un rafforzamento del loro ruolo.</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 xml:space="preserve">In tal senso, nei considerando e nel dispositivo dei regolamenti del c.d. </w:t>
      </w:r>
      <w:proofErr w:type="spellStart"/>
      <w:r w:rsidRPr="00EA38B9">
        <w:rPr>
          <w:rFonts w:ascii="Garamond" w:hAnsi="Garamond"/>
          <w:sz w:val="24"/>
          <w:szCs w:val="24"/>
        </w:rPr>
        <w:t>six</w:t>
      </w:r>
      <w:proofErr w:type="spellEnd"/>
      <w:r w:rsidRPr="00EA38B9">
        <w:rPr>
          <w:rFonts w:ascii="Garamond" w:hAnsi="Garamond"/>
          <w:sz w:val="24"/>
          <w:szCs w:val="24"/>
        </w:rPr>
        <w:t xml:space="preserve"> pack si dispone che i Parlamenti nazionali debbano essere coinvolti in modo stretto e tempestivo nel rafforzamento della </w:t>
      </w:r>
      <w:proofErr w:type="spellStart"/>
      <w:r w:rsidRPr="00EA38B9">
        <w:rPr>
          <w:rFonts w:ascii="Garamond" w:hAnsi="Garamond"/>
          <w:sz w:val="24"/>
          <w:szCs w:val="24"/>
        </w:rPr>
        <w:t>governance</w:t>
      </w:r>
      <w:proofErr w:type="spellEnd"/>
      <w:r w:rsidRPr="00EA38B9">
        <w:rPr>
          <w:rFonts w:ascii="Garamond" w:hAnsi="Garamond"/>
          <w:sz w:val="24"/>
          <w:szCs w:val="24"/>
        </w:rPr>
        <w:t xml:space="preserve"> economica</w:t>
      </w:r>
      <w:r w:rsidRPr="00EA38B9">
        <w:rPr>
          <w:rStyle w:val="Rimandonotaapidipagina"/>
          <w:rFonts w:ascii="Garamond" w:hAnsi="Garamond"/>
          <w:sz w:val="24"/>
          <w:szCs w:val="24"/>
        </w:rPr>
        <w:footnoteReference w:id="38"/>
      </w:r>
      <w:r w:rsidRPr="00EA38B9">
        <w:rPr>
          <w:rFonts w:ascii="Garamond" w:hAnsi="Garamond"/>
          <w:sz w:val="24"/>
          <w:szCs w:val="24"/>
        </w:rPr>
        <w:t>, che il loro ruolo debba essere pienamente rispettato nell’applicazione del regolamento relativo agli squilibri macroeconomici.</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Inoltre, si prevede un adeguato coinvolgimento dei Parlamenti nazionali nelle procedure del “semestre europeo” e nella preparazione dei programmi di stabilità e convergenza al fine di migliorare la trasparenza ed il controllo delle decisioni.</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In questa prospettiva si dispone anche un coinvolgimento dei Parlamenti nazionali attraverso la formula del “dialogo economico”, nell’ambito del quale la commissione competente del Parlamento europeo può offrire la possibilità di partecipare a uno scambio di opinioni allo Stato membro destinatario di una raccomandazione o decisione del Consiglio(</w:t>
      </w:r>
      <w:proofErr w:type="spellStart"/>
      <w:r w:rsidRPr="00EA38B9">
        <w:rPr>
          <w:rFonts w:ascii="Garamond" w:hAnsi="Garamond"/>
          <w:sz w:val="24"/>
          <w:szCs w:val="24"/>
        </w:rPr>
        <w:t>Reg.Ue</w:t>
      </w:r>
      <w:proofErr w:type="spellEnd"/>
      <w:r w:rsidRPr="00EA38B9">
        <w:rPr>
          <w:rFonts w:ascii="Garamond" w:hAnsi="Garamond"/>
          <w:sz w:val="24"/>
          <w:szCs w:val="24"/>
        </w:rPr>
        <w:t xml:space="preserve"> 1176/2011, art.14, comma 2.).</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Il quadro</w:t>
      </w:r>
      <w:r w:rsidR="00C62A6A">
        <w:rPr>
          <w:rFonts w:ascii="Garamond" w:hAnsi="Garamond"/>
          <w:sz w:val="24"/>
          <w:szCs w:val="24"/>
        </w:rPr>
        <w:t>, come accennato,</w:t>
      </w:r>
      <w:r w:rsidRPr="00EA38B9">
        <w:rPr>
          <w:rFonts w:ascii="Garamond" w:hAnsi="Garamond"/>
          <w:sz w:val="24"/>
          <w:szCs w:val="24"/>
        </w:rPr>
        <w:t xml:space="preserve"> è stato ulteriormente arricchito dalle disposizioni del </w:t>
      </w:r>
      <w:proofErr w:type="spellStart"/>
      <w:r w:rsidRPr="00EA38B9">
        <w:rPr>
          <w:rFonts w:ascii="Garamond" w:hAnsi="Garamond"/>
          <w:sz w:val="24"/>
          <w:szCs w:val="24"/>
        </w:rPr>
        <w:t>Tscg</w:t>
      </w:r>
      <w:proofErr w:type="spellEnd"/>
      <w:r w:rsidRPr="00EA38B9">
        <w:rPr>
          <w:rFonts w:ascii="Garamond" w:hAnsi="Garamond"/>
          <w:sz w:val="24"/>
          <w:szCs w:val="24"/>
        </w:rPr>
        <w:t xml:space="preserve"> che prevede forme di cooperazione interparlamentare nell’ambito della politica di bilancio, stabilità e coordinamento della finanza pubblica.</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 xml:space="preserve"> In particolare, l’art. 13 del </w:t>
      </w:r>
      <w:proofErr w:type="spellStart"/>
      <w:r w:rsidRPr="00EA38B9">
        <w:rPr>
          <w:rFonts w:ascii="Garamond" w:hAnsi="Garamond"/>
          <w:sz w:val="24"/>
          <w:szCs w:val="24"/>
        </w:rPr>
        <w:t>Tscg</w:t>
      </w:r>
      <w:proofErr w:type="spellEnd"/>
      <w:r w:rsidRPr="00EA38B9">
        <w:rPr>
          <w:rFonts w:ascii="Garamond" w:hAnsi="Garamond"/>
          <w:sz w:val="24"/>
          <w:szCs w:val="24"/>
        </w:rPr>
        <w:t xml:space="preserve"> dispone, nel rispetto delle disposizioni contenute nel </w:t>
      </w:r>
      <w:proofErr w:type="spellStart"/>
      <w:r w:rsidRPr="00EA38B9">
        <w:rPr>
          <w:rFonts w:ascii="Garamond" w:hAnsi="Garamond"/>
          <w:sz w:val="24"/>
          <w:szCs w:val="24"/>
        </w:rPr>
        <w:t>titoloII</w:t>
      </w:r>
      <w:proofErr w:type="spellEnd"/>
      <w:r w:rsidRPr="00EA38B9">
        <w:rPr>
          <w:rFonts w:ascii="Garamond" w:hAnsi="Garamond"/>
          <w:sz w:val="24"/>
          <w:szCs w:val="24"/>
        </w:rPr>
        <w:t xml:space="preserve"> del protocollo n.1, la possibilità di costituire una Conferenza dei rappresentanti delle pertinenti commissioni del Parlamento europeo e dei rappresentanti delle pertinenti commissioni dei parlamenti nazionali ai fini della discussione delle politiche di bilancio e di altre questioni rientranti nell'ambito di applicazione del Trattato</w:t>
      </w:r>
      <w:r w:rsidRPr="00EA38B9">
        <w:rPr>
          <w:rStyle w:val="Rimandonotaapidipagina"/>
          <w:rFonts w:ascii="Garamond" w:hAnsi="Garamond"/>
          <w:sz w:val="24"/>
          <w:szCs w:val="24"/>
        </w:rPr>
        <w:footnoteReference w:id="39"/>
      </w:r>
      <w:r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 xml:space="preserve">Il modello prefigurato dall’art.13 del </w:t>
      </w:r>
      <w:proofErr w:type="spellStart"/>
      <w:r w:rsidRPr="00EA38B9">
        <w:rPr>
          <w:rFonts w:ascii="Garamond" w:hAnsi="Garamond"/>
          <w:sz w:val="24"/>
          <w:szCs w:val="24"/>
        </w:rPr>
        <w:t>Tscg</w:t>
      </w:r>
      <w:proofErr w:type="spellEnd"/>
      <w:r w:rsidRPr="00EA38B9">
        <w:rPr>
          <w:rFonts w:ascii="Garamond" w:hAnsi="Garamond"/>
          <w:sz w:val="24"/>
          <w:szCs w:val="24"/>
        </w:rPr>
        <w:t xml:space="preserve"> è ispirato in parte alla Conferenza degli organi dei Parlamenti nazionali specializzati negli affari comunitari ( COSAC) e, in parte, al metodo delle Convenzioni costituite per la preparazione della Carta dei diritti e per il Trattato costituzionale, metodo poi </w:t>
      </w:r>
      <w:proofErr w:type="spellStart"/>
      <w:r w:rsidRPr="00EA38B9">
        <w:rPr>
          <w:rFonts w:ascii="Garamond" w:hAnsi="Garamond"/>
          <w:sz w:val="24"/>
          <w:szCs w:val="24"/>
        </w:rPr>
        <w:t>comunitarizzato</w:t>
      </w:r>
      <w:proofErr w:type="spellEnd"/>
      <w:r w:rsidRPr="00EA38B9">
        <w:rPr>
          <w:rFonts w:ascii="Garamond" w:hAnsi="Garamond"/>
          <w:sz w:val="24"/>
          <w:szCs w:val="24"/>
        </w:rPr>
        <w:t xml:space="preserve"> dall’art.48 Tue per la revisione ordinaria dei Trattati</w:t>
      </w:r>
      <w:r w:rsidRPr="00EA38B9">
        <w:rPr>
          <w:rStyle w:val="Rimandonotaapidipagina"/>
          <w:rFonts w:ascii="Garamond" w:hAnsi="Garamond"/>
          <w:sz w:val="24"/>
          <w:szCs w:val="24"/>
        </w:rPr>
        <w:footnoteReference w:id="40"/>
      </w:r>
      <w:r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lastRenderedPageBreak/>
        <w:t xml:space="preserve"> In entrambi i casi la disposizione crea le condizioni affinché si crei una cooperazione tra commissioni parlamentari di settore che potrà affiancare e rafforzare il sistema della </w:t>
      </w:r>
      <w:proofErr w:type="spellStart"/>
      <w:r w:rsidRPr="00EA38B9">
        <w:rPr>
          <w:rFonts w:ascii="Garamond" w:hAnsi="Garamond"/>
          <w:sz w:val="24"/>
          <w:szCs w:val="24"/>
        </w:rPr>
        <w:t>Cosac</w:t>
      </w:r>
      <w:proofErr w:type="spellEnd"/>
      <w:r w:rsidRPr="00EA38B9">
        <w:rPr>
          <w:rFonts w:ascii="Garamond" w:hAnsi="Garamond"/>
          <w:sz w:val="24"/>
          <w:szCs w:val="24"/>
        </w:rPr>
        <w:t>. In questo modo si realizzerebbe quanto già auspicato nel corso dei lavori dal Gruppo IV della Convenzione sul futuro dell’Europa, circa l’opportunità di avviare una cooperazione interparlamentare ampia e non limitata alle sole Commissioni per gli Affari europei</w:t>
      </w:r>
      <w:r w:rsidRPr="00EA38B9">
        <w:rPr>
          <w:rStyle w:val="Rimandonotaapidipagina"/>
          <w:rFonts w:ascii="Garamond" w:hAnsi="Garamond"/>
          <w:sz w:val="24"/>
          <w:szCs w:val="24"/>
        </w:rPr>
        <w:footnoteReference w:id="41"/>
      </w:r>
      <w:r w:rsidRPr="00EA38B9">
        <w:rPr>
          <w:rFonts w:ascii="Garamond" w:hAnsi="Garamond"/>
          <w:sz w:val="24"/>
          <w:szCs w:val="24"/>
        </w:rPr>
        <w:t xml:space="preserve">. </w:t>
      </w:r>
    </w:p>
    <w:p w:rsidR="002B28BE" w:rsidRPr="00EA38B9" w:rsidRDefault="002B28BE" w:rsidP="002B28BE">
      <w:pPr>
        <w:autoSpaceDE w:val="0"/>
        <w:autoSpaceDN w:val="0"/>
        <w:adjustRightInd w:val="0"/>
        <w:spacing w:after="0"/>
        <w:jc w:val="both"/>
        <w:rPr>
          <w:rFonts w:ascii="Garamond" w:hAnsi="Garamond"/>
          <w:sz w:val="24"/>
          <w:szCs w:val="24"/>
        </w:rPr>
      </w:pPr>
      <w:r w:rsidRPr="00EA38B9">
        <w:rPr>
          <w:rFonts w:ascii="Garamond" w:hAnsi="Garamond"/>
          <w:sz w:val="24"/>
          <w:szCs w:val="24"/>
        </w:rPr>
        <w:t xml:space="preserve">Si tratta di un ulteriore passaggio verso la costruzione di una “rete euro-nazionale di sostegno alle nuove politiche economiche e finanziarie dell’Ue”, all’interno della quale il ruolo che i parlamenti nazionali sono chiamati a svolgere è molteplice:come soggetti </w:t>
      </w:r>
      <w:proofErr w:type="spellStart"/>
      <w:r w:rsidRPr="00EA38B9">
        <w:rPr>
          <w:rFonts w:ascii="Garamond" w:hAnsi="Garamond"/>
          <w:sz w:val="24"/>
          <w:szCs w:val="24"/>
        </w:rPr>
        <w:t>co-promotori</w:t>
      </w:r>
      <w:proofErr w:type="spellEnd"/>
      <w:r w:rsidRPr="00EA38B9">
        <w:rPr>
          <w:rFonts w:ascii="Garamond" w:hAnsi="Garamond"/>
          <w:sz w:val="24"/>
          <w:szCs w:val="24"/>
        </w:rPr>
        <w:t xml:space="preserve"> di politiche; come soggetti vincolati da limiti comuni; come soggetti compartecipi di conferenze e convenzioni</w:t>
      </w:r>
      <w:r w:rsidRPr="00EA38B9">
        <w:rPr>
          <w:rStyle w:val="Rimandonotaapidipagina"/>
          <w:rFonts w:ascii="Garamond" w:hAnsi="Garamond"/>
          <w:sz w:val="24"/>
          <w:szCs w:val="24"/>
        </w:rPr>
        <w:footnoteReference w:id="42"/>
      </w:r>
      <w:r w:rsidRPr="00EA38B9">
        <w:rPr>
          <w:rFonts w:ascii="Garamond" w:hAnsi="Garamond"/>
          <w:sz w:val="24"/>
          <w:szCs w:val="24"/>
        </w:rPr>
        <w:t>.</w:t>
      </w:r>
    </w:p>
    <w:p w:rsidR="002B28BE" w:rsidRPr="00EA38B9" w:rsidRDefault="002B28BE" w:rsidP="002B28BE">
      <w:pPr>
        <w:autoSpaceDE w:val="0"/>
        <w:autoSpaceDN w:val="0"/>
        <w:adjustRightInd w:val="0"/>
        <w:spacing w:after="0"/>
        <w:jc w:val="both"/>
        <w:rPr>
          <w:rFonts w:ascii="Garamond" w:hAnsi="Garamond" w:cs="Cambria"/>
          <w:sz w:val="24"/>
          <w:szCs w:val="24"/>
        </w:rPr>
      </w:pPr>
      <w:r w:rsidRPr="00EA38B9">
        <w:rPr>
          <w:rFonts w:ascii="Garamond" w:hAnsi="Garamond"/>
          <w:sz w:val="24"/>
          <w:szCs w:val="24"/>
        </w:rPr>
        <w:t xml:space="preserve">L’assetto delineato pare essere quello del parlamentarismo multilivello </w:t>
      </w:r>
      <w:proofErr w:type="spellStart"/>
      <w:r w:rsidRPr="00EA38B9">
        <w:rPr>
          <w:rFonts w:ascii="Garamond" w:hAnsi="Garamond"/>
          <w:sz w:val="24"/>
          <w:szCs w:val="24"/>
        </w:rPr>
        <w:t>by</w:t>
      </w:r>
      <w:proofErr w:type="spellEnd"/>
      <w:r w:rsidRPr="00EA38B9">
        <w:rPr>
          <w:rFonts w:ascii="Garamond" w:hAnsi="Garamond"/>
          <w:sz w:val="24"/>
          <w:szCs w:val="24"/>
        </w:rPr>
        <w:t xml:space="preserve"> </w:t>
      </w:r>
      <w:proofErr w:type="spellStart"/>
      <w:r w:rsidRPr="00EA38B9">
        <w:rPr>
          <w:rFonts w:ascii="Garamond" w:hAnsi="Garamond"/>
          <w:sz w:val="24"/>
          <w:szCs w:val="24"/>
        </w:rPr>
        <w:t>committees</w:t>
      </w:r>
      <w:proofErr w:type="spellEnd"/>
      <w:r w:rsidRPr="00EA38B9">
        <w:rPr>
          <w:rFonts w:ascii="Garamond" w:hAnsi="Garamond"/>
          <w:sz w:val="24"/>
          <w:szCs w:val="24"/>
        </w:rPr>
        <w:t>, incentrato sul ruolo chiave del Parlamento europeo</w:t>
      </w:r>
      <w:r w:rsidRPr="00EA38B9">
        <w:rPr>
          <w:rFonts w:ascii="Garamond" w:hAnsi="Garamond" w:cs="Cambria"/>
          <w:sz w:val="24"/>
          <w:szCs w:val="24"/>
        </w:rPr>
        <w:t xml:space="preserve"> nell’interazione con i Parlamenti nazionali</w:t>
      </w:r>
      <w:r w:rsidRPr="00EA38B9">
        <w:rPr>
          <w:rStyle w:val="Rimandonotaapidipagina"/>
          <w:rFonts w:ascii="Garamond" w:hAnsi="Garamond" w:cs="Cambria"/>
          <w:sz w:val="24"/>
          <w:szCs w:val="24"/>
        </w:rPr>
        <w:footnoteReference w:id="43"/>
      </w:r>
      <w:r w:rsidRPr="00EA38B9">
        <w:rPr>
          <w:rFonts w:ascii="Garamond" w:hAnsi="Garamond" w:cs="Cambria"/>
          <w:sz w:val="24"/>
          <w:szCs w:val="24"/>
        </w:rPr>
        <w:t>. Questi ultimi potrebbero agire secondo una duplice dinamica: nella fase discendente possono assumere il compito di “filtrare” cercando di esplicitare alle collettività di riferimento le ragioni di determinate politiche dell’Unione; nella fase ascendente potrebbero selezionare le questioni rilevanti per il Parlamento europeo</w:t>
      </w:r>
      <w:r w:rsidRPr="00EA38B9">
        <w:rPr>
          <w:rStyle w:val="Rimandonotaapidipagina"/>
          <w:rFonts w:ascii="Garamond" w:hAnsi="Garamond" w:cs="Cambria"/>
          <w:sz w:val="24"/>
          <w:szCs w:val="24"/>
        </w:rPr>
        <w:footnoteReference w:id="44"/>
      </w:r>
      <w:r w:rsidRPr="00EA38B9">
        <w:rPr>
          <w:rFonts w:ascii="Garamond" w:hAnsi="Garamond" w:cs="Cambria"/>
          <w:sz w:val="24"/>
          <w:szCs w:val="24"/>
        </w:rPr>
        <w:t>.</w:t>
      </w:r>
    </w:p>
    <w:p w:rsidR="002B28BE" w:rsidRPr="00EA38B9" w:rsidRDefault="002B28BE" w:rsidP="002B28BE">
      <w:pPr>
        <w:autoSpaceDE w:val="0"/>
        <w:autoSpaceDN w:val="0"/>
        <w:adjustRightInd w:val="0"/>
        <w:spacing w:after="0"/>
        <w:jc w:val="both"/>
        <w:rPr>
          <w:rFonts w:ascii="Garamond" w:hAnsi="Garamond"/>
          <w:sz w:val="24"/>
          <w:szCs w:val="24"/>
        </w:rPr>
      </w:pPr>
      <w:r w:rsidRPr="00EA38B9">
        <w:rPr>
          <w:rFonts w:ascii="Garamond" w:hAnsi="Garamond"/>
          <w:sz w:val="24"/>
          <w:szCs w:val="24"/>
        </w:rPr>
        <w:t xml:space="preserve">Su tale assetto e sulla sua futura evoluzione è inconfutabile l’influenza della giurisprudenza costituzionale tedesca che sin dalla sentenza del 7 settembre 2011, ha rimarcato la responsabilità del Parlamento nazionale imponendo la necessaria approvazione del </w:t>
      </w:r>
      <w:proofErr w:type="spellStart"/>
      <w:r w:rsidRPr="00EA38B9">
        <w:rPr>
          <w:rFonts w:ascii="Garamond" w:hAnsi="Garamond"/>
          <w:sz w:val="24"/>
          <w:szCs w:val="24"/>
        </w:rPr>
        <w:t>Bundestag</w:t>
      </w:r>
      <w:proofErr w:type="spellEnd"/>
      <w:r w:rsidRPr="00EA38B9">
        <w:rPr>
          <w:rFonts w:ascii="Garamond" w:hAnsi="Garamond"/>
          <w:sz w:val="24"/>
          <w:szCs w:val="24"/>
        </w:rPr>
        <w:t xml:space="preserve"> per le decisioni di sostegno </w:t>
      </w:r>
      <w:r w:rsidRPr="00EA38B9">
        <w:rPr>
          <w:rFonts w:ascii="Garamond" w:hAnsi="Garamond"/>
          <w:sz w:val="24"/>
          <w:szCs w:val="24"/>
        </w:rPr>
        <w:lastRenderedPageBreak/>
        <w:t>finanziario di ampia portata</w:t>
      </w:r>
      <w:r w:rsidRPr="00EA38B9">
        <w:rPr>
          <w:rStyle w:val="Rimandonotaapidipagina"/>
          <w:rFonts w:ascii="Garamond" w:hAnsi="Garamond"/>
          <w:sz w:val="24"/>
          <w:szCs w:val="24"/>
        </w:rPr>
        <w:footnoteReference w:id="45"/>
      </w:r>
      <w:r w:rsidRPr="00EA38B9">
        <w:rPr>
          <w:rFonts w:ascii="Garamond" w:hAnsi="Garamond"/>
          <w:sz w:val="24"/>
          <w:szCs w:val="24"/>
        </w:rPr>
        <w:t xml:space="preserve">. La decisione è stata fondata sul principio democratico della legge fondamentale tedesca, richiamato anche nella successiva sentenza del 28 febbraio 2012. </w:t>
      </w:r>
    </w:p>
    <w:p w:rsidR="002B28BE" w:rsidRPr="00EA38B9" w:rsidRDefault="002B28BE" w:rsidP="002B28BE">
      <w:pPr>
        <w:autoSpaceDE w:val="0"/>
        <w:autoSpaceDN w:val="0"/>
        <w:adjustRightInd w:val="0"/>
        <w:spacing w:after="0"/>
        <w:jc w:val="both"/>
        <w:rPr>
          <w:rFonts w:ascii="Garamond" w:hAnsi="Garamond"/>
          <w:sz w:val="24"/>
          <w:szCs w:val="24"/>
        </w:rPr>
      </w:pPr>
      <w:r w:rsidRPr="00EA38B9">
        <w:rPr>
          <w:rFonts w:ascii="Garamond" w:hAnsi="Garamond"/>
          <w:sz w:val="24"/>
          <w:szCs w:val="24"/>
        </w:rPr>
        <w:t xml:space="preserve">Limitatamente ai profili di cui si sta trattando, la sentenza del febbraio 2012 esplica un duplice effetto. Da un lato appare finalizzata a “compensare” le conseguenze della natura intergovernativa dei Trattati e dei meccanismi di stabilità. Dall’altro, la stessa sentenza appare un freno alla costruzione di una rete europea dei Parlamenti. La sentenza infatti, impone che il controllo sul </w:t>
      </w:r>
      <w:proofErr w:type="spellStart"/>
      <w:r w:rsidRPr="00EA38B9">
        <w:rPr>
          <w:rFonts w:ascii="Garamond" w:hAnsi="Garamond"/>
          <w:sz w:val="24"/>
          <w:szCs w:val="24"/>
        </w:rPr>
        <w:t>European</w:t>
      </w:r>
      <w:proofErr w:type="spellEnd"/>
      <w:r w:rsidRPr="00EA38B9">
        <w:rPr>
          <w:rFonts w:ascii="Garamond" w:hAnsi="Garamond"/>
          <w:sz w:val="24"/>
          <w:szCs w:val="24"/>
        </w:rPr>
        <w:t xml:space="preserve"> </w:t>
      </w:r>
      <w:proofErr w:type="spellStart"/>
      <w:r w:rsidRPr="00EA38B9">
        <w:rPr>
          <w:rFonts w:ascii="Garamond" w:hAnsi="Garamond"/>
          <w:sz w:val="24"/>
          <w:szCs w:val="24"/>
        </w:rPr>
        <w:t>financial</w:t>
      </w:r>
      <w:proofErr w:type="spellEnd"/>
      <w:r w:rsidRPr="00EA38B9">
        <w:rPr>
          <w:rFonts w:ascii="Garamond" w:hAnsi="Garamond"/>
          <w:sz w:val="24"/>
          <w:szCs w:val="24"/>
        </w:rPr>
        <w:t xml:space="preserve"> </w:t>
      </w:r>
      <w:proofErr w:type="spellStart"/>
      <w:r w:rsidRPr="00EA38B9">
        <w:rPr>
          <w:rFonts w:ascii="Garamond" w:hAnsi="Garamond"/>
          <w:sz w:val="24"/>
          <w:szCs w:val="24"/>
        </w:rPr>
        <w:t>stability</w:t>
      </w:r>
      <w:proofErr w:type="spellEnd"/>
      <w:r w:rsidRPr="00EA38B9">
        <w:rPr>
          <w:rFonts w:ascii="Garamond" w:hAnsi="Garamond"/>
          <w:sz w:val="24"/>
          <w:szCs w:val="24"/>
        </w:rPr>
        <w:t xml:space="preserve"> </w:t>
      </w:r>
      <w:proofErr w:type="spellStart"/>
      <w:r w:rsidRPr="00EA38B9">
        <w:rPr>
          <w:rFonts w:ascii="Garamond" w:hAnsi="Garamond"/>
          <w:sz w:val="24"/>
          <w:szCs w:val="24"/>
        </w:rPr>
        <w:t>fund</w:t>
      </w:r>
      <w:proofErr w:type="spellEnd"/>
      <w:r w:rsidRPr="00EA38B9">
        <w:rPr>
          <w:rFonts w:ascii="Garamond" w:hAnsi="Garamond"/>
          <w:sz w:val="24"/>
          <w:szCs w:val="24"/>
        </w:rPr>
        <w:t xml:space="preserve"> (</w:t>
      </w:r>
      <w:proofErr w:type="spellStart"/>
      <w:r w:rsidRPr="00EA38B9">
        <w:rPr>
          <w:rFonts w:ascii="Garamond" w:hAnsi="Garamond"/>
          <w:sz w:val="24"/>
          <w:szCs w:val="24"/>
        </w:rPr>
        <w:t>Efsf</w:t>
      </w:r>
      <w:proofErr w:type="spellEnd"/>
      <w:r w:rsidRPr="00EA38B9">
        <w:rPr>
          <w:rFonts w:ascii="Garamond" w:hAnsi="Garamond"/>
          <w:sz w:val="24"/>
          <w:szCs w:val="24"/>
        </w:rPr>
        <w:t xml:space="preserve">) avvenga tramite il plenum del </w:t>
      </w:r>
      <w:proofErr w:type="spellStart"/>
      <w:r w:rsidRPr="00EA38B9">
        <w:rPr>
          <w:rFonts w:ascii="Garamond" w:hAnsi="Garamond"/>
          <w:sz w:val="24"/>
          <w:szCs w:val="24"/>
        </w:rPr>
        <w:t>Bundestag</w:t>
      </w:r>
      <w:proofErr w:type="spellEnd"/>
      <w:r w:rsidRPr="00EA38B9">
        <w:rPr>
          <w:rFonts w:ascii="Garamond" w:hAnsi="Garamond"/>
          <w:sz w:val="24"/>
          <w:szCs w:val="24"/>
        </w:rPr>
        <w:t xml:space="preserve"> e non tramite una sua commissione interna, il che appare in controtendenza rispetto all’orientamento da parte dei Parlamenti nazionali di esercizio delle funzioni europee tramite le loro commissioni. Orientamento che si configura oramai come un “elemento di diritto costituzionale comune”</w:t>
      </w:r>
      <w:r w:rsidRPr="00EA38B9">
        <w:rPr>
          <w:rStyle w:val="Rimandonotaapidipagina"/>
          <w:rFonts w:ascii="Garamond" w:hAnsi="Garamond"/>
          <w:sz w:val="24"/>
          <w:szCs w:val="24"/>
        </w:rPr>
        <w:footnoteReference w:id="46"/>
      </w:r>
      <w:r w:rsidRPr="00EA38B9">
        <w:rPr>
          <w:rFonts w:ascii="Garamond" w:hAnsi="Garamond"/>
          <w:sz w:val="24"/>
          <w:szCs w:val="24"/>
        </w:rPr>
        <w:t>.</w:t>
      </w:r>
    </w:p>
    <w:p w:rsidR="002B28BE" w:rsidRPr="00EA38B9" w:rsidRDefault="002B28BE" w:rsidP="002B28BE">
      <w:pPr>
        <w:autoSpaceDE w:val="0"/>
        <w:autoSpaceDN w:val="0"/>
        <w:adjustRightInd w:val="0"/>
        <w:spacing w:after="0"/>
        <w:jc w:val="both"/>
        <w:rPr>
          <w:rFonts w:ascii="Garamond" w:hAnsi="Garamond"/>
          <w:sz w:val="24"/>
          <w:szCs w:val="24"/>
        </w:rPr>
      </w:pPr>
      <w:r w:rsidRPr="00EA38B9">
        <w:rPr>
          <w:rFonts w:ascii="Garamond" w:hAnsi="Garamond"/>
          <w:sz w:val="24"/>
          <w:szCs w:val="24"/>
        </w:rPr>
        <w:t xml:space="preserve">Ma proprio il disconoscimento di tale orientamento e l’attribuzione al Parlamento nazionale del potere decisionale, rivela la connotazione di organizzazione internazionale che la Corte Tedesca applica all’Unione, nel cui ambito la partecipazione del </w:t>
      </w:r>
      <w:proofErr w:type="spellStart"/>
      <w:r w:rsidRPr="00EA38B9">
        <w:rPr>
          <w:rFonts w:ascii="Garamond" w:hAnsi="Garamond"/>
          <w:sz w:val="24"/>
          <w:szCs w:val="24"/>
        </w:rPr>
        <w:t>Bundestag</w:t>
      </w:r>
      <w:proofErr w:type="spellEnd"/>
      <w:r w:rsidRPr="00EA38B9">
        <w:rPr>
          <w:rFonts w:ascii="Garamond" w:hAnsi="Garamond"/>
          <w:sz w:val="24"/>
          <w:szCs w:val="24"/>
        </w:rPr>
        <w:t xml:space="preserve"> alle decisioni intergovernative appare come “condizione ultimativa di legittimità di disposizioni giudicate in via preventiva”.</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 xml:space="preserve">Peraltro, le difficoltà nella costruzione di orientamenti giurisprudenziali comuni, agevolati dal rafforzamento della reciproca fiducia tra gli Stati membri dell’Unione, finiscono per rallentare il </w:t>
      </w:r>
      <w:r w:rsidRPr="00EA38B9">
        <w:rPr>
          <w:rFonts w:ascii="Garamond" w:hAnsi="Garamond"/>
          <w:sz w:val="24"/>
          <w:szCs w:val="24"/>
        </w:rPr>
        <w:lastRenderedPageBreak/>
        <w:t>funzionamento delle istituzioni intergovernative fino a rischiare, paradossalmente, la paralisi nel caso in cui anche altre Corti nazionali seguissero la via intrapresa dalla Corte costituzionale tedesca</w:t>
      </w:r>
      <w:r w:rsidRPr="00EA38B9">
        <w:rPr>
          <w:rStyle w:val="Rimandonotaapidipagina"/>
          <w:rFonts w:ascii="Garamond" w:hAnsi="Garamond"/>
          <w:sz w:val="24"/>
          <w:szCs w:val="24"/>
        </w:rPr>
        <w:footnoteReference w:id="47"/>
      </w:r>
      <w:r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In questo quadro la cooperazione interparlamentare di cui all’art.13, improntata ad un sistema “per conferenza” e non alla “cooperazione per confronto”</w:t>
      </w:r>
      <w:r w:rsidRPr="00EA38B9">
        <w:rPr>
          <w:rStyle w:val="Rimandonotaapidipagina"/>
          <w:rFonts w:ascii="Garamond" w:hAnsi="Garamond"/>
          <w:sz w:val="24"/>
          <w:szCs w:val="24"/>
        </w:rPr>
        <w:footnoteReference w:id="48"/>
      </w:r>
      <w:r w:rsidRPr="00EA38B9">
        <w:rPr>
          <w:rFonts w:ascii="Garamond" w:hAnsi="Garamond"/>
          <w:sz w:val="24"/>
          <w:szCs w:val="24"/>
        </w:rPr>
        <w:t>, appare funzionale anche ad allentare le tensioni relative alla questione del deficit democratico dell’Unione che proprio nelle decisioni di finanza pubblica trova il suo punto nevralgico</w:t>
      </w:r>
      <w:r w:rsidRPr="00EA38B9">
        <w:rPr>
          <w:rStyle w:val="Rimandonotaapidipagina"/>
          <w:rFonts w:ascii="Garamond" w:hAnsi="Garamond"/>
          <w:sz w:val="24"/>
          <w:szCs w:val="24"/>
        </w:rPr>
        <w:footnoteReference w:id="49"/>
      </w:r>
      <w:r w:rsidRPr="00EA38B9">
        <w:rPr>
          <w:rFonts w:ascii="Garamond" w:hAnsi="Garamond"/>
          <w:sz w:val="24"/>
          <w:szCs w:val="24"/>
        </w:rPr>
        <w:t xml:space="preserve">. È indubbio infatti che tali forme di cooperazione, riunendo le “ </w:t>
      </w:r>
      <w:proofErr w:type="spellStart"/>
      <w:r w:rsidRPr="00EA38B9">
        <w:rPr>
          <w:rFonts w:ascii="Garamond" w:hAnsi="Garamond"/>
          <w:sz w:val="24"/>
          <w:szCs w:val="24"/>
        </w:rPr>
        <w:t>élites</w:t>
      </w:r>
      <w:proofErr w:type="spellEnd"/>
      <w:r w:rsidRPr="00EA38B9">
        <w:rPr>
          <w:rFonts w:ascii="Garamond" w:hAnsi="Garamond"/>
          <w:sz w:val="24"/>
          <w:szCs w:val="24"/>
        </w:rPr>
        <w:t xml:space="preserve"> politiche dell’Unione e degli Stati membri”, contribuiscono alla “comprensione reciproca” in modo tale da gettare le basi per la configurazione di un “contropotere democratico a fronte del potere esecutivo” e per una legittimazione duale dell’Unione, dei parlamenti nazionali e del Parlamento europeo, soprattutto nelle materie economiche in cui prevale l’approccio intergovernativo.</w:t>
      </w:r>
      <w:r w:rsidRPr="00EA38B9">
        <w:rPr>
          <w:rStyle w:val="Rimandonotaapidipagina"/>
          <w:rFonts w:ascii="Garamond" w:hAnsi="Garamond"/>
          <w:sz w:val="24"/>
          <w:szCs w:val="24"/>
        </w:rPr>
        <w:footnoteReference w:id="50"/>
      </w:r>
    </w:p>
    <w:p w:rsidR="00BF3FA0" w:rsidRPr="00EA38B9" w:rsidRDefault="00BF3FA0" w:rsidP="00BD5DC5">
      <w:pPr>
        <w:spacing w:after="0"/>
        <w:jc w:val="both"/>
        <w:rPr>
          <w:rFonts w:ascii="Garamond" w:hAnsi="Garamond"/>
          <w:b/>
          <w:bCs/>
          <w:sz w:val="24"/>
          <w:szCs w:val="24"/>
        </w:rPr>
      </w:pPr>
    </w:p>
    <w:p w:rsidR="002B28BE" w:rsidRPr="00EA38B9" w:rsidRDefault="00BF3FA0" w:rsidP="00BF3FA0">
      <w:pPr>
        <w:spacing w:after="0"/>
        <w:jc w:val="both"/>
        <w:rPr>
          <w:rFonts w:ascii="Garamond" w:hAnsi="Garamond"/>
          <w:b/>
          <w:bCs/>
          <w:sz w:val="24"/>
          <w:szCs w:val="24"/>
        </w:rPr>
      </w:pPr>
      <w:r w:rsidRPr="00EA38B9">
        <w:rPr>
          <w:rFonts w:ascii="Garamond" w:hAnsi="Garamond" w:cs="Times New Roman"/>
          <w:b/>
          <w:bCs/>
          <w:sz w:val="24"/>
          <w:szCs w:val="24"/>
        </w:rPr>
        <w:t xml:space="preserve">4.Gli strumenti del Parlamento italiano nell’ambito della nuova </w:t>
      </w:r>
      <w:proofErr w:type="spellStart"/>
      <w:r w:rsidRPr="00EA38B9">
        <w:rPr>
          <w:rFonts w:ascii="Garamond" w:hAnsi="Garamond" w:cs="Times New Roman"/>
          <w:b/>
          <w:bCs/>
          <w:sz w:val="24"/>
          <w:szCs w:val="24"/>
        </w:rPr>
        <w:t>governance</w:t>
      </w:r>
      <w:proofErr w:type="spellEnd"/>
      <w:r w:rsidRPr="00EA38B9">
        <w:rPr>
          <w:rFonts w:ascii="Garamond" w:hAnsi="Garamond" w:cs="Times New Roman"/>
          <w:b/>
          <w:bCs/>
          <w:sz w:val="24"/>
          <w:szCs w:val="24"/>
        </w:rPr>
        <w:t xml:space="preserve"> economica europea</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In tale assetto la misura della distanza tra il nostro Parlamento e il ruolo che potrebbe assumere alla luce dell’evoluzione intervenuta nell’ordinamento europeo è data dallo strumentario di cui può disporre sul piano interno</w:t>
      </w:r>
      <w:r w:rsidRPr="00EA38B9">
        <w:rPr>
          <w:rStyle w:val="Rimandonotaapidipagina"/>
          <w:rFonts w:ascii="Garamond" w:hAnsi="Garamond"/>
          <w:sz w:val="24"/>
          <w:szCs w:val="24"/>
        </w:rPr>
        <w:footnoteReference w:id="51"/>
      </w:r>
      <w:r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 xml:space="preserve">A riguardo, la legge n.234/2012, nel tentativo di realizzare appieno il rafforzamento del ruolo dei Parlamenti riconosciuto dal Trattato di Lisbona, art.12 e protocolli  </w:t>
      </w:r>
      <w:proofErr w:type="spellStart"/>
      <w:r w:rsidRPr="00EA38B9">
        <w:rPr>
          <w:rFonts w:ascii="Garamond" w:hAnsi="Garamond"/>
          <w:sz w:val="24"/>
          <w:szCs w:val="24"/>
        </w:rPr>
        <w:t>nn</w:t>
      </w:r>
      <w:proofErr w:type="spellEnd"/>
      <w:r w:rsidRPr="00EA38B9">
        <w:rPr>
          <w:rFonts w:ascii="Garamond" w:hAnsi="Garamond"/>
          <w:sz w:val="24"/>
          <w:szCs w:val="24"/>
        </w:rPr>
        <w:t>.1 e 2, introduce disposizioni tese a rafforzare gli obblighi di informazione del Governo al Parlamento, dispone ulteriori obblighi del Governo volti ad garantire la conformità delle posizioni assunte rispetto agli indirizzi delle Camere ed attribuisce a queste ultime poteri diretti per la partecipazione ai processi decisionali</w:t>
      </w:r>
      <w:r w:rsidRPr="00EA38B9">
        <w:rPr>
          <w:rStyle w:val="Rimandonotaapidipagina"/>
          <w:rFonts w:ascii="Garamond" w:hAnsi="Garamond"/>
          <w:sz w:val="24"/>
          <w:szCs w:val="24"/>
        </w:rPr>
        <w:footnoteReference w:id="52"/>
      </w:r>
      <w:r w:rsidRPr="00EA38B9">
        <w:rPr>
          <w:rFonts w:ascii="Garamond" w:hAnsi="Garamond"/>
          <w:sz w:val="24"/>
          <w:szCs w:val="24"/>
        </w:rPr>
        <w:t xml:space="preserve">. </w:t>
      </w:r>
    </w:p>
    <w:p w:rsidR="002B28BE" w:rsidRPr="00EA38B9" w:rsidRDefault="002B28BE" w:rsidP="002B28BE">
      <w:pPr>
        <w:autoSpaceDE w:val="0"/>
        <w:autoSpaceDN w:val="0"/>
        <w:adjustRightInd w:val="0"/>
        <w:spacing w:after="0"/>
        <w:jc w:val="both"/>
        <w:rPr>
          <w:rFonts w:ascii="Garamond" w:hAnsi="Garamond" w:cs="Times#20New#20Roman"/>
          <w:sz w:val="24"/>
          <w:szCs w:val="24"/>
        </w:rPr>
      </w:pPr>
      <w:r w:rsidRPr="00EA38B9">
        <w:rPr>
          <w:rFonts w:ascii="Garamond" w:hAnsi="Garamond" w:cs="Times#20New#20Roman"/>
          <w:sz w:val="24"/>
          <w:szCs w:val="24"/>
        </w:rPr>
        <w:lastRenderedPageBreak/>
        <w:t>L’intento è di rafforzare il ruolo del Parlamento tramite il raccordo con il Governo, intento che viene perseguito essenzialmente attraverso la valorizzazione delle informazioni fornite dal Governo che assumono ora una particolare valenza, anche nell’ambito della cooperazione interparlamentare.</w:t>
      </w:r>
    </w:p>
    <w:p w:rsidR="002B28BE" w:rsidRPr="00EA38B9" w:rsidRDefault="002B28BE" w:rsidP="002B28BE">
      <w:pPr>
        <w:autoSpaceDE w:val="0"/>
        <w:autoSpaceDN w:val="0"/>
        <w:adjustRightInd w:val="0"/>
        <w:spacing w:after="0"/>
        <w:jc w:val="both"/>
        <w:rPr>
          <w:rFonts w:ascii="Garamond" w:hAnsi="Garamond" w:cs="Times#20New#20Roman"/>
          <w:sz w:val="24"/>
          <w:szCs w:val="24"/>
        </w:rPr>
      </w:pPr>
      <w:r w:rsidRPr="00EA38B9">
        <w:rPr>
          <w:rFonts w:ascii="Garamond" w:hAnsi="Garamond" w:cs="Times#20New#20Roman"/>
          <w:sz w:val="24"/>
          <w:szCs w:val="24"/>
        </w:rPr>
        <w:t>In particolare, l’art.3,comma 3, della legge 234/2012, impone al Governo l’obbligo di garantire l’assistenza documentale e informativa della Rappresentanza permanente agli uffici di Camera e Senato presso le istituzioni europee. La norma appare funzionale al rafforzamento dell’attività che i rappresentanti del Parlamento svolgono presso le istituzioni europee nell’ambito della cooperazione finalizzata allo scambio di informazioni tra i parlamenti nazionali e con lo stesso Parlamento europeo</w:t>
      </w:r>
      <w:r w:rsidRPr="00EA38B9">
        <w:rPr>
          <w:rStyle w:val="Rimandonotaapidipagina"/>
          <w:rFonts w:ascii="Garamond" w:hAnsi="Garamond" w:cs="Times#20New#20Roman"/>
          <w:sz w:val="24"/>
          <w:szCs w:val="24"/>
        </w:rPr>
        <w:footnoteReference w:id="53"/>
      </w:r>
      <w:r w:rsidRPr="00EA38B9">
        <w:rPr>
          <w:rFonts w:ascii="Garamond" w:hAnsi="Garamond" w:cs="Times#20New#20Roman"/>
          <w:sz w:val="24"/>
          <w:szCs w:val="24"/>
        </w:rPr>
        <w:t>. In questo senso, la norma rafforza la documentazione di cui dispongono i rappresentanti del Parlamento e indirettamente, per il loro tramite, anche l’attività di informazione e documentazione delle strutture parlamentari nazionali.</w:t>
      </w:r>
    </w:p>
    <w:p w:rsidR="002B28BE" w:rsidRPr="00EA38B9" w:rsidRDefault="002B28BE" w:rsidP="001B63F9">
      <w:pPr>
        <w:autoSpaceDE w:val="0"/>
        <w:autoSpaceDN w:val="0"/>
        <w:adjustRightInd w:val="0"/>
        <w:spacing w:after="0"/>
        <w:jc w:val="both"/>
        <w:rPr>
          <w:rFonts w:ascii="Garamond" w:hAnsi="Garamond" w:cs="TimesNewRomanPSMT"/>
          <w:sz w:val="24"/>
          <w:szCs w:val="24"/>
        </w:rPr>
      </w:pPr>
      <w:r w:rsidRPr="00EA38B9">
        <w:rPr>
          <w:rFonts w:ascii="Garamond" w:hAnsi="Garamond" w:cs="Times#20New#20Roman"/>
          <w:sz w:val="24"/>
          <w:szCs w:val="24"/>
        </w:rPr>
        <w:t xml:space="preserve">Relativamente alle materie economiche e finanziarie la valorizzazione dell’informazione fornita al Parlamento si coglie </w:t>
      </w:r>
      <w:r w:rsidRPr="00EA38B9">
        <w:rPr>
          <w:rFonts w:ascii="Garamond" w:hAnsi="Garamond"/>
          <w:sz w:val="24"/>
          <w:szCs w:val="24"/>
        </w:rPr>
        <w:t xml:space="preserve">nel quarto comma </w:t>
      </w:r>
      <w:r w:rsidR="001B63F9">
        <w:rPr>
          <w:rFonts w:ascii="Garamond" w:hAnsi="Garamond"/>
          <w:sz w:val="24"/>
          <w:szCs w:val="24"/>
        </w:rPr>
        <w:t>dell’art.4 della legge n.234</w:t>
      </w:r>
      <w:r w:rsidRPr="00EA38B9">
        <w:rPr>
          <w:rFonts w:ascii="Garamond" w:hAnsi="Garamond"/>
          <w:sz w:val="24"/>
          <w:szCs w:val="24"/>
        </w:rPr>
        <w:t>/2012 che impone l’obbligo di informare e consultare periodicamente le Camere nell’ambito delle procedure individuate dalla legge rinforzata di cui al sesto comma dell’art.81Cost. e dai rispettivi regolamenti in merito al</w:t>
      </w:r>
      <w:r w:rsidRPr="00EA38B9">
        <w:rPr>
          <w:rFonts w:ascii="Garamond" w:hAnsi="Garamond" w:cs="TimesNewRomanPSMT"/>
          <w:sz w:val="24"/>
          <w:szCs w:val="24"/>
        </w:rPr>
        <w:t xml:space="preserve"> coordinamento delle politiche economiche e di bilancio, nonché al funzionamento dei meccanismi di stabilizzazione finanziaria, disposti o perseguiti attraverso atti, progetti di atti e documenti dell'Unione europea, cooperazioni rafforzate tra Stati membri e accordi e le ipotesi di accordi intergovernativi tra Stati membri dell'Unione europea. Tuttavia, la disposizione appare carente nella misura in cui si occupa di disciplinare profili inerenti all’attuazione delle decisioni europee e non anche alla formazione</w:t>
      </w:r>
      <w:r w:rsidRPr="00EA38B9">
        <w:rPr>
          <w:rStyle w:val="Rimandonotaapidipagina"/>
          <w:rFonts w:ascii="Garamond" w:hAnsi="Garamond" w:cs="TimesNewRomanPSMT"/>
          <w:sz w:val="24"/>
          <w:szCs w:val="24"/>
        </w:rPr>
        <w:footnoteReference w:id="54"/>
      </w:r>
      <w:r w:rsidRPr="00EA38B9">
        <w:rPr>
          <w:rFonts w:ascii="Garamond" w:hAnsi="Garamond" w:cs="TimesNewRomanPSMT"/>
          <w:sz w:val="24"/>
          <w:szCs w:val="24"/>
        </w:rPr>
        <w:t>.</w:t>
      </w:r>
    </w:p>
    <w:p w:rsidR="002B28BE" w:rsidRPr="00EA38B9" w:rsidRDefault="002B28BE" w:rsidP="002B28BE">
      <w:pPr>
        <w:spacing w:after="0"/>
        <w:jc w:val="both"/>
        <w:rPr>
          <w:rFonts w:ascii="Garamond" w:hAnsi="Garamond" w:cs="TimesNewRomanPSMT"/>
          <w:sz w:val="24"/>
          <w:szCs w:val="24"/>
        </w:rPr>
      </w:pPr>
      <w:r w:rsidRPr="00EA38B9">
        <w:rPr>
          <w:rFonts w:ascii="Garamond" w:hAnsi="Garamond" w:cs="TimesNewRomanPSMT"/>
          <w:sz w:val="24"/>
          <w:szCs w:val="24"/>
        </w:rPr>
        <w:t>Più efficaci si profilano le specifiche disposizioni dell’art.5 della legge 234/2012 che impongono al Governo la consultazione delle Camere su ogni iniziativa volta alla conclusione di accordi che prevedano l’introduzione o il rafforzamento di regole in materia finanziaria o monetaria o comunque che producano conseguenze rilevanti sulla finanza pubblica.</w:t>
      </w:r>
    </w:p>
    <w:p w:rsidR="002B28BE" w:rsidRPr="00EA38B9" w:rsidRDefault="002B28BE" w:rsidP="002B28BE">
      <w:pPr>
        <w:spacing w:after="0"/>
        <w:jc w:val="both"/>
        <w:rPr>
          <w:rFonts w:ascii="Garamond" w:hAnsi="Garamond" w:cs="TimesNewRomanPSMT"/>
          <w:sz w:val="24"/>
          <w:szCs w:val="24"/>
        </w:rPr>
      </w:pPr>
      <w:r w:rsidRPr="00EA38B9">
        <w:rPr>
          <w:rFonts w:ascii="Garamond" w:hAnsi="Garamond" w:cs="TimesNewRomanPSMT"/>
          <w:sz w:val="24"/>
          <w:szCs w:val="24"/>
        </w:rPr>
        <w:t>L’innovazione recata dalle suddette disposizioni si coglie non solo nel rafforzamento dell’obbligo di informazione, ma anche nell’estensione di tali obblighi informativi ad accordi conclusi fuori dal diritto dell’Unione. Il riferimento è agli strumenti e alle fonti cui si è fatto ricorso per contrastare la crisi che in alcuni casi sono fuori dal diritto dell’Unione ed in altri non sono giuridicamente vincolanti ma producono effetti significativi sul piano politico ed economico</w:t>
      </w:r>
      <w:r w:rsidRPr="00EA38B9">
        <w:rPr>
          <w:rStyle w:val="Rimandonotaapidipagina"/>
          <w:rFonts w:ascii="Garamond" w:hAnsi="Garamond" w:cs="TimesNewRomanPSMT"/>
          <w:sz w:val="24"/>
          <w:szCs w:val="24"/>
        </w:rPr>
        <w:footnoteReference w:id="55"/>
      </w:r>
      <w:r w:rsidRPr="00EA38B9">
        <w:rPr>
          <w:rFonts w:ascii="Garamond" w:hAnsi="Garamond" w:cs="TimesNewRomanPSMT"/>
          <w:sz w:val="24"/>
          <w:szCs w:val="24"/>
        </w:rPr>
        <w:t>.</w:t>
      </w:r>
    </w:p>
    <w:p w:rsidR="002B28BE" w:rsidRPr="00EA38B9" w:rsidRDefault="002B28BE" w:rsidP="002B28BE">
      <w:pPr>
        <w:spacing w:after="0"/>
        <w:jc w:val="both"/>
        <w:rPr>
          <w:rFonts w:ascii="Garamond" w:hAnsi="Garamond" w:cs="TimesNewRomanPSMT"/>
          <w:sz w:val="24"/>
          <w:szCs w:val="24"/>
        </w:rPr>
      </w:pPr>
      <w:r w:rsidRPr="00EA38B9">
        <w:rPr>
          <w:rFonts w:ascii="Garamond" w:hAnsi="Garamond" w:cs="TimesNewRomanPSMT"/>
          <w:sz w:val="24"/>
          <w:szCs w:val="24"/>
        </w:rPr>
        <w:t xml:space="preserve">In questa prospettiva, la legge introduce strumenti e procedure specifiche, non riconducibili ai soli generali obblighi di consultazione delineati sulla base delle procedure legislative previste nei trattati, ma anche agli accordi e le intese adottati nell’ambito della nuova </w:t>
      </w:r>
      <w:proofErr w:type="spellStart"/>
      <w:r w:rsidRPr="00EA38B9">
        <w:rPr>
          <w:rFonts w:ascii="Garamond" w:hAnsi="Garamond" w:cs="TimesNewRomanPSMT"/>
          <w:sz w:val="24"/>
          <w:szCs w:val="24"/>
        </w:rPr>
        <w:t>governance</w:t>
      </w:r>
      <w:proofErr w:type="spellEnd"/>
      <w:r w:rsidRPr="00EA38B9">
        <w:rPr>
          <w:rFonts w:ascii="Garamond" w:hAnsi="Garamond" w:cs="TimesNewRomanPSMT"/>
          <w:sz w:val="24"/>
          <w:szCs w:val="24"/>
        </w:rPr>
        <w:t xml:space="preserve"> economica.</w:t>
      </w:r>
    </w:p>
    <w:p w:rsidR="002B28BE" w:rsidRPr="00EA38B9" w:rsidRDefault="002B28BE" w:rsidP="002B28BE">
      <w:pPr>
        <w:spacing w:after="0"/>
        <w:jc w:val="both"/>
        <w:rPr>
          <w:rFonts w:ascii="Garamond" w:hAnsi="Garamond" w:cs="TimesNewRomanPSMT"/>
          <w:sz w:val="24"/>
          <w:szCs w:val="24"/>
        </w:rPr>
      </w:pPr>
      <w:r w:rsidRPr="00EA38B9">
        <w:rPr>
          <w:rFonts w:ascii="Garamond" w:hAnsi="Garamond" w:cs="TimesNewRomanPSMT"/>
          <w:sz w:val="24"/>
          <w:szCs w:val="24"/>
        </w:rPr>
        <w:lastRenderedPageBreak/>
        <w:t>Il rafforzamento del Parlamento è perseguito anche attraverso il previsto obbligo per il Governo di assicurare che la posizione rappresentata nella negoziazione degli accordi in questione, tenga conto degli atti di indirizzo parlamentari e di riferire fornendo le appropriate motivazioni della posizione assunta, nel caso in cui non abbia potuto conformarsi alle Camere.</w:t>
      </w:r>
    </w:p>
    <w:p w:rsidR="002B28BE" w:rsidRPr="00EA38B9" w:rsidRDefault="002B28BE" w:rsidP="002B28BE">
      <w:pPr>
        <w:spacing w:after="0"/>
        <w:jc w:val="both"/>
        <w:rPr>
          <w:rFonts w:ascii="Garamond" w:hAnsi="Garamond" w:cs="Times#20New#20Roman"/>
          <w:sz w:val="24"/>
          <w:szCs w:val="24"/>
        </w:rPr>
      </w:pPr>
      <w:r w:rsidRPr="00EA38B9">
        <w:rPr>
          <w:rFonts w:ascii="Garamond" w:hAnsi="Garamond" w:cs="TimesNewRomanPSMT"/>
          <w:sz w:val="24"/>
          <w:szCs w:val="24"/>
        </w:rPr>
        <w:t>Si tratta di una disposizione che riprende quanto previsto dall’art</w:t>
      </w:r>
      <w:r w:rsidRPr="00EA38B9">
        <w:rPr>
          <w:rFonts w:ascii="Garamond" w:hAnsi="Garamond" w:cs="Times#20New#20Roman"/>
          <w:sz w:val="24"/>
          <w:szCs w:val="24"/>
        </w:rPr>
        <w:t xml:space="preserve">. </w:t>
      </w:r>
      <w:r w:rsidRPr="00EA38B9">
        <w:rPr>
          <w:rFonts w:ascii="Garamond" w:hAnsi="Garamond" w:cs="TimesNewRomanPSMT"/>
          <w:sz w:val="24"/>
          <w:szCs w:val="24"/>
        </w:rPr>
        <w:t>4-</w:t>
      </w:r>
      <w:r w:rsidRPr="00EA38B9">
        <w:rPr>
          <w:rFonts w:ascii="Garamond" w:hAnsi="Garamond" w:cs="TimesNewRomanPS-ItalicMT"/>
          <w:i/>
          <w:iCs/>
          <w:sz w:val="24"/>
          <w:szCs w:val="24"/>
        </w:rPr>
        <w:t xml:space="preserve">bis </w:t>
      </w:r>
      <w:r w:rsidRPr="00EA38B9">
        <w:rPr>
          <w:rFonts w:ascii="Garamond" w:hAnsi="Garamond" w:cs="TimesNewRomanPSMT"/>
          <w:sz w:val="24"/>
          <w:szCs w:val="24"/>
        </w:rPr>
        <w:t xml:space="preserve">della legge 11 del </w:t>
      </w:r>
      <w:r w:rsidRPr="00EA38B9">
        <w:rPr>
          <w:rFonts w:ascii="Garamond" w:hAnsi="Garamond" w:cs="Times#20New#20Roman"/>
          <w:sz w:val="24"/>
          <w:szCs w:val="24"/>
        </w:rPr>
        <w:t>2005, introdotto dalla legge n.96/2010 che imponeva l’obbligo per il Governo di garantire che la posizione rappresentata dall’Italia in sede di Consiglio dei ministri dell’Unione “tenesse conto” degli indirizzi delle Camere.</w:t>
      </w:r>
    </w:p>
    <w:p w:rsidR="002B28BE" w:rsidRPr="00EA38B9" w:rsidRDefault="001B63F9" w:rsidP="001B63F9">
      <w:pPr>
        <w:autoSpaceDE w:val="0"/>
        <w:autoSpaceDN w:val="0"/>
        <w:adjustRightInd w:val="0"/>
        <w:spacing w:after="0"/>
        <w:jc w:val="both"/>
        <w:rPr>
          <w:rFonts w:ascii="Garamond" w:hAnsi="Garamond" w:cs="Times#20New#20Roman"/>
          <w:sz w:val="24"/>
          <w:szCs w:val="24"/>
        </w:rPr>
      </w:pPr>
      <w:r>
        <w:rPr>
          <w:rFonts w:ascii="Garamond" w:hAnsi="Garamond" w:cs="Times#20New#20Roman"/>
          <w:sz w:val="24"/>
          <w:szCs w:val="24"/>
        </w:rPr>
        <w:t>La legge 234</w:t>
      </w:r>
      <w:r w:rsidR="002B28BE" w:rsidRPr="00EA38B9">
        <w:rPr>
          <w:rFonts w:ascii="Garamond" w:hAnsi="Garamond" w:cs="Times#20New#20Roman"/>
          <w:sz w:val="24"/>
          <w:szCs w:val="24"/>
        </w:rPr>
        <w:t xml:space="preserve">/2012 rafforza questo vincolo per il Governo, pur lasciando un margine di flessibilità necessaria ai negoziati in seno al Consiglio e al Consiglio europeo, tant’è che non si giunge ad applicare il modello del “mandato negoziale” adottato in molti ordinamenti europei sull’esempio di quello danese, ma si impone comunque un obbligo di motivare l’eventuale </w:t>
      </w:r>
      <w:proofErr w:type="spellStart"/>
      <w:r w:rsidR="002B28BE" w:rsidRPr="00EA38B9">
        <w:rPr>
          <w:rFonts w:ascii="Garamond" w:hAnsi="Garamond" w:cs="Times#20New#20Roman"/>
          <w:sz w:val="24"/>
          <w:szCs w:val="24"/>
        </w:rPr>
        <w:t>discostamento</w:t>
      </w:r>
      <w:proofErr w:type="spellEnd"/>
      <w:r w:rsidR="002B28BE" w:rsidRPr="00EA38B9">
        <w:rPr>
          <w:rFonts w:ascii="Garamond" w:hAnsi="Garamond" w:cs="Times#20New#20Roman"/>
          <w:sz w:val="24"/>
          <w:szCs w:val="24"/>
        </w:rPr>
        <w:t xml:space="preserve"> dagli indirizzi del Parlamento</w:t>
      </w:r>
      <w:r w:rsidR="002B28BE" w:rsidRPr="00EA38B9">
        <w:rPr>
          <w:rStyle w:val="Rimandonotaapidipagina"/>
          <w:rFonts w:ascii="Garamond" w:hAnsi="Garamond" w:cs="Times#20New#20Roman"/>
          <w:sz w:val="24"/>
          <w:szCs w:val="24"/>
        </w:rPr>
        <w:footnoteReference w:id="56"/>
      </w:r>
      <w:r w:rsidR="002B28BE" w:rsidRPr="00EA38B9">
        <w:rPr>
          <w:rFonts w:ascii="Garamond" w:hAnsi="Garamond" w:cs="Times#20New#20Roman"/>
          <w:sz w:val="24"/>
          <w:szCs w:val="24"/>
        </w:rPr>
        <w:t xml:space="preserve">. </w:t>
      </w:r>
    </w:p>
    <w:p w:rsidR="002B28BE" w:rsidRPr="00EA38B9" w:rsidRDefault="002B28BE" w:rsidP="002B28BE">
      <w:pPr>
        <w:autoSpaceDE w:val="0"/>
        <w:autoSpaceDN w:val="0"/>
        <w:adjustRightInd w:val="0"/>
        <w:spacing w:after="0"/>
        <w:jc w:val="both"/>
        <w:rPr>
          <w:rFonts w:ascii="Garamond" w:hAnsi="Garamond" w:cs="Times#20New#20Roman"/>
          <w:sz w:val="24"/>
          <w:szCs w:val="24"/>
        </w:rPr>
      </w:pPr>
      <w:r w:rsidRPr="00EA38B9">
        <w:rPr>
          <w:rFonts w:ascii="Garamond" w:hAnsi="Garamond" w:cs="Times#20New#20Roman"/>
          <w:sz w:val="24"/>
          <w:szCs w:val="24"/>
        </w:rPr>
        <w:t>L’obbligo di motivazione è a carico del Presidente del Consiglio, ma anche del Ministro competente, elemento che configura un rafforzamento del coordinamento tra Governo e Parlamento e, nello specifico, tra i ministri che hanno partecipato alle riunioni del Consiglio dei ministri dell’Unione e le commissioni parlamentari competenti</w:t>
      </w:r>
      <w:r w:rsidRPr="00EA38B9">
        <w:rPr>
          <w:rStyle w:val="Rimandonotaapidipagina"/>
          <w:rFonts w:ascii="Garamond" w:hAnsi="Garamond" w:cs="Times#20New#20Roman"/>
          <w:sz w:val="24"/>
          <w:szCs w:val="24"/>
        </w:rPr>
        <w:footnoteReference w:id="57"/>
      </w:r>
      <w:r w:rsidRPr="00EA38B9">
        <w:rPr>
          <w:rFonts w:ascii="Garamond" w:hAnsi="Garamond" w:cs="Times#20New#20Roman"/>
          <w:sz w:val="24"/>
          <w:szCs w:val="24"/>
        </w:rPr>
        <w:t>.</w:t>
      </w:r>
    </w:p>
    <w:p w:rsidR="002B28BE" w:rsidRPr="00EA38B9" w:rsidRDefault="002B28BE" w:rsidP="002B28BE">
      <w:pPr>
        <w:autoSpaceDE w:val="0"/>
        <w:autoSpaceDN w:val="0"/>
        <w:adjustRightInd w:val="0"/>
        <w:spacing w:after="0"/>
        <w:jc w:val="both"/>
        <w:rPr>
          <w:rFonts w:ascii="Garamond" w:hAnsi="Garamond" w:cs="Times#20New#20Roman"/>
          <w:sz w:val="24"/>
          <w:szCs w:val="24"/>
        </w:rPr>
      </w:pPr>
      <w:r w:rsidRPr="00EA38B9">
        <w:rPr>
          <w:rFonts w:ascii="Garamond" w:hAnsi="Garamond" w:cs="Times#20New#20Roman"/>
          <w:sz w:val="24"/>
          <w:szCs w:val="24"/>
        </w:rPr>
        <w:t>Le disposizioni inducono a ritenere che gli strumenti di cui dispone il Parlamento per recuperare il divario rispetto al Governo nell’indirizzo politico finanziario si collocano nell’ambito del contesto di integrazione europea in cui il ruolo, il peso di ogni Stato, dipende dalla capacità delle proprie istituzioni di “fare sistema” nell’affermazione di determinate posizioni</w:t>
      </w:r>
      <w:r w:rsidRPr="00EA38B9">
        <w:rPr>
          <w:rStyle w:val="Rimandonotaapidipagina"/>
          <w:rFonts w:ascii="Garamond" w:hAnsi="Garamond" w:cs="Times#20New#20Roman"/>
          <w:sz w:val="24"/>
          <w:szCs w:val="24"/>
        </w:rPr>
        <w:footnoteReference w:id="58"/>
      </w:r>
      <w:r w:rsidRPr="00EA38B9">
        <w:rPr>
          <w:rFonts w:ascii="Garamond" w:hAnsi="Garamond" w:cs="Times#20New#20Roman"/>
          <w:sz w:val="24"/>
          <w:szCs w:val="24"/>
        </w:rPr>
        <w:t>.</w:t>
      </w:r>
    </w:p>
    <w:p w:rsidR="002B28BE" w:rsidRPr="00EA38B9" w:rsidRDefault="002B28BE" w:rsidP="002B28BE">
      <w:pPr>
        <w:autoSpaceDE w:val="0"/>
        <w:autoSpaceDN w:val="0"/>
        <w:adjustRightInd w:val="0"/>
        <w:spacing w:after="0"/>
        <w:jc w:val="both"/>
        <w:rPr>
          <w:rFonts w:ascii="Garamond" w:hAnsi="Garamond"/>
          <w:sz w:val="24"/>
          <w:szCs w:val="24"/>
        </w:rPr>
      </w:pPr>
      <w:r w:rsidRPr="00EA38B9">
        <w:rPr>
          <w:rFonts w:ascii="Garamond" w:hAnsi="Garamond" w:cs="Times#20New#20Roman"/>
          <w:sz w:val="24"/>
          <w:szCs w:val="24"/>
        </w:rPr>
        <w:t>Lo sviluppo di tale capacità dipende, dalla prospettiva del Parlamento, dall’effettiva possibilità di ottenere e gestire le informazioni, dalle procedure e dalle strutture di cui dispone, il che rimanda da un lato, alla necessità di adeguare regolamenti parlamentari alla nuova disciplina di bilancio, dall’altro alla funzione di supporto che il nuovo Ufficio parlamentare di bilancio potrebbe offrire.</w:t>
      </w:r>
      <w:r w:rsidRPr="00EA38B9">
        <w:rPr>
          <w:rFonts w:ascii="Garamond" w:hAnsi="Garamond"/>
          <w:sz w:val="24"/>
          <w:szCs w:val="24"/>
        </w:rPr>
        <w:t xml:space="preserve"> </w:t>
      </w:r>
    </w:p>
    <w:p w:rsidR="002B28BE" w:rsidRPr="00EA38B9" w:rsidRDefault="00BF3FA0" w:rsidP="00BF3FA0">
      <w:pPr>
        <w:spacing w:after="0"/>
        <w:jc w:val="both"/>
        <w:rPr>
          <w:rFonts w:ascii="Garamond" w:hAnsi="Garamond"/>
          <w:b/>
          <w:bCs/>
          <w:sz w:val="24"/>
          <w:szCs w:val="24"/>
        </w:rPr>
      </w:pPr>
      <w:r w:rsidRPr="00EA38B9">
        <w:rPr>
          <w:rFonts w:ascii="Garamond" w:hAnsi="Garamond" w:cs="Times New Roman"/>
          <w:b/>
          <w:bCs/>
          <w:sz w:val="24"/>
          <w:szCs w:val="24"/>
        </w:rPr>
        <w:t>4.1 ( segue) L’istituzione dell’Ufficio parlamentare di bilancio</w:t>
      </w:r>
    </w:p>
    <w:p w:rsidR="002B28BE" w:rsidRPr="00EA38B9" w:rsidRDefault="002B28BE" w:rsidP="00F85DF5">
      <w:pPr>
        <w:spacing w:after="0"/>
        <w:jc w:val="both"/>
        <w:rPr>
          <w:rFonts w:ascii="Garamond" w:hAnsi="Garamond"/>
          <w:sz w:val="24"/>
          <w:szCs w:val="24"/>
        </w:rPr>
      </w:pPr>
      <w:r w:rsidRPr="00EA38B9">
        <w:rPr>
          <w:rFonts w:ascii="Garamond" w:hAnsi="Garamond"/>
          <w:sz w:val="24"/>
          <w:szCs w:val="24"/>
        </w:rPr>
        <w:t>Quanto osservato finora conferma c</w:t>
      </w:r>
      <w:r w:rsidR="00F85DF5" w:rsidRPr="00EA38B9">
        <w:rPr>
          <w:rFonts w:ascii="Garamond" w:hAnsi="Garamond"/>
          <w:sz w:val="24"/>
          <w:szCs w:val="24"/>
        </w:rPr>
        <w:t>ome</w:t>
      </w:r>
      <w:r w:rsidRPr="00EA38B9">
        <w:rPr>
          <w:rFonts w:ascii="Garamond" w:hAnsi="Garamond"/>
          <w:sz w:val="24"/>
          <w:szCs w:val="24"/>
        </w:rPr>
        <w:t xml:space="preserve"> la nuova </w:t>
      </w:r>
      <w:proofErr w:type="spellStart"/>
      <w:r w:rsidRPr="00EA38B9">
        <w:rPr>
          <w:rFonts w:ascii="Garamond" w:hAnsi="Garamond"/>
          <w:i/>
          <w:iCs/>
          <w:sz w:val="24"/>
          <w:szCs w:val="24"/>
        </w:rPr>
        <w:t>governance</w:t>
      </w:r>
      <w:proofErr w:type="spellEnd"/>
      <w:r w:rsidRPr="00EA38B9">
        <w:rPr>
          <w:rFonts w:ascii="Garamond" w:hAnsi="Garamond"/>
          <w:i/>
          <w:iCs/>
          <w:sz w:val="24"/>
          <w:szCs w:val="24"/>
        </w:rPr>
        <w:t xml:space="preserve"> economica</w:t>
      </w:r>
      <w:r w:rsidRPr="00EA38B9">
        <w:rPr>
          <w:rFonts w:ascii="Garamond" w:hAnsi="Garamond"/>
          <w:sz w:val="24"/>
          <w:szCs w:val="24"/>
        </w:rPr>
        <w:t xml:space="preserve"> europea </w:t>
      </w:r>
      <w:r w:rsidR="00F85DF5" w:rsidRPr="00EA38B9">
        <w:rPr>
          <w:rFonts w:ascii="Garamond" w:hAnsi="Garamond"/>
          <w:sz w:val="24"/>
          <w:szCs w:val="24"/>
        </w:rPr>
        <w:t>abbia</w:t>
      </w:r>
      <w:r w:rsidRPr="00EA38B9">
        <w:rPr>
          <w:rFonts w:ascii="Garamond" w:hAnsi="Garamond"/>
          <w:sz w:val="24"/>
          <w:szCs w:val="24"/>
        </w:rPr>
        <w:t xml:space="preserve"> accentuato dinamiche istituzionali già in atto, comuni anche ad altri ordinamenti, quali la preminenza dell’esecutivo nella funzione di indirizzo politico finanziario, la prevalenza dell’indirizzo finanziario su quello politico, l’indebolimento del Parlamento. Tuttavia</w:t>
      </w:r>
      <w:r w:rsidR="00F85DF5" w:rsidRPr="00EA38B9">
        <w:rPr>
          <w:rFonts w:ascii="Garamond" w:hAnsi="Garamond"/>
          <w:sz w:val="24"/>
          <w:szCs w:val="24"/>
        </w:rPr>
        <w:t>,</w:t>
      </w:r>
      <w:r w:rsidRPr="00EA38B9">
        <w:rPr>
          <w:rFonts w:ascii="Garamond" w:hAnsi="Garamond"/>
          <w:sz w:val="24"/>
          <w:szCs w:val="24"/>
        </w:rPr>
        <w:t xml:space="preserve"> l’impatto della crisi non si limita alle dinamiche decisionali ma si estende anche all’assetto istituzionale degli Stati attraverso l’introduzione di organismi comuni dediti alla salvaguardia di una finanza pubblica sana. Il passaggio dalle sole procedure di coordinamento comuni all’introduzione di organismi nazionali dall’identica </w:t>
      </w:r>
      <w:proofErr w:type="spellStart"/>
      <w:r w:rsidRPr="00EA38B9">
        <w:rPr>
          <w:rFonts w:ascii="Garamond" w:hAnsi="Garamond"/>
          <w:sz w:val="24"/>
          <w:szCs w:val="24"/>
        </w:rPr>
        <w:t>mission</w:t>
      </w:r>
      <w:proofErr w:type="spellEnd"/>
      <w:r w:rsidRPr="00EA38B9">
        <w:rPr>
          <w:rFonts w:ascii="Garamond" w:hAnsi="Garamond"/>
          <w:sz w:val="24"/>
          <w:szCs w:val="24"/>
        </w:rPr>
        <w:t xml:space="preserve"> istituzionale, si è reso necessario in seguito alla constatazione, maturata nel corso degli anni, della difficoltà di garantire il rispetto delle </w:t>
      </w:r>
      <w:r w:rsidRPr="00EA38B9">
        <w:rPr>
          <w:rFonts w:ascii="Garamond" w:hAnsi="Garamond"/>
          <w:sz w:val="24"/>
          <w:szCs w:val="24"/>
        </w:rPr>
        <w:lastRenderedPageBreak/>
        <w:t>regole del Patto di stabilità e crescita. Difficoltà dovuta all’incapacità dei governi di tradurre sul piano interno gli impegni relativi agli obietti di bilancio concordati ed assunti in sede europea</w:t>
      </w:r>
      <w:r w:rsidRPr="00EA38B9">
        <w:rPr>
          <w:rStyle w:val="Rimandonotaapidipagina"/>
          <w:rFonts w:ascii="Garamond" w:hAnsi="Garamond"/>
          <w:sz w:val="24"/>
          <w:szCs w:val="24"/>
        </w:rPr>
        <w:footnoteReference w:id="59"/>
      </w:r>
      <w:r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Si tratta di problematiche determinate dal concorso di due fattori: da un lato la scarsa affidabilità delle stime economiche e finanziarie che sovente si rivelano eccessivamente ottimistiche; dall’altro il comportamento della classe politica che è più attenta all’impatto della decisione sul consenso elettorale del breve periodo che non all’impatto delle decisioni sulla stabilità finanziaria del lungo periodo</w:t>
      </w:r>
      <w:r w:rsidRPr="00EA38B9">
        <w:rPr>
          <w:rStyle w:val="Rimandonotaapidipagina"/>
          <w:rFonts w:ascii="Garamond" w:hAnsi="Garamond"/>
          <w:sz w:val="24"/>
          <w:szCs w:val="24"/>
        </w:rPr>
        <w:footnoteReference w:id="60"/>
      </w:r>
      <w:r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 xml:space="preserve">La registrazione di questi fenomeni ha evidenziato un ulteriore limite dell’attuale sistema di </w:t>
      </w:r>
      <w:proofErr w:type="spellStart"/>
      <w:r w:rsidRPr="00EA38B9">
        <w:rPr>
          <w:rFonts w:ascii="Garamond" w:hAnsi="Garamond"/>
          <w:sz w:val="24"/>
          <w:szCs w:val="24"/>
        </w:rPr>
        <w:t>governance</w:t>
      </w:r>
      <w:proofErr w:type="spellEnd"/>
      <w:r w:rsidRPr="00EA38B9">
        <w:rPr>
          <w:rFonts w:ascii="Garamond" w:hAnsi="Garamond"/>
          <w:sz w:val="24"/>
          <w:szCs w:val="24"/>
        </w:rPr>
        <w:t xml:space="preserve"> economica europea improntato finora su procedure e sanzioni ed ha innescato l’esigenza di un rafforzamento costruito dall’interno degli ordinamenti degli Stati, attraverso l’introduzione di istituti comuni quali </w:t>
      </w:r>
      <w:r w:rsidRPr="00EA38B9">
        <w:rPr>
          <w:rFonts w:ascii="Garamond" w:hAnsi="Garamond"/>
          <w:i/>
          <w:iCs/>
          <w:sz w:val="24"/>
          <w:szCs w:val="24"/>
        </w:rPr>
        <w:t xml:space="preserve">i fiscal </w:t>
      </w:r>
      <w:proofErr w:type="spellStart"/>
      <w:r w:rsidRPr="00EA38B9">
        <w:rPr>
          <w:rFonts w:ascii="Garamond" w:hAnsi="Garamond"/>
          <w:i/>
          <w:iCs/>
          <w:sz w:val="24"/>
          <w:szCs w:val="24"/>
        </w:rPr>
        <w:t>council</w:t>
      </w:r>
      <w:proofErr w:type="spellEnd"/>
      <w:r w:rsidRPr="00EA38B9">
        <w:rPr>
          <w:rStyle w:val="Rimandonotaapidipagina"/>
          <w:rFonts w:ascii="Garamond" w:hAnsi="Garamond"/>
          <w:sz w:val="24"/>
          <w:szCs w:val="24"/>
        </w:rPr>
        <w:footnoteReference w:id="61"/>
      </w:r>
      <w:r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 xml:space="preserve">In particolare, la Direttiva 2011/85/UE del Consiglio, volta a definire i requisiti minimi dei quadri di bilancio, ha individuato nell’istituzione dei fiscal </w:t>
      </w:r>
      <w:proofErr w:type="spellStart"/>
      <w:r w:rsidRPr="00EA38B9">
        <w:rPr>
          <w:rFonts w:ascii="Garamond" w:hAnsi="Garamond"/>
          <w:sz w:val="24"/>
          <w:szCs w:val="24"/>
        </w:rPr>
        <w:t>councils</w:t>
      </w:r>
      <w:proofErr w:type="spellEnd"/>
      <w:r w:rsidRPr="00EA38B9">
        <w:rPr>
          <w:rFonts w:ascii="Garamond" w:hAnsi="Garamond"/>
          <w:sz w:val="24"/>
          <w:szCs w:val="24"/>
        </w:rPr>
        <w:t xml:space="preserve"> un tassello fondamentale</w:t>
      </w:r>
      <w:r w:rsidRPr="00EA38B9">
        <w:rPr>
          <w:rStyle w:val="Rimandonotaapidipagina"/>
          <w:rFonts w:ascii="Garamond" w:hAnsi="Garamond"/>
          <w:sz w:val="24"/>
          <w:szCs w:val="24"/>
        </w:rPr>
        <w:footnoteReference w:id="62"/>
      </w:r>
      <w:r w:rsidRPr="00EA38B9">
        <w:rPr>
          <w:rFonts w:ascii="Garamond" w:hAnsi="Garamond"/>
          <w:sz w:val="24"/>
          <w:szCs w:val="24"/>
        </w:rPr>
        <w:t xml:space="preserve">. Successivamente la Commissione europea ne ha indicato i requisiti essenziali nell’ambito dei Common </w:t>
      </w:r>
      <w:proofErr w:type="spellStart"/>
      <w:r w:rsidRPr="00EA38B9">
        <w:rPr>
          <w:rFonts w:ascii="Garamond" w:hAnsi="Garamond"/>
          <w:sz w:val="24"/>
          <w:szCs w:val="24"/>
        </w:rPr>
        <w:t>Principles</w:t>
      </w:r>
      <w:proofErr w:type="spellEnd"/>
      <w:r w:rsidRPr="00EA38B9">
        <w:rPr>
          <w:rFonts w:ascii="Garamond" w:hAnsi="Garamond"/>
          <w:sz w:val="24"/>
          <w:szCs w:val="24"/>
        </w:rPr>
        <w:t xml:space="preserve">, che sono stati completamente recepiti, prima dal regolamento UE n.473/2013, facente parte del c.d. </w:t>
      </w:r>
      <w:proofErr w:type="spellStart"/>
      <w:r w:rsidRPr="00EA38B9">
        <w:rPr>
          <w:rFonts w:ascii="Garamond" w:hAnsi="Garamond"/>
          <w:sz w:val="24"/>
          <w:szCs w:val="24"/>
        </w:rPr>
        <w:t>two</w:t>
      </w:r>
      <w:proofErr w:type="spellEnd"/>
      <w:r w:rsidRPr="00EA38B9">
        <w:rPr>
          <w:rFonts w:ascii="Garamond" w:hAnsi="Garamond"/>
          <w:sz w:val="24"/>
          <w:szCs w:val="24"/>
        </w:rPr>
        <w:t xml:space="preserve"> pack, e poi anche dal legislatore nazionale</w:t>
      </w:r>
      <w:r w:rsidRPr="00EA38B9">
        <w:rPr>
          <w:rStyle w:val="Rimandonotaapidipagina"/>
          <w:rFonts w:ascii="Garamond" w:hAnsi="Garamond"/>
          <w:sz w:val="24"/>
          <w:szCs w:val="24"/>
        </w:rPr>
        <w:footnoteReference w:id="63"/>
      </w:r>
      <w:r w:rsidRPr="00EA38B9">
        <w:rPr>
          <w:rFonts w:ascii="Garamond" w:hAnsi="Garamond"/>
          <w:sz w:val="24"/>
          <w:szCs w:val="24"/>
        </w:rPr>
        <w:t>.</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lastRenderedPageBreak/>
        <w:t xml:space="preserve">L’art. 5, comma 1, </w:t>
      </w:r>
      <w:proofErr w:type="spellStart"/>
      <w:r w:rsidRPr="00EA38B9">
        <w:rPr>
          <w:rFonts w:ascii="Garamond" w:hAnsi="Garamond"/>
          <w:sz w:val="24"/>
          <w:szCs w:val="24"/>
        </w:rPr>
        <w:t>lett.f</w:t>
      </w:r>
      <w:proofErr w:type="spellEnd"/>
      <w:r w:rsidRPr="00EA38B9">
        <w:rPr>
          <w:rFonts w:ascii="Garamond" w:hAnsi="Garamond"/>
          <w:sz w:val="24"/>
          <w:szCs w:val="24"/>
        </w:rPr>
        <w:t>) della legge costituzionale n.1/2012 ha previsto l’istituzione presso le Camere, di un organismo indipendente al quale attribuire compiti di verifica degli andamenti della finanza pubblica e dell’osservanza delle regole di bilancio.</w:t>
      </w:r>
    </w:p>
    <w:p w:rsidR="002B28BE" w:rsidRPr="00EA38B9" w:rsidRDefault="002B28BE" w:rsidP="002B28BE">
      <w:pPr>
        <w:spacing w:after="0"/>
        <w:jc w:val="both"/>
        <w:rPr>
          <w:rFonts w:ascii="Garamond" w:hAnsi="Garamond"/>
          <w:sz w:val="24"/>
          <w:szCs w:val="24"/>
        </w:rPr>
      </w:pPr>
      <w:r w:rsidRPr="00EA38B9">
        <w:rPr>
          <w:rFonts w:ascii="Garamond" w:hAnsi="Garamond"/>
          <w:sz w:val="24"/>
          <w:szCs w:val="24"/>
        </w:rPr>
        <w:t>La disposizione è stata attuata dalla legge rinforzata n. 243/2012 che, dagli art.16 a 19, istituisce e disciplina l’Ufficio parlamentare di bilancio con sede presso le Camere. L’Ufficio di bilancio opera in piena autonomia e con indipendenza di giudizio e di valutazione ed è composto da un Consiglio di tre membri, di cui uno con funzioni di presidente, nominati d’intesa dai Presidenti di Camera e Senato, scelti da un elenco di dieci esperti in materia di economia e finanza pubblica, indicati dalle Commissioni bilancio di entrambe le Camere, a maggioranza dei 2/3 dei rispettivi membri</w:t>
      </w:r>
      <w:r w:rsidRPr="00EA38B9">
        <w:rPr>
          <w:rStyle w:val="Rimandonotaapidipagina"/>
          <w:rFonts w:ascii="Garamond" w:hAnsi="Garamond"/>
          <w:sz w:val="24"/>
          <w:szCs w:val="24"/>
        </w:rPr>
        <w:footnoteReference w:id="64"/>
      </w:r>
      <w:r w:rsidRPr="00EA38B9">
        <w:rPr>
          <w:rFonts w:ascii="Garamond" w:hAnsi="Garamond"/>
          <w:sz w:val="24"/>
          <w:szCs w:val="24"/>
        </w:rPr>
        <w:t xml:space="preserve">. Va precisato che la scelta di istituire </w:t>
      </w:r>
      <w:r w:rsidRPr="00EA38B9">
        <w:rPr>
          <w:rFonts w:ascii="Garamond" w:hAnsi="Garamond"/>
          <w:i/>
          <w:iCs/>
          <w:sz w:val="24"/>
          <w:szCs w:val="24"/>
        </w:rPr>
        <w:t>ex novo</w:t>
      </w:r>
      <w:r w:rsidRPr="00EA38B9">
        <w:rPr>
          <w:rFonts w:ascii="Garamond" w:hAnsi="Garamond"/>
          <w:sz w:val="24"/>
          <w:szCs w:val="24"/>
        </w:rPr>
        <w:t xml:space="preserve"> un organismo cui affidare stime e valutazioni di finanza pubblica è stata propria del legislatore nazionale, sia per la figura organizzativa che per la fonte del diritto, poiché la normativa europea si è limitata a prevedere l’individuazione di un organismo in grado di fornire stime affidabili di finanza pubblica</w:t>
      </w:r>
      <w:r w:rsidRPr="00EA38B9">
        <w:rPr>
          <w:rStyle w:val="Rimandonotaapidipagina"/>
          <w:rFonts w:ascii="Garamond" w:hAnsi="Garamond"/>
          <w:sz w:val="24"/>
          <w:szCs w:val="24"/>
        </w:rPr>
        <w:footnoteReference w:id="65"/>
      </w:r>
      <w:r w:rsidRPr="00EA38B9">
        <w:rPr>
          <w:rFonts w:ascii="Garamond" w:hAnsi="Garamond"/>
          <w:sz w:val="24"/>
          <w:szCs w:val="24"/>
        </w:rPr>
        <w:t xml:space="preserve">. </w:t>
      </w:r>
    </w:p>
    <w:p w:rsidR="002B28BE" w:rsidRPr="00EA38B9" w:rsidRDefault="002B28BE" w:rsidP="002B28BE">
      <w:pPr>
        <w:pStyle w:val="Default"/>
        <w:jc w:val="both"/>
        <w:rPr>
          <w:rFonts w:ascii="Garamond" w:hAnsi="Garamond"/>
          <w:color w:val="auto"/>
        </w:rPr>
      </w:pPr>
      <w:r w:rsidRPr="00EA38B9">
        <w:rPr>
          <w:rFonts w:ascii="Garamond" w:hAnsi="Garamond"/>
          <w:color w:val="auto"/>
        </w:rPr>
        <w:t xml:space="preserve">Circa la natura giuridica dell’Ufficio parlamentare di bilancio, la sua denominazione e la sua collocazione delineerebbero una configurazione riconducibile a quella propria di un organismo parlamentare, ma tale identificazione non è pacifica. In linea generale, come è stato osservato, l’Ufficio parlamentare di bilancio può essere definito come ““organo a rilevanza </w:t>
      </w:r>
      <w:proofErr w:type="spellStart"/>
      <w:r w:rsidRPr="00EA38B9">
        <w:rPr>
          <w:rFonts w:ascii="Garamond" w:hAnsi="Garamond"/>
          <w:color w:val="auto"/>
        </w:rPr>
        <w:t>subcostituzionale</w:t>
      </w:r>
      <w:proofErr w:type="spellEnd"/>
      <w:r w:rsidRPr="00EA38B9">
        <w:rPr>
          <w:rFonts w:ascii="Garamond" w:hAnsi="Garamond"/>
          <w:color w:val="auto"/>
        </w:rPr>
        <w:t>”, in quanto previsto da una legge rinforzata, eventualmente abrogabile, modificabile o derogabile solo con leggi di medesimo rango;  inoltre svolge funzioni in parte assimilabili a quelle degli “organi ausiliari” previsti agli artt.  99-100 Cost.”</w:t>
      </w:r>
      <w:r w:rsidRPr="00EA38B9">
        <w:rPr>
          <w:rStyle w:val="Rimandonotaapidipagina"/>
          <w:rFonts w:ascii="Garamond" w:hAnsi="Garamond"/>
          <w:color w:val="auto"/>
        </w:rPr>
        <w:footnoteReference w:id="66"/>
      </w:r>
    </w:p>
    <w:p w:rsidR="002B28BE" w:rsidRPr="00EA38B9" w:rsidRDefault="002B28BE" w:rsidP="002B28BE">
      <w:pPr>
        <w:pStyle w:val="Default"/>
        <w:jc w:val="both"/>
        <w:rPr>
          <w:rFonts w:ascii="Garamond" w:hAnsi="Garamond"/>
          <w:color w:val="auto"/>
        </w:rPr>
      </w:pPr>
      <w:r w:rsidRPr="00EA38B9">
        <w:rPr>
          <w:rFonts w:ascii="Garamond" w:hAnsi="Garamond"/>
          <w:color w:val="auto"/>
        </w:rPr>
        <w:t>Ulteriori indizi circa la sua natura giuridica sono di difficile reperibilità e quelli desumibili dalle disposizioni della legge 243/2012 non consentono l’identificazione con una figura organizzativa già nota nel nostro ordinamento.</w:t>
      </w:r>
    </w:p>
    <w:p w:rsidR="002B28BE" w:rsidRPr="00EA38B9" w:rsidRDefault="002B28BE" w:rsidP="002B28BE">
      <w:pPr>
        <w:pStyle w:val="Default"/>
        <w:jc w:val="both"/>
        <w:rPr>
          <w:rFonts w:ascii="Garamond" w:hAnsi="Garamond"/>
          <w:color w:val="auto"/>
        </w:rPr>
      </w:pPr>
      <w:r w:rsidRPr="00EA38B9">
        <w:rPr>
          <w:rFonts w:ascii="Garamond" w:hAnsi="Garamond"/>
          <w:color w:val="auto"/>
        </w:rPr>
        <w:t>I caratteri di indipendenza e autonomia dell’</w:t>
      </w:r>
      <w:proofErr w:type="spellStart"/>
      <w:r w:rsidRPr="00EA38B9">
        <w:rPr>
          <w:rFonts w:ascii="Garamond" w:hAnsi="Garamond"/>
          <w:color w:val="auto"/>
        </w:rPr>
        <w:t>Upb</w:t>
      </w:r>
      <w:proofErr w:type="spellEnd"/>
      <w:r w:rsidRPr="00EA38B9">
        <w:rPr>
          <w:rFonts w:ascii="Garamond" w:hAnsi="Garamond"/>
          <w:color w:val="auto"/>
        </w:rPr>
        <w:t>, indurrebbero ad una assimilazione al modello delle autorità indipendenti, ma gli effetti negativi in termini di riduzione del potere di bilancio del Parlamento inducono ad escludere tale interpretazione</w:t>
      </w:r>
      <w:r w:rsidRPr="00EA38B9">
        <w:rPr>
          <w:rStyle w:val="Rimandonotaapidipagina"/>
          <w:rFonts w:ascii="Garamond" w:hAnsi="Garamond"/>
          <w:color w:val="auto"/>
        </w:rPr>
        <w:footnoteReference w:id="67"/>
      </w:r>
      <w:r w:rsidRPr="00EA38B9">
        <w:rPr>
          <w:rFonts w:ascii="Garamond" w:hAnsi="Garamond"/>
          <w:color w:val="auto"/>
        </w:rPr>
        <w:t>.</w:t>
      </w:r>
    </w:p>
    <w:p w:rsidR="002B28BE" w:rsidRPr="00EA38B9" w:rsidRDefault="002B28BE" w:rsidP="002B28BE">
      <w:pPr>
        <w:pStyle w:val="Default"/>
        <w:jc w:val="both"/>
        <w:rPr>
          <w:rFonts w:ascii="Garamond" w:hAnsi="Garamond"/>
          <w:color w:val="auto"/>
        </w:rPr>
      </w:pPr>
      <w:r w:rsidRPr="00EA38B9">
        <w:rPr>
          <w:rFonts w:ascii="Garamond" w:hAnsi="Garamond"/>
          <w:color w:val="auto"/>
        </w:rPr>
        <w:lastRenderedPageBreak/>
        <w:t>D’altra parte, nonostante la denominazione, la collocazione presso il Parlamento, le regole di funzionamento, di nomina dei suoi membri e di finanziamento, non pare neanche possibile assimilare tale organismo alle strutture parlamentari esistenti.</w:t>
      </w:r>
    </w:p>
    <w:p w:rsidR="002B28BE" w:rsidRPr="00EA38B9" w:rsidRDefault="002B28BE" w:rsidP="002B28BE">
      <w:pPr>
        <w:pStyle w:val="Default"/>
        <w:jc w:val="both"/>
        <w:rPr>
          <w:rFonts w:ascii="Garamond" w:hAnsi="Garamond"/>
          <w:color w:val="auto"/>
        </w:rPr>
      </w:pPr>
      <w:r w:rsidRPr="00EA38B9">
        <w:rPr>
          <w:rFonts w:ascii="Garamond" w:hAnsi="Garamond"/>
          <w:color w:val="auto"/>
        </w:rPr>
        <w:t>L’Ufficio parlamentare di bilancio, infatti, non pare poter rientrare nelle burocrazie parlamentari e, diversamente da queste, non pare possa operare in stretta collaborazione con parlamentari ed organi politici, né tantomeno potrebbe subire condizionamenti dal Governo nell’organizzazione e svolgimento delle sue funzioni</w:t>
      </w:r>
      <w:r w:rsidRPr="00EA38B9">
        <w:rPr>
          <w:rStyle w:val="Rimandonotaapidipagina"/>
          <w:rFonts w:ascii="Garamond" w:hAnsi="Garamond"/>
          <w:color w:val="auto"/>
        </w:rPr>
        <w:footnoteReference w:id="68"/>
      </w:r>
      <w:r w:rsidRPr="00EA38B9">
        <w:rPr>
          <w:rFonts w:ascii="Garamond" w:hAnsi="Garamond"/>
          <w:color w:val="auto"/>
        </w:rPr>
        <w:t>. Peraltro, gode di un’autonomia regolamentare che sebbene subordinata al previo assenso dei Presidenti delle Camere è anomala per un organismo che opera “presso le Camere”</w:t>
      </w:r>
      <w:r w:rsidRPr="00EA38B9">
        <w:rPr>
          <w:rStyle w:val="Rimandonotaapidipagina"/>
          <w:rFonts w:ascii="Garamond" w:hAnsi="Garamond"/>
          <w:color w:val="auto"/>
        </w:rPr>
        <w:footnoteReference w:id="69"/>
      </w:r>
      <w:r w:rsidRPr="00EA38B9">
        <w:rPr>
          <w:rFonts w:ascii="Garamond" w:hAnsi="Garamond"/>
          <w:color w:val="auto"/>
        </w:rPr>
        <w:t xml:space="preserve">. Sebbene la sua natura giuridica sia di difficile definizione, il suo compito appare delineato più nitidamente. </w:t>
      </w:r>
    </w:p>
    <w:p w:rsidR="002B28BE" w:rsidRPr="00EA38B9" w:rsidRDefault="002B28BE" w:rsidP="002B28BE">
      <w:pPr>
        <w:pStyle w:val="Default"/>
        <w:jc w:val="both"/>
        <w:rPr>
          <w:rFonts w:ascii="Garamond" w:hAnsi="Garamond"/>
          <w:color w:val="auto"/>
        </w:rPr>
      </w:pPr>
      <w:r w:rsidRPr="00EA38B9">
        <w:rPr>
          <w:rFonts w:ascii="Garamond" w:hAnsi="Garamond"/>
          <w:color w:val="auto"/>
        </w:rPr>
        <w:t>In generale, l’attività di guardiano fiscale (</w:t>
      </w:r>
      <w:proofErr w:type="spellStart"/>
      <w:r w:rsidRPr="00EA38B9">
        <w:rPr>
          <w:rFonts w:ascii="Garamond" w:hAnsi="Garamond"/>
          <w:color w:val="auto"/>
        </w:rPr>
        <w:t>wacth</w:t>
      </w:r>
      <w:proofErr w:type="spellEnd"/>
      <w:r w:rsidRPr="00EA38B9">
        <w:rPr>
          <w:rFonts w:ascii="Garamond" w:hAnsi="Garamond"/>
          <w:color w:val="auto"/>
        </w:rPr>
        <w:t xml:space="preserve"> dog) dell’Ufficio di bilancio, si esplica nell’ottica di rafforzare la funzione di controllo della finanza pubblica esercitata dal Parlamento. Tale elemento si coglie anche nelle disposizioni in base alle quali l’Ufficio di bilancio è tenuto ad operare in base ad un programma annuale di attività, presentato alle Commissioni parlamentari competenti in materia di finanza pubblica</w:t>
      </w:r>
      <w:r w:rsidRPr="00EA38B9">
        <w:rPr>
          <w:rStyle w:val="Rimandonotaapidipagina"/>
          <w:rFonts w:ascii="Garamond" w:hAnsi="Garamond"/>
          <w:color w:val="auto"/>
        </w:rPr>
        <w:footnoteReference w:id="70"/>
      </w:r>
      <w:r w:rsidRPr="00EA38B9">
        <w:rPr>
          <w:rFonts w:ascii="Garamond" w:hAnsi="Garamond"/>
          <w:color w:val="auto"/>
        </w:rPr>
        <w:t>. Queste ultime, in caso di valutazioni “significativamente divergenti” dell’Ufficio rispetto a quelle del governo, possono richiedere a quest’ultimo, di illustrarne le ragioni</w:t>
      </w:r>
      <w:r w:rsidRPr="00EA38B9">
        <w:rPr>
          <w:rStyle w:val="Rimandonotaapidipagina"/>
          <w:rFonts w:ascii="Garamond" w:hAnsi="Garamond"/>
          <w:color w:val="auto"/>
        </w:rPr>
        <w:footnoteReference w:id="71"/>
      </w:r>
      <w:r w:rsidRPr="00EA38B9">
        <w:rPr>
          <w:rFonts w:ascii="Garamond" w:hAnsi="Garamond"/>
          <w:color w:val="auto"/>
        </w:rPr>
        <w:t>. Tale previsione appare coerente con l’intento di rafforzare il ruolo del Parlamento nel confronto con il Governo in merito alle decisioni di finanza pubblica</w:t>
      </w:r>
      <w:r w:rsidRPr="00EA38B9">
        <w:rPr>
          <w:rStyle w:val="Rimandonotaapidipagina"/>
          <w:rFonts w:ascii="Garamond" w:hAnsi="Garamond"/>
          <w:color w:val="auto"/>
        </w:rPr>
        <w:footnoteReference w:id="72"/>
      </w:r>
      <w:r w:rsidRPr="00EA38B9">
        <w:rPr>
          <w:rFonts w:ascii="Garamond" w:hAnsi="Garamond"/>
          <w:color w:val="auto"/>
        </w:rPr>
        <w:t>. In tale ottica, oltre che per le caratteristiche di indipendenza attribuite all’Ufficio, si coglie anche la ragione per cui il confronto rimane limitato ai due principali attori dell’indirizzo finanziario e mai avrebbe potuto essere dilatato o dirottato in un confronto in cui il Parlamento fosse sostituito dal nuovo organismo</w:t>
      </w:r>
      <w:r w:rsidRPr="00EA38B9">
        <w:rPr>
          <w:rStyle w:val="Rimandonotaapidipagina"/>
          <w:rFonts w:ascii="Garamond" w:hAnsi="Garamond"/>
          <w:color w:val="auto"/>
        </w:rPr>
        <w:footnoteReference w:id="73"/>
      </w:r>
      <w:r w:rsidRPr="00EA38B9">
        <w:rPr>
          <w:rFonts w:ascii="Garamond" w:hAnsi="Garamond"/>
          <w:color w:val="auto"/>
        </w:rPr>
        <w:t xml:space="preserve">. Rispetto a quest’ultimo punto </w:t>
      </w:r>
      <w:r w:rsidRPr="00EA38B9">
        <w:rPr>
          <w:rFonts w:ascii="Garamond" w:hAnsi="Garamond"/>
          <w:color w:val="auto"/>
        </w:rPr>
        <w:lastRenderedPageBreak/>
        <w:t xml:space="preserve">tuttavia, va considerato che l’Ufficio parlamentare di bilancio, analogamente ai fiscal </w:t>
      </w:r>
      <w:proofErr w:type="spellStart"/>
      <w:r w:rsidRPr="00EA38B9">
        <w:rPr>
          <w:rFonts w:ascii="Garamond" w:hAnsi="Garamond"/>
          <w:color w:val="auto"/>
        </w:rPr>
        <w:t>council</w:t>
      </w:r>
      <w:proofErr w:type="spellEnd"/>
      <w:r w:rsidRPr="00EA38B9">
        <w:rPr>
          <w:rFonts w:ascii="Garamond" w:hAnsi="Garamond"/>
          <w:color w:val="auto"/>
        </w:rPr>
        <w:t xml:space="preserve"> di altri ordinamenti europei, si configura come il referente per la garanzia di coerenza tra la politica di bilancio nazionale e gli indirizzi europei. In questo senso pertanto si configurerebbe un ruolo ausiliario sia nei confronti del Parlamento che nei confronti delle istituzioni europee</w:t>
      </w:r>
      <w:r w:rsidRPr="00EA38B9">
        <w:rPr>
          <w:rStyle w:val="Rimandonotaapidipagina"/>
          <w:rFonts w:ascii="Garamond" w:hAnsi="Garamond"/>
          <w:color w:val="auto"/>
        </w:rPr>
        <w:footnoteReference w:id="74"/>
      </w:r>
      <w:r w:rsidRPr="00EA38B9">
        <w:rPr>
          <w:rFonts w:ascii="Garamond" w:hAnsi="Garamond"/>
          <w:color w:val="auto"/>
        </w:rPr>
        <w:t>.</w:t>
      </w:r>
    </w:p>
    <w:p w:rsidR="002B28BE" w:rsidRPr="00EA38B9" w:rsidRDefault="002B28BE" w:rsidP="002B28BE">
      <w:pPr>
        <w:pStyle w:val="Default"/>
        <w:jc w:val="both"/>
        <w:rPr>
          <w:rFonts w:ascii="Garamond" w:hAnsi="Garamond" w:cs="Verdana"/>
          <w:color w:val="auto"/>
        </w:rPr>
      </w:pPr>
      <w:r w:rsidRPr="00EA38B9">
        <w:rPr>
          <w:rFonts w:ascii="Garamond" w:hAnsi="Garamond"/>
          <w:color w:val="auto"/>
        </w:rPr>
        <w:t>Allo stesso tempo è garantita una condivisione ed accessibilità dei dati in modo che l’Ufficio parlamentare di bilancio possa disporre di una base informativa simmetrica a quella del Governo, esigenza che è stata risolta consentendo all’Ufficio di richiedere alle amministrazioni pubbliche</w:t>
      </w:r>
      <w:r w:rsidRPr="00EA38B9">
        <w:rPr>
          <w:rFonts w:ascii="Garamond" w:hAnsi="Garamond" w:cs="Verdana"/>
          <w:color w:val="auto"/>
        </w:rPr>
        <w:t>, agli enti di diritto pubblico, nonché agli enti partecipati da soggetti pubblici non solo la comunicazione di dati e informazioni, ma anche “ogni forma di collaborazione ritenuta utile per l'adempimento delle sue funzioni istituzionali” (art.18, comma 6, legge n.243/2012).</w:t>
      </w:r>
    </w:p>
    <w:p w:rsidR="002B28BE" w:rsidRPr="00EA38B9" w:rsidRDefault="002B28BE" w:rsidP="002B28BE">
      <w:pPr>
        <w:pStyle w:val="Default"/>
        <w:jc w:val="both"/>
        <w:rPr>
          <w:rFonts w:ascii="Garamond" w:hAnsi="Garamond"/>
          <w:color w:val="auto"/>
        </w:rPr>
      </w:pPr>
      <w:r w:rsidRPr="00EA38B9">
        <w:rPr>
          <w:rFonts w:ascii="Garamond" w:hAnsi="Garamond" w:cs="Verdana"/>
          <w:color w:val="auto"/>
        </w:rPr>
        <w:t xml:space="preserve">La disposizione configura un’incrinatura nel monopolio informativo del Governo sui dati di bilancio ed è finalizzata a garantire uno dei principali compiti attribuiti ai fiscal </w:t>
      </w:r>
      <w:proofErr w:type="spellStart"/>
      <w:r w:rsidRPr="00EA38B9">
        <w:rPr>
          <w:rFonts w:ascii="Garamond" w:hAnsi="Garamond" w:cs="Verdana"/>
          <w:color w:val="auto"/>
        </w:rPr>
        <w:t>councils</w:t>
      </w:r>
      <w:proofErr w:type="spellEnd"/>
      <w:r w:rsidRPr="00EA38B9">
        <w:rPr>
          <w:rFonts w:ascii="Garamond" w:hAnsi="Garamond" w:cs="Verdana"/>
          <w:color w:val="auto"/>
        </w:rPr>
        <w:t>, in qualità di “guardiani fiscali”: quello di disincentivare l’adozione di</w:t>
      </w:r>
      <w:r w:rsidRPr="00EA38B9">
        <w:rPr>
          <w:rFonts w:ascii="Garamond" w:hAnsi="Garamond"/>
          <w:color w:val="auto"/>
        </w:rPr>
        <w:t xml:space="preserve"> politiche di bilancio insane da parte dei governi.</w:t>
      </w:r>
    </w:p>
    <w:p w:rsidR="002B28BE" w:rsidRPr="00EA38B9" w:rsidRDefault="002B28BE" w:rsidP="002B28BE">
      <w:pPr>
        <w:pStyle w:val="Default"/>
        <w:jc w:val="both"/>
        <w:rPr>
          <w:rFonts w:ascii="Garamond" w:hAnsi="Garamond"/>
          <w:color w:val="auto"/>
        </w:rPr>
      </w:pPr>
      <w:r w:rsidRPr="00EA38B9">
        <w:rPr>
          <w:rFonts w:ascii="Garamond" w:hAnsi="Garamond"/>
          <w:color w:val="auto"/>
        </w:rPr>
        <w:t>Il legislatore ha inteso ottenere tale effetto disincentivante consentendo, proprio attraverso l’elaborazione dei dati, al Parlamento ma anche all’elettorato di maturare una propria opinione sulle politiche di bilancio che il governo ha adottato o intende adottare. In quest’ottica ne potrebbe derivare una sorta di costo in termini di consenso che i governi saranno indotti a calcolare ai fini delle decisioni</w:t>
      </w:r>
      <w:r w:rsidRPr="00EA38B9">
        <w:rPr>
          <w:rStyle w:val="Rimandonotaapidipagina"/>
          <w:rFonts w:ascii="Garamond" w:hAnsi="Garamond"/>
          <w:color w:val="auto"/>
        </w:rPr>
        <w:footnoteReference w:id="75"/>
      </w:r>
      <w:r w:rsidRPr="00EA38B9">
        <w:rPr>
          <w:rFonts w:ascii="Garamond" w:hAnsi="Garamond"/>
          <w:color w:val="auto"/>
        </w:rPr>
        <w:t xml:space="preserve">. </w:t>
      </w:r>
    </w:p>
    <w:p w:rsidR="002B28BE" w:rsidRPr="00EA38B9" w:rsidRDefault="002B28BE" w:rsidP="002B28BE">
      <w:pPr>
        <w:pStyle w:val="Default"/>
        <w:jc w:val="both"/>
        <w:rPr>
          <w:rFonts w:ascii="Garamond" w:hAnsi="Garamond"/>
          <w:color w:val="auto"/>
        </w:rPr>
      </w:pPr>
      <w:r w:rsidRPr="00EA38B9">
        <w:rPr>
          <w:rFonts w:ascii="Garamond" w:hAnsi="Garamond"/>
          <w:color w:val="auto"/>
        </w:rPr>
        <w:t>La descrizione dei tratti essenziali del nuovo organismo di bilancio consentono di rispondere al quesito relativo alla sua necessaria o almeno opportuna creazione.</w:t>
      </w:r>
    </w:p>
    <w:p w:rsidR="002B28BE" w:rsidRPr="00EA38B9" w:rsidRDefault="002B28BE" w:rsidP="002B28BE">
      <w:pPr>
        <w:pStyle w:val="Default"/>
        <w:jc w:val="both"/>
        <w:rPr>
          <w:rFonts w:ascii="Garamond" w:hAnsi="Garamond"/>
          <w:color w:val="auto"/>
        </w:rPr>
      </w:pPr>
      <w:r w:rsidRPr="00EA38B9">
        <w:rPr>
          <w:rFonts w:ascii="Garamond" w:hAnsi="Garamond"/>
          <w:color w:val="auto"/>
        </w:rPr>
        <w:t>In via preliminare va osservato che ruolo e funzioni dell’Ufficio di bilancio sono nettamente distinte rispetto alla Ragioneria generale da un lato, e alla Corte dei conti, dall’altro.</w:t>
      </w:r>
    </w:p>
    <w:p w:rsidR="002B28BE" w:rsidRPr="00EA38B9" w:rsidRDefault="002B28BE" w:rsidP="002B28BE">
      <w:pPr>
        <w:pStyle w:val="Default"/>
        <w:jc w:val="both"/>
        <w:rPr>
          <w:rFonts w:ascii="Garamond" w:hAnsi="Garamond"/>
          <w:color w:val="auto"/>
        </w:rPr>
      </w:pPr>
      <w:r w:rsidRPr="00EA38B9">
        <w:rPr>
          <w:rFonts w:ascii="Garamond" w:hAnsi="Garamond"/>
          <w:color w:val="auto"/>
        </w:rPr>
        <w:t xml:space="preserve">In linea generale, occorre ricordare che l’art.18, comma 1 della legge 243/2012, attribuisce all’Ufficio il compiti di valutazioni </w:t>
      </w:r>
      <w:r w:rsidRPr="00EA38B9">
        <w:rPr>
          <w:rFonts w:ascii="Garamond" w:hAnsi="Garamond"/>
          <w:i/>
          <w:iCs/>
          <w:color w:val="auto"/>
        </w:rPr>
        <w:t xml:space="preserve">ex ante </w:t>
      </w:r>
      <w:r w:rsidRPr="00EA38B9">
        <w:rPr>
          <w:rFonts w:ascii="Garamond" w:hAnsi="Garamond"/>
          <w:color w:val="auto"/>
        </w:rPr>
        <w:t xml:space="preserve">ed </w:t>
      </w:r>
      <w:r w:rsidRPr="00EA38B9">
        <w:rPr>
          <w:rFonts w:ascii="Garamond" w:hAnsi="Garamond"/>
          <w:i/>
          <w:iCs/>
          <w:color w:val="auto"/>
        </w:rPr>
        <w:t>ex post,</w:t>
      </w:r>
      <w:r w:rsidRPr="00EA38B9">
        <w:rPr>
          <w:rFonts w:ascii="Garamond" w:hAnsi="Garamond"/>
          <w:color w:val="auto"/>
        </w:rPr>
        <w:t xml:space="preserve"> sia in riferimento agli andamenti della finanza pubblica, sia all’osservanza delle regole di bilancio</w:t>
      </w:r>
      <w:r w:rsidRPr="00EA38B9">
        <w:rPr>
          <w:rStyle w:val="Rimandonotaapidipagina"/>
          <w:rFonts w:ascii="Garamond" w:hAnsi="Garamond"/>
          <w:color w:val="auto"/>
        </w:rPr>
        <w:footnoteReference w:id="76"/>
      </w:r>
      <w:r w:rsidRPr="00EA38B9">
        <w:rPr>
          <w:rFonts w:ascii="Garamond" w:hAnsi="Garamond"/>
          <w:color w:val="auto"/>
        </w:rPr>
        <w:t xml:space="preserve">. </w:t>
      </w:r>
    </w:p>
    <w:p w:rsidR="002B28BE" w:rsidRPr="00EA38B9" w:rsidRDefault="002B28BE" w:rsidP="002B28BE">
      <w:pPr>
        <w:pStyle w:val="Default"/>
        <w:jc w:val="both"/>
        <w:rPr>
          <w:rFonts w:ascii="Garamond" w:hAnsi="Garamond"/>
          <w:color w:val="auto"/>
        </w:rPr>
      </w:pPr>
      <w:r w:rsidRPr="00EA38B9">
        <w:rPr>
          <w:rFonts w:ascii="Garamond" w:hAnsi="Garamond"/>
          <w:color w:val="auto"/>
        </w:rPr>
        <w:t xml:space="preserve">In particolare, in relazione ai compiti svolti dalla Ragioneria generale dello Stato, l’istituzione dell’Ufficio di bilancio non comporta alcuna innovazione poiché le attività della prima, sono necessarie all’esercizio della funzione di indirizzo del Governo che si esplica attraverso la previsione e il monitoraggio degli andamenti di finanza pubblica da parte delle proprie strutture ministeriali. </w:t>
      </w:r>
    </w:p>
    <w:p w:rsidR="002B28BE" w:rsidRPr="00EA38B9" w:rsidRDefault="002B28BE" w:rsidP="002B28BE">
      <w:pPr>
        <w:pStyle w:val="Default"/>
        <w:jc w:val="both"/>
        <w:rPr>
          <w:rFonts w:ascii="Garamond" w:hAnsi="Garamond"/>
          <w:color w:val="auto"/>
        </w:rPr>
      </w:pPr>
      <w:r w:rsidRPr="00EA38B9">
        <w:rPr>
          <w:rFonts w:ascii="Garamond" w:hAnsi="Garamond"/>
          <w:color w:val="auto"/>
        </w:rPr>
        <w:t>Rispetto a tali funzioni, le attività dell’Ufficio di bilancio sono distinte e indipendenti, non sono strumentali all’esercizio della funzione di indirizzo del Governo, tant’è che si esplicano in attività di valutazione e monitoraggio che si traducono in valutazioni della politica di bilancio governativa a beneficio di una maggiore informazione del Parlamento. Dunque, è certamente da escludere che l’attività di verifica e valutazione degli andamenti della finanza pubblica, vale a dire l’attività di vigilanza ex ante, svolta dall’Ufficio configuri una sovrapposizione o una duplicazione delle attività svolte dall’attuale Ragioneria dello Stato.</w:t>
      </w:r>
    </w:p>
    <w:p w:rsidR="002B28BE" w:rsidRPr="00EA38B9" w:rsidRDefault="002B28BE" w:rsidP="002B28BE">
      <w:pPr>
        <w:pStyle w:val="Default"/>
        <w:jc w:val="both"/>
        <w:rPr>
          <w:rFonts w:ascii="Garamond" w:hAnsi="Garamond"/>
          <w:color w:val="auto"/>
        </w:rPr>
      </w:pPr>
      <w:r w:rsidRPr="00EA38B9">
        <w:rPr>
          <w:rFonts w:ascii="Garamond" w:hAnsi="Garamond"/>
          <w:color w:val="auto"/>
        </w:rPr>
        <w:lastRenderedPageBreak/>
        <w:t>Analoga affermazione può svolgersi per quanto riguarda l’attività di vigilanza ex post svolte dall’Ufficio di bilancio sull’osservanza delle regole di bilancio, rispetto alla funzione di controllo di cui è titolare la Corte dei conti.</w:t>
      </w:r>
    </w:p>
    <w:p w:rsidR="002B28BE" w:rsidRPr="00EA38B9" w:rsidRDefault="002B28BE" w:rsidP="002B28BE">
      <w:pPr>
        <w:pStyle w:val="Default"/>
        <w:jc w:val="both"/>
        <w:rPr>
          <w:rFonts w:ascii="Garamond" w:hAnsi="Garamond"/>
          <w:color w:val="auto"/>
        </w:rPr>
      </w:pPr>
      <w:r w:rsidRPr="00EA38B9">
        <w:rPr>
          <w:rFonts w:ascii="Garamond" w:hAnsi="Garamond"/>
          <w:color w:val="auto"/>
        </w:rPr>
        <w:t>Una prima immediata distinzione è riconducibile alla natura non giurisdizionale dell’Ufficio di bilancio, il che esclude il rischio di una “sovrapposizione con le competenze della Corte dei conti quale giudice della legittimità e del buon governo nell’uso delle risorse finanziarie pubbliche”</w:t>
      </w:r>
      <w:r w:rsidRPr="00EA38B9">
        <w:rPr>
          <w:rStyle w:val="Rimandonotaapidipagina"/>
          <w:rFonts w:ascii="Garamond" w:hAnsi="Garamond"/>
          <w:color w:val="auto"/>
        </w:rPr>
        <w:footnoteReference w:id="77"/>
      </w:r>
      <w:r w:rsidRPr="00EA38B9">
        <w:rPr>
          <w:rFonts w:ascii="Garamond" w:hAnsi="Garamond"/>
          <w:color w:val="auto"/>
        </w:rPr>
        <w:t>.</w:t>
      </w:r>
    </w:p>
    <w:p w:rsidR="002B28BE" w:rsidRPr="00EA38B9" w:rsidRDefault="002B28BE" w:rsidP="002B28BE">
      <w:pPr>
        <w:pStyle w:val="Default"/>
        <w:jc w:val="both"/>
        <w:rPr>
          <w:rFonts w:ascii="Garamond" w:hAnsi="Garamond"/>
          <w:color w:val="auto"/>
        </w:rPr>
      </w:pPr>
      <w:r w:rsidRPr="00EA38B9">
        <w:rPr>
          <w:rFonts w:ascii="Garamond" w:hAnsi="Garamond"/>
          <w:color w:val="auto"/>
        </w:rPr>
        <w:t>Inoltre le attività svolte dall’Ufficio di bilancio attengono più al concetto di valutazione che non a quello di controllo. Come è stato osservato, la valutazione si compie mediante previsioni e proiezioni circa gli effetti di un’azione pubblica; al controllo (…) sfugge, invece, ogni apprezzamento dell’impatto che sulla realtà economico-sociale, andrà a produrre l’atto sottoposto a controllo”</w:t>
      </w:r>
      <w:r w:rsidRPr="00EA38B9">
        <w:rPr>
          <w:rStyle w:val="Rimandonotaapidipagina"/>
          <w:rFonts w:ascii="Garamond" w:hAnsi="Garamond"/>
          <w:color w:val="auto"/>
        </w:rPr>
        <w:footnoteReference w:id="78"/>
      </w:r>
      <w:r w:rsidRPr="00EA38B9">
        <w:rPr>
          <w:rFonts w:ascii="Garamond" w:hAnsi="Garamond"/>
          <w:color w:val="auto"/>
        </w:rPr>
        <w:t>. Si tratta di un’attività che l’Ufficio svolge su parametri economici, diversamente la Corte svolge un controllo ex post, basato su principi ancora essenzialmente giuridici.</w:t>
      </w:r>
    </w:p>
    <w:p w:rsidR="002B28BE" w:rsidRPr="00EA38B9" w:rsidRDefault="002B28BE" w:rsidP="002B28BE">
      <w:pPr>
        <w:pStyle w:val="Default"/>
        <w:jc w:val="both"/>
        <w:rPr>
          <w:rFonts w:ascii="Garamond" w:hAnsi="Garamond"/>
          <w:color w:val="auto"/>
        </w:rPr>
      </w:pPr>
      <w:r w:rsidRPr="00EA38B9">
        <w:rPr>
          <w:rFonts w:ascii="Garamond" w:hAnsi="Garamond"/>
          <w:color w:val="auto"/>
        </w:rPr>
        <w:t>Anche in questo caso, pertanto, il nuovo organismo non svolge funzioni sovrapponibili a quelle della Corte dei conti, ma semmai si pone in una posizione di complementarietà rispetto ad esse</w:t>
      </w:r>
      <w:r w:rsidRPr="00EA38B9">
        <w:rPr>
          <w:rStyle w:val="Rimandonotaapidipagina"/>
          <w:rFonts w:ascii="Garamond" w:hAnsi="Garamond"/>
          <w:color w:val="auto"/>
        </w:rPr>
        <w:footnoteReference w:id="79"/>
      </w:r>
      <w:r w:rsidRPr="00EA38B9">
        <w:rPr>
          <w:rFonts w:ascii="Garamond" w:hAnsi="Garamond"/>
          <w:color w:val="auto"/>
        </w:rPr>
        <w:t>.</w:t>
      </w:r>
    </w:p>
    <w:p w:rsidR="002B28BE" w:rsidRPr="00EA38B9" w:rsidRDefault="002B28BE" w:rsidP="002B28BE">
      <w:pPr>
        <w:pStyle w:val="Default"/>
        <w:jc w:val="both"/>
        <w:rPr>
          <w:rFonts w:ascii="Garamond" w:hAnsi="Garamond"/>
          <w:color w:val="auto"/>
        </w:rPr>
      </w:pPr>
      <w:r w:rsidRPr="00EA38B9">
        <w:rPr>
          <w:rFonts w:ascii="Garamond" w:hAnsi="Garamond"/>
          <w:color w:val="auto"/>
        </w:rPr>
        <w:t>Chiarita la posizione dell’Ufficio di bilancio rispetto alle istituzioni già preposte alla vigilanza della finanza pubblica rimane da soddisfare il quesito iniziale circa la reale necessità della sua istituzione considerato che nel nostro ordinamento i suddetti organi svolgono funzioni neutrali in grado di garantire  un controllo della finanza pubblica e, per questa via, di compensare la primazia del Governo</w:t>
      </w:r>
      <w:r w:rsidRPr="00EA38B9">
        <w:rPr>
          <w:rStyle w:val="Rimandonotaapidipagina"/>
          <w:rFonts w:ascii="Garamond" w:hAnsi="Garamond"/>
          <w:color w:val="auto"/>
        </w:rPr>
        <w:footnoteReference w:id="80"/>
      </w:r>
      <w:r w:rsidRPr="00EA38B9">
        <w:rPr>
          <w:rFonts w:ascii="Garamond" w:hAnsi="Garamond"/>
          <w:color w:val="auto"/>
        </w:rPr>
        <w:t xml:space="preserve">. </w:t>
      </w:r>
    </w:p>
    <w:p w:rsidR="002B28BE" w:rsidRPr="00EA38B9" w:rsidRDefault="002B28BE" w:rsidP="002B28BE">
      <w:pPr>
        <w:pStyle w:val="Default"/>
        <w:jc w:val="both"/>
        <w:rPr>
          <w:rFonts w:ascii="Garamond" w:hAnsi="Garamond"/>
          <w:color w:val="auto"/>
        </w:rPr>
      </w:pPr>
      <w:r w:rsidRPr="00EA38B9">
        <w:rPr>
          <w:rFonts w:ascii="Garamond" w:hAnsi="Garamond"/>
          <w:color w:val="auto"/>
        </w:rPr>
        <w:t xml:space="preserve">La risposta non può essere univoca per due ordini di ragioni. </w:t>
      </w:r>
    </w:p>
    <w:p w:rsidR="002B28BE" w:rsidRPr="00EA38B9" w:rsidRDefault="002B28BE" w:rsidP="002B28BE">
      <w:pPr>
        <w:pStyle w:val="Default"/>
        <w:jc w:val="both"/>
        <w:rPr>
          <w:rFonts w:ascii="Garamond" w:hAnsi="Garamond"/>
          <w:color w:val="auto"/>
        </w:rPr>
      </w:pPr>
      <w:r w:rsidRPr="00EA38B9">
        <w:rPr>
          <w:rFonts w:ascii="Garamond" w:hAnsi="Garamond"/>
          <w:color w:val="auto"/>
        </w:rPr>
        <w:t xml:space="preserve">In primo luogo, nell’ottica di una progressiva integrazione dei quadri di bilancio degli Stati membri dell’eurozona, appare coerente dotarsi di un’autorità indipendente, da tempo auspicata in sede europea e supportata da ampia letteratura che vede il rafforzamento della funzione di controllo del Parlamento nella creazione di due diversi organismi: uno preposto alla valutazione ex ante, tipica dei fiscal </w:t>
      </w:r>
      <w:proofErr w:type="spellStart"/>
      <w:r w:rsidRPr="00EA38B9">
        <w:rPr>
          <w:rFonts w:ascii="Garamond" w:hAnsi="Garamond"/>
          <w:color w:val="auto"/>
        </w:rPr>
        <w:t>councils</w:t>
      </w:r>
      <w:proofErr w:type="spellEnd"/>
      <w:r w:rsidRPr="00EA38B9">
        <w:rPr>
          <w:rFonts w:ascii="Garamond" w:hAnsi="Garamond"/>
          <w:color w:val="auto"/>
        </w:rPr>
        <w:t xml:space="preserve">; l’altro preposto al controllo ex post, tipico dei c.d. </w:t>
      </w:r>
      <w:proofErr w:type="spellStart"/>
      <w:r w:rsidRPr="00EA38B9">
        <w:rPr>
          <w:rFonts w:ascii="Garamond" w:hAnsi="Garamond"/>
          <w:i/>
          <w:iCs/>
          <w:color w:val="auto"/>
        </w:rPr>
        <w:t>audit</w:t>
      </w:r>
      <w:proofErr w:type="spellEnd"/>
      <w:r w:rsidRPr="00EA38B9">
        <w:rPr>
          <w:rFonts w:ascii="Garamond" w:hAnsi="Garamond"/>
          <w:i/>
          <w:iCs/>
          <w:color w:val="auto"/>
        </w:rPr>
        <w:t xml:space="preserve"> office</w:t>
      </w:r>
      <w:r w:rsidRPr="00EA38B9">
        <w:rPr>
          <w:rStyle w:val="Rimandonotaapidipagina"/>
          <w:rFonts w:ascii="Garamond" w:hAnsi="Garamond"/>
          <w:color w:val="auto"/>
        </w:rPr>
        <w:footnoteReference w:id="81"/>
      </w:r>
      <w:r w:rsidRPr="00EA38B9">
        <w:rPr>
          <w:rFonts w:ascii="Garamond" w:hAnsi="Garamond"/>
          <w:color w:val="auto"/>
        </w:rPr>
        <w:t>. La separazione tra le due funzioni è finalizzata ad evitare il rischio che il medesimo soggetto sia condizionato, ex post, dalle sue stesse valutazioni svolte ex ante, incorrendo nel rischio di una forzata corrispondenza tra i due risultati.</w:t>
      </w:r>
    </w:p>
    <w:p w:rsidR="002B28BE" w:rsidRPr="00EA38B9" w:rsidRDefault="002B28BE" w:rsidP="002B28BE">
      <w:pPr>
        <w:pStyle w:val="Default"/>
        <w:jc w:val="both"/>
        <w:rPr>
          <w:rFonts w:ascii="Garamond" w:hAnsi="Garamond"/>
          <w:color w:val="auto"/>
        </w:rPr>
      </w:pPr>
      <w:r w:rsidRPr="00EA38B9">
        <w:rPr>
          <w:rFonts w:ascii="Garamond" w:hAnsi="Garamond"/>
          <w:color w:val="auto"/>
        </w:rPr>
        <w:t xml:space="preserve">In questo senso fa da supporto l’esperienza registrata da altri ordinamenti in cui sono già operanti i Fiscal </w:t>
      </w:r>
      <w:proofErr w:type="spellStart"/>
      <w:r w:rsidRPr="00EA38B9">
        <w:rPr>
          <w:rFonts w:ascii="Garamond" w:hAnsi="Garamond"/>
          <w:color w:val="auto"/>
        </w:rPr>
        <w:t>Council</w:t>
      </w:r>
      <w:proofErr w:type="spellEnd"/>
      <w:r w:rsidRPr="00EA38B9">
        <w:rPr>
          <w:rFonts w:ascii="Garamond" w:hAnsi="Garamond"/>
          <w:color w:val="auto"/>
        </w:rPr>
        <w:t>.</w:t>
      </w:r>
    </w:p>
    <w:p w:rsidR="002B28BE" w:rsidRPr="00EA38B9" w:rsidRDefault="002B28BE" w:rsidP="002B28BE">
      <w:pPr>
        <w:pStyle w:val="Default"/>
        <w:jc w:val="both"/>
        <w:rPr>
          <w:rFonts w:ascii="Garamond" w:hAnsi="Garamond"/>
          <w:color w:val="auto"/>
        </w:rPr>
      </w:pPr>
      <w:r w:rsidRPr="00EA38B9">
        <w:rPr>
          <w:rFonts w:ascii="Garamond" w:hAnsi="Garamond"/>
          <w:color w:val="auto"/>
        </w:rPr>
        <w:t>Tuttavia, non si può fare a meno di osservare che non è stata colta l’opportunità di rilanciare un circuito</w:t>
      </w:r>
    </w:p>
    <w:p w:rsidR="002B28BE" w:rsidRPr="00EA38B9" w:rsidRDefault="002B28BE" w:rsidP="002B28BE">
      <w:pPr>
        <w:autoSpaceDE w:val="0"/>
        <w:autoSpaceDN w:val="0"/>
        <w:adjustRightInd w:val="0"/>
        <w:spacing w:after="0"/>
        <w:jc w:val="both"/>
        <w:rPr>
          <w:rFonts w:ascii="Garamond" w:hAnsi="Garamond"/>
          <w:sz w:val="24"/>
          <w:szCs w:val="24"/>
        </w:rPr>
      </w:pPr>
      <w:r w:rsidRPr="00EA38B9">
        <w:rPr>
          <w:rFonts w:ascii="Garamond" w:hAnsi="Garamond"/>
          <w:sz w:val="24"/>
          <w:szCs w:val="24"/>
        </w:rPr>
        <w:t xml:space="preserve"> collaborativo tra organismi già presenti nel nostro ordinamento, quali la Ragioneria generale dello Stato, i servizi bilancio delle Camere, il Servizio studi della Banca d’Italia, l’Istat</w:t>
      </w:r>
      <w:r w:rsidRPr="00EA38B9">
        <w:rPr>
          <w:rStyle w:val="Rimandonotaapidipagina"/>
          <w:rFonts w:ascii="Garamond" w:hAnsi="Garamond" w:cs="NewAsterLTStd"/>
          <w:sz w:val="24"/>
          <w:szCs w:val="24"/>
        </w:rPr>
        <w:footnoteReference w:id="82"/>
      </w:r>
      <w:r w:rsidRPr="00EA38B9">
        <w:rPr>
          <w:rFonts w:ascii="Garamond" w:hAnsi="Garamond" w:cs="NewAsterLTStd"/>
          <w:sz w:val="24"/>
          <w:szCs w:val="24"/>
        </w:rPr>
        <w:t>.</w:t>
      </w:r>
    </w:p>
    <w:p w:rsidR="002B28BE" w:rsidRPr="00EA38B9" w:rsidRDefault="002B28BE" w:rsidP="002B28BE">
      <w:pPr>
        <w:autoSpaceDE w:val="0"/>
        <w:autoSpaceDN w:val="0"/>
        <w:adjustRightInd w:val="0"/>
        <w:spacing w:after="0"/>
        <w:jc w:val="both"/>
        <w:rPr>
          <w:rFonts w:ascii="Garamond" w:hAnsi="Garamond"/>
          <w:sz w:val="24"/>
          <w:szCs w:val="24"/>
        </w:rPr>
      </w:pPr>
      <w:r w:rsidRPr="00EA38B9">
        <w:rPr>
          <w:rFonts w:ascii="Garamond" w:hAnsi="Garamond"/>
          <w:sz w:val="24"/>
          <w:szCs w:val="24"/>
        </w:rPr>
        <w:t xml:space="preserve"> Allo stesso tempo, la funzione di controllo costituzionalmente attribuita alla Corte dei conti, garantisce la neutralità della funzione svolta e di conseguenza la connaturata capacità di offrire al Parlamento e alle </w:t>
      </w:r>
      <w:r w:rsidRPr="00EA38B9">
        <w:rPr>
          <w:rFonts w:ascii="Garamond" w:hAnsi="Garamond"/>
          <w:sz w:val="24"/>
          <w:szCs w:val="24"/>
        </w:rPr>
        <w:lastRenderedPageBreak/>
        <w:t>istituzioni europee ed internazionali, le garanzie di verifica dell’affidabilità dei conti pubblici, determinanti per l’interazione con i mercati finanziari</w:t>
      </w:r>
      <w:r w:rsidRPr="00EA38B9">
        <w:rPr>
          <w:rStyle w:val="Rimandonotaapidipagina"/>
          <w:rFonts w:ascii="Garamond" w:hAnsi="Garamond"/>
          <w:sz w:val="24"/>
          <w:szCs w:val="24"/>
        </w:rPr>
        <w:footnoteReference w:id="83"/>
      </w:r>
      <w:r w:rsidRPr="00EA38B9">
        <w:rPr>
          <w:rFonts w:ascii="Garamond" w:hAnsi="Garamond"/>
          <w:sz w:val="24"/>
          <w:szCs w:val="24"/>
        </w:rPr>
        <w:t>.</w:t>
      </w:r>
    </w:p>
    <w:p w:rsidR="002B28BE" w:rsidRPr="00EA38B9" w:rsidRDefault="002B28BE" w:rsidP="002B28BE">
      <w:pPr>
        <w:pStyle w:val="Default"/>
        <w:jc w:val="both"/>
        <w:rPr>
          <w:rFonts w:ascii="Garamond" w:hAnsi="Garamond"/>
          <w:color w:val="auto"/>
        </w:rPr>
      </w:pPr>
      <w:r w:rsidRPr="00EA38B9">
        <w:rPr>
          <w:rFonts w:ascii="Garamond" w:hAnsi="Garamond"/>
          <w:color w:val="auto"/>
        </w:rPr>
        <w:t>Le ragioni per cui non si è scelto di potenziare gli organismi già esistenti sembrano in parte essere riconducibili alla scarsa fiducia che le istituzioni europee ripongono nella qualità dell’amministrazione italiana, il che ha indotto ad fornire una  “nuova” prova dell’impegno per una maggiore affidabilità dei conti anche attraverso un “nuovo” organismo, indipendente rispetto all’assetto istituzionale ed amministrativo</w:t>
      </w:r>
      <w:r w:rsidRPr="00EA38B9">
        <w:rPr>
          <w:rStyle w:val="Rimandonotaapidipagina"/>
          <w:rFonts w:ascii="Garamond" w:hAnsi="Garamond"/>
          <w:color w:val="auto"/>
        </w:rPr>
        <w:footnoteReference w:id="84"/>
      </w:r>
      <w:r w:rsidRPr="00EA38B9">
        <w:rPr>
          <w:rFonts w:ascii="Garamond" w:hAnsi="Garamond"/>
          <w:color w:val="auto"/>
        </w:rPr>
        <w:t>.</w:t>
      </w:r>
    </w:p>
    <w:p w:rsidR="002B28BE" w:rsidRPr="00EA38B9" w:rsidRDefault="002B28BE" w:rsidP="002B28BE">
      <w:pPr>
        <w:pStyle w:val="Default"/>
        <w:jc w:val="both"/>
        <w:rPr>
          <w:rFonts w:ascii="Garamond" w:hAnsi="Garamond"/>
          <w:color w:val="auto"/>
        </w:rPr>
      </w:pPr>
      <w:r w:rsidRPr="00EA38B9">
        <w:rPr>
          <w:rFonts w:ascii="Garamond" w:hAnsi="Garamond"/>
          <w:color w:val="auto"/>
        </w:rPr>
        <w:t xml:space="preserve">A questa motivazione di natura politica si aggiunge un secondo ordine di ragioni, riconducibile ai tentativi compiuti dal legislatore italiano di creare un organismo con funzioni e ruolo parzialmente analoghi a quello del fiscal </w:t>
      </w:r>
      <w:proofErr w:type="spellStart"/>
      <w:r w:rsidRPr="00EA38B9">
        <w:rPr>
          <w:rFonts w:ascii="Garamond" w:hAnsi="Garamond"/>
          <w:color w:val="auto"/>
        </w:rPr>
        <w:t>council</w:t>
      </w:r>
      <w:proofErr w:type="spellEnd"/>
      <w:r w:rsidRPr="00EA38B9">
        <w:rPr>
          <w:rFonts w:ascii="Garamond" w:hAnsi="Garamond"/>
          <w:color w:val="auto"/>
        </w:rPr>
        <w:t xml:space="preserve">. Il riferimento è certamente ai Servizi di bilancio della Camera e del Senato istituiti nell’ambito della riforma di contabilità realizzata con la legge 362/88 che, relativamente alla quantificazione degli oneri delineata dall’art.11 </w:t>
      </w:r>
      <w:proofErr w:type="spellStart"/>
      <w:r w:rsidRPr="00EA38B9">
        <w:rPr>
          <w:rFonts w:ascii="Garamond" w:hAnsi="Garamond"/>
          <w:color w:val="auto"/>
        </w:rPr>
        <w:t>ter</w:t>
      </w:r>
      <w:proofErr w:type="spellEnd"/>
      <w:r w:rsidRPr="00EA38B9">
        <w:rPr>
          <w:rFonts w:ascii="Garamond" w:hAnsi="Garamond"/>
          <w:color w:val="auto"/>
        </w:rPr>
        <w:t>, presupponeva un’organizzazione in grado di analizzare le relazioni tecniche di accompagnamento alle leggi di spesa</w:t>
      </w:r>
      <w:r w:rsidRPr="00EA38B9">
        <w:rPr>
          <w:rStyle w:val="Rimandonotaapidipagina"/>
          <w:rFonts w:ascii="Garamond" w:hAnsi="Garamond"/>
          <w:color w:val="auto"/>
        </w:rPr>
        <w:footnoteReference w:id="85"/>
      </w:r>
      <w:r w:rsidRPr="00EA38B9">
        <w:rPr>
          <w:rFonts w:ascii="Garamond" w:hAnsi="Garamond"/>
          <w:color w:val="auto"/>
        </w:rPr>
        <w:t>. L’esperienza dei Servizi bilancio e l’elevato grado di preparazione del suo personale non è stato sfruttato appieno per una serie di motivi il principale dei quali è identificabile nella mancata previsione nei regolamenti parlamentari di un adeguato rilievo procedimentale da attribuire alle informazioni fornite dai Servizi</w:t>
      </w:r>
      <w:r w:rsidRPr="00EA38B9">
        <w:rPr>
          <w:rStyle w:val="Rimandonotaapidipagina"/>
          <w:rFonts w:ascii="Garamond" w:hAnsi="Garamond"/>
          <w:color w:val="auto"/>
        </w:rPr>
        <w:footnoteReference w:id="86"/>
      </w:r>
      <w:r w:rsidRPr="00EA38B9">
        <w:rPr>
          <w:rFonts w:ascii="Garamond" w:hAnsi="Garamond"/>
          <w:color w:val="auto"/>
        </w:rPr>
        <w:t>. Ne è derivata una sostanziale frustrazione dei risultati dell’attività di verifica e analisi, pur essendo questi ultimi strategici per la tenuta dei conti pubblici</w:t>
      </w:r>
      <w:r w:rsidRPr="00EA38B9">
        <w:rPr>
          <w:rStyle w:val="Rimandonotaapidipagina"/>
          <w:rFonts w:ascii="Garamond" w:hAnsi="Garamond"/>
          <w:color w:val="auto"/>
        </w:rPr>
        <w:footnoteReference w:id="87"/>
      </w:r>
      <w:r w:rsidRPr="00EA38B9">
        <w:rPr>
          <w:rFonts w:ascii="Garamond" w:hAnsi="Garamond"/>
          <w:color w:val="auto"/>
        </w:rPr>
        <w:t>.</w:t>
      </w:r>
    </w:p>
    <w:p w:rsidR="002B28BE" w:rsidRPr="00EA38B9" w:rsidRDefault="002B28BE" w:rsidP="002B28BE">
      <w:pPr>
        <w:pStyle w:val="Default"/>
        <w:jc w:val="both"/>
        <w:rPr>
          <w:rFonts w:ascii="Garamond" w:hAnsi="Garamond"/>
          <w:color w:val="auto"/>
        </w:rPr>
      </w:pPr>
      <w:r w:rsidRPr="00EA38B9">
        <w:rPr>
          <w:rFonts w:ascii="Garamond" w:hAnsi="Garamond"/>
          <w:color w:val="auto"/>
        </w:rPr>
        <w:t xml:space="preserve">In ragione di tale esperienza, l’introduzione di un </w:t>
      </w:r>
      <w:r w:rsidRPr="001B63F9">
        <w:rPr>
          <w:rFonts w:ascii="Garamond" w:hAnsi="Garamond"/>
          <w:i/>
          <w:iCs/>
          <w:color w:val="auto"/>
        </w:rPr>
        <w:t xml:space="preserve">Fiscal </w:t>
      </w:r>
      <w:proofErr w:type="spellStart"/>
      <w:r w:rsidRPr="001B63F9">
        <w:rPr>
          <w:rFonts w:ascii="Garamond" w:hAnsi="Garamond"/>
          <w:i/>
          <w:iCs/>
          <w:color w:val="auto"/>
        </w:rPr>
        <w:t>Council</w:t>
      </w:r>
      <w:proofErr w:type="spellEnd"/>
      <w:r w:rsidRPr="00EA38B9">
        <w:rPr>
          <w:rFonts w:ascii="Garamond" w:hAnsi="Garamond"/>
          <w:color w:val="auto"/>
        </w:rPr>
        <w:t xml:space="preserve"> nel nostro ordinamento si è configurata come l’occasione per valorizzare ulteriormente le strutture già esistenti attraverso forme di collaborazione reciproca</w:t>
      </w:r>
      <w:r w:rsidRPr="00EA38B9">
        <w:rPr>
          <w:rStyle w:val="Rimandonotaapidipagina"/>
          <w:rFonts w:ascii="Garamond" w:hAnsi="Garamond"/>
          <w:color w:val="auto"/>
        </w:rPr>
        <w:footnoteReference w:id="88"/>
      </w:r>
      <w:r w:rsidRPr="00EA38B9">
        <w:rPr>
          <w:rFonts w:ascii="Garamond" w:hAnsi="Garamond"/>
          <w:color w:val="auto"/>
        </w:rPr>
        <w:t>.</w:t>
      </w:r>
    </w:p>
    <w:p w:rsidR="002B28BE" w:rsidRPr="00EA38B9" w:rsidRDefault="002B28BE" w:rsidP="002B28BE">
      <w:pPr>
        <w:pStyle w:val="Default"/>
        <w:jc w:val="both"/>
        <w:rPr>
          <w:rFonts w:ascii="Garamond" w:hAnsi="Garamond" w:cs="NewAsterLTStd"/>
          <w:color w:val="auto"/>
        </w:rPr>
      </w:pPr>
      <w:r w:rsidRPr="00EA38B9">
        <w:rPr>
          <w:rFonts w:ascii="Garamond" w:hAnsi="Garamond"/>
          <w:color w:val="auto"/>
        </w:rPr>
        <w:t>Queste ultime riposano nelle riforme</w:t>
      </w:r>
      <w:r w:rsidRPr="00EA38B9">
        <w:rPr>
          <w:rFonts w:ascii="Garamond" w:hAnsi="Garamond" w:cs="NewAsterLTStd"/>
          <w:color w:val="auto"/>
        </w:rPr>
        <w:t xml:space="preserve"> dei regolamenti parlamentari,</w:t>
      </w:r>
      <w:r w:rsidRPr="00EA38B9">
        <w:rPr>
          <w:rStyle w:val="Rimandonotaapidipagina"/>
          <w:rFonts w:ascii="Garamond" w:hAnsi="Garamond" w:cs="NewAsterLTStd"/>
          <w:color w:val="auto"/>
        </w:rPr>
        <w:footnoteReference w:id="89"/>
      </w:r>
      <w:r w:rsidRPr="00EA38B9">
        <w:rPr>
          <w:rFonts w:ascii="Garamond" w:hAnsi="Garamond" w:cs="NewAsterLTStd"/>
          <w:color w:val="auto"/>
        </w:rPr>
        <w:t>richiamati espressamente dalla legge costituzionale n.1/2012, art.5, comma 4</w:t>
      </w:r>
      <w:r w:rsidRPr="00EA38B9">
        <w:rPr>
          <w:rStyle w:val="Rimandonotaapidipagina"/>
          <w:rFonts w:ascii="Garamond" w:hAnsi="Garamond" w:cs="NewAsterLTStd"/>
          <w:color w:val="auto"/>
        </w:rPr>
        <w:footnoteReference w:id="90"/>
      </w:r>
      <w:r w:rsidRPr="00EA38B9">
        <w:rPr>
          <w:rFonts w:ascii="Garamond" w:hAnsi="Garamond" w:cs="NewAsterLTStd"/>
          <w:color w:val="auto"/>
        </w:rPr>
        <w:t xml:space="preserve">, tenute a delineare una forma di controllo parlamentare </w:t>
      </w:r>
      <w:r w:rsidRPr="00EA38B9">
        <w:rPr>
          <w:rFonts w:ascii="Garamond" w:hAnsi="Garamond" w:cs="NewAsterLTStd"/>
          <w:color w:val="auto"/>
        </w:rPr>
        <w:lastRenderedPageBreak/>
        <w:t>“moderna” consona alla tempistica del semestre europeo nella fase di impostazione della manovra finanziaria, ma anche ad una cultura della valutazione delle politiche pubbliche a lungo trascurata</w:t>
      </w:r>
      <w:r w:rsidRPr="00EA38B9">
        <w:rPr>
          <w:rStyle w:val="Rimandonotaapidipagina"/>
          <w:rFonts w:ascii="Garamond" w:hAnsi="Garamond" w:cs="NewAsterLTStd"/>
          <w:color w:val="auto"/>
        </w:rPr>
        <w:footnoteReference w:id="91"/>
      </w:r>
      <w:r w:rsidRPr="00EA38B9">
        <w:rPr>
          <w:rFonts w:ascii="Garamond" w:hAnsi="Garamond" w:cs="NewAsterLTStd"/>
          <w:color w:val="auto"/>
        </w:rPr>
        <w:t>.</w:t>
      </w:r>
    </w:p>
    <w:p w:rsidR="002B28BE" w:rsidRPr="00EA38B9" w:rsidRDefault="002B28BE" w:rsidP="002B28BE">
      <w:pPr>
        <w:pStyle w:val="Nessunaspaziatura"/>
        <w:jc w:val="both"/>
        <w:rPr>
          <w:rFonts w:ascii="Garamond" w:hAnsi="Garamond"/>
          <w:sz w:val="24"/>
          <w:szCs w:val="24"/>
        </w:rPr>
      </w:pPr>
    </w:p>
    <w:p w:rsidR="0051704A" w:rsidRPr="00EA38B9" w:rsidRDefault="0051704A" w:rsidP="0051704A">
      <w:pPr>
        <w:spacing w:after="0"/>
        <w:jc w:val="both"/>
        <w:rPr>
          <w:rFonts w:ascii="Garamond" w:hAnsi="Garamond"/>
          <w:b/>
          <w:bCs/>
          <w:sz w:val="24"/>
          <w:szCs w:val="24"/>
        </w:rPr>
      </w:pPr>
      <w:r w:rsidRPr="00EA38B9">
        <w:rPr>
          <w:rFonts w:ascii="Garamond" w:hAnsi="Garamond" w:cs="Times New Roman"/>
          <w:b/>
          <w:bCs/>
          <w:sz w:val="24"/>
          <w:szCs w:val="24"/>
        </w:rPr>
        <w:t>5. Conclusioni</w:t>
      </w:r>
    </w:p>
    <w:p w:rsidR="0062229F" w:rsidRPr="00EA38B9" w:rsidRDefault="0062229F" w:rsidP="0062229F">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 xml:space="preserve">La nuova </w:t>
      </w:r>
      <w:proofErr w:type="spellStart"/>
      <w:r w:rsidRPr="00EA38B9">
        <w:rPr>
          <w:rFonts w:ascii="Garamond" w:hAnsi="Garamond" w:cs="Times New Roman"/>
          <w:sz w:val="24"/>
          <w:szCs w:val="24"/>
        </w:rPr>
        <w:t>governance</w:t>
      </w:r>
      <w:proofErr w:type="spellEnd"/>
      <w:r w:rsidRPr="00EA38B9">
        <w:rPr>
          <w:rFonts w:ascii="Garamond" w:hAnsi="Garamond" w:cs="Times New Roman"/>
          <w:sz w:val="24"/>
          <w:szCs w:val="24"/>
        </w:rPr>
        <w:t xml:space="preserve"> economica ha comportato un mutamento degli equilibri istituzionali sia a livello sovranazionale che nazionale.</w:t>
      </w:r>
    </w:p>
    <w:p w:rsidR="002B28BE" w:rsidRPr="00EA38B9" w:rsidRDefault="001B63F9" w:rsidP="00C44236">
      <w:pPr>
        <w:pStyle w:val="Nessunaspaziatura"/>
        <w:jc w:val="both"/>
        <w:rPr>
          <w:rFonts w:ascii="Garamond" w:hAnsi="Garamond"/>
          <w:sz w:val="24"/>
          <w:szCs w:val="24"/>
        </w:rPr>
      </w:pPr>
      <w:r>
        <w:rPr>
          <w:rFonts w:ascii="Garamond" w:hAnsi="Garamond"/>
          <w:sz w:val="24"/>
          <w:szCs w:val="24"/>
        </w:rPr>
        <w:t xml:space="preserve"> Sul piano interno</w:t>
      </w:r>
      <w:r w:rsidR="00C44236">
        <w:rPr>
          <w:rFonts w:ascii="Garamond" w:hAnsi="Garamond"/>
          <w:sz w:val="24"/>
          <w:szCs w:val="24"/>
        </w:rPr>
        <w:t xml:space="preserve">, la nuova disciplina fiscale </w:t>
      </w:r>
      <w:r w:rsidR="002B28BE" w:rsidRPr="00EA38B9">
        <w:rPr>
          <w:rFonts w:ascii="Garamond" w:hAnsi="Garamond"/>
          <w:sz w:val="24"/>
          <w:szCs w:val="24"/>
        </w:rPr>
        <w:t xml:space="preserve">ha contribuito all’evoluzione della forma di governo </w:t>
      </w:r>
      <w:r w:rsidR="00487310" w:rsidRPr="00EA38B9">
        <w:rPr>
          <w:rFonts w:ascii="Garamond" w:hAnsi="Garamond"/>
          <w:sz w:val="24"/>
          <w:szCs w:val="24"/>
        </w:rPr>
        <w:t xml:space="preserve"> rafforzando la</w:t>
      </w:r>
      <w:r w:rsidR="002B28BE" w:rsidRPr="00EA38B9">
        <w:rPr>
          <w:rFonts w:ascii="Garamond" w:hAnsi="Garamond"/>
          <w:sz w:val="24"/>
          <w:szCs w:val="24"/>
        </w:rPr>
        <w:t xml:space="preserve"> progressiva primazia dell’esecutivo,</w:t>
      </w:r>
      <w:r w:rsidR="00487310" w:rsidRPr="00EA38B9">
        <w:rPr>
          <w:rFonts w:ascii="Garamond" w:hAnsi="Garamond"/>
          <w:sz w:val="24"/>
          <w:szCs w:val="24"/>
        </w:rPr>
        <w:t xml:space="preserve"> accentuata sin</w:t>
      </w:r>
      <w:r w:rsidR="002B28BE" w:rsidRPr="00EA38B9">
        <w:rPr>
          <w:rFonts w:ascii="Garamond" w:hAnsi="Garamond"/>
          <w:sz w:val="24"/>
          <w:szCs w:val="24"/>
        </w:rPr>
        <w:t xml:space="preserve"> dall’adesione al Patto di stabilità e crescita</w:t>
      </w:r>
      <w:r w:rsidR="002B28BE" w:rsidRPr="00EA38B9">
        <w:rPr>
          <w:rStyle w:val="Rimandonotaapidipagina"/>
          <w:rFonts w:ascii="Garamond" w:hAnsi="Garamond"/>
          <w:sz w:val="24"/>
          <w:szCs w:val="24"/>
        </w:rPr>
        <w:footnoteReference w:id="92"/>
      </w:r>
      <w:r w:rsidR="002B28BE" w:rsidRPr="00EA38B9">
        <w:rPr>
          <w:rFonts w:ascii="Garamond" w:hAnsi="Garamond"/>
          <w:sz w:val="24"/>
          <w:szCs w:val="24"/>
        </w:rPr>
        <w:t xml:space="preserve">. </w:t>
      </w:r>
    </w:p>
    <w:p w:rsidR="002B28BE" w:rsidRPr="00EA38B9" w:rsidRDefault="002B28BE" w:rsidP="00487310">
      <w:pPr>
        <w:pStyle w:val="Nessunaspaziatura"/>
        <w:jc w:val="both"/>
        <w:rPr>
          <w:rFonts w:ascii="Garamond" w:hAnsi="Garamond"/>
          <w:sz w:val="24"/>
          <w:szCs w:val="24"/>
        </w:rPr>
      </w:pPr>
      <w:r w:rsidRPr="00EA38B9">
        <w:rPr>
          <w:rFonts w:ascii="Garamond" w:hAnsi="Garamond"/>
          <w:sz w:val="24"/>
          <w:szCs w:val="24"/>
        </w:rPr>
        <w:t xml:space="preserve">Tale rafforzamento </w:t>
      </w:r>
      <w:r w:rsidR="00487310" w:rsidRPr="00EA38B9">
        <w:rPr>
          <w:rFonts w:ascii="Garamond" w:hAnsi="Garamond"/>
          <w:sz w:val="24"/>
          <w:szCs w:val="24"/>
        </w:rPr>
        <w:t xml:space="preserve"> dell’esecutivo si</w:t>
      </w:r>
      <w:r w:rsidRPr="00EA38B9">
        <w:rPr>
          <w:rFonts w:ascii="Garamond" w:hAnsi="Garamond"/>
          <w:sz w:val="24"/>
          <w:szCs w:val="24"/>
        </w:rPr>
        <w:t xml:space="preserve"> è esplicitato, nell’ordinamento interno, sia nella fase di impostazione che in quella di verifica degli andamenti di finanza pubblica, ma allo stesso tempo subisce un ridimensionamento per effetto dell’interazione con le istituzioni europee</w:t>
      </w:r>
      <w:r w:rsidRPr="00EA38B9">
        <w:rPr>
          <w:rStyle w:val="Rimandonotaapidipagina"/>
          <w:rFonts w:ascii="Garamond" w:hAnsi="Garamond"/>
          <w:sz w:val="24"/>
          <w:szCs w:val="24"/>
        </w:rPr>
        <w:footnoteReference w:id="93"/>
      </w:r>
      <w:r w:rsidRPr="00EA38B9">
        <w:rPr>
          <w:rFonts w:ascii="Garamond" w:hAnsi="Garamond"/>
          <w:sz w:val="24"/>
          <w:szCs w:val="24"/>
        </w:rPr>
        <w:t>.</w:t>
      </w:r>
    </w:p>
    <w:p w:rsidR="002B28BE" w:rsidRPr="00EA38B9" w:rsidRDefault="002B28BE" w:rsidP="002B28BE">
      <w:pPr>
        <w:pStyle w:val="Nessunaspaziatura"/>
        <w:jc w:val="both"/>
        <w:rPr>
          <w:rFonts w:ascii="Garamond" w:hAnsi="Garamond"/>
          <w:sz w:val="24"/>
          <w:szCs w:val="24"/>
        </w:rPr>
      </w:pPr>
      <w:r w:rsidRPr="00EA38B9">
        <w:rPr>
          <w:rFonts w:ascii="Garamond" w:hAnsi="Garamond"/>
          <w:sz w:val="24"/>
          <w:szCs w:val="24"/>
        </w:rPr>
        <w:t xml:space="preserve">Ne è derivata una progressiva limitazione alla discrezionalità della politica di bilancio che è giunta con le riforme introdotte dalla nuova </w:t>
      </w:r>
      <w:proofErr w:type="spellStart"/>
      <w:r w:rsidRPr="00EA38B9">
        <w:rPr>
          <w:rFonts w:ascii="Garamond" w:hAnsi="Garamond"/>
          <w:i/>
          <w:iCs/>
          <w:sz w:val="24"/>
          <w:szCs w:val="24"/>
        </w:rPr>
        <w:t>governance</w:t>
      </w:r>
      <w:proofErr w:type="spellEnd"/>
      <w:r w:rsidRPr="00EA38B9">
        <w:rPr>
          <w:rFonts w:ascii="Garamond" w:hAnsi="Garamond"/>
          <w:sz w:val="24"/>
          <w:szCs w:val="24"/>
        </w:rPr>
        <w:t xml:space="preserve"> economica ad europeizzare quasi completamente l’indirizzo finanziario. La misura di tale europeizzazione, vale a dire il possibile margine di discrezionalità lasciati agli Stati, entro i vincoli di finanza pubblica, dipende dalla capacità di Governo e Parlamento di esprimere un indirizzo coerente con gli obiettivi di indirizzo politico espressi dal Consiglio Ue e dal Consiglio Ecofin.</w:t>
      </w:r>
    </w:p>
    <w:p w:rsidR="002B28BE" w:rsidRPr="00EA38B9" w:rsidRDefault="002B28BE" w:rsidP="002B28BE">
      <w:pPr>
        <w:pStyle w:val="Nessunaspaziatura"/>
        <w:jc w:val="both"/>
        <w:rPr>
          <w:rFonts w:ascii="Garamond" w:hAnsi="Garamond"/>
          <w:sz w:val="24"/>
          <w:szCs w:val="24"/>
        </w:rPr>
      </w:pPr>
      <w:r w:rsidRPr="00EA38B9">
        <w:rPr>
          <w:rFonts w:ascii="Garamond" w:hAnsi="Garamond"/>
          <w:sz w:val="24"/>
          <w:szCs w:val="24"/>
        </w:rPr>
        <w:t>In questo contesto, il Parlamento</w:t>
      </w:r>
      <w:r w:rsidR="00487310" w:rsidRPr="00EA38B9">
        <w:rPr>
          <w:rFonts w:ascii="Garamond" w:hAnsi="Garamond"/>
          <w:sz w:val="24"/>
          <w:szCs w:val="24"/>
        </w:rPr>
        <w:t xml:space="preserve"> italiano</w:t>
      </w:r>
      <w:r w:rsidRPr="00EA38B9">
        <w:rPr>
          <w:rFonts w:ascii="Garamond" w:hAnsi="Garamond"/>
          <w:sz w:val="24"/>
          <w:szCs w:val="24"/>
        </w:rPr>
        <w:t xml:space="preserve"> appare progressivamente indebolito anche da una tempistica che, soprattutto nella fase di programmazione finanziaria non consente un ponderato esame da parte delle Camere. Contribuiscono a tale squilibrio prassi ormai consolidate di natura emergenziale.</w:t>
      </w:r>
    </w:p>
    <w:p w:rsidR="002B28BE" w:rsidRPr="00EA38B9" w:rsidRDefault="002B28BE" w:rsidP="002B28BE">
      <w:pPr>
        <w:pStyle w:val="Nessunaspaziatura"/>
        <w:jc w:val="both"/>
        <w:rPr>
          <w:rFonts w:ascii="Garamond" w:hAnsi="Garamond"/>
          <w:sz w:val="24"/>
          <w:szCs w:val="24"/>
        </w:rPr>
      </w:pPr>
      <w:r w:rsidRPr="00EA38B9">
        <w:rPr>
          <w:rFonts w:ascii="Garamond" w:hAnsi="Garamond"/>
          <w:sz w:val="24"/>
          <w:szCs w:val="24"/>
        </w:rPr>
        <w:t xml:space="preserve">Eppure, dallo stesso quadro normativo europeo che consolida il ruolo del governo quale </w:t>
      </w:r>
      <w:r w:rsidRPr="00EA38B9">
        <w:rPr>
          <w:rFonts w:ascii="Garamond" w:hAnsi="Garamond"/>
          <w:i/>
          <w:iCs/>
          <w:sz w:val="24"/>
          <w:szCs w:val="24"/>
        </w:rPr>
        <w:t>dominus</w:t>
      </w:r>
      <w:r w:rsidRPr="00EA38B9">
        <w:rPr>
          <w:rFonts w:ascii="Garamond" w:hAnsi="Garamond"/>
          <w:sz w:val="24"/>
          <w:szCs w:val="24"/>
        </w:rPr>
        <w:t xml:space="preserve"> dell’indirizzo della finanza pubblica, emergono nuove prospettive per il recupero della funzione di indirizzo del Parlamento. In questo senso si può collocare l’istituzione dell’Ufficio parlamentare di </w:t>
      </w:r>
      <w:r w:rsidRPr="00EA38B9">
        <w:rPr>
          <w:rFonts w:ascii="Garamond" w:hAnsi="Garamond"/>
          <w:sz w:val="24"/>
          <w:szCs w:val="24"/>
        </w:rPr>
        <w:lastRenderedPageBreak/>
        <w:t xml:space="preserve">bilancio e le forme di cooperazione interparlamentare, segnatamente quella indicate dall’art.13 del </w:t>
      </w:r>
      <w:proofErr w:type="spellStart"/>
      <w:r w:rsidRPr="00EA38B9">
        <w:rPr>
          <w:rFonts w:ascii="Garamond" w:hAnsi="Garamond"/>
          <w:sz w:val="24"/>
          <w:szCs w:val="24"/>
        </w:rPr>
        <w:t>Tscg</w:t>
      </w:r>
      <w:proofErr w:type="spellEnd"/>
      <w:r w:rsidRPr="00EA38B9">
        <w:rPr>
          <w:rFonts w:ascii="Garamond" w:hAnsi="Garamond"/>
          <w:sz w:val="24"/>
          <w:szCs w:val="24"/>
        </w:rPr>
        <w:t>, anche se l’esperienza maturata finora dimostra uno scarso sfruttamento dell’istituto</w:t>
      </w:r>
      <w:r w:rsidRPr="00EA38B9">
        <w:rPr>
          <w:rStyle w:val="Rimandonotaapidipagina"/>
          <w:rFonts w:ascii="Garamond" w:hAnsi="Garamond"/>
          <w:sz w:val="24"/>
          <w:szCs w:val="24"/>
        </w:rPr>
        <w:footnoteReference w:id="94"/>
      </w:r>
      <w:r w:rsidRPr="00EA38B9">
        <w:rPr>
          <w:rFonts w:ascii="Garamond" w:hAnsi="Garamond"/>
          <w:sz w:val="24"/>
          <w:szCs w:val="24"/>
        </w:rPr>
        <w:t>.</w:t>
      </w:r>
    </w:p>
    <w:p w:rsidR="002B28BE" w:rsidRPr="00EA38B9" w:rsidRDefault="002B28BE" w:rsidP="002B28BE">
      <w:pPr>
        <w:pStyle w:val="Nessunaspaziatura"/>
        <w:jc w:val="both"/>
        <w:rPr>
          <w:rFonts w:ascii="Garamond" w:hAnsi="Garamond"/>
          <w:sz w:val="24"/>
          <w:szCs w:val="24"/>
        </w:rPr>
      </w:pPr>
      <w:r w:rsidRPr="00EA38B9">
        <w:rPr>
          <w:rFonts w:ascii="Garamond" w:hAnsi="Garamond"/>
          <w:sz w:val="24"/>
          <w:szCs w:val="24"/>
        </w:rPr>
        <w:t xml:space="preserve">In questa prospettiva, sul piano interno, il confronto tra Governo e Parlamento può certamente migliorare per effetto dell’attività che è chiamato a svolgere l’Ufficio parlamentare di bilancio, ma l’efficacia di questo ruolo riposa sulla revisione delle fonti interne della Camere ed in particolare sui tempi della discussione, sui poteri del Governo e sui rapporti tra le Commissioni bilancio e le commissioni di settore. Soprattutto è necessario delineare procedure garantiste di maggioranza e opposizione riguardo alla decisione di ricorso al debito. </w:t>
      </w:r>
    </w:p>
    <w:p w:rsidR="002B28BE" w:rsidRPr="00EA38B9" w:rsidRDefault="002B28BE" w:rsidP="002B28BE">
      <w:pPr>
        <w:pStyle w:val="Nessunaspaziatura"/>
        <w:jc w:val="both"/>
        <w:rPr>
          <w:rFonts w:ascii="Garamond" w:hAnsi="Garamond"/>
          <w:sz w:val="24"/>
          <w:szCs w:val="24"/>
        </w:rPr>
      </w:pPr>
      <w:r w:rsidRPr="00EA38B9">
        <w:rPr>
          <w:rFonts w:ascii="Garamond" w:hAnsi="Garamond"/>
          <w:sz w:val="24"/>
          <w:szCs w:val="24"/>
        </w:rPr>
        <w:t>Si configura la possibilità, di garantire procedure finanziarie nel cui ambito sia possibile condurre un esame delle politiche settoriali e delle risorse a queste assegnate, sulla base delle priorità stabilite dall’indirizzo governativo e di abbandonare il ricorso a decreti legge, maxi emendamenti e fiducia.</w:t>
      </w:r>
    </w:p>
    <w:p w:rsidR="002B28BE" w:rsidRPr="00EA38B9" w:rsidRDefault="002B28BE" w:rsidP="00F84A49">
      <w:pPr>
        <w:pStyle w:val="Nessunaspaziatura"/>
        <w:jc w:val="both"/>
        <w:rPr>
          <w:rFonts w:ascii="Garamond" w:hAnsi="Garamond"/>
          <w:sz w:val="24"/>
          <w:szCs w:val="24"/>
        </w:rPr>
      </w:pPr>
      <w:r w:rsidRPr="00EA38B9">
        <w:rPr>
          <w:rFonts w:ascii="Garamond" w:hAnsi="Garamond"/>
          <w:sz w:val="24"/>
          <w:szCs w:val="24"/>
        </w:rPr>
        <w:t>Si tratta di punti nodali in cui la dimensione tecnica torna ad intersecarsi con la dimensione politica e costituzionale e la cui risoluzione consentirebbe di integrare, e non di appiattire, la dimensione qualitativa dell’indirizzo politico con la dimensione quantitativa dell’indirizzo finanziario.</w:t>
      </w:r>
    </w:p>
    <w:p w:rsidR="00F84A49" w:rsidRPr="00EA38B9" w:rsidRDefault="00F84A49" w:rsidP="00C44236">
      <w:pPr>
        <w:rPr>
          <w:rFonts w:ascii="Garamond" w:hAnsi="Garamond" w:cs="Times New Roman"/>
          <w:sz w:val="24"/>
          <w:szCs w:val="24"/>
        </w:rPr>
      </w:pPr>
      <w:r w:rsidRPr="00EA38B9">
        <w:rPr>
          <w:rFonts w:ascii="Garamond" w:hAnsi="Garamond"/>
          <w:sz w:val="24"/>
          <w:szCs w:val="24"/>
        </w:rPr>
        <w:t>In riferimento all’ordinamento sovranazionale,</w:t>
      </w:r>
      <w:r w:rsidRPr="00EA38B9">
        <w:rPr>
          <w:rFonts w:ascii="Garamond" w:hAnsi="Garamond" w:cs="Times New Roman"/>
          <w:sz w:val="24"/>
          <w:szCs w:val="24"/>
        </w:rPr>
        <w:t xml:space="preserve"> è stato osservato come il Consiglio europeo abbia assunto un ruolo centrale che si è esteso oltre i suoi poteri di indirizzo e impulso ( art.15 Tue) per giungere a condizionare fortemente il ruolo della Commissione contribuendo a configurare una nuova veste del potere esecutivo, più ampio e condiviso. Allo stesso tempo, è stato notato come la Commissione, nonostante il rafforzamento del Consiglio europeo, abbia svolto il proprio ruolo (art.17 Tue) nell’elaborazione della nuova disciplina fiscale e abbia rafforzato la sua posizione anche nei confronti del Consiglio che necessiterà di una maggioranza qualificata inversa per disattendere le sue raccomandazioni.</w:t>
      </w:r>
      <w:r w:rsidR="00C44236">
        <w:rPr>
          <w:rFonts w:ascii="Garamond" w:hAnsi="Garamond" w:cs="Times New Roman"/>
          <w:sz w:val="24"/>
          <w:szCs w:val="24"/>
        </w:rPr>
        <w:t xml:space="preserve"> </w:t>
      </w:r>
      <w:r w:rsidRPr="00EA38B9">
        <w:rPr>
          <w:rFonts w:ascii="Garamond" w:hAnsi="Garamond" w:cs="Times New Roman"/>
          <w:sz w:val="24"/>
          <w:szCs w:val="24"/>
        </w:rPr>
        <w:t>Ne è derivato un nuovo equilibrio in cui il complessivo governo dell’Unione ha consolidato il suo pilastro centrale nel pervasivo ruolo di indirizzo svolto dal Consiglio europeo e in un rafforzamento della Commissione che si esplica essenzialmente nei confronti degli Stati</w:t>
      </w:r>
      <w:r w:rsidRPr="00EA38B9">
        <w:rPr>
          <w:rStyle w:val="Rimandonotaapidipagina"/>
          <w:rFonts w:ascii="Garamond" w:hAnsi="Garamond" w:cs="Times New Roman"/>
          <w:sz w:val="24"/>
          <w:szCs w:val="24"/>
        </w:rPr>
        <w:footnoteReference w:id="95"/>
      </w:r>
      <w:r w:rsidRPr="00EA38B9">
        <w:rPr>
          <w:rFonts w:ascii="Garamond" w:hAnsi="Garamond" w:cs="Times New Roman"/>
          <w:sz w:val="24"/>
          <w:szCs w:val="24"/>
        </w:rPr>
        <w:t>.</w:t>
      </w:r>
    </w:p>
    <w:p w:rsidR="00F84A49" w:rsidRPr="00EA38B9" w:rsidRDefault="00F84A49" w:rsidP="00F84A49">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Tale assetto rivela squilibri legati alla responsabilità e legittimità delle decisioni adottate poiché solo la Commissione è responsabile di fronte al Parlamento, mentre il Consiglio europeo conserva una responsabilità essenzialmente politica nonostante la crisi abbia mostrato il carattere concreto delle sue decisioni.</w:t>
      </w:r>
    </w:p>
    <w:p w:rsidR="00F84A49" w:rsidRPr="00EA38B9" w:rsidRDefault="00F84A49" w:rsidP="00F84A49">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L’assenza di una legittimazione del Consiglio europeo da parte del Parlamento pone in luce la necessità di ripensare il bilanciamento tra poteri e ancor di più il complessivo modello cui tende la forma di governo dell’Unione.</w:t>
      </w:r>
    </w:p>
    <w:p w:rsidR="00C62A6A" w:rsidRPr="00EA38B9" w:rsidRDefault="00C62A6A" w:rsidP="00C62A6A">
      <w:pPr>
        <w:autoSpaceDE w:val="0"/>
        <w:autoSpaceDN w:val="0"/>
        <w:adjustRightInd w:val="0"/>
        <w:spacing w:after="0" w:line="240" w:lineRule="auto"/>
        <w:jc w:val="both"/>
        <w:rPr>
          <w:rFonts w:ascii="Garamond" w:hAnsi="Garamond" w:cs="Times New Roman"/>
          <w:sz w:val="24"/>
          <w:szCs w:val="24"/>
        </w:rPr>
      </w:pPr>
      <w:r>
        <w:rPr>
          <w:rFonts w:ascii="Garamond" w:hAnsi="Garamond" w:cs="Times New Roman"/>
          <w:sz w:val="24"/>
          <w:szCs w:val="24"/>
        </w:rPr>
        <w:t>N</w:t>
      </w:r>
      <w:r w:rsidRPr="00EA38B9">
        <w:rPr>
          <w:rFonts w:ascii="Garamond" w:hAnsi="Garamond" w:cs="Times New Roman"/>
          <w:sz w:val="24"/>
          <w:szCs w:val="24"/>
        </w:rPr>
        <w:t>el corso della crisi lo spostamento dell’asse decisionale, si è</w:t>
      </w:r>
      <w:r>
        <w:rPr>
          <w:rFonts w:ascii="Garamond" w:hAnsi="Garamond" w:cs="Times New Roman"/>
          <w:sz w:val="24"/>
          <w:szCs w:val="24"/>
        </w:rPr>
        <w:t xml:space="preserve"> andato assestandosi</w:t>
      </w:r>
      <w:r w:rsidRPr="00EA38B9">
        <w:rPr>
          <w:rFonts w:ascii="Garamond" w:hAnsi="Garamond" w:cs="Times New Roman"/>
          <w:sz w:val="24"/>
          <w:szCs w:val="24"/>
        </w:rPr>
        <w:t xml:space="preserve"> sul Consiglio europeo</w:t>
      </w:r>
      <w:r>
        <w:rPr>
          <w:rFonts w:ascii="Garamond" w:hAnsi="Garamond" w:cs="Times New Roman"/>
          <w:sz w:val="24"/>
          <w:szCs w:val="24"/>
        </w:rPr>
        <w:t xml:space="preserve"> </w:t>
      </w:r>
      <w:r w:rsidRPr="00EA38B9">
        <w:rPr>
          <w:rFonts w:ascii="Garamond" w:hAnsi="Garamond" w:cs="Times New Roman"/>
          <w:sz w:val="24"/>
          <w:szCs w:val="24"/>
        </w:rPr>
        <w:t>-Commissione e non su Commissione -Parlamento.</w:t>
      </w:r>
    </w:p>
    <w:p w:rsidR="00C62A6A" w:rsidRPr="00EA38B9" w:rsidRDefault="00C62A6A" w:rsidP="00C62A6A">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È stato pertanto offuscato il modello parlamentare delineato sin dal Trattato di Maastricht e rimarcato nel Trattato di Lisbona, lasciando intravedere la possibilità di una nuova forma di governo assimilabile ai modelli presidenziali dei sistemi federali, in cui le funzioni del Consiglio europeo (governo federale) potrebbero essere controbilanciate dal Parlamento europeo.</w:t>
      </w:r>
    </w:p>
    <w:p w:rsidR="00C62A6A" w:rsidRPr="00EA38B9" w:rsidRDefault="00C62A6A" w:rsidP="00C62A6A">
      <w:pPr>
        <w:autoSpaceDE w:val="0"/>
        <w:autoSpaceDN w:val="0"/>
        <w:adjustRightInd w:val="0"/>
        <w:spacing w:after="0" w:line="240" w:lineRule="auto"/>
        <w:jc w:val="both"/>
        <w:rPr>
          <w:rFonts w:ascii="Garamond" w:hAnsi="Garamond" w:cs="Times New Roman"/>
          <w:sz w:val="24"/>
          <w:szCs w:val="24"/>
        </w:rPr>
      </w:pPr>
      <w:r w:rsidRPr="00EA38B9">
        <w:rPr>
          <w:rFonts w:ascii="Garamond" w:hAnsi="Garamond" w:cs="Times New Roman"/>
          <w:sz w:val="24"/>
          <w:szCs w:val="24"/>
        </w:rPr>
        <w:t>Naturalmente si tratta di un passaggio che oltre a richiedere una riforma dei Trattati, necessita di una riflessione sul concetto di rappresentanza per l’individuazione di un compromesso tra la rappresentanza unitaria dei cittadini europei ( art.10 e art.14 Tue) e la rappresentanza degli interessi nazionali dell’Unione differenziata</w:t>
      </w:r>
      <w:r w:rsidRPr="00EA38B9">
        <w:rPr>
          <w:rStyle w:val="Rimandonotaapidipagina"/>
          <w:rFonts w:ascii="Garamond" w:hAnsi="Garamond" w:cs="Times New Roman"/>
          <w:sz w:val="24"/>
          <w:szCs w:val="24"/>
        </w:rPr>
        <w:footnoteReference w:id="96"/>
      </w:r>
      <w:r w:rsidRPr="00EA38B9">
        <w:rPr>
          <w:rFonts w:ascii="Garamond" w:hAnsi="Garamond" w:cs="Times New Roman"/>
          <w:sz w:val="24"/>
          <w:szCs w:val="24"/>
        </w:rPr>
        <w:t xml:space="preserve">. E’certamente questo il punto nevralgico del processo di integrazione, la cui necessità di risoluzione è stata acuita dalla crisi, gestita essenzialmente con metodo intergovernativo. Ne è conseguita la percezione di una virata dell’indirizzo dell’Unione verso il perseguimento di parametri </w:t>
      </w:r>
      <w:r w:rsidRPr="00EA38B9">
        <w:rPr>
          <w:rFonts w:ascii="Garamond" w:hAnsi="Garamond" w:cs="Times New Roman"/>
          <w:sz w:val="24"/>
          <w:szCs w:val="24"/>
        </w:rPr>
        <w:lastRenderedPageBreak/>
        <w:t>tecnici di finanza pubblica ad opera di organismi tecnici e non verso il perseguimento di valori comunitari ad opera di istituzioni e metodi comunitari</w:t>
      </w:r>
      <w:r w:rsidRPr="00EA38B9">
        <w:rPr>
          <w:rStyle w:val="Rimandonotaapidipagina"/>
          <w:rFonts w:ascii="Garamond" w:hAnsi="Garamond" w:cs="Times New Roman"/>
          <w:sz w:val="24"/>
          <w:szCs w:val="24"/>
        </w:rPr>
        <w:footnoteReference w:id="97"/>
      </w:r>
      <w:r w:rsidRPr="00EA38B9">
        <w:rPr>
          <w:rFonts w:ascii="Garamond" w:hAnsi="Garamond" w:cs="Times New Roman"/>
          <w:sz w:val="24"/>
          <w:szCs w:val="24"/>
        </w:rPr>
        <w:t>.</w:t>
      </w:r>
    </w:p>
    <w:p w:rsidR="00F84A49" w:rsidRPr="00EA38B9" w:rsidRDefault="00F84A49" w:rsidP="00F84A49">
      <w:pPr>
        <w:pStyle w:val="Nessunaspaziatura"/>
        <w:jc w:val="both"/>
        <w:rPr>
          <w:rFonts w:ascii="Garamond" w:hAnsi="Garamond"/>
          <w:b/>
          <w:bCs/>
          <w:sz w:val="24"/>
          <w:szCs w:val="24"/>
        </w:rPr>
      </w:pPr>
    </w:p>
    <w:p w:rsidR="00F84A49" w:rsidRPr="00EA38B9" w:rsidRDefault="00F84A49" w:rsidP="009D14FA">
      <w:pPr>
        <w:rPr>
          <w:rFonts w:ascii="Garamond" w:hAnsi="Garamond"/>
          <w:sz w:val="24"/>
          <w:szCs w:val="24"/>
        </w:rPr>
      </w:pPr>
    </w:p>
    <w:sectPr w:rsidR="00F84A49" w:rsidRPr="00EA38B9" w:rsidSect="00A86ED7">
      <w:headerReference w:type="even" r:id="rId6"/>
      <w:headerReference w:type="default" r:id="rId7"/>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98F" w:rsidRDefault="007D598F" w:rsidP="00F711B5">
      <w:pPr>
        <w:spacing w:after="0" w:line="240" w:lineRule="auto"/>
      </w:pPr>
      <w:r>
        <w:separator/>
      </w:r>
    </w:p>
  </w:endnote>
  <w:endnote w:type="continuationSeparator" w:id="0">
    <w:p w:rsidR="007D598F" w:rsidRDefault="007D598F" w:rsidP="00F711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ejaVu Serif Condensed">
    <w:altName w:val="DejaVu Serif Condense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Italic">
    <w:panose1 w:val="00000000000000000000"/>
    <w:charset w:val="00"/>
    <w:family w:val="swiss"/>
    <w:notTrueType/>
    <w:pitch w:val="default"/>
    <w:sig w:usb0="00000003" w:usb1="00000000" w:usb2="00000000" w:usb3="00000000" w:csb0="00000001" w:csb1="00000000"/>
  </w:font>
  <w:font w:name="SimonciniGaramond">
    <w:altName w:val="MS PMincho"/>
    <w:charset w:val="00"/>
    <w:family w:val="roman"/>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SimonciniGaramond-Italic">
    <w:panose1 w:val="00000000000000000000"/>
    <w:charset w:val="00"/>
    <w:family w:val="roman"/>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AdvP2A67">
    <w:panose1 w:val="00000000000000000000"/>
    <w:charset w:val="00"/>
    <w:family w:val="swiss"/>
    <w:notTrueType/>
    <w:pitch w:val="default"/>
    <w:sig w:usb0="00000003" w:usb1="00000000" w:usb2="00000000" w:usb3="00000000" w:csb0="00000001" w:csb1="00000000"/>
  </w:font>
  <w:font w:name="AdvP2A71">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embo-Italic">
    <w:panose1 w:val="00000000000000000000"/>
    <w:charset w:val="00"/>
    <w:family w:val="roman"/>
    <w:notTrueType/>
    <w:pitch w:val="default"/>
    <w:sig w:usb0="00000003" w:usb1="00000000" w:usb2="00000000" w:usb3="00000000" w:csb0="00000001" w:csb1="00000000"/>
  </w:font>
  <w:font w:name="Times#20New#20Roman">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AdvP2AA1">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 w:name="CMTI10">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NewAsterLTStd">
    <w:panose1 w:val="00000000000000000000"/>
    <w:charset w:val="00"/>
    <w:family w:val="roman"/>
    <w:notTrueType/>
    <w:pitch w:val="default"/>
    <w:sig w:usb0="00000003" w:usb1="00000000" w:usb2="00000000" w:usb3="00000000" w:csb0="00000001" w:csb1="00000000"/>
  </w:font>
  <w:font w:name="NewAsterLTStd-I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00000000" w:usb1="00000000" w:usb2="00000000" w:usb3="00000000" w:csb0="000001FB" w:csb1="00000000"/>
  </w:font>
  <w:font w:name="Baskerville-Italic">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072454"/>
      <w:docPartObj>
        <w:docPartGallery w:val="Page Numbers (Bottom of Page)"/>
        <w:docPartUnique/>
      </w:docPartObj>
    </w:sdtPr>
    <w:sdtContent>
      <w:p w:rsidR="0005296D" w:rsidRDefault="0005296D">
        <w:pPr>
          <w:pStyle w:val="Pidipagina"/>
          <w:jc w:val="right"/>
        </w:pPr>
        <w:fldSimple w:instr=" PAGE   \* MERGEFORMAT ">
          <w:r w:rsidR="00340EC5">
            <w:rPr>
              <w:noProof/>
            </w:rPr>
            <w:t>22</w:t>
          </w:r>
        </w:fldSimple>
      </w:p>
    </w:sdtContent>
  </w:sdt>
  <w:p w:rsidR="0005296D" w:rsidRDefault="0005296D">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281139"/>
      <w:docPartObj>
        <w:docPartGallery w:val="Page Numbers (Bottom of Page)"/>
        <w:docPartUnique/>
      </w:docPartObj>
    </w:sdtPr>
    <w:sdtContent>
      <w:p w:rsidR="0005296D" w:rsidRDefault="0005296D">
        <w:pPr>
          <w:pStyle w:val="Pidipagina"/>
          <w:jc w:val="right"/>
        </w:pPr>
        <w:fldSimple w:instr=" PAGE   \* MERGEFORMAT ">
          <w:r w:rsidR="00340EC5">
            <w:rPr>
              <w:noProof/>
            </w:rPr>
            <w:t>23</w:t>
          </w:r>
        </w:fldSimple>
      </w:p>
    </w:sdtContent>
  </w:sdt>
  <w:p w:rsidR="0005296D" w:rsidRDefault="0005296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98F" w:rsidRDefault="007D598F" w:rsidP="00F711B5">
      <w:pPr>
        <w:spacing w:after="0" w:line="240" w:lineRule="auto"/>
      </w:pPr>
      <w:r>
        <w:separator/>
      </w:r>
    </w:p>
  </w:footnote>
  <w:footnote w:type="continuationSeparator" w:id="0">
    <w:p w:rsidR="007D598F" w:rsidRDefault="007D598F" w:rsidP="00F711B5">
      <w:pPr>
        <w:spacing w:after="0" w:line="240" w:lineRule="auto"/>
      </w:pPr>
      <w:r>
        <w:continuationSeparator/>
      </w:r>
    </w:p>
  </w:footnote>
  <w:footnote w:id="1">
    <w:p w:rsidR="0005296D" w:rsidRPr="00D36F91" w:rsidRDefault="0005296D" w:rsidP="007D52DF">
      <w:pPr>
        <w:pStyle w:val="Testonotaapidipagina"/>
        <w:jc w:val="both"/>
        <w:rPr>
          <w:rFonts w:ascii="Garamond" w:hAnsi="Garamond"/>
        </w:rPr>
      </w:pPr>
      <w:r w:rsidRPr="00D36F91">
        <w:rPr>
          <w:rStyle w:val="Rimandonotaapidipagina"/>
          <w:rFonts w:ascii="Garamond" w:hAnsi="Garamond"/>
        </w:rPr>
        <w:footnoteRef/>
      </w:r>
      <w:r w:rsidRPr="00D36F91">
        <w:rPr>
          <w:rFonts w:ascii="Garamond" w:hAnsi="Garamond"/>
        </w:rPr>
        <w:t xml:space="preserve"> </w:t>
      </w:r>
      <w:proofErr w:type="spellStart"/>
      <w:r w:rsidRPr="00D36F91">
        <w:rPr>
          <w:rFonts w:ascii="Garamond" w:hAnsi="Garamond"/>
        </w:rPr>
        <w:t>Cfr.L.S.Rossi</w:t>
      </w:r>
      <w:proofErr w:type="spellEnd"/>
      <w:r w:rsidRPr="00D36F91">
        <w:rPr>
          <w:rFonts w:ascii="Garamond" w:hAnsi="Garamond"/>
        </w:rPr>
        <w:t xml:space="preserve">, </w:t>
      </w:r>
      <w:r w:rsidRPr="00D36F91">
        <w:rPr>
          <w:rFonts w:ascii="Garamond" w:hAnsi="Garamond"/>
          <w:i/>
          <w:iCs/>
        </w:rPr>
        <w:t>Gli instabili equilibri istituzionali dell’Unione europea</w:t>
      </w:r>
      <w:r w:rsidRPr="00D36F91">
        <w:rPr>
          <w:rFonts w:ascii="Garamond" w:hAnsi="Garamond"/>
        </w:rPr>
        <w:t xml:space="preserve">, in </w:t>
      </w:r>
      <w:proofErr w:type="spellStart"/>
      <w:r w:rsidRPr="00D36F91">
        <w:rPr>
          <w:rFonts w:ascii="Garamond" w:hAnsi="Garamond"/>
        </w:rPr>
        <w:t>G.Amato</w:t>
      </w:r>
      <w:proofErr w:type="spellEnd"/>
      <w:r w:rsidRPr="00D36F91">
        <w:rPr>
          <w:rFonts w:ascii="Garamond" w:hAnsi="Garamond"/>
        </w:rPr>
        <w:t xml:space="preserve">, </w:t>
      </w:r>
      <w:proofErr w:type="spellStart"/>
      <w:r w:rsidRPr="00D36F91">
        <w:rPr>
          <w:rFonts w:ascii="Garamond" w:hAnsi="Garamond"/>
        </w:rPr>
        <w:t>R.Gualtieri</w:t>
      </w:r>
      <w:proofErr w:type="spellEnd"/>
      <w:r w:rsidRPr="00D36F91">
        <w:rPr>
          <w:rFonts w:ascii="Garamond" w:hAnsi="Garamond"/>
        </w:rPr>
        <w:t xml:space="preserve"> ( a cura di), </w:t>
      </w:r>
      <w:r w:rsidRPr="00D36F91">
        <w:rPr>
          <w:rFonts w:ascii="Garamond" w:hAnsi="Garamond"/>
          <w:i/>
          <w:iCs/>
        </w:rPr>
        <w:t>Prove di Europa unita</w:t>
      </w:r>
      <w:r w:rsidRPr="00D36F91">
        <w:rPr>
          <w:rFonts w:ascii="Garamond" w:hAnsi="Garamond"/>
        </w:rPr>
        <w:t xml:space="preserve">, Firenze, </w:t>
      </w:r>
      <w:proofErr w:type="spellStart"/>
      <w:r w:rsidRPr="00D36F91">
        <w:rPr>
          <w:rFonts w:ascii="Garamond" w:hAnsi="Garamond"/>
        </w:rPr>
        <w:t>Passigli</w:t>
      </w:r>
      <w:proofErr w:type="spellEnd"/>
      <w:r w:rsidRPr="00D36F91">
        <w:rPr>
          <w:rFonts w:ascii="Garamond" w:hAnsi="Garamond"/>
        </w:rPr>
        <w:t xml:space="preserve"> Editore, 2013, p.267; sulla scelta del metodo intergovernativo per il coordinamento delle politiche economiche si veda </w:t>
      </w:r>
      <w:proofErr w:type="spellStart"/>
      <w:r w:rsidRPr="00D36F91">
        <w:rPr>
          <w:rFonts w:ascii="Garamond" w:hAnsi="Garamond"/>
        </w:rPr>
        <w:t>S.Cafaro</w:t>
      </w:r>
      <w:proofErr w:type="spellEnd"/>
      <w:r w:rsidRPr="00D36F91">
        <w:rPr>
          <w:rFonts w:ascii="Garamond" w:hAnsi="Garamond"/>
        </w:rPr>
        <w:t xml:space="preserve">, </w:t>
      </w:r>
      <w:r w:rsidRPr="00D36F91">
        <w:rPr>
          <w:rFonts w:ascii="Garamond" w:hAnsi="Garamond"/>
          <w:i/>
          <w:iCs/>
        </w:rPr>
        <w:t>Unione monetaria e coordinamento delle politiche economiche. Il difficile equilibrio tra modelli antagonisti di integrazione europea</w:t>
      </w:r>
      <w:r w:rsidRPr="00D36F91">
        <w:rPr>
          <w:rFonts w:ascii="Garamond" w:hAnsi="Garamond"/>
        </w:rPr>
        <w:t xml:space="preserve">, Milano 2001; per una disamina più ampia dei diversi metodi di integrazione si veda </w:t>
      </w:r>
      <w:proofErr w:type="spellStart"/>
      <w:r w:rsidRPr="00D36F91">
        <w:rPr>
          <w:rFonts w:ascii="Garamond" w:hAnsi="Garamond"/>
        </w:rPr>
        <w:t>L.S.Rossi</w:t>
      </w:r>
      <w:proofErr w:type="spellEnd"/>
      <w:r w:rsidRPr="00D36F91">
        <w:rPr>
          <w:rFonts w:ascii="Garamond" w:hAnsi="Garamond"/>
        </w:rPr>
        <w:t>,</w:t>
      </w:r>
      <w:r w:rsidRPr="00D36F91">
        <w:rPr>
          <w:rFonts w:ascii="Garamond" w:hAnsi="Garamond"/>
          <w:i/>
          <w:iCs/>
        </w:rPr>
        <w:t xml:space="preserve"> A New </w:t>
      </w:r>
      <w:proofErr w:type="spellStart"/>
      <w:r w:rsidRPr="00D36F91">
        <w:rPr>
          <w:rFonts w:ascii="Garamond" w:hAnsi="Garamond"/>
          <w:i/>
          <w:iCs/>
        </w:rPr>
        <w:t>Inter.Institutional</w:t>
      </w:r>
      <w:proofErr w:type="spellEnd"/>
      <w:r w:rsidRPr="00D36F91">
        <w:rPr>
          <w:rFonts w:ascii="Garamond" w:hAnsi="Garamond"/>
          <w:i/>
          <w:iCs/>
        </w:rPr>
        <w:t xml:space="preserve"> </w:t>
      </w:r>
      <w:proofErr w:type="spellStart"/>
      <w:r w:rsidRPr="00D36F91">
        <w:rPr>
          <w:rFonts w:ascii="Garamond" w:hAnsi="Garamond"/>
          <w:i/>
          <w:iCs/>
        </w:rPr>
        <w:t>balance</w:t>
      </w:r>
      <w:proofErr w:type="spellEnd"/>
      <w:r w:rsidRPr="00D36F91">
        <w:rPr>
          <w:rFonts w:ascii="Garamond" w:hAnsi="Garamond"/>
          <w:i/>
          <w:iCs/>
        </w:rPr>
        <w:t>:</w:t>
      </w:r>
      <w:proofErr w:type="spellStart"/>
      <w:r w:rsidRPr="00D36F91">
        <w:rPr>
          <w:rFonts w:ascii="Garamond" w:hAnsi="Garamond"/>
          <w:i/>
          <w:iCs/>
        </w:rPr>
        <w:t>Supranational</w:t>
      </w:r>
      <w:proofErr w:type="spellEnd"/>
      <w:r w:rsidRPr="00D36F91">
        <w:rPr>
          <w:rFonts w:ascii="Garamond" w:hAnsi="Garamond"/>
          <w:i/>
          <w:iCs/>
        </w:rPr>
        <w:t xml:space="preserve"> vs </w:t>
      </w:r>
      <w:proofErr w:type="spellStart"/>
      <w:r w:rsidRPr="00D36F91">
        <w:rPr>
          <w:rFonts w:ascii="Garamond" w:hAnsi="Garamond"/>
          <w:i/>
          <w:iCs/>
        </w:rPr>
        <w:t>Intergovernamental</w:t>
      </w:r>
      <w:proofErr w:type="spellEnd"/>
      <w:r w:rsidRPr="00D36F91">
        <w:rPr>
          <w:rFonts w:ascii="Garamond" w:hAnsi="Garamond"/>
          <w:i/>
          <w:iCs/>
        </w:rPr>
        <w:t xml:space="preserve"> </w:t>
      </w:r>
      <w:proofErr w:type="spellStart"/>
      <w:r w:rsidRPr="00D36F91">
        <w:rPr>
          <w:rFonts w:ascii="Garamond" w:hAnsi="Garamond"/>
          <w:i/>
          <w:iCs/>
        </w:rPr>
        <w:t>Method</w:t>
      </w:r>
      <w:proofErr w:type="spellEnd"/>
      <w:r w:rsidRPr="00D36F91">
        <w:rPr>
          <w:rFonts w:ascii="Garamond" w:hAnsi="Garamond"/>
          <w:i/>
          <w:iCs/>
        </w:rPr>
        <w:t xml:space="preserve"> </w:t>
      </w:r>
      <w:proofErr w:type="spellStart"/>
      <w:r w:rsidRPr="00D36F91">
        <w:rPr>
          <w:rFonts w:ascii="Garamond" w:hAnsi="Garamond"/>
          <w:i/>
          <w:iCs/>
        </w:rPr>
        <w:t>after</w:t>
      </w:r>
      <w:proofErr w:type="spellEnd"/>
      <w:r w:rsidRPr="00D36F91">
        <w:rPr>
          <w:rFonts w:ascii="Garamond" w:hAnsi="Garamond"/>
          <w:i/>
          <w:iCs/>
        </w:rPr>
        <w:t xml:space="preserve"> </w:t>
      </w:r>
      <w:proofErr w:type="spellStart"/>
      <w:r w:rsidRPr="00D36F91">
        <w:rPr>
          <w:rFonts w:ascii="Garamond" w:hAnsi="Garamond"/>
          <w:i/>
          <w:iCs/>
        </w:rPr>
        <w:t>Lisbon</w:t>
      </w:r>
      <w:proofErr w:type="spellEnd"/>
      <w:r w:rsidRPr="00D36F91">
        <w:rPr>
          <w:rFonts w:ascii="Garamond" w:hAnsi="Garamond"/>
        </w:rPr>
        <w:t xml:space="preserve">, in </w:t>
      </w:r>
      <w:proofErr w:type="spellStart"/>
      <w:r w:rsidRPr="00D36F91">
        <w:rPr>
          <w:rFonts w:ascii="Garamond" w:hAnsi="Garamond"/>
        </w:rPr>
        <w:t>N.Parisi</w:t>
      </w:r>
      <w:proofErr w:type="spellEnd"/>
      <w:r w:rsidRPr="00D36F91">
        <w:rPr>
          <w:rFonts w:ascii="Garamond" w:hAnsi="Garamond"/>
        </w:rPr>
        <w:t xml:space="preserve">, </w:t>
      </w:r>
      <w:proofErr w:type="spellStart"/>
      <w:r w:rsidRPr="00D36F91">
        <w:rPr>
          <w:rFonts w:ascii="Garamond" w:hAnsi="Garamond"/>
        </w:rPr>
        <w:t>L.Fumagalli</w:t>
      </w:r>
      <w:proofErr w:type="spellEnd"/>
      <w:r w:rsidRPr="00D36F91">
        <w:rPr>
          <w:rFonts w:ascii="Garamond" w:hAnsi="Garamond"/>
        </w:rPr>
        <w:t xml:space="preserve">, </w:t>
      </w:r>
      <w:proofErr w:type="spellStart"/>
      <w:r w:rsidRPr="00D36F91">
        <w:rPr>
          <w:rFonts w:ascii="Garamond" w:hAnsi="Garamond"/>
        </w:rPr>
        <w:t>A.Santini</w:t>
      </w:r>
      <w:proofErr w:type="spellEnd"/>
      <w:r w:rsidRPr="00D36F91">
        <w:rPr>
          <w:rFonts w:ascii="Garamond" w:hAnsi="Garamond"/>
        </w:rPr>
        <w:t xml:space="preserve">, </w:t>
      </w:r>
      <w:proofErr w:type="spellStart"/>
      <w:r w:rsidRPr="00D36F91">
        <w:rPr>
          <w:rFonts w:ascii="Garamond" w:hAnsi="Garamond"/>
        </w:rPr>
        <w:t>D.Rinoldi</w:t>
      </w:r>
      <w:proofErr w:type="spellEnd"/>
      <w:r w:rsidRPr="00D36F91">
        <w:rPr>
          <w:rFonts w:ascii="Garamond" w:hAnsi="Garamond"/>
        </w:rPr>
        <w:t xml:space="preserve">, </w:t>
      </w:r>
      <w:r w:rsidRPr="00D36F91">
        <w:rPr>
          <w:rFonts w:ascii="Garamond" w:hAnsi="Garamond"/>
          <w:i/>
          <w:iCs/>
        </w:rPr>
        <w:t xml:space="preserve">Scritti in Onore di Ugo </w:t>
      </w:r>
      <w:proofErr w:type="spellStart"/>
      <w:r w:rsidRPr="00D36F91">
        <w:rPr>
          <w:rFonts w:ascii="Garamond" w:hAnsi="Garamond"/>
          <w:i/>
          <w:iCs/>
        </w:rPr>
        <w:t>Draetta</w:t>
      </w:r>
      <w:proofErr w:type="spellEnd"/>
      <w:r w:rsidRPr="00D36F91">
        <w:rPr>
          <w:rFonts w:ascii="Garamond" w:hAnsi="Garamond"/>
          <w:i/>
          <w:iCs/>
        </w:rPr>
        <w:t>,</w:t>
      </w:r>
      <w:r w:rsidRPr="00D36F91">
        <w:rPr>
          <w:rFonts w:ascii="Garamond" w:hAnsi="Garamond"/>
        </w:rPr>
        <w:t xml:space="preserve"> Napoli, 2011, pp.645-659</w:t>
      </w:r>
    </w:p>
  </w:footnote>
  <w:footnote w:id="2">
    <w:p w:rsidR="0005296D" w:rsidRPr="00D36F91" w:rsidRDefault="0005296D" w:rsidP="007D52DF">
      <w:pPr>
        <w:pStyle w:val="Default"/>
        <w:spacing w:before="120" w:after="120"/>
        <w:jc w:val="both"/>
        <w:rPr>
          <w:rFonts w:ascii="Garamond" w:hAnsi="Garamond"/>
          <w:color w:val="auto"/>
          <w:sz w:val="20"/>
          <w:szCs w:val="20"/>
        </w:rPr>
      </w:pPr>
      <w:r w:rsidRPr="00D36F91">
        <w:rPr>
          <w:rStyle w:val="Rimandonotaapidipagina"/>
          <w:rFonts w:ascii="Garamond" w:hAnsi="Garamond"/>
          <w:color w:val="auto"/>
          <w:sz w:val="20"/>
          <w:szCs w:val="20"/>
        </w:rPr>
        <w:footnoteRef/>
      </w:r>
      <w:r w:rsidRPr="00D36F91">
        <w:rPr>
          <w:rFonts w:ascii="Garamond" w:hAnsi="Garamond"/>
          <w:color w:val="auto"/>
          <w:sz w:val="20"/>
          <w:szCs w:val="20"/>
        </w:rPr>
        <w:t xml:space="preserve"> Il Documento allegato alla Dichiarazione dell’Euro Summit del 26 ottobre 2011, che delineava la </w:t>
      </w:r>
      <w:proofErr w:type="spellStart"/>
      <w:r w:rsidRPr="00D36F91">
        <w:rPr>
          <w:rFonts w:ascii="Garamond" w:hAnsi="Garamond"/>
          <w:color w:val="auto"/>
          <w:sz w:val="20"/>
          <w:szCs w:val="20"/>
        </w:rPr>
        <w:t>governance</w:t>
      </w:r>
      <w:proofErr w:type="spellEnd"/>
      <w:r w:rsidRPr="00D36F91">
        <w:rPr>
          <w:rFonts w:ascii="Garamond" w:hAnsi="Garamond"/>
          <w:color w:val="auto"/>
          <w:sz w:val="20"/>
          <w:szCs w:val="20"/>
        </w:rPr>
        <w:t xml:space="preserve"> della zona euro così come poi recepita nel TSCG, si prevedeva che fino alla prima elezione del Presidente dell’Euro Summit, le funzioni di presidenza sarebbero state esercitate dal Presidente del Consiglio Europeo, il che implicherebbe un aumento dei compiti oltre quelli stabiliti nel Trattato di Lisbona, in contrasto con il rispetto del Trattato di Lisbona. Tuttavia, in assenza di un’autorizzazione esplicita, secondo </w:t>
      </w:r>
      <w:proofErr w:type="spellStart"/>
      <w:r w:rsidRPr="00D36F91">
        <w:rPr>
          <w:rFonts w:ascii="Garamond" w:hAnsi="Garamond"/>
          <w:color w:val="auto"/>
          <w:sz w:val="20"/>
          <w:szCs w:val="20"/>
        </w:rPr>
        <w:t>G.L</w:t>
      </w:r>
      <w:proofErr w:type="spellEnd"/>
      <w:r w:rsidRPr="00D36F91">
        <w:rPr>
          <w:rFonts w:ascii="Garamond" w:hAnsi="Garamond"/>
          <w:color w:val="auto"/>
          <w:sz w:val="20"/>
          <w:szCs w:val="20"/>
        </w:rPr>
        <w:t xml:space="preserve"> Tosato,</w:t>
      </w:r>
      <w:r w:rsidRPr="00D36F91">
        <w:rPr>
          <w:rFonts w:ascii="Garamond" w:hAnsi="Garamond"/>
          <w:i/>
          <w:iCs/>
          <w:color w:val="auto"/>
          <w:sz w:val="20"/>
          <w:szCs w:val="20"/>
        </w:rPr>
        <w:t xml:space="preserve"> L’impatto della crisi finanziaria sulle istituzioni dell’Unione</w:t>
      </w:r>
      <w:r w:rsidRPr="00D36F91">
        <w:rPr>
          <w:rFonts w:ascii="Garamond" w:hAnsi="Garamond"/>
          <w:color w:val="auto"/>
          <w:sz w:val="20"/>
          <w:szCs w:val="20"/>
        </w:rPr>
        <w:t>, Gruppo di riflessione CSF-IAI, Torino, 4 maggio 2012, in www.astridonline.eu,. p.9 , si può presumere un assenso implicito degli Stati non euro, in mancanza di loro contestazioni al documento dell’</w:t>
      </w:r>
      <w:proofErr w:type="spellStart"/>
      <w:r w:rsidRPr="00D36F91">
        <w:rPr>
          <w:rFonts w:ascii="Garamond" w:hAnsi="Garamond"/>
          <w:i/>
          <w:iCs/>
          <w:color w:val="auto"/>
          <w:sz w:val="20"/>
          <w:szCs w:val="20"/>
        </w:rPr>
        <w:t>Eurosummit</w:t>
      </w:r>
      <w:proofErr w:type="spellEnd"/>
      <w:r w:rsidRPr="00D36F91">
        <w:rPr>
          <w:rFonts w:ascii="Garamond" w:hAnsi="Garamond"/>
          <w:color w:val="auto"/>
          <w:sz w:val="20"/>
          <w:szCs w:val="20"/>
        </w:rPr>
        <w:t>;</w:t>
      </w:r>
    </w:p>
  </w:footnote>
  <w:footnote w:id="3">
    <w:p w:rsidR="0005296D" w:rsidRPr="00D36F91" w:rsidRDefault="0005296D" w:rsidP="007D52DF">
      <w:pPr>
        <w:pStyle w:val="Default"/>
        <w:spacing w:before="120"/>
        <w:jc w:val="both"/>
        <w:rPr>
          <w:rFonts w:ascii="Garamond" w:hAnsi="Garamond"/>
          <w:color w:val="auto"/>
          <w:sz w:val="20"/>
          <w:szCs w:val="20"/>
        </w:rPr>
      </w:pPr>
      <w:r w:rsidRPr="00D36F91">
        <w:rPr>
          <w:rStyle w:val="Rimandonotaapidipagina"/>
          <w:rFonts w:ascii="Garamond" w:hAnsi="Garamond"/>
          <w:color w:val="auto"/>
          <w:sz w:val="20"/>
          <w:szCs w:val="20"/>
        </w:rPr>
        <w:footnoteRef/>
      </w:r>
      <w:r w:rsidRPr="00D36F91">
        <w:rPr>
          <w:rFonts w:ascii="Garamond" w:hAnsi="Garamond"/>
          <w:color w:val="auto"/>
          <w:sz w:val="20"/>
          <w:szCs w:val="20"/>
        </w:rPr>
        <w:t xml:space="preserve"> Così </w:t>
      </w:r>
      <w:proofErr w:type="spellStart"/>
      <w:r w:rsidRPr="00D36F91">
        <w:rPr>
          <w:rFonts w:ascii="Garamond" w:hAnsi="Garamond"/>
          <w:color w:val="auto"/>
          <w:sz w:val="20"/>
          <w:szCs w:val="20"/>
        </w:rPr>
        <w:t>G.L.Tosato</w:t>
      </w:r>
      <w:proofErr w:type="spellEnd"/>
      <w:r w:rsidRPr="00D36F91">
        <w:rPr>
          <w:rFonts w:ascii="Garamond" w:hAnsi="Garamond"/>
          <w:color w:val="auto"/>
          <w:sz w:val="20"/>
          <w:szCs w:val="20"/>
        </w:rPr>
        <w:t>,</w:t>
      </w:r>
      <w:r w:rsidRPr="00D36F91">
        <w:rPr>
          <w:rFonts w:ascii="Garamond" w:hAnsi="Garamond"/>
          <w:i/>
          <w:iCs/>
          <w:color w:val="auto"/>
          <w:sz w:val="20"/>
          <w:szCs w:val="20"/>
        </w:rPr>
        <w:t xml:space="preserve"> L’impatto della crisi finanziaria sulle istituzioni dell’Unione</w:t>
      </w:r>
      <w:r w:rsidRPr="00D36F91">
        <w:rPr>
          <w:rFonts w:ascii="Garamond" w:hAnsi="Garamond"/>
          <w:color w:val="auto"/>
          <w:sz w:val="20"/>
          <w:szCs w:val="20"/>
        </w:rPr>
        <w:t xml:space="preserve">, cit. p.8 e ss; Sulle implicazioni derivanti dal ruolo che il TSCG riconosce all’Euro Summit si veda </w:t>
      </w:r>
      <w:proofErr w:type="spellStart"/>
      <w:r w:rsidRPr="00D36F91">
        <w:rPr>
          <w:rFonts w:ascii="Garamond" w:hAnsi="Garamond"/>
          <w:color w:val="auto"/>
          <w:sz w:val="20"/>
          <w:szCs w:val="20"/>
        </w:rPr>
        <w:t>I.Pernice</w:t>
      </w:r>
      <w:proofErr w:type="spellEnd"/>
      <w:r w:rsidRPr="00D36F91">
        <w:rPr>
          <w:rFonts w:ascii="Garamond" w:hAnsi="Garamond"/>
          <w:color w:val="auto"/>
          <w:sz w:val="20"/>
          <w:szCs w:val="20"/>
        </w:rPr>
        <w:t xml:space="preserve">, </w:t>
      </w:r>
      <w:r w:rsidRPr="00D36F91">
        <w:rPr>
          <w:rFonts w:ascii="Garamond" w:hAnsi="Garamond"/>
          <w:i/>
          <w:iCs/>
          <w:color w:val="auto"/>
          <w:sz w:val="20"/>
          <w:szCs w:val="20"/>
        </w:rPr>
        <w:t xml:space="preserve">International Agreement on a </w:t>
      </w:r>
      <w:proofErr w:type="spellStart"/>
      <w:r w:rsidRPr="00D36F91">
        <w:rPr>
          <w:rFonts w:ascii="Garamond" w:hAnsi="Garamond"/>
          <w:i/>
          <w:iCs/>
          <w:color w:val="auto"/>
          <w:sz w:val="20"/>
          <w:szCs w:val="20"/>
        </w:rPr>
        <w:t>Reinforced</w:t>
      </w:r>
      <w:proofErr w:type="spellEnd"/>
      <w:r w:rsidRPr="00D36F91">
        <w:rPr>
          <w:rFonts w:ascii="Garamond" w:hAnsi="Garamond"/>
          <w:i/>
          <w:iCs/>
          <w:color w:val="auto"/>
          <w:sz w:val="20"/>
          <w:szCs w:val="20"/>
        </w:rPr>
        <w:t xml:space="preserve"> </w:t>
      </w:r>
      <w:proofErr w:type="spellStart"/>
      <w:r w:rsidRPr="00D36F91">
        <w:rPr>
          <w:rFonts w:ascii="Garamond" w:hAnsi="Garamond"/>
          <w:i/>
          <w:iCs/>
          <w:color w:val="auto"/>
          <w:sz w:val="20"/>
          <w:szCs w:val="20"/>
        </w:rPr>
        <w:t>Economic</w:t>
      </w:r>
      <w:proofErr w:type="spellEnd"/>
      <w:r w:rsidRPr="00D36F91">
        <w:rPr>
          <w:rFonts w:ascii="Garamond" w:hAnsi="Garamond"/>
          <w:i/>
          <w:iCs/>
          <w:color w:val="auto"/>
          <w:sz w:val="20"/>
          <w:szCs w:val="20"/>
        </w:rPr>
        <w:t xml:space="preserve"> </w:t>
      </w:r>
      <w:proofErr w:type="spellStart"/>
      <w:r w:rsidRPr="00D36F91">
        <w:rPr>
          <w:rFonts w:ascii="Garamond" w:hAnsi="Garamond"/>
          <w:i/>
          <w:iCs/>
          <w:color w:val="auto"/>
          <w:sz w:val="20"/>
          <w:szCs w:val="20"/>
        </w:rPr>
        <w:t>Union</w:t>
      </w:r>
      <w:proofErr w:type="spellEnd"/>
      <w:r w:rsidRPr="00D36F91">
        <w:rPr>
          <w:rFonts w:ascii="Garamond" w:hAnsi="Garamond"/>
          <w:i/>
          <w:iCs/>
          <w:color w:val="auto"/>
          <w:sz w:val="20"/>
          <w:szCs w:val="20"/>
        </w:rPr>
        <w:t xml:space="preserve">. </w:t>
      </w:r>
      <w:r w:rsidRPr="00D36F91">
        <w:rPr>
          <w:rFonts w:ascii="Garamond" w:hAnsi="Garamond"/>
          <w:i/>
          <w:iCs/>
          <w:color w:val="auto"/>
          <w:sz w:val="20"/>
          <w:szCs w:val="20"/>
          <w:lang w:val="en-US"/>
        </w:rPr>
        <w:t>Legal Opinion</w:t>
      </w:r>
      <w:r w:rsidRPr="00D36F91">
        <w:rPr>
          <w:rFonts w:ascii="Garamond" w:hAnsi="Garamond"/>
          <w:color w:val="auto"/>
          <w:sz w:val="20"/>
          <w:szCs w:val="20"/>
          <w:lang w:val="en-US"/>
        </w:rPr>
        <w:t xml:space="preserve">, </w:t>
      </w:r>
      <w:proofErr w:type="spellStart"/>
      <w:r w:rsidRPr="00D36F91">
        <w:rPr>
          <w:rFonts w:ascii="Garamond" w:hAnsi="Garamond"/>
          <w:color w:val="auto"/>
          <w:sz w:val="20"/>
          <w:szCs w:val="20"/>
          <w:lang w:val="en-US"/>
        </w:rPr>
        <w:t>gennaio</w:t>
      </w:r>
      <w:proofErr w:type="spellEnd"/>
      <w:r w:rsidRPr="00D36F91">
        <w:rPr>
          <w:rFonts w:ascii="Garamond" w:hAnsi="Garamond"/>
          <w:color w:val="auto"/>
          <w:sz w:val="20"/>
          <w:szCs w:val="20"/>
          <w:lang w:val="en-US"/>
        </w:rPr>
        <w:t xml:space="preserve"> 2012, in www.greensefa.eu , p. 18 </w:t>
      </w:r>
      <w:proofErr w:type="spellStart"/>
      <w:r w:rsidRPr="00D36F91">
        <w:rPr>
          <w:rFonts w:ascii="Garamond" w:hAnsi="Garamond"/>
          <w:color w:val="auto"/>
          <w:sz w:val="20"/>
          <w:szCs w:val="20"/>
          <w:lang w:val="en-US"/>
        </w:rPr>
        <w:t>osserva</w:t>
      </w:r>
      <w:proofErr w:type="spellEnd"/>
      <w:r w:rsidRPr="00D36F91">
        <w:rPr>
          <w:rFonts w:ascii="Garamond" w:hAnsi="Garamond"/>
          <w:color w:val="auto"/>
          <w:sz w:val="20"/>
          <w:szCs w:val="20"/>
          <w:lang w:val="en-US"/>
        </w:rPr>
        <w:t xml:space="preserve"> </w:t>
      </w:r>
      <w:proofErr w:type="spellStart"/>
      <w:r w:rsidRPr="00D36F91">
        <w:rPr>
          <w:rFonts w:ascii="Garamond" w:hAnsi="Garamond"/>
          <w:color w:val="auto"/>
          <w:sz w:val="20"/>
          <w:szCs w:val="20"/>
          <w:lang w:val="en-US"/>
        </w:rPr>
        <w:t>che</w:t>
      </w:r>
      <w:proofErr w:type="spellEnd"/>
      <w:r w:rsidRPr="00D36F91">
        <w:rPr>
          <w:rFonts w:ascii="Garamond" w:hAnsi="Garamond"/>
          <w:color w:val="auto"/>
          <w:sz w:val="20"/>
          <w:szCs w:val="20"/>
          <w:lang w:val="en-US"/>
        </w:rPr>
        <w:t xml:space="preserve"> “As economic and fiscal policies are one of the core </w:t>
      </w:r>
      <w:proofErr w:type="spellStart"/>
      <w:r w:rsidRPr="00D36F91">
        <w:rPr>
          <w:rFonts w:ascii="Garamond" w:hAnsi="Garamond"/>
          <w:color w:val="auto"/>
          <w:sz w:val="20"/>
          <w:szCs w:val="20"/>
          <w:lang w:val="en-US"/>
        </w:rPr>
        <w:t>ar-eas</w:t>
      </w:r>
      <w:proofErr w:type="spellEnd"/>
      <w:r w:rsidRPr="00D36F91">
        <w:rPr>
          <w:rFonts w:ascii="Garamond" w:hAnsi="Garamond"/>
          <w:color w:val="auto"/>
          <w:sz w:val="20"/>
          <w:szCs w:val="20"/>
          <w:lang w:val="en-US"/>
        </w:rPr>
        <w:t xml:space="preserve"> for which, under Article 15(1) TEU the European Council is supposed to impetus, defining general political directions and priorities, and Article 121(2), </w:t>
      </w:r>
      <w:proofErr w:type="spellStart"/>
      <w:r w:rsidRPr="00D36F91">
        <w:rPr>
          <w:rFonts w:ascii="Garamond" w:hAnsi="Garamond"/>
          <w:color w:val="auto"/>
          <w:sz w:val="20"/>
          <w:szCs w:val="20"/>
          <w:lang w:val="en-US"/>
        </w:rPr>
        <w:t>sub par</w:t>
      </w:r>
      <w:proofErr w:type="spellEnd"/>
      <w:r w:rsidRPr="00D36F91">
        <w:rPr>
          <w:rFonts w:ascii="Garamond" w:hAnsi="Garamond"/>
          <w:color w:val="auto"/>
          <w:sz w:val="20"/>
          <w:szCs w:val="20"/>
          <w:lang w:val="en-US"/>
        </w:rPr>
        <w:t xml:space="preserve">. 2, TFEU specifies this responsibility for the “broad </w:t>
      </w:r>
      <w:proofErr w:type="spellStart"/>
      <w:r w:rsidRPr="00D36F91">
        <w:rPr>
          <w:rFonts w:ascii="Garamond" w:hAnsi="Garamond"/>
          <w:color w:val="auto"/>
          <w:sz w:val="20"/>
          <w:szCs w:val="20"/>
          <w:lang w:val="en-US"/>
        </w:rPr>
        <w:t>econmic</w:t>
      </w:r>
      <w:proofErr w:type="spellEnd"/>
      <w:r w:rsidRPr="00D36F91">
        <w:rPr>
          <w:rFonts w:ascii="Garamond" w:hAnsi="Garamond"/>
          <w:color w:val="auto"/>
          <w:sz w:val="20"/>
          <w:szCs w:val="20"/>
          <w:lang w:val="en-US"/>
        </w:rPr>
        <w:t xml:space="preserve"> guide-lines of the economic policies of the Member States and of the Union”, there is a strong risk that the Euro Summit would largely substitute itself to the European Council or at least prejudice its </w:t>
      </w:r>
      <w:proofErr w:type="spellStart"/>
      <w:r w:rsidRPr="00D36F91">
        <w:rPr>
          <w:rFonts w:ascii="Garamond" w:hAnsi="Garamond"/>
          <w:color w:val="auto"/>
          <w:sz w:val="20"/>
          <w:szCs w:val="20"/>
          <w:lang w:val="en-US"/>
        </w:rPr>
        <w:t>independend</w:t>
      </w:r>
      <w:proofErr w:type="spellEnd"/>
      <w:r w:rsidRPr="00D36F91">
        <w:rPr>
          <w:rFonts w:ascii="Garamond" w:hAnsi="Garamond"/>
          <w:color w:val="auto"/>
          <w:sz w:val="20"/>
          <w:szCs w:val="20"/>
          <w:lang w:val="en-US"/>
        </w:rPr>
        <w:t xml:space="preserve"> work. Insofar, it is difficult to see why there was apparently a need for special explicit provisions for the establishment of the Euro-Group at the ministerial level, while the same reasons should not apply to the establishment of the Euro Summit at the level of Heads of State and Government. Without special provision in the Treaties for establishing a new institution of the EU the Euro Summit could not be introduced by an act of secondary </w:t>
      </w:r>
      <w:proofErr w:type="spellStart"/>
      <w:r w:rsidRPr="00D36F91">
        <w:rPr>
          <w:rFonts w:ascii="Garamond" w:hAnsi="Garamond"/>
          <w:color w:val="auto"/>
          <w:sz w:val="20"/>
          <w:szCs w:val="20"/>
          <w:lang w:val="en-US"/>
        </w:rPr>
        <w:t>legis-lation</w:t>
      </w:r>
      <w:proofErr w:type="spellEnd"/>
      <w:r w:rsidRPr="00D36F91">
        <w:rPr>
          <w:rFonts w:ascii="Garamond" w:hAnsi="Garamond"/>
          <w:color w:val="auto"/>
          <w:sz w:val="20"/>
          <w:szCs w:val="20"/>
          <w:lang w:val="en-US"/>
        </w:rPr>
        <w:t xml:space="preserve"> either. </w:t>
      </w:r>
      <w:r w:rsidRPr="00D36F91">
        <w:rPr>
          <w:rFonts w:ascii="Garamond" w:hAnsi="Garamond"/>
          <w:color w:val="auto"/>
          <w:sz w:val="20"/>
          <w:szCs w:val="20"/>
        </w:rPr>
        <w:t xml:space="preserve">A </w:t>
      </w:r>
      <w:proofErr w:type="spellStart"/>
      <w:r w:rsidRPr="00D36F91">
        <w:rPr>
          <w:rFonts w:ascii="Garamond" w:hAnsi="Garamond"/>
          <w:color w:val="auto"/>
          <w:sz w:val="20"/>
          <w:szCs w:val="20"/>
        </w:rPr>
        <w:t>formal</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amendment</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of</w:t>
      </w:r>
      <w:proofErr w:type="spellEnd"/>
      <w:r w:rsidRPr="00D36F91">
        <w:rPr>
          <w:rFonts w:ascii="Garamond" w:hAnsi="Garamond"/>
          <w:color w:val="auto"/>
          <w:sz w:val="20"/>
          <w:szCs w:val="20"/>
        </w:rPr>
        <w:t xml:space="preserve"> the </w:t>
      </w:r>
      <w:proofErr w:type="spellStart"/>
      <w:r w:rsidRPr="00D36F91">
        <w:rPr>
          <w:rFonts w:ascii="Garamond" w:hAnsi="Garamond"/>
          <w:color w:val="auto"/>
          <w:sz w:val="20"/>
          <w:szCs w:val="20"/>
        </w:rPr>
        <w:t>Treaties</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would</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be</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necessary</w:t>
      </w:r>
      <w:proofErr w:type="spellEnd"/>
      <w:r w:rsidRPr="00D36F91">
        <w:rPr>
          <w:rFonts w:ascii="Garamond" w:hAnsi="Garamond"/>
          <w:color w:val="auto"/>
          <w:sz w:val="20"/>
          <w:szCs w:val="20"/>
        </w:rPr>
        <w:t>”</w:t>
      </w:r>
    </w:p>
  </w:footnote>
  <w:footnote w:id="4">
    <w:p w:rsidR="0005296D" w:rsidRPr="00D36F91" w:rsidRDefault="0005296D" w:rsidP="00F50CEA">
      <w:pPr>
        <w:pStyle w:val="Testonotaapidipagina"/>
        <w:jc w:val="both"/>
        <w:rPr>
          <w:rFonts w:ascii="Garamond" w:hAnsi="Garamond"/>
        </w:rPr>
      </w:pPr>
      <w:r w:rsidRPr="00D36F91">
        <w:rPr>
          <w:rStyle w:val="Rimandonotaapidipagina"/>
          <w:rFonts w:ascii="Garamond" w:hAnsi="Garamond"/>
        </w:rPr>
        <w:footnoteRef/>
      </w:r>
      <w:r w:rsidRPr="00D36F91">
        <w:rPr>
          <w:rFonts w:ascii="Garamond" w:hAnsi="Garamond"/>
        </w:rPr>
        <w:t xml:space="preserve"> Così G.L. Tosato, </w:t>
      </w:r>
      <w:r w:rsidRPr="00D36F91">
        <w:rPr>
          <w:rFonts w:ascii="Garamond" w:hAnsi="Garamond"/>
          <w:i/>
          <w:iCs/>
        </w:rPr>
        <w:t>Asimmetrie e dilemmi istituzionali tra Ue ed Eurozona:la Ue a due velocità</w:t>
      </w:r>
      <w:r w:rsidRPr="00D36F91">
        <w:rPr>
          <w:rFonts w:ascii="Garamond" w:hAnsi="Garamond"/>
        </w:rPr>
        <w:t xml:space="preserve">, in </w:t>
      </w:r>
      <w:proofErr w:type="spellStart"/>
      <w:r w:rsidRPr="00D36F91">
        <w:rPr>
          <w:rFonts w:ascii="Garamond" w:hAnsi="Garamond"/>
        </w:rPr>
        <w:t>G.Amato</w:t>
      </w:r>
      <w:proofErr w:type="spellEnd"/>
      <w:r w:rsidRPr="00D36F91">
        <w:rPr>
          <w:rFonts w:ascii="Garamond" w:hAnsi="Garamond"/>
        </w:rPr>
        <w:t xml:space="preserve"> e </w:t>
      </w:r>
      <w:proofErr w:type="spellStart"/>
      <w:r w:rsidRPr="00D36F91">
        <w:rPr>
          <w:rFonts w:ascii="Garamond" w:hAnsi="Garamond"/>
        </w:rPr>
        <w:t>R.Gualtieri</w:t>
      </w:r>
      <w:proofErr w:type="spellEnd"/>
      <w:r w:rsidRPr="00D36F91">
        <w:rPr>
          <w:rFonts w:ascii="Garamond" w:hAnsi="Garamond"/>
        </w:rPr>
        <w:t xml:space="preserve"> ( a cura di ), </w:t>
      </w:r>
      <w:r w:rsidRPr="00D36F91">
        <w:rPr>
          <w:rFonts w:ascii="Garamond" w:hAnsi="Garamond"/>
          <w:i/>
          <w:iCs/>
        </w:rPr>
        <w:t>Prove di Europa Unita</w:t>
      </w:r>
      <w:r w:rsidRPr="00D36F91">
        <w:rPr>
          <w:rFonts w:ascii="Garamond" w:hAnsi="Garamond"/>
        </w:rPr>
        <w:t xml:space="preserve">, </w:t>
      </w:r>
      <w:r>
        <w:rPr>
          <w:rFonts w:ascii="Garamond" w:hAnsi="Garamond"/>
        </w:rPr>
        <w:t xml:space="preserve">Firenze </w:t>
      </w:r>
      <w:proofErr w:type="spellStart"/>
      <w:r>
        <w:rPr>
          <w:rFonts w:ascii="Garamond" w:hAnsi="Garamond"/>
        </w:rPr>
        <w:t>Passigli</w:t>
      </w:r>
      <w:proofErr w:type="spellEnd"/>
      <w:r>
        <w:rPr>
          <w:rFonts w:ascii="Garamond" w:hAnsi="Garamond"/>
        </w:rPr>
        <w:t>, 2013 p</w:t>
      </w:r>
      <w:r w:rsidRPr="00D36F91">
        <w:rPr>
          <w:rFonts w:ascii="Garamond" w:hAnsi="Garamond"/>
        </w:rPr>
        <w:t>.311 e ss, specie p.316</w:t>
      </w:r>
    </w:p>
  </w:footnote>
  <w:footnote w:id="5">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Sul punto S. </w:t>
      </w:r>
      <w:proofErr w:type="spellStart"/>
      <w:r w:rsidRPr="00D36F91">
        <w:rPr>
          <w:rFonts w:ascii="Garamond" w:hAnsi="Garamond"/>
          <w:sz w:val="20"/>
          <w:szCs w:val="20"/>
        </w:rPr>
        <w:t>Fabbrini</w:t>
      </w:r>
      <w:proofErr w:type="spellEnd"/>
      <w:r w:rsidRPr="00D36F91">
        <w:rPr>
          <w:rFonts w:ascii="Garamond" w:hAnsi="Garamond"/>
          <w:sz w:val="20"/>
          <w:szCs w:val="20"/>
        </w:rPr>
        <w:t xml:space="preserve"> Sergio, 2014-I, </w:t>
      </w:r>
      <w:proofErr w:type="spellStart"/>
      <w:r w:rsidRPr="00D36F91">
        <w:rPr>
          <w:rFonts w:ascii="Garamond" w:hAnsi="Garamond" w:cs="Arial,Italic"/>
          <w:i/>
          <w:iCs/>
          <w:sz w:val="20"/>
          <w:szCs w:val="20"/>
        </w:rPr>
        <w:t>After</w:t>
      </w:r>
      <w:proofErr w:type="spellEnd"/>
      <w:r w:rsidRPr="00D36F91">
        <w:rPr>
          <w:rFonts w:ascii="Garamond" w:hAnsi="Garamond" w:cs="Arial,Italic"/>
          <w:i/>
          <w:iCs/>
          <w:sz w:val="20"/>
          <w:szCs w:val="20"/>
        </w:rPr>
        <w:t xml:space="preserve"> the Euro </w:t>
      </w:r>
      <w:proofErr w:type="spellStart"/>
      <w:r w:rsidRPr="00D36F91">
        <w:rPr>
          <w:rFonts w:ascii="Garamond" w:hAnsi="Garamond" w:cs="Arial,Italic"/>
          <w:i/>
          <w:iCs/>
          <w:sz w:val="20"/>
          <w:szCs w:val="20"/>
        </w:rPr>
        <w:t>Crisis</w:t>
      </w:r>
      <w:proofErr w:type="spellEnd"/>
      <w:r w:rsidRPr="00D36F91">
        <w:rPr>
          <w:rFonts w:ascii="Garamond" w:hAnsi="Garamond" w:cs="Arial,Italic"/>
          <w:i/>
          <w:iCs/>
          <w:sz w:val="20"/>
          <w:szCs w:val="20"/>
        </w:rPr>
        <w:t xml:space="preserve">: A New </w:t>
      </w:r>
      <w:proofErr w:type="spellStart"/>
      <w:r w:rsidRPr="00D36F91">
        <w:rPr>
          <w:rFonts w:ascii="Garamond" w:hAnsi="Garamond" w:cs="Arial,Italic"/>
          <w:i/>
          <w:iCs/>
          <w:sz w:val="20"/>
          <w:szCs w:val="20"/>
        </w:rPr>
        <w:t>Paradigm</w:t>
      </w:r>
      <w:proofErr w:type="spellEnd"/>
      <w:r w:rsidRPr="00D36F91">
        <w:rPr>
          <w:rFonts w:ascii="Garamond" w:hAnsi="Garamond" w:cs="Arial,Italic"/>
          <w:i/>
          <w:iCs/>
          <w:sz w:val="20"/>
          <w:szCs w:val="20"/>
        </w:rPr>
        <w:t xml:space="preserve"> on the </w:t>
      </w:r>
      <w:proofErr w:type="spellStart"/>
      <w:r w:rsidRPr="00D36F91">
        <w:rPr>
          <w:rFonts w:ascii="Garamond" w:hAnsi="Garamond" w:cs="Arial,Italic"/>
          <w:i/>
          <w:iCs/>
          <w:sz w:val="20"/>
          <w:szCs w:val="20"/>
        </w:rPr>
        <w:t>Integration</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of</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Europe</w:t>
      </w:r>
      <w:proofErr w:type="spellEnd"/>
      <w:r w:rsidRPr="00D36F91">
        <w:rPr>
          <w:rFonts w:ascii="Garamond" w:hAnsi="Garamond" w:cs="Arial,Italic"/>
          <w:i/>
          <w:iCs/>
          <w:sz w:val="20"/>
          <w:szCs w:val="20"/>
        </w:rPr>
        <w:t xml:space="preserve">, </w:t>
      </w:r>
      <w:r w:rsidRPr="00D36F91">
        <w:rPr>
          <w:rFonts w:ascii="Garamond" w:hAnsi="Garamond"/>
          <w:sz w:val="20"/>
          <w:szCs w:val="20"/>
        </w:rPr>
        <w:t xml:space="preserve">March 18, 2014, reperibile all’indirizzo: </w:t>
      </w:r>
      <w:hyperlink r:id="rId1" w:history="1">
        <w:r w:rsidRPr="00D36F91">
          <w:rPr>
            <w:rStyle w:val="Collegamentoipertestuale"/>
            <w:rFonts w:ascii="Garamond" w:hAnsi="Garamond"/>
            <w:sz w:val="20"/>
            <w:szCs w:val="20"/>
          </w:rPr>
          <w:t>http://ssrn.com/abstract=2441201</w:t>
        </w:r>
      </w:hyperlink>
      <w:r w:rsidRPr="00D36F91">
        <w:rPr>
          <w:rFonts w:ascii="Garamond" w:hAnsi="Garamond"/>
          <w:sz w:val="20"/>
          <w:szCs w:val="20"/>
        </w:rPr>
        <w:t xml:space="preserve"> giunge a rilevare la configurazione di una costituzione intergovernativa accanto a quella comunitaria</w:t>
      </w:r>
    </w:p>
  </w:footnote>
  <w:footnote w:id="6">
    <w:p w:rsidR="0005296D" w:rsidRPr="00D36F91" w:rsidRDefault="0005296D" w:rsidP="007D52DF">
      <w:pPr>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In questo senso </w:t>
      </w:r>
      <w:proofErr w:type="spellStart"/>
      <w:r w:rsidRPr="00D36F91">
        <w:rPr>
          <w:rFonts w:ascii="Garamond" w:hAnsi="Garamond"/>
          <w:sz w:val="20"/>
          <w:szCs w:val="20"/>
        </w:rPr>
        <w:t>F.</w:t>
      </w:r>
      <w:r w:rsidRPr="00D36F91">
        <w:rPr>
          <w:rFonts w:ascii="Garamond" w:hAnsi="Garamond" w:cs="Times New Roman"/>
          <w:sz w:val="20"/>
          <w:szCs w:val="20"/>
        </w:rPr>
        <w:t>Foiret</w:t>
      </w:r>
      <w:proofErr w:type="spellEnd"/>
      <w:r w:rsidRPr="00D36F91">
        <w:rPr>
          <w:rFonts w:ascii="Garamond" w:hAnsi="Garamond" w:cs="Times New Roman"/>
          <w:sz w:val="20"/>
          <w:szCs w:val="20"/>
        </w:rPr>
        <w:t xml:space="preserve"> and </w:t>
      </w:r>
      <w:proofErr w:type="spellStart"/>
      <w:r w:rsidRPr="00D36F91">
        <w:rPr>
          <w:rFonts w:ascii="Garamond" w:hAnsi="Garamond" w:cs="Times New Roman"/>
          <w:sz w:val="20"/>
          <w:szCs w:val="20"/>
        </w:rPr>
        <w:t>Y-S</w:t>
      </w:r>
      <w:proofErr w:type="spellEnd"/>
      <w:r w:rsidRPr="00D36F91">
        <w:rPr>
          <w:rFonts w:ascii="Garamond" w:hAnsi="Garamond" w:cs="Times New Roman"/>
          <w:sz w:val="20"/>
          <w:szCs w:val="20"/>
        </w:rPr>
        <w:t xml:space="preserve">. </w:t>
      </w:r>
      <w:proofErr w:type="spellStart"/>
      <w:r w:rsidRPr="00D36F91">
        <w:rPr>
          <w:rFonts w:ascii="Garamond" w:hAnsi="Garamond" w:cs="Times New Roman"/>
          <w:sz w:val="20"/>
          <w:szCs w:val="20"/>
          <w:lang w:val="en-US"/>
        </w:rPr>
        <w:t>Rittelmeyer</w:t>
      </w:r>
      <w:proofErr w:type="spellEnd"/>
      <w:r w:rsidRPr="00D36F91">
        <w:rPr>
          <w:rFonts w:ascii="Garamond" w:hAnsi="Garamond" w:cs="Times New Roman"/>
          <w:sz w:val="20"/>
          <w:szCs w:val="20"/>
          <w:lang w:val="en-US"/>
        </w:rPr>
        <w:t xml:space="preserve"> (eds.), </w:t>
      </w:r>
      <w:r w:rsidRPr="00D36F91">
        <w:rPr>
          <w:rFonts w:ascii="Garamond" w:hAnsi="Garamond" w:cs="Times New Roman"/>
          <w:i/>
          <w:iCs/>
          <w:sz w:val="20"/>
          <w:szCs w:val="20"/>
          <w:lang w:val="en-US"/>
        </w:rPr>
        <w:t xml:space="preserve">The European Council and European Governance: The Commanding Heights of the EU. </w:t>
      </w:r>
      <w:r w:rsidRPr="00D36F91">
        <w:rPr>
          <w:rFonts w:ascii="Garamond" w:hAnsi="Garamond" w:cs="Times New Roman"/>
          <w:sz w:val="20"/>
          <w:szCs w:val="20"/>
        </w:rPr>
        <w:t xml:space="preserve">London: </w:t>
      </w:r>
      <w:proofErr w:type="spellStart"/>
      <w:r w:rsidRPr="00D36F91">
        <w:rPr>
          <w:rFonts w:ascii="Garamond" w:hAnsi="Garamond" w:cs="Times New Roman"/>
          <w:sz w:val="20"/>
          <w:szCs w:val="20"/>
        </w:rPr>
        <w:t>Routledge</w:t>
      </w:r>
      <w:proofErr w:type="spellEnd"/>
      <w:r w:rsidRPr="00D36F91">
        <w:rPr>
          <w:rFonts w:ascii="Garamond" w:hAnsi="Garamond" w:cs="Times New Roman"/>
          <w:sz w:val="20"/>
          <w:szCs w:val="20"/>
        </w:rPr>
        <w:t xml:space="preserve">, 2014; </w:t>
      </w:r>
      <w:proofErr w:type="spellStart"/>
      <w:r w:rsidRPr="00D36F91">
        <w:rPr>
          <w:rFonts w:ascii="Garamond" w:hAnsi="Garamond" w:cs="Times New Roman"/>
          <w:sz w:val="20"/>
          <w:szCs w:val="20"/>
        </w:rPr>
        <w:t>F.Eggermont</w:t>
      </w:r>
      <w:proofErr w:type="spellEnd"/>
      <w:r w:rsidRPr="00D36F91">
        <w:rPr>
          <w:rFonts w:ascii="Garamond" w:hAnsi="Garamond" w:cs="Times New Roman"/>
          <w:sz w:val="20"/>
          <w:szCs w:val="20"/>
        </w:rPr>
        <w:t xml:space="preserve">, </w:t>
      </w:r>
      <w:r w:rsidRPr="00D36F91">
        <w:rPr>
          <w:rFonts w:ascii="Garamond" w:hAnsi="Garamond" w:cs="Times New Roman"/>
          <w:i/>
          <w:iCs/>
          <w:sz w:val="20"/>
          <w:szCs w:val="20"/>
        </w:rPr>
        <w:t xml:space="preserve">The </w:t>
      </w:r>
      <w:proofErr w:type="spellStart"/>
      <w:r w:rsidRPr="00D36F91">
        <w:rPr>
          <w:rFonts w:ascii="Garamond" w:hAnsi="Garamond" w:cs="Times New Roman"/>
          <w:i/>
          <w:iCs/>
          <w:sz w:val="20"/>
          <w:szCs w:val="20"/>
        </w:rPr>
        <w:t>Changing</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Role</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of</w:t>
      </w:r>
      <w:proofErr w:type="spellEnd"/>
      <w:r w:rsidRPr="00D36F91">
        <w:rPr>
          <w:rFonts w:ascii="Garamond" w:hAnsi="Garamond" w:cs="Times New Roman"/>
          <w:i/>
          <w:iCs/>
          <w:sz w:val="20"/>
          <w:szCs w:val="20"/>
        </w:rPr>
        <w:t xml:space="preserve"> the </w:t>
      </w:r>
      <w:proofErr w:type="spellStart"/>
      <w:r w:rsidRPr="00D36F91">
        <w:rPr>
          <w:rFonts w:ascii="Garamond" w:hAnsi="Garamond" w:cs="Times New Roman"/>
          <w:i/>
          <w:iCs/>
          <w:sz w:val="20"/>
          <w:szCs w:val="20"/>
        </w:rPr>
        <w:t>European</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Council</w:t>
      </w:r>
      <w:proofErr w:type="spellEnd"/>
      <w:r w:rsidRPr="00D36F91">
        <w:rPr>
          <w:rFonts w:ascii="Garamond" w:hAnsi="Garamond" w:cs="Times New Roman"/>
          <w:i/>
          <w:iCs/>
          <w:sz w:val="20"/>
          <w:szCs w:val="20"/>
        </w:rPr>
        <w:t xml:space="preserve"> in the </w:t>
      </w:r>
      <w:proofErr w:type="spellStart"/>
      <w:r w:rsidRPr="00D36F91">
        <w:rPr>
          <w:rFonts w:ascii="Garamond" w:hAnsi="Garamond" w:cs="Times New Roman"/>
          <w:i/>
          <w:iCs/>
          <w:sz w:val="20"/>
          <w:szCs w:val="20"/>
        </w:rPr>
        <w:t>Institutional</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Framework</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of</w:t>
      </w:r>
      <w:proofErr w:type="spellEnd"/>
      <w:r w:rsidRPr="00D36F91">
        <w:rPr>
          <w:rFonts w:ascii="Garamond" w:hAnsi="Garamond" w:cs="Times New Roman"/>
          <w:i/>
          <w:iCs/>
          <w:sz w:val="20"/>
          <w:szCs w:val="20"/>
        </w:rPr>
        <w:t xml:space="preserve"> the </w:t>
      </w:r>
      <w:proofErr w:type="spellStart"/>
      <w:r w:rsidRPr="00D36F91">
        <w:rPr>
          <w:rFonts w:ascii="Garamond" w:hAnsi="Garamond" w:cs="Times New Roman"/>
          <w:i/>
          <w:iCs/>
          <w:sz w:val="20"/>
          <w:szCs w:val="20"/>
        </w:rPr>
        <w:t>European</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Union</w:t>
      </w:r>
      <w:proofErr w:type="spellEnd"/>
      <w:r w:rsidRPr="00D36F91">
        <w:rPr>
          <w:rFonts w:ascii="Garamond" w:hAnsi="Garamond" w:cs="Times New Roman"/>
          <w:i/>
          <w:iCs/>
          <w:sz w:val="20"/>
          <w:szCs w:val="20"/>
        </w:rPr>
        <w:t xml:space="preserve">, </w:t>
      </w:r>
      <w:r w:rsidRPr="00D36F91">
        <w:rPr>
          <w:rFonts w:ascii="Garamond" w:hAnsi="Garamond" w:cs="Times New Roman"/>
          <w:sz w:val="20"/>
          <w:szCs w:val="20"/>
        </w:rPr>
        <w:t xml:space="preserve">Cambridge </w:t>
      </w:r>
      <w:proofErr w:type="spellStart"/>
      <w:r w:rsidRPr="00D36F91">
        <w:rPr>
          <w:rFonts w:ascii="Garamond" w:hAnsi="Garamond" w:cs="Times New Roman"/>
          <w:sz w:val="20"/>
          <w:szCs w:val="20"/>
        </w:rPr>
        <w:t>Intersentia</w:t>
      </w:r>
      <w:proofErr w:type="spellEnd"/>
      <w:r w:rsidRPr="00D36F91">
        <w:rPr>
          <w:rFonts w:ascii="Garamond" w:hAnsi="Garamond" w:cs="Times New Roman"/>
          <w:sz w:val="20"/>
          <w:szCs w:val="20"/>
        </w:rPr>
        <w:t xml:space="preserve">, 2012; M. </w:t>
      </w:r>
      <w:proofErr w:type="spellStart"/>
      <w:r w:rsidRPr="00D36F91">
        <w:rPr>
          <w:rFonts w:ascii="Garamond" w:hAnsi="Garamond" w:cs="Times New Roman"/>
          <w:sz w:val="20"/>
          <w:szCs w:val="20"/>
        </w:rPr>
        <w:t>Starita</w:t>
      </w:r>
      <w:proofErr w:type="spellEnd"/>
      <w:r w:rsidRPr="00D36F91">
        <w:rPr>
          <w:rFonts w:ascii="Garamond" w:hAnsi="Garamond" w:cs="Times New Roman"/>
          <w:sz w:val="20"/>
          <w:szCs w:val="20"/>
        </w:rPr>
        <w:t>,</w:t>
      </w:r>
      <w:r w:rsidRPr="00D36F91">
        <w:rPr>
          <w:rFonts w:ascii="Garamond" w:eastAsia="Times New Roman" w:hAnsi="Garamond"/>
          <w:sz w:val="20"/>
          <w:szCs w:val="20"/>
        </w:rPr>
        <w:t xml:space="preserve"> </w:t>
      </w:r>
      <w:r w:rsidRPr="00D36F91">
        <w:rPr>
          <w:rFonts w:ascii="Garamond" w:eastAsia="Times New Roman" w:hAnsi="Garamond"/>
          <w:i/>
          <w:iCs/>
          <w:sz w:val="20"/>
          <w:szCs w:val="20"/>
        </w:rPr>
        <w:t>Il Consiglio europeo e la crisi del debito sovrano</w:t>
      </w:r>
      <w:r w:rsidRPr="00D36F91">
        <w:rPr>
          <w:rFonts w:ascii="Garamond" w:eastAsia="Times New Roman" w:hAnsi="Garamond"/>
          <w:sz w:val="20"/>
          <w:szCs w:val="20"/>
        </w:rPr>
        <w:t xml:space="preserve">, in </w:t>
      </w:r>
      <w:r w:rsidRPr="00D36F91">
        <w:rPr>
          <w:rFonts w:ascii="Garamond" w:eastAsia="Times New Roman" w:hAnsi="Garamond"/>
          <w:i/>
          <w:iCs/>
          <w:sz w:val="20"/>
          <w:szCs w:val="20"/>
        </w:rPr>
        <w:t>Rivista di Diritto Internazionale</w:t>
      </w:r>
      <w:r w:rsidRPr="00D36F91">
        <w:rPr>
          <w:rFonts w:ascii="Garamond" w:eastAsia="Times New Roman" w:hAnsi="Garamond"/>
          <w:sz w:val="20"/>
          <w:szCs w:val="20"/>
        </w:rPr>
        <w:t>, fasc.2, 2013, p. 385e ss;</w:t>
      </w:r>
      <w:r w:rsidRPr="00D36F91">
        <w:rPr>
          <w:rFonts w:ascii="Garamond" w:hAnsi="Garamond" w:cs="Times New Roman"/>
          <w:sz w:val="20"/>
          <w:szCs w:val="20"/>
        </w:rPr>
        <w:t xml:space="preserve"> sul ruolo di impulso del Consiglio cfr.</w:t>
      </w:r>
      <w:r w:rsidRPr="00D36F91">
        <w:rPr>
          <w:rFonts w:ascii="Garamond" w:hAnsi="Garamond"/>
          <w:sz w:val="20"/>
          <w:szCs w:val="20"/>
        </w:rPr>
        <w:t xml:space="preserve"> R. </w:t>
      </w:r>
      <w:proofErr w:type="spellStart"/>
      <w:r w:rsidRPr="00D36F91">
        <w:rPr>
          <w:rFonts w:ascii="Garamond" w:hAnsi="Garamond"/>
          <w:sz w:val="20"/>
          <w:szCs w:val="20"/>
        </w:rPr>
        <w:t>Adam</w:t>
      </w:r>
      <w:proofErr w:type="spellEnd"/>
      <w:r w:rsidRPr="00D36F91">
        <w:rPr>
          <w:rFonts w:ascii="Garamond" w:hAnsi="Garamond"/>
          <w:sz w:val="20"/>
          <w:szCs w:val="20"/>
        </w:rPr>
        <w:t xml:space="preserve">, </w:t>
      </w:r>
      <w:r w:rsidRPr="00D36F91">
        <w:rPr>
          <w:rFonts w:ascii="Garamond" w:hAnsi="Garamond" w:cs="Arial,Italic"/>
          <w:i/>
          <w:iCs/>
          <w:sz w:val="20"/>
          <w:szCs w:val="20"/>
        </w:rPr>
        <w:t>Commento agli artt. 13 e 15-17 TUE</w:t>
      </w:r>
      <w:r w:rsidRPr="00D36F91">
        <w:rPr>
          <w:rFonts w:ascii="Garamond" w:hAnsi="Garamond"/>
          <w:sz w:val="20"/>
          <w:szCs w:val="20"/>
        </w:rPr>
        <w:t xml:space="preserve">, in </w:t>
      </w:r>
      <w:r w:rsidRPr="00D36F91">
        <w:rPr>
          <w:rFonts w:ascii="Garamond" w:hAnsi="Garamond" w:cs="Arial,Italic"/>
          <w:i/>
          <w:iCs/>
          <w:sz w:val="20"/>
          <w:szCs w:val="20"/>
        </w:rPr>
        <w:t>Trattati dell’Unione europea</w:t>
      </w:r>
      <w:r w:rsidRPr="00D36F91">
        <w:rPr>
          <w:rFonts w:ascii="Garamond" w:hAnsi="Garamond"/>
          <w:sz w:val="20"/>
          <w:szCs w:val="20"/>
        </w:rPr>
        <w:t xml:space="preserve">, a cura di Antonio </w:t>
      </w:r>
      <w:proofErr w:type="spellStart"/>
      <w:r w:rsidRPr="00D36F91">
        <w:rPr>
          <w:rFonts w:ascii="Garamond" w:hAnsi="Garamond"/>
          <w:sz w:val="20"/>
          <w:szCs w:val="20"/>
        </w:rPr>
        <w:t>Tizzano</w:t>
      </w:r>
      <w:proofErr w:type="spellEnd"/>
      <w:r w:rsidRPr="00D36F91">
        <w:rPr>
          <w:rFonts w:ascii="Garamond" w:hAnsi="Garamond"/>
          <w:sz w:val="20"/>
          <w:szCs w:val="20"/>
        </w:rPr>
        <w:t xml:space="preserve">, II ed., </w:t>
      </w:r>
      <w:proofErr w:type="spellStart"/>
      <w:r w:rsidRPr="00D36F91">
        <w:rPr>
          <w:rFonts w:ascii="Garamond" w:hAnsi="Garamond"/>
          <w:sz w:val="20"/>
          <w:szCs w:val="20"/>
        </w:rPr>
        <w:t>Giuffrè</w:t>
      </w:r>
      <w:proofErr w:type="spellEnd"/>
      <w:r w:rsidRPr="00D36F91">
        <w:rPr>
          <w:rFonts w:ascii="Garamond" w:hAnsi="Garamond"/>
          <w:sz w:val="20"/>
          <w:szCs w:val="20"/>
        </w:rPr>
        <w:t>, Milano,2014, p. 117-130 e p. 145-191</w:t>
      </w:r>
    </w:p>
  </w:footnote>
  <w:footnote w:id="7">
    <w:p w:rsidR="0005296D" w:rsidRPr="00D36F91" w:rsidRDefault="0005296D" w:rsidP="00F50CEA">
      <w:pPr>
        <w:pStyle w:val="Testonotaapidipagina"/>
        <w:jc w:val="both"/>
        <w:rPr>
          <w:rFonts w:ascii="Garamond" w:hAnsi="Garamond"/>
        </w:rPr>
      </w:pPr>
      <w:r w:rsidRPr="00D36F91">
        <w:rPr>
          <w:rStyle w:val="Rimandonotaapidipagina"/>
          <w:rFonts w:ascii="Garamond" w:hAnsi="Garamond"/>
        </w:rPr>
        <w:footnoteRef/>
      </w:r>
      <w:r w:rsidRPr="00D36F91">
        <w:rPr>
          <w:rFonts w:ascii="Garamond" w:hAnsi="Garamond"/>
        </w:rPr>
        <w:t xml:space="preserve"> In questo senso cfr. </w:t>
      </w:r>
      <w:proofErr w:type="spellStart"/>
      <w:r w:rsidRPr="00D36F91">
        <w:rPr>
          <w:rFonts w:ascii="Garamond" w:hAnsi="Garamond"/>
        </w:rPr>
        <w:t>J.Trondal</w:t>
      </w:r>
      <w:proofErr w:type="spellEnd"/>
      <w:r w:rsidRPr="00D36F91">
        <w:rPr>
          <w:rFonts w:ascii="Garamond" w:hAnsi="Garamond"/>
        </w:rPr>
        <w:t xml:space="preserve">, </w:t>
      </w:r>
      <w:r w:rsidRPr="00D36F91">
        <w:rPr>
          <w:rFonts w:ascii="Garamond" w:hAnsi="Garamond" w:cs="Arial,Italic"/>
          <w:i/>
          <w:iCs/>
        </w:rPr>
        <w:t xml:space="preserve">An </w:t>
      </w:r>
      <w:proofErr w:type="spellStart"/>
      <w:r w:rsidRPr="00D36F91">
        <w:rPr>
          <w:rFonts w:ascii="Garamond" w:hAnsi="Garamond" w:cs="Arial,Italic"/>
          <w:i/>
          <w:iCs/>
        </w:rPr>
        <w:t>Emergent</w:t>
      </w:r>
      <w:proofErr w:type="spellEnd"/>
      <w:r w:rsidRPr="00D36F91">
        <w:rPr>
          <w:rFonts w:ascii="Garamond" w:hAnsi="Garamond" w:cs="Arial,Italic"/>
          <w:i/>
          <w:iCs/>
        </w:rPr>
        <w:t xml:space="preserve"> </w:t>
      </w:r>
      <w:proofErr w:type="spellStart"/>
      <w:r w:rsidRPr="00D36F91">
        <w:rPr>
          <w:rFonts w:ascii="Garamond" w:hAnsi="Garamond" w:cs="Arial,Italic"/>
          <w:i/>
          <w:iCs/>
        </w:rPr>
        <w:t>European</w:t>
      </w:r>
      <w:proofErr w:type="spellEnd"/>
      <w:r w:rsidRPr="00D36F91">
        <w:rPr>
          <w:rFonts w:ascii="Garamond" w:hAnsi="Garamond" w:cs="Arial,Italic"/>
          <w:i/>
          <w:iCs/>
        </w:rPr>
        <w:t xml:space="preserve"> Executive </w:t>
      </w:r>
      <w:proofErr w:type="spellStart"/>
      <w:r w:rsidRPr="00D36F91">
        <w:rPr>
          <w:rFonts w:ascii="Garamond" w:hAnsi="Garamond" w:cs="Arial,Italic"/>
          <w:i/>
          <w:iCs/>
        </w:rPr>
        <w:t>Order</w:t>
      </w:r>
      <w:proofErr w:type="spellEnd"/>
      <w:r w:rsidRPr="00D36F91">
        <w:rPr>
          <w:rFonts w:ascii="Garamond" w:hAnsi="Garamond"/>
        </w:rPr>
        <w:t xml:space="preserve">, Oxford </w:t>
      </w:r>
      <w:proofErr w:type="spellStart"/>
      <w:r w:rsidRPr="00D36F91">
        <w:rPr>
          <w:rFonts w:ascii="Garamond" w:hAnsi="Garamond"/>
        </w:rPr>
        <w:t>University</w:t>
      </w:r>
      <w:proofErr w:type="spellEnd"/>
      <w:r w:rsidRPr="00D36F91">
        <w:rPr>
          <w:rFonts w:ascii="Garamond" w:hAnsi="Garamond"/>
        </w:rPr>
        <w:t xml:space="preserve"> Press, Oxford, 2010; </w:t>
      </w:r>
      <w:proofErr w:type="spellStart"/>
      <w:r w:rsidRPr="00D36F91">
        <w:rPr>
          <w:rFonts w:ascii="Garamond" w:hAnsi="Garamond"/>
        </w:rPr>
        <w:t>D.Ritleng</w:t>
      </w:r>
      <w:proofErr w:type="spellEnd"/>
      <w:r w:rsidRPr="00D36F91">
        <w:rPr>
          <w:rFonts w:ascii="Garamond" w:hAnsi="Garamond"/>
        </w:rPr>
        <w:t xml:space="preserve">, </w:t>
      </w:r>
      <w:r w:rsidRPr="00D36F91">
        <w:rPr>
          <w:rFonts w:ascii="Garamond" w:hAnsi="Garamond"/>
          <w:i/>
          <w:iCs/>
        </w:rPr>
        <w:t>L’</w:t>
      </w:r>
      <w:proofErr w:type="spellStart"/>
      <w:r w:rsidRPr="00D36F91">
        <w:rPr>
          <w:rFonts w:ascii="Garamond" w:hAnsi="Garamond"/>
          <w:i/>
          <w:iCs/>
        </w:rPr>
        <w:t>identification</w:t>
      </w:r>
      <w:proofErr w:type="spellEnd"/>
      <w:r w:rsidRPr="00D36F91">
        <w:rPr>
          <w:rFonts w:ascii="Garamond" w:hAnsi="Garamond"/>
          <w:i/>
          <w:iCs/>
        </w:rPr>
        <w:t xml:space="preserve"> de la </w:t>
      </w:r>
      <w:proofErr w:type="spellStart"/>
      <w:r w:rsidRPr="00D36F91">
        <w:rPr>
          <w:rFonts w:ascii="Garamond" w:hAnsi="Garamond"/>
          <w:i/>
          <w:iCs/>
        </w:rPr>
        <w:t>fonction</w:t>
      </w:r>
      <w:proofErr w:type="spellEnd"/>
      <w:r w:rsidRPr="00D36F91">
        <w:rPr>
          <w:rFonts w:ascii="Garamond" w:hAnsi="Garamond"/>
          <w:i/>
          <w:iCs/>
        </w:rPr>
        <w:t xml:space="preserve"> exécutive </w:t>
      </w:r>
      <w:proofErr w:type="spellStart"/>
      <w:r w:rsidRPr="00D36F91">
        <w:rPr>
          <w:rFonts w:ascii="Garamond" w:hAnsi="Garamond"/>
          <w:i/>
          <w:iCs/>
        </w:rPr>
        <w:t>dans</w:t>
      </w:r>
      <w:proofErr w:type="spellEnd"/>
      <w:r w:rsidRPr="00D36F91">
        <w:rPr>
          <w:rFonts w:ascii="Garamond" w:hAnsi="Garamond"/>
          <w:i/>
          <w:iCs/>
        </w:rPr>
        <w:t xml:space="preserve"> l’</w:t>
      </w:r>
      <w:proofErr w:type="spellStart"/>
      <w:r w:rsidRPr="00D36F91">
        <w:rPr>
          <w:rFonts w:ascii="Garamond" w:hAnsi="Garamond"/>
          <w:i/>
          <w:iCs/>
        </w:rPr>
        <w:t>Union</w:t>
      </w:r>
      <w:proofErr w:type="spellEnd"/>
      <w:r w:rsidRPr="00D36F91">
        <w:rPr>
          <w:rFonts w:ascii="Garamond" w:hAnsi="Garamond"/>
        </w:rPr>
        <w:t xml:space="preserve">, in </w:t>
      </w:r>
      <w:proofErr w:type="spellStart"/>
      <w:r w:rsidRPr="00D36F91">
        <w:rPr>
          <w:rFonts w:ascii="Garamond" w:hAnsi="Garamond"/>
        </w:rPr>
        <w:t>J.Dutheil</w:t>
      </w:r>
      <w:proofErr w:type="spellEnd"/>
      <w:r w:rsidRPr="00D36F91">
        <w:rPr>
          <w:rFonts w:ascii="Garamond" w:hAnsi="Garamond"/>
        </w:rPr>
        <w:t xml:space="preserve"> de la </w:t>
      </w:r>
      <w:proofErr w:type="spellStart"/>
      <w:r w:rsidRPr="00D36F91">
        <w:rPr>
          <w:rFonts w:ascii="Garamond" w:hAnsi="Garamond"/>
        </w:rPr>
        <w:t>Rochére</w:t>
      </w:r>
      <w:proofErr w:type="spellEnd"/>
      <w:r w:rsidRPr="00D36F91">
        <w:rPr>
          <w:rFonts w:ascii="Garamond" w:hAnsi="Garamond"/>
        </w:rPr>
        <w:t xml:space="preserve"> ( a cura di), </w:t>
      </w:r>
      <w:r w:rsidRPr="00D36F91">
        <w:rPr>
          <w:rFonts w:ascii="Garamond" w:hAnsi="Garamond"/>
          <w:i/>
          <w:iCs/>
        </w:rPr>
        <w:t>L’</w:t>
      </w:r>
      <w:proofErr w:type="spellStart"/>
      <w:r w:rsidRPr="00D36F91">
        <w:rPr>
          <w:rFonts w:ascii="Garamond" w:hAnsi="Garamond"/>
          <w:i/>
          <w:iCs/>
        </w:rPr>
        <w:t>execution</w:t>
      </w:r>
      <w:proofErr w:type="spellEnd"/>
      <w:r w:rsidRPr="00D36F91">
        <w:rPr>
          <w:rFonts w:ascii="Garamond" w:hAnsi="Garamond"/>
          <w:i/>
          <w:iCs/>
        </w:rPr>
        <w:t xml:space="preserve"> </w:t>
      </w:r>
      <w:proofErr w:type="spellStart"/>
      <w:r w:rsidRPr="00D36F91">
        <w:rPr>
          <w:rFonts w:ascii="Garamond" w:hAnsi="Garamond"/>
          <w:i/>
          <w:iCs/>
        </w:rPr>
        <w:t>du</w:t>
      </w:r>
      <w:proofErr w:type="spellEnd"/>
      <w:r w:rsidRPr="00D36F91">
        <w:rPr>
          <w:rFonts w:ascii="Garamond" w:hAnsi="Garamond"/>
          <w:i/>
          <w:iCs/>
        </w:rPr>
        <w:t xml:space="preserve"> </w:t>
      </w:r>
      <w:proofErr w:type="spellStart"/>
      <w:r w:rsidRPr="00D36F91">
        <w:rPr>
          <w:rFonts w:ascii="Garamond" w:hAnsi="Garamond"/>
          <w:i/>
          <w:iCs/>
        </w:rPr>
        <w:t>droit</w:t>
      </w:r>
      <w:proofErr w:type="spellEnd"/>
      <w:r w:rsidRPr="00D36F91">
        <w:rPr>
          <w:rFonts w:ascii="Garamond" w:hAnsi="Garamond"/>
          <w:i/>
          <w:iCs/>
        </w:rPr>
        <w:t xml:space="preserve">  de l’</w:t>
      </w:r>
      <w:proofErr w:type="spellStart"/>
      <w:r w:rsidRPr="00D36F91">
        <w:rPr>
          <w:rFonts w:ascii="Garamond" w:hAnsi="Garamond"/>
          <w:i/>
          <w:iCs/>
        </w:rPr>
        <w:t>Union</w:t>
      </w:r>
      <w:proofErr w:type="spellEnd"/>
      <w:r w:rsidRPr="00D36F91">
        <w:rPr>
          <w:rFonts w:ascii="Garamond" w:hAnsi="Garamond"/>
          <w:i/>
          <w:iCs/>
        </w:rPr>
        <w:t xml:space="preserve">, </w:t>
      </w:r>
      <w:proofErr w:type="spellStart"/>
      <w:r w:rsidRPr="00D36F91">
        <w:rPr>
          <w:rFonts w:ascii="Garamond" w:hAnsi="Garamond"/>
          <w:i/>
          <w:iCs/>
        </w:rPr>
        <w:t>entre</w:t>
      </w:r>
      <w:proofErr w:type="spellEnd"/>
      <w:r w:rsidRPr="00D36F91">
        <w:rPr>
          <w:rFonts w:ascii="Garamond" w:hAnsi="Garamond"/>
          <w:i/>
          <w:iCs/>
        </w:rPr>
        <w:t xml:space="preserve"> </w:t>
      </w:r>
      <w:proofErr w:type="spellStart"/>
      <w:r w:rsidRPr="00D36F91">
        <w:rPr>
          <w:rFonts w:ascii="Garamond" w:hAnsi="Garamond"/>
          <w:i/>
          <w:iCs/>
        </w:rPr>
        <w:t>méchanismes</w:t>
      </w:r>
      <w:proofErr w:type="spellEnd"/>
      <w:r w:rsidRPr="00D36F91">
        <w:rPr>
          <w:rFonts w:ascii="Garamond" w:hAnsi="Garamond"/>
          <w:i/>
          <w:iCs/>
        </w:rPr>
        <w:t xml:space="preserve"> </w:t>
      </w:r>
      <w:proofErr w:type="spellStart"/>
      <w:r w:rsidRPr="00D36F91">
        <w:rPr>
          <w:rFonts w:ascii="Garamond" w:hAnsi="Garamond"/>
          <w:i/>
          <w:iCs/>
        </w:rPr>
        <w:t>communautaires</w:t>
      </w:r>
      <w:proofErr w:type="spellEnd"/>
      <w:r w:rsidRPr="00D36F91">
        <w:rPr>
          <w:rFonts w:ascii="Garamond" w:hAnsi="Garamond"/>
          <w:i/>
          <w:iCs/>
        </w:rPr>
        <w:t xml:space="preserve"> </w:t>
      </w:r>
      <w:proofErr w:type="spellStart"/>
      <w:r w:rsidRPr="00D36F91">
        <w:rPr>
          <w:rFonts w:ascii="Garamond" w:hAnsi="Garamond"/>
          <w:i/>
          <w:iCs/>
        </w:rPr>
        <w:t>et</w:t>
      </w:r>
      <w:proofErr w:type="spellEnd"/>
      <w:r w:rsidRPr="00D36F91">
        <w:rPr>
          <w:rFonts w:ascii="Garamond" w:hAnsi="Garamond"/>
          <w:i/>
          <w:iCs/>
        </w:rPr>
        <w:t xml:space="preserve"> </w:t>
      </w:r>
      <w:proofErr w:type="spellStart"/>
      <w:r w:rsidRPr="00D36F91">
        <w:rPr>
          <w:rFonts w:ascii="Garamond" w:hAnsi="Garamond"/>
          <w:i/>
          <w:iCs/>
        </w:rPr>
        <w:t>droits</w:t>
      </w:r>
      <w:proofErr w:type="spellEnd"/>
      <w:r w:rsidRPr="00D36F91">
        <w:rPr>
          <w:rFonts w:ascii="Garamond" w:hAnsi="Garamond"/>
          <w:i/>
          <w:iCs/>
        </w:rPr>
        <w:t xml:space="preserve"> </w:t>
      </w:r>
      <w:proofErr w:type="spellStart"/>
      <w:r w:rsidRPr="00D36F91">
        <w:rPr>
          <w:rFonts w:ascii="Garamond" w:hAnsi="Garamond"/>
          <w:i/>
          <w:iCs/>
        </w:rPr>
        <w:t>nationaux</w:t>
      </w:r>
      <w:proofErr w:type="spellEnd"/>
      <w:r w:rsidRPr="00D36F91">
        <w:rPr>
          <w:rFonts w:ascii="Garamond" w:hAnsi="Garamond"/>
          <w:i/>
          <w:iCs/>
        </w:rPr>
        <w:t>, Bruxelles</w:t>
      </w:r>
      <w:r w:rsidRPr="00D36F91">
        <w:rPr>
          <w:rFonts w:ascii="Garamond" w:hAnsi="Garamond"/>
        </w:rPr>
        <w:t xml:space="preserve">, </w:t>
      </w:r>
      <w:proofErr w:type="spellStart"/>
      <w:r w:rsidRPr="00D36F91">
        <w:rPr>
          <w:rFonts w:ascii="Garamond" w:hAnsi="Garamond"/>
        </w:rPr>
        <w:t>Bruylant</w:t>
      </w:r>
      <w:proofErr w:type="spellEnd"/>
      <w:r w:rsidRPr="00D36F91">
        <w:rPr>
          <w:rFonts w:ascii="Garamond" w:hAnsi="Garamond"/>
        </w:rPr>
        <w:t xml:space="preserve">, 2009; relativamente al ruolo assunto dalla agenzie europee, tra gli altri, si veda G. de </w:t>
      </w:r>
      <w:proofErr w:type="spellStart"/>
      <w:r w:rsidRPr="00D36F91">
        <w:rPr>
          <w:rFonts w:ascii="Garamond" w:hAnsi="Garamond"/>
        </w:rPr>
        <w:t>Burca</w:t>
      </w:r>
      <w:proofErr w:type="spellEnd"/>
      <w:r w:rsidRPr="00D36F91">
        <w:rPr>
          <w:rFonts w:ascii="Garamond" w:hAnsi="Garamond"/>
        </w:rPr>
        <w:t xml:space="preserve">, </w:t>
      </w:r>
      <w:proofErr w:type="spellStart"/>
      <w:r w:rsidRPr="00D36F91">
        <w:rPr>
          <w:rFonts w:ascii="Garamond" w:hAnsi="Garamond"/>
          <w:i/>
          <w:iCs/>
        </w:rPr>
        <w:t>Institutional</w:t>
      </w:r>
      <w:proofErr w:type="spellEnd"/>
      <w:r w:rsidRPr="00D36F91">
        <w:rPr>
          <w:rFonts w:ascii="Garamond" w:hAnsi="Garamond"/>
          <w:i/>
          <w:iCs/>
        </w:rPr>
        <w:t xml:space="preserve"> </w:t>
      </w:r>
      <w:proofErr w:type="spellStart"/>
      <w:r w:rsidRPr="00D36F91">
        <w:rPr>
          <w:rFonts w:ascii="Garamond" w:hAnsi="Garamond"/>
          <w:i/>
          <w:iCs/>
        </w:rPr>
        <w:t>Development</w:t>
      </w:r>
      <w:proofErr w:type="spellEnd"/>
      <w:r w:rsidRPr="00D36F91">
        <w:rPr>
          <w:rFonts w:ascii="Garamond" w:hAnsi="Garamond"/>
          <w:i/>
          <w:iCs/>
        </w:rPr>
        <w:t xml:space="preserve"> </w:t>
      </w:r>
      <w:proofErr w:type="spellStart"/>
      <w:r w:rsidRPr="00D36F91">
        <w:rPr>
          <w:rFonts w:ascii="Garamond" w:hAnsi="Garamond"/>
          <w:i/>
          <w:iCs/>
        </w:rPr>
        <w:t>of</w:t>
      </w:r>
      <w:proofErr w:type="spellEnd"/>
      <w:r w:rsidRPr="00D36F91">
        <w:rPr>
          <w:rFonts w:ascii="Garamond" w:hAnsi="Garamond"/>
          <w:i/>
          <w:iCs/>
        </w:rPr>
        <w:t xml:space="preserve"> the </w:t>
      </w:r>
      <w:proofErr w:type="spellStart"/>
      <w:r w:rsidRPr="00D36F91">
        <w:rPr>
          <w:rFonts w:ascii="Garamond" w:hAnsi="Garamond"/>
          <w:i/>
          <w:iCs/>
        </w:rPr>
        <w:t>Eu</w:t>
      </w:r>
      <w:proofErr w:type="spellEnd"/>
      <w:r w:rsidRPr="00D36F91">
        <w:rPr>
          <w:rFonts w:ascii="Garamond" w:hAnsi="Garamond"/>
          <w:i/>
          <w:iCs/>
        </w:rPr>
        <w:t xml:space="preserve">: a </w:t>
      </w:r>
      <w:proofErr w:type="spellStart"/>
      <w:r w:rsidRPr="00D36F91">
        <w:rPr>
          <w:rFonts w:ascii="Garamond" w:hAnsi="Garamond"/>
          <w:i/>
          <w:iCs/>
        </w:rPr>
        <w:t>Constitutional</w:t>
      </w:r>
      <w:proofErr w:type="spellEnd"/>
      <w:r w:rsidRPr="00D36F91">
        <w:rPr>
          <w:rFonts w:ascii="Garamond" w:hAnsi="Garamond"/>
          <w:i/>
          <w:iCs/>
        </w:rPr>
        <w:t xml:space="preserve"> </w:t>
      </w:r>
      <w:proofErr w:type="spellStart"/>
      <w:r w:rsidRPr="00D36F91">
        <w:rPr>
          <w:rFonts w:ascii="Garamond" w:hAnsi="Garamond"/>
          <w:i/>
          <w:iCs/>
        </w:rPr>
        <w:t>Analysis</w:t>
      </w:r>
      <w:proofErr w:type="spellEnd"/>
      <w:r w:rsidRPr="00D36F91">
        <w:rPr>
          <w:rFonts w:ascii="Garamond" w:hAnsi="Garamond"/>
        </w:rPr>
        <w:t xml:space="preserve">, in </w:t>
      </w:r>
      <w:proofErr w:type="spellStart"/>
      <w:r w:rsidRPr="00D36F91">
        <w:rPr>
          <w:rFonts w:ascii="Garamond" w:hAnsi="Garamond"/>
        </w:rPr>
        <w:t>P.Craig-</w:t>
      </w:r>
      <w:proofErr w:type="spellEnd"/>
      <w:r w:rsidRPr="00D36F91">
        <w:rPr>
          <w:rFonts w:ascii="Garamond" w:hAnsi="Garamond"/>
        </w:rPr>
        <w:t xml:space="preserve"> </w:t>
      </w:r>
      <w:proofErr w:type="spellStart"/>
      <w:r w:rsidRPr="00D36F91">
        <w:rPr>
          <w:rFonts w:ascii="Garamond" w:hAnsi="Garamond"/>
        </w:rPr>
        <w:t>G.de</w:t>
      </w:r>
      <w:proofErr w:type="spellEnd"/>
      <w:r w:rsidRPr="00D36F91">
        <w:rPr>
          <w:rFonts w:ascii="Garamond" w:hAnsi="Garamond"/>
        </w:rPr>
        <w:t xml:space="preserve"> </w:t>
      </w:r>
      <w:proofErr w:type="spellStart"/>
      <w:r w:rsidRPr="00D36F91">
        <w:rPr>
          <w:rFonts w:ascii="Garamond" w:hAnsi="Garamond"/>
        </w:rPr>
        <w:t>Burca</w:t>
      </w:r>
      <w:proofErr w:type="spellEnd"/>
      <w:r w:rsidRPr="00D36F91">
        <w:rPr>
          <w:rFonts w:ascii="Garamond" w:hAnsi="Garamond"/>
        </w:rPr>
        <w:t xml:space="preserve"> ( a cura di), </w:t>
      </w:r>
      <w:r w:rsidRPr="00D36F91">
        <w:rPr>
          <w:rFonts w:ascii="Garamond" w:hAnsi="Garamond"/>
          <w:i/>
          <w:iCs/>
        </w:rPr>
        <w:t xml:space="preserve">The </w:t>
      </w:r>
      <w:proofErr w:type="spellStart"/>
      <w:r w:rsidRPr="00D36F91">
        <w:rPr>
          <w:rFonts w:ascii="Garamond" w:hAnsi="Garamond"/>
          <w:i/>
          <w:iCs/>
        </w:rPr>
        <w:t>evolution</w:t>
      </w:r>
      <w:proofErr w:type="spellEnd"/>
      <w:r w:rsidRPr="00D36F91">
        <w:rPr>
          <w:rFonts w:ascii="Garamond" w:hAnsi="Garamond"/>
          <w:i/>
          <w:iCs/>
        </w:rPr>
        <w:t xml:space="preserve"> </w:t>
      </w:r>
      <w:proofErr w:type="spellStart"/>
      <w:r w:rsidRPr="00D36F91">
        <w:rPr>
          <w:rFonts w:ascii="Garamond" w:hAnsi="Garamond"/>
          <w:i/>
          <w:iCs/>
        </w:rPr>
        <w:t>of</w:t>
      </w:r>
      <w:proofErr w:type="spellEnd"/>
      <w:r w:rsidRPr="00D36F91">
        <w:rPr>
          <w:rFonts w:ascii="Garamond" w:hAnsi="Garamond"/>
          <w:i/>
          <w:iCs/>
        </w:rPr>
        <w:t xml:space="preserve"> </w:t>
      </w:r>
      <w:proofErr w:type="spellStart"/>
      <w:r w:rsidRPr="00D36F91">
        <w:rPr>
          <w:rFonts w:ascii="Garamond" w:hAnsi="Garamond"/>
          <w:i/>
          <w:iCs/>
        </w:rPr>
        <w:t>Eu</w:t>
      </w:r>
      <w:proofErr w:type="spellEnd"/>
      <w:r w:rsidRPr="00D36F91">
        <w:rPr>
          <w:rFonts w:ascii="Garamond" w:hAnsi="Garamond"/>
          <w:i/>
          <w:iCs/>
        </w:rPr>
        <w:t xml:space="preserve"> </w:t>
      </w:r>
      <w:proofErr w:type="spellStart"/>
      <w:r w:rsidRPr="00D36F91">
        <w:rPr>
          <w:rFonts w:ascii="Garamond" w:hAnsi="Garamond"/>
          <w:i/>
          <w:iCs/>
        </w:rPr>
        <w:t>Law</w:t>
      </w:r>
      <w:proofErr w:type="spellEnd"/>
      <w:r w:rsidRPr="00D36F91">
        <w:rPr>
          <w:rFonts w:ascii="Garamond" w:hAnsi="Garamond"/>
        </w:rPr>
        <w:t xml:space="preserve">, Oxford </w:t>
      </w:r>
      <w:proofErr w:type="spellStart"/>
      <w:r w:rsidRPr="00D36F91">
        <w:rPr>
          <w:rFonts w:ascii="Garamond" w:hAnsi="Garamond"/>
        </w:rPr>
        <w:t>University</w:t>
      </w:r>
      <w:proofErr w:type="spellEnd"/>
      <w:r w:rsidRPr="00D36F91">
        <w:rPr>
          <w:rFonts w:ascii="Garamond" w:hAnsi="Garamond"/>
        </w:rPr>
        <w:t xml:space="preserve"> Press, 1998, p.55 e ss; </w:t>
      </w:r>
      <w:proofErr w:type="spellStart"/>
      <w:r w:rsidRPr="00D36F91">
        <w:rPr>
          <w:rFonts w:ascii="Garamond" w:hAnsi="Garamond"/>
        </w:rPr>
        <w:t>E.Chiti</w:t>
      </w:r>
      <w:proofErr w:type="spellEnd"/>
      <w:r w:rsidRPr="00D36F91">
        <w:rPr>
          <w:rFonts w:ascii="Garamond" w:hAnsi="Garamond"/>
        </w:rPr>
        <w:t xml:space="preserve">, </w:t>
      </w:r>
      <w:r w:rsidRPr="00D36F91">
        <w:rPr>
          <w:rFonts w:ascii="Garamond" w:hAnsi="Garamond"/>
          <w:i/>
          <w:iCs/>
        </w:rPr>
        <w:t>Le agenzie europee. Unità e decentramento nelle amministrazioni comunitarie,</w:t>
      </w:r>
      <w:r w:rsidRPr="00D36F91">
        <w:rPr>
          <w:rFonts w:ascii="Garamond" w:hAnsi="Garamond"/>
        </w:rPr>
        <w:t xml:space="preserve"> Padova, 2002; Id., </w:t>
      </w:r>
      <w:proofErr w:type="spellStart"/>
      <w:r w:rsidRPr="00D36F91">
        <w:rPr>
          <w:rFonts w:ascii="Garamond" w:hAnsi="Garamond"/>
          <w:i/>
          <w:iCs/>
        </w:rPr>
        <w:t>European</w:t>
      </w:r>
      <w:proofErr w:type="spellEnd"/>
      <w:r w:rsidRPr="00D36F91">
        <w:rPr>
          <w:rFonts w:ascii="Garamond" w:hAnsi="Garamond"/>
          <w:i/>
          <w:iCs/>
        </w:rPr>
        <w:t xml:space="preserve"> </w:t>
      </w:r>
      <w:proofErr w:type="spellStart"/>
      <w:r w:rsidRPr="00D36F91">
        <w:rPr>
          <w:rFonts w:ascii="Garamond" w:hAnsi="Garamond"/>
          <w:i/>
          <w:iCs/>
        </w:rPr>
        <w:t>Agencies</w:t>
      </w:r>
      <w:proofErr w:type="spellEnd"/>
      <w:r w:rsidRPr="00D36F91">
        <w:rPr>
          <w:rFonts w:ascii="Garamond" w:hAnsi="Garamond"/>
          <w:i/>
          <w:iCs/>
        </w:rPr>
        <w:t xml:space="preserve">’ </w:t>
      </w:r>
      <w:proofErr w:type="spellStart"/>
      <w:r w:rsidRPr="00D36F91">
        <w:rPr>
          <w:rFonts w:ascii="Garamond" w:hAnsi="Garamond"/>
          <w:i/>
          <w:iCs/>
        </w:rPr>
        <w:t>Rule-Making</w:t>
      </w:r>
      <w:proofErr w:type="spellEnd"/>
      <w:r w:rsidRPr="00D36F91">
        <w:rPr>
          <w:rFonts w:ascii="Garamond" w:hAnsi="Garamond"/>
          <w:i/>
          <w:iCs/>
        </w:rPr>
        <w:t xml:space="preserve">. </w:t>
      </w:r>
      <w:proofErr w:type="spellStart"/>
      <w:r w:rsidRPr="00D36F91">
        <w:rPr>
          <w:rFonts w:ascii="Garamond" w:hAnsi="Garamond"/>
          <w:i/>
          <w:iCs/>
        </w:rPr>
        <w:t>Powers</w:t>
      </w:r>
      <w:proofErr w:type="spellEnd"/>
      <w:r w:rsidRPr="00D36F91">
        <w:rPr>
          <w:rFonts w:ascii="Garamond" w:hAnsi="Garamond"/>
          <w:i/>
          <w:iCs/>
        </w:rPr>
        <w:t xml:space="preserve">, </w:t>
      </w:r>
      <w:proofErr w:type="spellStart"/>
      <w:r w:rsidRPr="00D36F91">
        <w:rPr>
          <w:rFonts w:ascii="Garamond" w:hAnsi="Garamond"/>
          <w:i/>
          <w:iCs/>
        </w:rPr>
        <w:t>Procedures</w:t>
      </w:r>
      <w:proofErr w:type="spellEnd"/>
      <w:r w:rsidRPr="00D36F91">
        <w:rPr>
          <w:rFonts w:ascii="Garamond" w:hAnsi="Garamond"/>
          <w:i/>
          <w:iCs/>
        </w:rPr>
        <w:t xml:space="preserve"> and </w:t>
      </w:r>
      <w:proofErr w:type="spellStart"/>
      <w:r w:rsidRPr="00D36F91">
        <w:rPr>
          <w:rFonts w:ascii="Garamond" w:hAnsi="Garamond"/>
          <w:i/>
          <w:iCs/>
        </w:rPr>
        <w:t>Assessment</w:t>
      </w:r>
      <w:proofErr w:type="spellEnd"/>
      <w:r w:rsidRPr="00D36F91">
        <w:rPr>
          <w:rFonts w:ascii="Garamond" w:hAnsi="Garamond"/>
        </w:rPr>
        <w:t xml:space="preserve">, in </w:t>
      </w:r>
      <w:proofErr w:type="spellStart"/>
      <w:r w:rsidRPr="00D36F91">
        <w:rPr>
          <w:rFonts w:ascii="Garamond" w:hAnsi="Garamond"/>
          <w:i/>
          <w:iCs/>
        </w:rPr>
        <w:t>European</w:t>
      </w:r>
      <w:proofErr w:type="spellEnd"/>
      <w:r w:rsidRPr="00D36F91">
        <w:rPr>
          <w:rFonts w:ascii="Garamond" w:hAnsi="Garamond"/>
          <w:i/>
          <w:iCs/>
        </w:rPr>
        <w:t xml:space="preserve"> </w:t>
      </w:r>
      <w:proofErr w:type="spellStart"/>
      <w:r w:rsidRPr="00D36F91">
        <w:rPr>
          <w:rFonts w:ascii="Garamond" w:hAnsi="Garamond"/>
          <w:i/>
          <w:iCs/>
        </w:rPr>
        <w:t>Law</w:t>
      </w:r>
      <w:proofErr w:type="spellEnd"/>
      <w:r w:rsidRPr="00D36F91">
        <w:rPr>
          <w:rFonts w:ascii="Garamond" w:hAnsi="Garamond"/>
          <w:i/>
          <w:iCs/>
        </w:rPr>
        <w:t xml:space="preserve"> Journal</w:t>
      </w:r>
      <w:r w:rsidRPr="00D36F91">
        <w:rPr>
          <w:rFonts w:ascii="Garamond" w:hAnsi="Garamond"/>
        </w:rPr>
        <w:t>, 2013, p.93 e ss;relativamente ai co</w:t>
      </w:r>
      <w:r>
        <w:rPr>
          <w:rFonts w:ascii="Garamond" w:hAnsi="Garamond"/>
        </w:rPr>
        <w:t>mitati</w:t>
      </w:r>
      <w:r w:rsidRPr="00D36F91">
        <w:rPr>
          <w:rFonts w:ascii="Garamond" w:hAnsi="Garamond"/>
        </w:rPr>
        <w:t xml:space="preserve"> si veda ex </w:t>
      </w:r>
      <w:proofErr w:type="spellStart"/>
      <w:r w:rsidRPr="00D36F91">
        <w:rPr>
          <w:rFonts w:ascii="Garamond" w:hAnsi="Garamond"/>
        </w:rPr>
        <w:t>multis</w:t>
      </w:r>
      <w:proofErr w:type="spellEnd"/>
      <w:r w:rsidRPr="00D36F91">
        <w:rPr>
          <w:rFonts w:ascii="Garamond" w:hAnsi="Garamond"/>
        </w:rPr>
        <w:t xml:space="preserve">, </w:t>
      </w:r>
      <w:proofErr w:type="spellStart"/>
      <w:r w:rsidRPr="00D36F91">
        <w:rPr>
          <w:rFonts w:ascii="Garamond" w:hAnsi="Garamond"/>
        </w:rPr>
        <w:t>C.F.Bergstrom</w:t>
      </w:r>
      <w:proofErr w:type="spellEnd"/>
      <w:r w:rsidRPr="00D36F91">
        <w:rPr>
          <w:rFonts w:ascii="Garamond" w:hAnsi="Garamond"/>
        </w:rPr>
        <w:t xml:space="preserve">, </w:t>
      </w:r>
      <w:proofErr w:type="spellStart"/>
      <w:r w:rsidRPr="00D36F91">
        <w:rPr>
          <w:rFonts w:ascii="Garamond" w:hAnsi="Garamond"/>
          <w:i/>
          <w:iCs/>
        </w:rPr>
        <w:t>Comitology</w:t>
      </w:r>
      <w:proofErr w:type="spellEnd"/>
      <w:r w:rsidRPr="00D36F91">
        <w:rPr>
          <w:rFonts w:ascii="Garamond" w:hAnsi="Garamond"/>
        </w:rPr>
        <w:t xml:space="preserve">, Oxford, Oxford </w:t>
      </w:r>
      <w:proofErr w:type="spellStart"/>
      <w:r w:rsidRPr="00D36F91">
        <w:rPr>
          <w:rFonts w:ascii="Garamond" w:hAnsi="Garamond"/>
        </w:rPr>
        <w:t>University</w:t>
      </w:r>
      <w:proofErr w:type="spellEnd"/>
      <w:r w:rsidRPr="00D36F91">
        <w:rPr>
          <w:rFonts w:ascii="Garamond" w:hAnsi="Garamond"/>
        </w:rPr>
        <w:t xml:space="preserve"> Press, 2005;, p.29; </w:t>
      </w:r>
      <w:proofErr w:type="spellStart"/>
      <w:r w:rsidRPr="00D36F91">
        <w:rPr>
          <w:rFonts w:ascii="Garamond" w:hAnsi="Garamond"/>
        </w:rPr>
        <w:t>G.della</w:t>
      </w:r>
      <w:proofErr w:type="spellEnd"/>
      <w:r w:rsidRPr="00D36F91">
        <w:rPr>
          <w:rFonts w:ascii="Garamond" w:hAnsi="Garamond"/>
        </w:rPr>
        <w:t xml:space="preserve"> Cananea, </w:t>
      </w:r>
      <w:r w:rsidRPr="00D36F91">
        <w:rPr>
          <w:rFonts w:ascii="Garamond" w:hAnsi="Garamond"/>
          <w:i/>
          <w:iCs/>
        </w:rPr>
        <w:t>Cooperazione ed amministrazione nel sistema amministrativo delle Comunità europee: la questione della “</w:t>
      </w:r>
      <w:proofErr w:type="spellStart"/>
      <w:r w:rsidRPr="00D36F91">
        <w:rPr>
          <w:rFonts w:ascii="Garamond" w:hAnsi="Garamond"/>
          <w:i/>
          <w:iCs/>
        </w:rPr>
        <w:t>comitologia</w:t>
      </w:r>
      <w:proofErr w:type="spellEnd"/>
      <w:r w:rsidRPr="00D36F91">
        <w:rPr>
          <w:rFonts w:ascii="Garamond" w:hAnsi="Garamond"/>
        </w:rPr>
        <w:t xml:space="preserve">”, in </w:t>
      </w:r>
      <w:proofErr w:type="spellStart"/>
      <w:r w:rsidRPr="00D36F91">
        <w:rPr>
          <w:rFonts w:ascii="Garamond" w:hAnsi="Garamond"/>
          <w:i/>
          <w:iCs/>
        </w:rPr>
        <w:t>Riv.trim.dir.pubbl</w:t>
      </w:r>
      <w:proofErr w:type="spellEnd"/>
      <w:r w:rsidRPr="00D36F91">
        <w:rPr>
          <w:rFonts w:ascii="Garamond" w:hAnsi="Garamond"/>
        </w:rPr>
        <w:t xml:space="preserve">., n.3/1990, p.655-702; per una ricostruzione si veda da </w:t>
      </w:r>
      <w:proofErr w:type="spellStart"/>
      <w:r w:rsidRPr="00D36F91">
        <w:rPr>
          <w:rFonts w:ascii="Garamond" w:hAnsi="Garamond"/>
        </w:rPr>
        <w:t>M.Savino</w:t>
      </w:r>
      <w:proofErr w:type="spellEnd"/>
      <w:r w:rsidRPr="00D36F91">
        <w:rPr>
          <w:rFonts w:ascii="Garamond" w:hAnsi="Garamond"/>
        </w:rPr>
        <w:t>,</w:t>
      </w:r>
      <w:r w:rsidRPr="00D36F91">
        <w:rPr>
          <w:rFonts w:ascii="Garamond" w:hAnsi="Garamond"/>
          <w:i/>
          <w:iCs/>
        </w:rPr>
        <w:t xml:space="preserve"> I comitati dell’Unione europea</w:t>
      </w:r>
      <w:r w:rsidRPr="00D36F91">
        <w:rPr>
          <w:rFonts w:ascii="Garamond" w:hAnsi="Garamond"/>
        </w:rPr>
        <w:t xml:space="preserve">, Milano, </w:t>
      </w:r>
      <w:proofErr w:type="spellStart"/>
      <w:r w:rsidRPr="00D36F91">
        <w:rPr>
          <w:rFonts w:ascii="Garamond" w:hAnsi="Garamond"/>
        </w:rPr>
        <w:t>Giuffrè</w:t>
      </w:r>
      <w:proofErr w:type="spellEnd"/>
      <w:r w:rsidRPr="00D36F91">
        <w:rPr>
          <w:rFonts w:ascii="Garamond" w:hAnsi="Garamond"/>
        </w:rPr>
        <w:t>, 2005</w:t>
      </w:r>
    </w:p>
  </w:footnote>
  <w:footnote w:id="8">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In questo senso si veda </w:t>
      </w:r>
      <w:proofErr w:type="spellStart"/>
      <w:r w:rsidRPr="00D36F91">
        <w:rPr>
          <w:rFonts w:ascii="Garamond" w:hAnsi="Garamond"/>
          <w:sz w:val="20"/>
          <w:szCs w:val="20"/>
        </w:rPr>
        <w:t>P.Craig</w:t>
      </w:r>
      <w:proofErr w:type="spellEnd"/>
      <w:r w:rsidRPr="00D36F91">
        <w:rPr>
          <w:rFonts w:ascii="Garamond" w:hAnsi="Garamond"/>
          <w:sz w:val="20"/>
          <w:szCs w:val="20"/>
        </w:rPr>
        <w:t>,</w:t>
      </w:r>
      <w:r w:rsidRPr="00D36F91">
        <w:rPr>
          <w:rFonts w:ascii="Garamond" w:hAnsi="Garamond" w:cs="Times New Roman"/>
          <w:b/>
          <w:bCs/>
          <w:sz w:val="20"/>
          <w:szCs w:val="20"/>
        </w:rPr>
        <w:t xml:space="preserve"> </w:t>
      </w:r>
      <w:r w:rsidRPr="00D36F91">
        <w:rPr>
          <w:rFonts w:ascii="Garamond" w:hAnsi="Garamond" w:cs="Times New Roman"/>
          <w:i/>
          <w:iCs/>
          <w:sz w:val="20"/>
          <w:szCs w:val="20"/>
        </w:rPr>
        <w:t xml:space="preserve">The Financial </w:t>
      </w:r>
      <w:proofErr w:type="spellStart"/>
      <w:r w:rsidRPr="00D36F91">
        <w:rPr>
          <w:rFonts w:ascii="Garamond" w:hAnsi="Garamond" w:cs="Times New Roman"/>
          <w:i/>
          <w:iCs/>
          <w:sz w:val="20"/>
          <w:szCs w:val="20"/>
        </w:rPr>
        <w:t>Crisis</w:t>
      </w:r>
      <w:proofErr w:type="spellEnd"/>
      <w:r w:rsidRPr="00D36F91">
        <w:rPr>
          <w:rFonts w:ascii="Garamond" w:hAnsi="Garamond" w:cs="Times New Roman"/>
          <w:i/>
          <w:iCs/>
          <w:sz w:val="20"/>
          <w:szCs w:val="20"/>
        </w:rPr>
        <w:t xml:space="preserve">, the EU </w:t>
      </w:r>
      <w:proofErr w:type="spellStart"/>
      <w:r w:rsidRPr="00D36F91">
        <w:rPr>
          <w:rFonts w:ascii="Garamond" w:hAnsi="Garamond" w:cs="Times New Roman"/>
          <w:i/>
          <w:iCs/>
          <w:sz w:val="20"/>
          <w:szCs w:val="20"/>
        </w:rPr>
        <w:t>Institutional</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Order</w:t>
      </w:r>
      <w:proofErr w:type="spellEnd"/>
      <w:r w:rsidRPr="00D36F91">
        <w:rPr>
          <w:rFonts w:ascii="Garamond" w:hAnsi="Garamond" w:cs="Times New Roman"/>
          <w:i/>
          <w:iCs/>
          <w:sz w:val="20"/>
          <w:szCs w:val="20"/>
        </w:rPr>
        <w:t xml:space="preserve"> and </w:t>
      </w:r>
      <w:proofErr w:type="spellStart"/>
      <w:r w:rsidRPr="00D36F91">
        <w:rPr>
          <w:rFonts w:ascii="Garamond" w:hAnsi="Garamond" w:cs="Times New Roman"/>
          <w:i/>
          <w:iCs/>
          <w:sz w:val="20"/>
          <w:szCs w:val="20"/>
        </w:rPr>
        <w:t>Constitutional</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Responsibility</w:t>
      </w:r>
      <w:proofErr w:type="spellEnd"/>
      <w:r w:rsidRPr="00D36F91">
        <w:rPr>
          <w:rFonts w:ascii="Garamond" w:hAnsi="Garamond" w:cs="Times New Roman"/>
          <w:i/>
          <w:iCs/>
          <w:sz w:val="20"/>
          <w:szCs w:val="20"/>
        </w:rPr>
        <w:t xml:space="preserve">, </w:t>
      </w:r>
      <w:proofErr w:type="spellStart"/>
      <w:r w:rsidRPr="00D36F91">
        <w:rPr>
          <w:rFonts w:ascii="Garamond" w:hAnsi="Garamond"/>
          <w:sz w:val="20"/>
          <w:szCs w:val="20"/>
        </w:rPr>
        <w:t>Paper</w:t>
      </w:r>
      <w:proofErr w:type="spellEnd"/>
      <w:r w:rsidRPr="00D36F91">
        <w:rPr>
          <w:rFonts w:ascii="Garamond" w:hAnsi="Garamond"/>
          <w:sz w:val="20"/>
          <w:szCs w:val="20"/>
        </w:rPr>
        <w:t xml:space="preserve"> presentato al</w:t>
      </w:r>
      <w:r w:rsidRPr="00D36F91">
        <w:rPr>
          <w:rFonts w:ascii="Garamond" w:hAnsi="Garamond"/>
          <w:b/>
          <w:bCs/>
          <w:sz w:val="20"/>
          <w:szCs w:val="20"/>
        </w:rPr>
        <w:t xml:space="preserve"> </w:t>
      </w:r>
      <w:r w:rsidRPr="00D36F91">
        <w:rPr>
          <w:rFonts w:ascii="Garamond" w:hAnsi="Garamond" w:cs="Times New Roman"/>
          <w:sz w:val="20"/>
          <w:szCs w:val="20"/>
        </w:rPr>
        <w:t xml:space="preserve">FIDE </w:t>
      </w:r>
      <w:proofErr w:type="spellStart"/>
      <w:r w:rsidRPr="00D36F91">
        <w:rPr>
          <w:rFonts w:ascii="Garamond" w:hAnsi="Garamond" w:cs="Times New Roman"/>
          <w:sz w:val="20"/>
          <w:szCs w:val="20"/>
        </w:rPr>
        <w:t>Conference</w:t>
      </w:r>
      <w:proofErr w:type="spellEnd"/>
      <w:r w:rsidRPr="00D36F91">
        <w:rPr>
          <w:rFonts w:ascii="Garamond" w:hAnsi="Garamond" w:cs="Times New Roman"/>
          <w:sz w:val="20"/>
          <w:szCs w:val="20"/>
        </w:rPr>
        <w:t xml:space="preserve"> in Copenhagen, 2014,reperibile all’indirizzo</w:t>
      </w:r>
      <w:r w:rsidRPr="00D36F91">
        <w:rPr>
          <w:rFonts w:ascii="Garamond" w:hAnsi="Garamond"/>
          <w:sz w:val="20"/>
          <w:szCs w:val="20"/>
        </w:rPr>
        <w:t xml:space="preserve"> </w:t>
      </w:r>
      <w:hyperlink r:id="rId2" w:history="1">
        <w:r w:rsidRPr="00D36F91">
          <w:rPr>
            <w:rStyle w:val="Collegamentoipertestuale"/>
            <w:rFonts w:ascii="Garamond" w:hAnsi="Garamond"/>
            <w:sz w:val="20"/>
            <w:szCs w:val="20"/>
          </w:rPr>
          <w:t>http://ssrn.com/abstract=2517434</w:t>
        </w:r>
      </w:hyperlink>
      <w:r w:rsidRPr="00D36F91">
        <w:rPr>
          <w:rFonts w:ascii="Garamond" w:hAnsi="Garamond"/>
          <w:sz w:val="20"/>
          <w:szCs w:val="20"/>
        </w:rPr>
        <w:t xml:space="preserve">, specie p.23; si veda anche </w:t>
      </w:r>
      <w:proofErr w:type="spellStart"/>
      <w:r w:rsidRPr="00D36F91">
        <w:rPr>
          <w:rFonts w:ascii="Garamond" w:hAnsi="Garamond"/>
          <w:sz w:val="20"/>
          <w:szCs w:val="20"/>
        </w:rPr>
        <w:t>S.Fabbrini</w:t>
      </w:r>
      <w:proofErr w:type="spellEnd"/>
      <w:r w:rsidRPr="00D36F91">
        <w:rPr>
          <w:rFonts w:ascii="Garamond" w:hAnsi="Garamond"/>
          <w:i/>
          <w:iCs/>
          <w:sz w:val="20"/>
          <w:szCs w:val="20"/>
        </w:rPr>
        <w:t>,</w:t>
      </w:r>
      <w:r w:rsidRPr="00D36F91">
        <w:rPr>
          <w:rFonts w:ascii="Garamond" w:hAnsi="Garamond"/>
          <w:b/>
          <w:bCs/>
          <w:i/>
          <w:iCs/>
          <w:sz w:val="20"/>
          <w:szCs w:val="20"/>
        </w:rPr>
        <w:t xml:space="preserve"> </w:t>
      </w:r>
      <w:proofErr w:type="spellStart"/>
      <w:r w:rsidRPr="00D36F91">
        <w:rPr>
          <w:rFonts w:ascii="Garamond" w:hAnsi="Garamond"/>
          <w:i/>
          <w:iCs/>
          <w:sz w:val="20"/>
          <w:szCs w:val="20"/>
        </w:rPr>
        <w:t>Intergovernmentalism</w:t>
      </w:r>
      <w:proofErr w:type="spellEnd"/>
      <w:r w:rsidRPr="00D36F91">
        <w:rPr>
          <w:rFonts w:ascii="Garamond" w:hAnsi="Garamond"/>
          <w:i/>
          <w:iCs/>
          <w:sz w:val="20"/>
          <w:szCs w:val="20"/>
        </w:rPr>
        <w:t xml:space="preserve"> and </w:t>
      </w:r>
      <w:proofErr w:type="spellStart"/>
      <w:r w:rsidRPr="00D36F91">
        <w:rPr>
          <w:rFonts w:ascii="Garamond" w:hAnsi="Garamond"/>
          <w:i/>
          <w:iCs/>
          <w:sz w:val="20"/>
          <w:szCs w:val="20"/>
        </w:rPr>
        <w:t>Its</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Limits</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Assessing</w:t>
      </w:r>
      <w:proofErr w:type="spellEnd"/>
      <w:r w:rsidRPr="00D36F91">
        <w:rPr>
          <w:rFonts w:ascii="Garamond" w:hAnsi="Garamond"/>
          <w:i/>
          <w:iCs/>
          <w:sz w:val="20"/>
          <w:szCs w:val="20"/>
        </w:rPr>
        <w:t xml:space="preserve"> the </w:t>
      </w:r>
      <w:proofErr w:type="spellStart"/>
      <w:r w:rsidRPr="00D36F91">
        <w:rPr>
          <w:rFonts w:ascii="Garamond" w:hAnsi="Garamond"/>
          <w:i/>
          <w:iCs/>
          <w:sz w:val="20"/>
          <w:szCs w:val="20"/>
        </w:rPr>
        <w:t>European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Union's</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Answer</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to</w:t>
      </w:r>
      <w:proofErr w:type="spellEnd"/>
      <w:r w:rsidRPr="00D36F91">
        <w:rPr>
          <w:rFonts w:ascii="Garamond" w:hAnsi="Garamond"/>
          <w:i/>
          <w:iCs/>
          <w:sz w:val="20"/>
          <w:szCs w:val="20"/>
        </w:rPr>
        <w:t xml:space="preserve"> the Euro </w:t>
      </w:r>
      <w:proofErr w:type="spellStart"/>
      <w:r w:rsidRPr="00D36F91">
        <w:rPr>
          <w:rFonts w:ascii="Garamond" w:hAnsi="Garamond"/>
          <w:i/>
          <w:iCs/>
          <w:sz w:val="20"/>
          <w:szCs w:val="20"/>
        </w:rPr>
        <w:t>Crisis</w:t>
      </w:r>
      <w:proofErr w:type="spellEnd"/>
      <w:r w:rsidRPr="00D36F91">
        <w:rPr>
          <w:rFonts w:ascii="Garamond" w:hAnsi="Garamond"/>
          <w:i/>
          <w:iCs/>
          <w:sz w:val="20"/>
          <w:szCs w:val="20"/>
        </w:rPr>
        <w:t>,</w:t>
      </w:r>
      <w:r w:rsidRPr="00D36F91">
        <w:rPr>
          <w:rFonts w:ascii="Garamond" w:hAnsi="Garamond"/>
          <w:sz w:val="20"/>
          <w:szCs w:val="20"/>
        </w:rPr>
        <w:t xml:space="preserve"> </w:t>
      </w:r>
      <w:proofErr w:type="spellStart"/>
      <w:r w:rsidRPr="00D36F91">
        <w:rPr>
          <w:rFonts w:ascii="Garamond" w:hAnsi="Garamond"/>
          <w:sz w:val="20"/>
          <w:szCs w:val="20"/>
        </w:rPr>
        <w:t>Paper</w:t>
      </w:r>
      <w:proofErr w:type="spellEnd"/>
      <w:r w:rsidRPr="00D36F91">
        <w:rPr>
          <w:rFonts w:ascii="Garamond" w:hAnsi="Garamond"/>
          <w:sz w:val="20"/>
          <w:szCs w:val="20"/>
        </w:rPr>
        <w:t xml:space="preserve"> giugno 2013, in </w:t>
      </w:r>
      <w:r w:rsidRPr="00D36F91">
        <w:rPr>
          <w:rFonts w:ascii="Garamond" w:hAnsi="Garamond"/>
          <w:i/>
          <w:iCs/>
          <w:sz w:val="20"/>
          <w:szCs w:val="20"/>
        </w:rPr>
        <w:t xml:space="preserve">Comparative </w:t>
      </w:r>
      <w:proofErr w:type="spellStart"/>
      <w:r w:rsidRPr="00D36F91">
        <w:rPr>
          <w:rFonts w:ascii="Garamond" w:hAnsi="Garamond"/>
          <w:i/>
          <w:iCs/>
          <w:sz w:val="20"/>
          <w:szCs w:val="20"/>
        </w:rPr>
        <w:t>Political</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Studies</w:t>
      </w:r>
      <w:proofErr w:type="spellEnd"/>
      <w:r w:rsidRPr="00D36F91">
        <w:rPr>
          <w:rFonts w:ascii="Garamond" w:hAnsi="Garamond"/>
          <w:sz w:val="20"/>
          <w:szCs w:val="20"/>
        </w:rPr>
        <w:t>, reperibile all’indirizzo: http://cps.sagepub.com/content/early/2013/06/17/0010414013489502</w:t>
      </w:r>
    </w:p>
  </w:footnote>
  <w:footnote w:id="9">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Cfr. </w:t>
      </w:r>
      <w:proofErr w:type="spellStart"/>
      <w:r w:rsidRPr="00D36F91">
        <w:rPr>
          <w:rFonts w:ascii="Garamond" w:hAnsi="Garamond"/>
          <w:sz w:val="20"/>
          <w:szCs w:val="20"/>
        </w:rPr>
        <w:t>G.L.Tosato</w:t>
      </w:r>
      <w:proofErr w:type="spellEnd"/>
      <w:r w:rsidRPr="00D36F91">
        <w:rPr>
          <w:rFonts w:ascii="Garamond" w:hAnsi="Garamond"/>
          <w:sz w:val="20"/>
          <w:szCs w:val="20"/>
        </w:rPr>
        <w:t xml:space="preserve">, </w:t>
      </w:r>
      <w:r w:rsidRPr="00D36F91">
        <w:rPr>
          <w:rFonts w:ascii="Garamond" w:hAnsi="Garamond"/>
          <w:i/>
          <w:iCs/>
          <w:sz w:val="20"/>
          <w:szCs w:val="20"/>
        </w:rPr>
        <w:t>L’impatto della crisi sulle istituzioni dell’Unione</w:t>
      </w:r>
      <w:r w:rsidRPr="00D36F91">
        <w:rPr>
          <w:rFonts w:ascii="Garamond" w:hAnsi="Garamond"/>
          <w:sz w:val="20"/>
          <w:szCs w:val="20"/>
        </w:rPr>
        <w:t>,</w:t>
      </w:r>
      <w:proofErr w:type="spellStart"/>
      <w:r w:rsidRPr="00D36F91">
        <w:rPr>
          <w:rFonts w:ascii="Garamond" w:hAnsi="Garamond"/>
          <w:sz w:val="20"/>
          <w:szCs w:val="20"/>
        </w:rPr>
        <w:t>P</w:t>
      </w:r>
      <w:r w:rsidRPr="00D36F91">
        <w:rPr>
          <w:rFonts w:ascii="Garamond" w:hAnsi="Garamond" w:cs="Calibri"/>
          <w:sz w:val="20"/>
          <w:szCs w:val="20"/>
        </w:rPr>
        <w:t>aper</w:t>
      </w:r>
      <w:proofErr w:type="spellEnd"/>
      <w:r w:rsidRPr="00D36F91">
        <w:rPr>
          <w:rFonts w:ascii="Garamond" w:hAnsi="Garamond" w:cs="Calibri"/>
          <w:sz w:val="20"/>
          <w:szCs w:val="20"/>
        </w:rPr>
        <w:t xml:space="preserve"> presentato al workshop del “Gruppo di riflessione CSF – IAI sul Fiscal Compact”,organizzato dal Centro Studi sul Federalismo e dall’Istituto Affari Internazionali a Torino, il 4 maggio 2012, p.10</w:t>
      </w:r>
    </w:p>
  </w:footnote>
  <w:footnote w:id="10">
    <w:p w:rsidR="0005296D" w:rsidRPr="00D36F91" w:rsidRDefault="0005296D" w:rsidP="007D52DF">
      <w:pPr>
        <w:pStyle w:val="Testonotaapidipagina"/>
        <w:jc w:val="both"/>
        <w:rPr>
          <w:rFonts w:ascii="Garamond" w:hAnsi="Garamond"/>
        </w:rPr>
      </w:pPr>
      <w:r w:rsidRPr="00D36F91">
        <w:rPr>
          <w:rStyle w:val="Rimandonotaapidipagina"/>
          <w:rFonts w:ascii="Garamond" w:hAnsi="Garamond"/>
        </w:rPr>
        <w:footnoteRef/>
      </w:r>
      <w:r w:rsidRPr="00D36F91">
        <w:rPr>
          <w:rFonts w:ascii="Garamond" w:hAnsi="Garamond"/>
        </w:rPr>
        <w:t xml:space="preserve"> </w:t>
      </w:r>
      <w:proofErr w:type="spellStart"/>
      <w:r w:rsidRPr="00D36F91">
        <w:rPr>
          <w:rFonts w:ascii="Garamond" w:hAnsi="Garamond"/>
        </w:rPr>
        <w:t>Cfr.F.</w:t>
      </w:r>
      <w:proofErr w:type="spellEnd"/>
      <w:r w:rsidRPr="00D36F91">
        <w:rPr>
          <w:rFonts w:ascii="Garamond" w:hAnsi="Garamond"/>
        </w:rPr>
        <w:t xml:space="preserve"> </w:t>
      </w:r>
      <w:proofErr w:type="spellStart"/>
      <w:r w:rsidRPr="00D36F91">
        <w:rPr>
          <w:rFonts w:ascii="Garamond" w:hAnsi="Garamond"/>
        </w:rPr>
        <w:t>Nugnes</w:t>
      </w:r>
      <w:proofErr w:type="spellEnd"/>
      <w:r w:rsidRPr="00D36F91">
        <w:rPr>
          <w:rFonts w:ascii="Garamond" w:hAnsi="Garamond"/>
        </w:rPr>
        <w:t xml:space="preserve">, </w:t>
      </w:r>
      <w:r w:rsidRPr="00D36F91">
        <w:rPr>
          <w:rFonts w:ascii="Garamond" w:hAnsi="Garamond"/>
          <w:i/>
          <w:iCs/>
        </w:rPr>
        <w:t>Il rinvio del pareggio di bilancio del governo italiano</w:t>
      </w:r>
      <w:r w:rsidRPr="00D36F91">
        <w:rPr>
          <w:rFonts w:ascii="Garamond" w:hAnsi="Garamond"/>
        </w:rPr>
        <w:t>, in IJPL, n.1/2014; Commissione europea,</w:t>
      </w:r>
      <w:r w:rsidRPr="00D36F91">
        <w:rPr>
          <w:rFonts w:ascii="Garamond" w:hAnsi="Garamond"/>
          <w:i/>
          <w:iCs/>
        </w:rPr>
        <w:t xml:space="preserve"> Vademecum on the </w:t>
      </w:r>
      <w:proofErr w:type="spellStart"/>
      <w:r w:rsidRPr="00D36F91">
        <w:rPr>
          <w:rFonts w:ascii="Garamond" w:hAnsi="Garamond"/>
          <w:i/>
          <w:iCs/>
        </w:rPr>
        <w:t>stability</w:t>
      </w:r>
      <w:proofErr w:type="spellEnd"/>
      <w:r w:rsidRPr="00D36F91">
        <w:rPr>
          <w:rFonts w:ascii="Garamond" w:hAnsi="Garamond"/>
          <w:i/>
          <w:iCs/>
        </w:rPr>
        <w:t xml:space="preserve"> and </w:t>
      </w:r>
      <w:proofErr w:type="spellStart"/>
      <w:r w:rsidRPr="00D36F91">
        <w:rPr>
          <w:rFonts w:ascii="Garamond" w:hAnsi="Garamond"/>
          <w:i/>
          <w:iCs/>
        </w:rPr>
        <w:t>Growth</w:t>
      </w:r>
      <w:proofErr w:type="spellEnd"/>
      <w:r w:rsidRPr="00D36F91">
        <w:rPr>
          <w:rFonts w:ascii="Garamond" w:hAnsi="Garamond"/>
          <w:i/>
          <w:iCs/>
        </w:rPr>
        <w:t xml:space="preserve"> </w:t>
      </w:r>
      <w:proofErr w:type="spellStart"/>
      <w:r w:rsidRPr="00D36F91">
        <w:rPr>
          <w:rFonts w:ascii="Garamond" w:hAnsi="Garamond"/>
          <w:i/>
          <w:iCs/>
        </w:rPr>
        <w:t>Pact</w:t>
      </w:r>
      <w:proofErr w:type="spellEnd"/>
      <w:r w:rsidRPr="00D36F91">
        <w:rPr>
          <w:rFonts w:ascii="Garamond" w:hAnsi="Garamond"/>
        </w:rPr>
        <w:t xml:space="preserve">, </w:t>
      </w:r>
      <w:proofErr w:type="spellStart"/>
      <w:r w:rsidRPr="00D36F91">
        <w:rPr>
          <w:rFonts w:ascii="Garamond" w:hAnsi="Garamond"/>
        </w:rPr>
        <w:t>Occasional</w:t>
      </w:r>
      <w:proofErr w:type="spellEnd"/>
      <w:r w:rsidRPr="00D36F91">
        <w:rPr>
          <w:rFonts w:ascii="Garamond" w:hAnsi="Garamond"/>
        </w:rPr>
        <w:t xml:space="preserve"> </w:t>
      </w:r>
      <w:proofErr w:type="spellStart"/>
      <w:r w:rsidRPr="00D36F91">
        <w:rPr>
          <w:rFonts w:ascii="Garamond" w:hAnsi="Garamond"/>
        </w:rPr>
        <w:t>Paper</w:t>
      </w:r>
      <w:proofErr w:type="spellEnd"/>
      <w:r w:rsidRPr="00D36F91">
        <w:rPr>
          <w:rFonts w:ascii="Garamond" w:hAnsi="Garamond"/>
        </w:rPr>
        <w:t xml:space="preserve"> n.151/2013, p.20 e ss e p.50 e ss.</w:t>
      </w:r>
    </w:p>
  </w:footnote>
  <w:footnote w:id="11">
    <w:p w:rsidR="0005296D" w:rsidRPr="00D36F91" w:rsidRDefault="0005296D" w:rsidP="007D52DF">
      <w:pPr>
        <w:autoSpaceDE w:val="0"/>
        <w:autoSpaceDN w:val="0"/>
        <w:adjustRightInd w:val="0"/>
        <w:spacing w:after="0" w:line="240" w:lineRule="auto"/>
        <w:jc w:val="both"/>
        <w:rPr>
          <w:rFonts w:ascii="Garamond" w:hAnsi="Garamond"/>
          <w:sz w:val="20"/>
          <w:szCs w:val="20"/>
          <w:lang w:val="en-US"/>
        </w:rPr>
      </w:pPr>
      <w:r w:rsidRPr="00D36F91">
        <w:rPr>
          <w:rStyle w:val="Rimandonotaapidipagina"/>
          <w:rFonts w:ascii="Garamond" w:hAnsi="Garamond"/>
          <w:sz w:val="20"/>
          <w:szCs w:val="20"/>
        </w:rPr>
        <w:footnoteRef/>
      </w:r>
      <w:r w:rsidRPr="00D36F91">
        <w:rPr>
          <w:rFonts w:ascii="Garamond" w:hAnsi="Garamond"/>
          <w:sz w:val="20"/>
          <w:szCs w:val="20"/>
          <w:lang w:val="en-US"/>
        </w:rPr>
        <w:t xml:space="preserve"> </w:t>
      </w:r>
      <w:proofErr w:type="spellStart"/>
      <w:r w:rsidRPr="00D36F91">
        <w:rPr>
          <w:rFonts w:ascii="Garamond" w:hAnsi="Garamond"/>
          <w:sz w:val="20"/>
          <w:szCs w:val="20"/>
          <w:lang w:val="en-US"/>
        </w:rPr>
        <w:t>Così</w:t>
      </w:r>
      <w:proofErr w:type="spellEnd"/>
      <w:r w:rsidRPr="00D36F91">
        <w:rPr>
          <w:rFonts w:ascii="Garamond" w:hAnsi="Garamond"/>
          <w:sz w:val="20"/>
          <w:szCs w:val="20"/>
          <w:lang w:val="en-US"/>
        </w:rPr>
        <w:t xml:space="preserve"> </w:t>
      </w:r>
      <w:proofErr w:type="spellStart"/>
      <w:r w:rsidRPr="00D36F91">
        <w:rPr>
          <w:rFonts w:ascii="Garamond" w:hAnsi="Garamond"/>
          <w:sz w:val="20"/>
          <w:szCs w:val="20"/>
          <w:lang w:val="en-US"/>
        </w:rPr>
        <w:t>S.Fabbrini</w:t>
      </w:r>
      <w:proofErr w:type="spellEnd"/>
      <w:r w:rsidRPr="00D36F91">
        <w:rPr>
          <w:rFonts w:ascii="Garamond" w:hAnsi="Garamond"/>
          <w:sz w:val="20"/>
          <w:szCs w:val="20"/>
          <w:lang w:val="en-US"/>
        </w:rPr>
        <w:t>,</w:t>
      </w:r>
      <w:r w:rsidRPr="00D36F91">
        <w:rPr>
          <w:rFonts w:ascii="Garamond" w:hAnsi="Garamond" w:cs="Times New Roman"/>
          <w:b/>
          <w:bCs/>
          <w:i/>
          <w:iCs/>
          <w:sz w:val="20"/>
          <w:szCs w:val="20"/>
          <w:lang w:val="en-US"/>
        </w:rPr>
        <w:t xml:space="preserve"> </w:t>
      </w:r>
      <w:r w:rsidRPr="00D36F91">
        <w:rPr>
          <w:rFonts w:ascii="Garamond" w:hAnsi="Garamond" w:cs="Times New Roman"/>
          <w:i/>
          <w:iCs/>
          <w:sz w:val="20"/>
          <w:szCs w:val="20"/>
          <w:lang w:val="en-US"/>
        </w:rPr>
        <w:t xml:space="preserve">After the euro </w:t>
      </w:r>
      <w:proofErr w:type="spellStart"/>
      <w:r w:rsidRPr="00D36F91">
        <w:rPr>
          <w:rFonts w:ascii="Garamond" w:hAnsi="Garamond" w:cs="Times New Roman"/>
          <w:i/>
          <w:iCs/>
          <w:sz w:val="20"/>
          <w:szCs w:val="20"/>
          <w:lang w:val="en-US"/>
        </w:rPr>
        <w:t>crisis:a</w:t>
      </w:r>
      <w:proofErr w:type="spellEnd"/>
      <w:r w:rsidRPr="00D36F91">
        <w:rPr>
          <w:rFonts w:ascii="Garamond" w:hAnsi="Garamond" w:cs="Times New Roman"/>
          <w:i/>
          <w:iCs/>
          <w:sz w:val="20"/>
          <w:szCs w:val="20"/>
          <w:lang w:val="en-US"/>
        </w:rPr>
        <w:t xml:space="preserve"> new paradigm on the integration of Europe,</w:t>
      </w:r>
      <w:r w:rsidRPr="00D36F91">
        <w:rPr>
          <w:rFonts w:ascii="Garamond" w:hAnsi="Garamond" w:cs="Times New Roman"/>
          <w:sz w:val="20"/>
          <w:szCs w:val="20"/>
          <w:lang w:val="en-US"/>
        </w:rPr>
        <w:t xml:space="preserve"> Lecture given at ARENA, Oslo, 18 March 2014, </w:t>
      </w:r>
      <w:proofErr w:type="spellStart"/>
      <w:r w:rsidRPr="00D36F91">
        <w:rPr>
          <w:rFonts w:ascii="Garamond" w:hAnsi="Garamond" w:cs="Times New Roman"/>
          <w:sz w:val="20"/>
          <w:szCs w:val="20"/>
          <w:lang w:val="en-US"/>
        </w:rPr>
        <w:t>reperibile</w:t>
      </w:r>
      <w:proofErr w:type="spellEnd"/>
      <w:r w:rsidRPr="00D36F91">
        <w:rPr>
          <w:rFonts w:ascii="Garamond" w:hAnsi="Garamond" w:cs="Times New Roman"/>
          <w:sz w:val="20"/>
          <w:szCs w:val="20"/>
          <w:lang w:val="en-US"/>
        </w:rPr>
        <w:t xml:space="preserve"> </w:t>
      </w:r>
      <w:proofErr w:type="spellStart"/>
      <w:r w:rsidRPr="00D36F91">
        <w:rPr>
          <w:rFonts w:ascii="Garamond" w:hAnsi="Garamond" w:cs="Times New Roman"/>
          <w:sz w:val="20"/>
          <w:szCs w:val="20"/>
          <w:lang w:val="en-US"/>
        </w:rPr>
        <w:t>all’indirizzo</w:t>
      </w:r>
      <w:proofErr w:type="spellEnd"/>
      <w:r w:rsidRPr="00D36F91">
        <w:rPr>
          <w:rFonts w:ascii="Garamond" w:hAnsi="Garamond" w:cs="Times New Roman"/>
          <w:sz w:val="20"/>
          <w:szCs w:val="20"/>
          <w:lang w:val="en-US"/>
        </w:rPr>
        <w:t>:</w:t>
      </w:r>
      <w:r w:rsidRPr="00D36F91">
        <w:rPr>
          <w:rFonts w:ascii="Garamond" w:hAnsi="Garamond"/>
          <w:sz w:val="20"/>
          <w:szCs w:val="20"/>
          <w:lang w:val="en-US"/>
        </w:rPr>
        <w:t xml:space="preserve"> http://ssrn.com/abstract=2441201</w:t>
      </w:r>
    </w:p>
    <w:p w:rsidR="0005296D" w:rsidRPr="00D36F91" w:rsidRDefault="0005296D" w:rsidP="007D52DF">
      <w:pPr>
        <w:autoSpaceDE w:val="0"/>
        <w:autoSpaceDN w:val="0"/>
        <w:adjustRightInd w:val="0"/>
        <w:spacing w:after="0" w:line="240" w:lineRule="auto"/>
        <w:jc w:val="both"/>
        <w:rPr>
          <w:rFonts w:ascii="Garamond" w:hAnsi="Garamond"/>
          <w:sz w:val="20"/>
          <w:szCs w:val="20"/>
        </w:rPr>
      </w:pPr>
      <w:proofErr w:type="spellStart"/>
      <w:r w:rsidRPr="00D36F91">
        <w:rPr>
          <w:rFonts w:ascii="Garamond" w:hAnsi="Garamond"/>
          <w:sz w:val="20"/>
          <w:szCs w:val="20"/>
        </w:rPr>
        <w:t>C.Pinelli</w:t>
      </w:r>
      <w:proofErr w:type="spellEnd"/>
      <w:r w:rsidRPr="00D36F91">
        <w:rPr>
          <w:rFonts w:ascii="Garamond" w:hAnsi="Garamond"/>
          <w:sz w:val="20"/>
          <w:szCs w:val="20"/>
        </w:rPr>
        <w:t xml:space="preserve">, </w:t>
      </w:r>
      <w:r w:rsidRPr="00D36F91">
        <w:rPr>
          <w:rFonts w:ascii="Garamond" w:hAnsi="Garamond"/>
          <w:i/>
          <w:iCs/>
          <w:sz w:val="20"/>
          <w:szCs w:val="20"/>
        </w:rPr>
        <w:t>I riflessi della crisi finanziaria sugli assetti delle istituzioni europee,</w:t>
      </w:r>
      <w:r w:rsidRPr="00D36F91">
        <w:rPr>
          <w:rFonts w:ascii="Garamond" w:hAnsi="Garamond" w:cs="Times New Roman"/>
          <w:sz w:val="20"/>
          <w:szCs w:val="20"/>
        </w:rPr>
        <w:t xml:space="preserve"> Relazione al Convegno dell’Università del Salento su “La Costituzione alla prova della crisi finanziaria mondiale”,Lecce, 14-15 settembre 2012</w:t>
      </w:r>
    </w:p>
  </w:footnote>
  <w:footnote w:id="12">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Cfr. </w:t>
      </w:r>
      <w:proofErr w:type="spellStart"/>
      <w:r w:rsidRPr="00D36F91">
        <w:rPr>
          <w:rFonts w:ascii="Garamond" w:hAnsi="Garamond"/>
          <w:sz w:val="20"/>
          <w:szCs w:val="20"/>
        </w:rPr>
        <w:t>P.Craig</w:t>
      </w:r>
      <w:proofErr w:type="spellEnd"/>
      <w:r w:rsidRPr="00D36F91">
        <w:rPr>
          <w:rFonts w:ascii="Garamond" w:hAnsi="Garamond"/>
          <w:sz w:val="20"/>
          <w:szCs w:val="20"/>
        </w:rPr>
        <w:t>,</w:t>
      </w:r>
      <w:r w:rsidRPr="00D36F91">
        <w:rPr>
          <w:rFonts w:ascii="Garamond" w:hAnsi="Garamond" w:cs="Times New Roman"/>
          <w:b/>
          <w:bCs/>
          <w:sz w:val="20"/>
          <w:szCs w:val="20"/>
        </w:rPr>
        <w:t xml:space="preserve"> </w:t>
      </w:r>
      <w:r w:rsidRPr="00D36F91">
        <w:rPr>
          <w:rFonts w:ascii="Garamond" w:hAnsi="Garamond" w:cs="Times New Roman"/>
          <w:i/>
          <w:iCs/>
          <w:sz w:val="20"/>
          <w:szCs w:val="20"/>
        </w:rPr>
        <w:t xml:space="preserve">The Financial </w:t>
      </w:r>
      <w:proofErr w:type="spellStart"/>
      <w:r w:rsidRPr="00D36F91">
        <w:rPr>
          <w:rFonts w:ascii="Garamond" w:hAnsi="Garamond" w:cs="Times New Roman"/>
          <w:i/>
          <w:iCs/>
          <w:sz w:val="20"/>
          <w:szCs w:val="20"/>
        </w:rPr>
        <w:t>Crisis</w:t>
      </w:r>
      <w:proofErr w:type="spellEnd"/>
      <w:r w:rsidRPr="00D36F91">
        <w:rPr>
          <w:rFonts w:ascii="Garamond" w:hAnsi="Garamond" w:cs="Times New Roman"/>
          <w:i/>
          <w:iCs/>
          <w:sz w:val="20"/>
          <w:szCs w:val="20"/>
        </w:rPr>
        <w:t xml:space="preserve">, the EU </w:t>
      </w:r>
      <w:proofErr w:type="spellStart"/>
      <w:r w:rsidRPr="00D36F91">
        <w:rPr>
          <w:rFonts w:ascii="Garamond" w:hAnsi="Garamond" w:cs="Times New Roman"/>
          <w:i/>
          <w:iCs/>
          <w:sz w:val="20"/>
          <w:szCs w:val="20"/>
        </w:rPr>
        <w:t>Institutional</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Order</w:t>
      </w:r>
      <w:proofErr w:type="spellEnd"/>
      <w:r w:rsidRPr="00D36F91">
        <w:rPr>
          <w:rFonts w:ascii="Garamond" w:hAnsi="Garamond" w:cs="Times New Roman"/>
          <w:i/>
          <w:iCs/>
          <w:sz w:val="20"/>
          <w:szCs w:val="20"/>
        </w:rPr>
        <w:t xml:space="preserve"> and </w:t>
      </w:r>
      <w:proofErr w:type="spellStart"/>
      <w:r w:rsidRPr="00D36F91">
        <w:rPr>
          <w:rFonts w:ascii="Garamond" w:hAnsi="Garamond" w:cs="Times New Roman"/>
          <w:i/>
          <w:iCs/>
          <w:sz w:val="20"/>
          <w:szCs w:val="20"/>
        </w:rPr>
        <w:t>ConstitutionalResponsibility</w:t>
      </w:r>
      <w:proofErr w:type="spellEnd"/>
      <w:r w:rsidRPr="00D36F91">
        <w:rPr>
          <w:rFonts w:ascii="Garamond" w:hAnsi="Garamond"/>
          <w:b/>
          <w:bCs/>
          <w:sz w:val="20"/>
          <w:szCs w:val="20"/>
        </w:rPr>
        <w:t xml:space="preserve">, </w:t>
      </w:r>
      <w:proofErr w:type="spellStart"/>
      <w:r w:rsidRPr="00D36F91">
        <w:rPr>
          <w:rFonts w:ascii="Garamond" w:hAnsi="Garamond"/>
          <w:sz w:val="20"/>
          <w:szCs w:val="20"/>
        </w:rPr>
        <w:t>Paper</w:t>
      </w:r>
      <w:proofErr w:type="spellEnd"/>
      <w:r w:rsidRPr="00D36F91">
        <w:rPr>
          <w:rFonts w:ascii="Garamond" w:hAnsi="Garamond"/>
          <w:sz w:val="20"/>
          <w:szCs w:val="20"/>
        </w:rPr>
        <w:t xml:space="preserve"> presentato al</w:t>
      </w:r>
      <w:r w:rsidRPr="00D36F91">
        <w:rPr>
          <w:rFonts w:ascii="Garamond" w:hAnsi="Garamond"/>
          <w:b/>
          <w:bCs/>
          <w:sz w:val="20"/>
          <w:szCs w:val="20"/>
        </w:rPr>
        <w:t xml:space="preserve"> </w:t>
      </w:r>
      <w:r w:rsidRPr="00D36F91">
        <w:rPr>
          <w:rFonts w:ascii="Garamond" w:hAnsi="Garamond" w:cs="Times New Roman"/>
          <w:sz w:val="20"/>
          <w:szCs w:val="20"/>
        </w:rPr>
        <w:t xml:space="preserve">FIDE </w:t>
      </w:r>
      <w:proofErr w:type="spellStart"/>
      <w:r w:rsidRPr="00D36F91">
        <w:rPr>
          <w:rFonts w:ascii="Garamond" w:hAnsi="Garamond" w:cs="Times New Roman"/>
          <w:sz w:val="20"/>
          <w:szCs w:val="20"/>
        </w:rPr>
        <w:t>Conference</w:t>
      </w:r>
      <w:proofErr w:type="spellEnd"/>
      <w:r w:rsidRPr="00D36F91">
        <w:rPr>
          <w:rFonts w:ascii="Garamond" w:hAnsi="Garamond" w:cs="Times New Roman"/>
          <w:sz w:val="20"/>
          <w:szCs w:val="20"/>
        </w:rPr>
        <w:t xml:space="preserve"> in Copenhagen, 2014,reperibile all’indirizzo</w:t>
      </w:r>
      <w:r w:rsidRPr="00D36F91">
        <w:rPr>
          <w:rFonts w:ascii="Garamond" w:hAnsi="Garamond"/>
          <w:sz w:val="20"/>
          <w:szCs w:val="20"/>
        </w:rPr>
        <w:t xml:space="preserve"> </w:t>
      </w:r>
      <w:hyperlink r:id="rId3" w:history="1">
        <w:r w:rsidRPr="00D36F91">
          <w:rPr>
            <w:rStyle w:val="Collegamentoipertestuale"/>
            <w:rFonts w:ascii="Garamond" w:hAnsi="Garamond"/>
            <w:sz w:val="20"/>
            <w:szCs w:val="20"/>
          </w:rPr>
          <w:t>http://ssrn.com/abstract=2517434</w:t>
        </w:r>
      </w:hyperlink>
      <w:r w:rsidRPr="00D36F91">
        <w:rPr>
          <w:rFonts w:ascii="Garamond" w:hAnsi="Garamond"/>
          <w:sz w:val="20"/>
          <w:szCs w:val="20"/>
        </w:rPr>
        <w:t>, p.21</w:t>
      </w:r>
    </w:p>
  </w:footnote>
  <w:footnote w:id="13">
    <w:p w:rsidR="0005296D" w:rsidRPr="00D36F91" w:rsidRDefault="0005296D" w:rsidP="007D52DF">
      <w:pPr>
        <w:pStyle w:val="Testonotaapidipagina"/>
        <w:jc w:val="both"/>
        <w:rPr>
          <w:rFonts w:ascii="Garamond" w:hAnsi="Garamond"/>
          <w:lang w:val="en-US"/>
        </w:rPr>
      </w:pPr>
      <w:r w:rsidRPr="00D36F91">
        <w:rPr>
          <w:rStyle w:val="Rimandonotaapidipagina"/>
          <w:rFonts w:ascii="Garamond" w:hAnsi="Garamond"/>
        </w:rPr>
        <w:footnoteRef/>
      </w:r>
      <w:r w:rsidRPr="00D36F91">
        <w:rPr>
          <w:rFonts w:ascii="Garamond" w:hAnsi="Garamond"/>
          <w:lang w:val="en-US"/>
        </w:rPr>
        <w:t xml:space="preserve"> </w:t>
      </w:r>
      <w:proofErr w:type="spellStart"/>
      <w:r w:rsidRPr="00D36F91">
        <w:rPr>
          <w:rFonts w:ascii="Garamond" w:hAnsi="Garamond"/>
          <w:lang w:val="en-US"/>
        </w:rPr>
        <w:t>Cfr.A.Maurer</w:t>
      </w:r>
      <w:proofErr w:type="spellEnd"/>
      <w:r w:rsidRPr="00D36F91">
        <w:rPr>
          <w:rFonts w:ascii="Garamond" w:hAnsi="Garamond"/>
          <w:lang w:val="en-US"/>
        </w:rPr>
        <w:t>,</w:t>
      </w:r>
      <w:r w:rsidRPr="00D36F91">
        <w:rPr>
          <w:rFonts w:ascii="Garamond" w:hAnsi="Garamond"/>
          <w:i/>
          <w:iCs/>
          <w:lang w:val="en-US"/>
        </w:rPr>
        <w:t xml:space="preserve"> From Emu to </w:t>
      </w:r>
      <w:proofErr w:type="spellStart"/>
      <w:r w:rsidRPr="00D36F91">
        <w:rPr>
          <w:rFonts w:ascii="Garamond" w:hAnsi="Garamond"/>
          <w:i/>
          <w:iCs/>
          <w:lang w:val="en-US"/>
        </w:rPr>
        <w:t>Edu:the</w:t>
      </w:r>
      <w:proofErr w:type="spellEnd"/>
      <w:r w:rsidRPr="00D36F91">
        <w:rPr>
          <w:rFonts w:ascii="Garamond" w:hAnsi="Garamond"/>
          <w:i/>
          <w:iCs/>
          <w:lang w:val="en-US"/>
        </w:rPr>
        <w:t xml:space="preserve"> democratic Legitimacy of the EU and European Parliament,</w:t>
      </w:r>
      <w:r w:rsidRPr="00D36F91">
        <w:rPr>
          <w:rFonts w:ascii="Garamond" w:hAnsi="Garamond"/>
          <w:lang w:val="en-US"/>
        </w:rPr>
        <w:t xml:space="preserve"> in IAI Working papers, April, 2013, specie p.2</w:t>
      </w:r>
    </w:p>
  </w:footnote>
  <w:footnote w:id="14">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Cfr. </w:t>
      </w:r>
      <w:proofErr w:type="spellStart"/>
      <w:r w:rsidRPr="00D36F91">
        <w:rPr>
          <w:rFonts w:ascii="Garamond" w:hAnsi="Garamond"/>
          <w:sz w:val="20"/>
          <w:szCs w:val="20"/>
        </w:rPr>
        <w:t>O.Costa</w:t>
      </w:r>
      <w:proofErr w:type="spellEnd"/>
      <w:r w:rsidRPr="00D36F91">
        <w:rPr>
          <w:rFonts w:ascii="Garamond" w:hAnsi="Garamond"/>
          <w:sz w:val="20"/>
          <w:szCs w:val="20"/>
        </w:rPr>
        <w:t xml:space="preserve">, </w:t>
      </w:r>
      <w:r w:rsidRPr="00D36F91">
        <w:rPr>
          <w:rFonts w:ascii="Garamond" w:hAnsi="Garamond" w:cs="Arial,Italic"/>
          <w:i/>
          <w:iCs/>
          <w:sz w:val="20"/>
          <w:szCs w:val="20"/>
        </w:rPr>
        <w:t xml:space="preserve">The </w:t>
      </w:r>
      <w:proofErr w:type="spellStart"/>
      <w:r w:rsidRPr="00D36F91">
        <w:rPr>
          <w:rFonts w:ascii="Garamond" w:hAnsi="Garamond" w:cs="Arial,Italic"/>
          <w:i/>
          <w:iCs/>
          <w:sz w:val="20"/>
          <w:szCs w:val="20"/>
        </w:rPr>
        <w:t>President</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of</w:t>
      </w:r>
      <w:proofErr w:type="spellEnd"/>
      <w:r w:rsidRPr="00D36F91">
        <w:rPr>
          <w:rFonts w:ascii="Garamond" w:hAnsi="Garamond" w:cs="Arial,Italic"/>
          <w:i/>
          <w:iCs/>
          <w:sz w:val="20"/>
          <w:szCs w:val="20"/>
        </w:rPr>
        <w:t xml:space="preserve"> the </w:t>
      </w:r>
      <w:proofErr w:type="spellStart"/>
      <w:r w:rsidRPr="00D36F91">
        <w:rPr>
          <w:rFonts w:ascii="Garamond" w:hAnsi="Garamond" w:cs="Arial,Italic"/>
          <w:i/>
          <w:iCs/>
          <w:sz w:val="20"/>
          <w:szCs w:val="20"/>
        </w:rPr>
        <w:t>European</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Parliament</w:t>
      </w:r>
      <w:proofErr w:type="spellEnd"/>
      <w:r w:rsidRPr="00D36F91">
        <w:rPr>
          <w:rFonts w:ascii="Garamond" w:hAnsi="Garamond"/>
          <w:sz w:val="20"/>
          <w:szCs w:val="20"/>
        </w:rPr>
        <w:t xml:space="preserve">, in </w:t>
      </w:r>
      <w:r w:rsidRPr="00D36F91">
        <w:rPr>
          <w:rFonts w:ascii="Garamond" w:hAnsi="Garamond" w:cs="Arial,Italic"/>
          <w:i/>
          <w:iCs/>
          <w:sz w:val="20"/>
          <w:szCs w:val="20"/>
        </w:rPr>
        <w:t xml:space="preserve">Il </w:t>
      </w:r>
      <w:proofErr w:type="spellStart"/>
      <w:r w:rsidRPr="00D36F91">
        <w:rPr>
          <w:rFonts w:ascii="Garamond" w:hAnsi="Garamond" w:cs="Arial,Italic"/>
          <w:i/>
          <w:iCs/>
          <w:sz w:val="20"/>
          <w:szCs w:val="20"/>
        </w:rPr>
        <w:t>Filangieri</w:t>
      </w:r>
      <w:proofErr w:type="spellEnd"/>
      <w:r w:rsidRPr="00D36F91">
        <w:rPr>
          <w:rFonts w:ascii="Garamond" w:hAnsi="Garamond" w:cs="Arial,Italic"/>
          <w:i/>
          <w:iCs/>
          <w:sz w:val="20"/>
          <w:szCs w:val="20"/>
        </w:rPr>
        <w:t>. Quaderno 2012-2013. Le trasformazioni del ruolo dei Presidenti delle Camere</w:t>
      </w:r>
      <w:r w:rsidRPr="00D36F91">
        <w:rPr>
          <w:rFonts w:ascii="Garamond" w:hAnsi="Garamond"/>
          <w:sz w:val="20"/>
          <w:szCs w:val="20"/>
        </w:rPr>
        <w:t xml:space="preserve">, </w:t>
      </w:r>
      <w:proofErr w:type="spellStart"/>
      <w:r w:rsidRPr="00D36F91">
        <w:rPr>
          <w:rFonts w:ascii="Garamond" w:hAnsi="Garamond"/>
          <w:sz w:val="20"/>
          <w:szCs w:val="20"/>
        </w:rPr>
        <w:t>Jovene</w:t>
      </w:r>
      <w:proofErr w:type="spellEnd"/>
      <w:r w:rsidRPr="00D36F91">
        <w:rPr>
          <w:rFonts w:ascii="Garamond" w:hAnsi="Garamond"/>
          <w:sz w:val="20"/>
          <w:szCs w:val="20"/>
        </w:rPr>
        <w:t xml:space="preserve">, Napoli:, p.143-161; L. </w:t>
      </w:r>
      <w:proofErr w:type="spellStart"/>
      <w:r w:rsidRPr="00D36F91">
        <w:rPr>
          <w:rFonts w:ascii="Garamond" w:hAnsi="Garamond"/>
          <w:sz w:val="20"/>
          <w:szCs w:val="20"/>
        </w:rPr>
        <w:t>Gianniti</w:t>
      </w:r>
      <w:proofErr w:type="spellEnd"/>
      <w:r w:rsidRPr="00D36F91">
        <w:rPr>
          <w:rFonts w:ascii="Garamond" w:hAnsi="Garamond"/>
          <w:sz w:val="20"/>
          <w:szCs w:val="20"/>
        </w:rPr>
        <w:t xml:space="preserve">,N. Lupo, </w:t>
      </w:r>
      <w:r w:rsidRPr="00D36F91">
        <w:rPr>
          <w:rFonts w:ascii="Garamond" w:hAnsi="Garamond" w:cs="Arial,Italic"/>
          <w:i/>
          <w:iCs/>
          <w:sz w:val="20"/>
          <w:szCs w:val="20"/>
        </w:rPr>
        <w:t xml:space="preserve">The </w:t>
      </w:r>
      <w:proofErr w:type="spellStart"/>
      <w:r w:rsidRPr="00D36F91">
        <w:rPr>
          <w:rFonts w:ascii="Garamond" w:hAnsi="Garamond" w:cs="Arial,Italic"/>
          <w:i/>
          <w:iCs/>
          <w:sz w:val="20"/>
          <w:szCs w:val="20"/>
        </w:rPr>
        <w:t>external</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role</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of</w:t>
      </w:r>
      <w:proofErr w:type="spellEnd"/>
      <w:r w:rsidRPr="00D36F91">
        <w:rPr>
          <w:rFonts w:ascii="Garamond" w:hAnsi="Garamond" w:cs="Arial,Italic"/>
          <w:i/>
          <w:iCs/>
          <w:sz w:val="20"/>
          <w:szCs w:val="20"/>
        </w:rPr>
        <w:t xml:space="preserve"> the </w:t>
      </w:r>
      <w:proofErr w:type="spellStart"/>
      <w:r w:rsidRPr="00D36F91">
        <w:rPr>
          <w:rFonts w:ascii="Garamond" w:hAnsi="Garamond" w:cs="Arial,Italic"/>
          <w:i/>
          <w:iCs/>
          <w:sz w:val="20"/>
          <w:szCs w:val="20"/>
        </w:rPr>
        <w:t>President</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of</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European</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Parliament</w:t>
      </w:r>
      <w:proofErr w:type="spellEnd"/>
      <w:r w:rsidRPr="00D36F91">
        <w:rPr>
          <w:rFonts w:ascii="Garamond" w:hAnsi="Garamond"/>
          <w:sz w:val="20"/>
          <w:szCs w:val="20"/>
        </w:rPr>
        <w:t>,</w:t>
      </w:r>
      <w:proofErr w:type="spellStart"/>
      <w:r w:rsidRPr="00D36F91">
        <w:rPr>
          <w:rFonts w:ascii="Garamond" w:hAnsi="Garamond"/>
          <w:sz w:val="20"/>
          <w:szCs w:val="20"/>
        </w:rPr>
        <w:t>Paper</w:t>
      </w:r>
      <w:proofErr w:type="spellEnd"/>
      <w:r w:rsidRPr="00D36F91">
        <w:rPr>
          <w:rFonts w:ascii="Garamond" w:hAnsi="Garamond"/>
          <w:sz w:val="20"/>
          <w:szCs w:val="20"/>
        </w:rPr>
        <w:t xml:space="preserve"> presentato al III </w:t>
      </w:r>
      <w:proofErr w:type="spellStart"/>
      <w:r w:rsidRPr="00D36F91">
        <w:rPr>
          <w:rFonts w:ascii="Garamond" w:hAnsi="Garamond"/>
          <w:sz w:val="20"/>
          <w:szCs w:val="20"/>
        </w:rPr>
        <w:t>European</w:t>
      </w:r>
      <w:proofErr w:type="spellEnd"/>
      <w:r w:rsidRPr="00D36F91">
        <w:rPr>
          <w:rFonts w:ascii="Garamond" w:hAnsi="Garamond"/>
          <w:sz w:val="20"/>
          <w:szCs w:val="20"/>
        </w:rPr>
        <w:t xml:space="preserve"> </w:t>
      </w:r>
      <w:proofErr w:type="spellStart"/>
      <w:r w:rsidRPr="00D36F91">
        <w:rPr>
          <w:rFonts w:ascii="Garamond" w:hAnsi="Garamond"/>
          <w:sz w:val="20"/>
          <w:szCs w:val="20"/>
        </w:rPr>
        <w:t>Union</w:t>
      </w:r>
      <w:proofErr w:type="spellEnd"/>
      <w:r w:rsidRPr="00D36F91">
        <w:rPr>
          <w:rFonts w:ascii="Garamond" w:hAnsi="Garamond"/>
          <w:sz w:val="20"/>
          <w:szCs w:val="20"/>
        </w:rPr>
        <w:t xml:space="preserve"> in International </w:t>
      </w:r>
      <w:proofErr w:type="spellStart"/>
      <w:r w:rsidRPr="00D36F91">
        <w:rPr>
          <w:rFonts w:ascii="Garamond" w:hAnsi="Garamond"/>
          <w:sz w:val="20"/>
          <w:szCs w:val="20"/>
        </w:rPr>
        <w:t>Affairs</w:t>
      </w:r>
      <w:proofErr w:type="spellEnd"/>
      <w:r w:rsidRPr="00D36F91">
        <w:rPr>
          <w:rFonts w:ascii="Garamond" w:hAnsi="Garamond"/>
          <w:sz w:val="20"/>
          <w:szCs w:val="20"/>
        </w:rPr>
        <w:t xml:space="preserve"> ( EUIA) </w:t>
      </w:r>
      <w:proofErr w:type="spellStart"/>
      <w:r w:rsidRPr="00D36F91">
        <w:rPr>
          <w:rFonts w:ascii="Garamond" w:hAnsi="Garamond"/>
          <w:sz w:val="20"/>
          <w:szCs w:val="20"/>
        </w:rPr>
        <w:t>Conference</w:t>
      </w:r>
      <w:proofErr w:type="spellEnd"/>
      <w:r w:rsidRPr="00D36F91">
        <w:rPr>
          <w:rFonts w:ascii="Garamond" w:hAnsi="Garamond"/>
          <w:sz w:val="20"/>
          <w:szCs w:val="20"/>
        </w:rPr>
        <w:t xml:space="preserve"> </w:t>
      </w:r>
      <w:proofErr w:type="spellStart"/>
      <w:r w:rsidRPr="00D36F91">
        <w:rPr>
          <w:rFonts w:ascii="Garamond" w:hAnsi="Garamond"/>
          <w:sz w:val="20"/>
          <w:szCs w:val="20"/>
        </w:rPr>
        <w:t>Organized</w:t>
      </w:r>
      <w:proofErr w:type="spellEnd"/>
      <w:r w:rsidRPr="00D36F91">
        <w:rPr>
          <w:rFonts w:ascii="Garamond" w:hAnsi="Garamond"/>
          <w:sz w:val="20"/>
          <w:szCs w:val="20"/>
        </w:rPr>
        <w:t xml:space="preserve"> </w:t>
      </w:r>
      <w:proofErr w:type="spellStart"/>
      <w:r w:rsidRPr="00D36F91">
        <w:rPr>
          <w:rFonts w:ascii="Garamond" w:hAnsi="Garamond"/>
          <w:sz w:val="20"/>
          <w:szCs w:val="20"/>
        </w:rPr>
        <w:t>by</w:t>
      </w:r>
      <w:proofErr w:type="spellEnd"/>
      <w:r w:rsidRPr="00D36F91">
        <w:rPr>
          <w:rFonts w:ascii="Garamond" w:hAnsi="Garamond"/>
          <w:sz w:val="20"/>
          <w:szCs w:val="20"/>
        </w:rPr>
        <w:t xml:space="preserve"> the </w:t>
      </w:r>
      <w:proofErr w:type="spellStart"/>
      <w:r w:rsidRPr="00D36F91">
        <w:rPr>
          <w:rFonts w:ascii="Garamond" w:hAnsi="Garamond"/>
          <w:sz w:val="20"/>
          <w:szCs w:val="20"/>
        </w:rPr>
        <w:t>Vrij</w:t>
      </w:r>
      <w:proofErr w:type="spellEnd"/>
      <w:r w:rsidRPr="00D36F91">
        <w:rPr>
          <w:rFonts w:ascii="Garamond" w:hAnsi="Garamond"/>
          <w:sz w:val="20"/>
          <w:szCs w:val="20"/>
        </w:rPr>
        <w:t xml:space="preserve"> </w:t>
      </w:r>
      <w:proofErr w:type="spellStart"/>
      <w:r w:rsidRPr="00D36F91">
        <w:rPr>
          <w:rFonts w:ascii="Garamond" w:hAnsi="Garamond"/>
          <w:sz w:val="20"/>
          <w:szCs w:val="20"/>
        </w:rPr>
        <w:t>Universiteit</w:t>
      </w:r>
      <w:proofErr w:type="spellEnd"/>
      <w:r w:rsidRPr="00D36F91">
        <w:rPr>
          <w:rFonts w:ascii="Garamond" w:hAnsi="Garamond"/>
          <w:sz w:val="20"/>
          <w:szCs w:val="20"/>
        </w:rPr>
        <w:t xml:space="preserve"> (IES-VUB), in </w:t>
      </w:r>
      <w:proofErr w:type="spellStart"/>
      <w:r w:rsidRPr="00D36F91">
        <w:rPr>
          <w:rFonts w:ascii="Garamond" w:hAnsi="Garamond"/>
          <w:sz w:val="20"/>
          <w:szCs w:val="20"/>
        </w:rPr>
        <w:t>Brussels</w:t>
      </w:r>
      <w:proofErr w:type="spellEnd"/>
      <w:r w:rsidRPr="00D36F91">
        <w:rPr>
          <w:rFonts w:ascii="Garamond" w:hAnsi="Garamond"/>
          <w:sz w:val="20"/>
          <w:szCs w:val="20"/>
        </w:rPr>
        <w:t>, 3-5 maggio 2012</w:t>
      </w:r>
    </w:p>
  </w:footnote>
  <w:footnote w:id="15">
    <w:p w:rsidR="0005296D" w:rsidRPr="00D36F91" w:rsidRDefault="0005296D" w:rsidP="007D52DF">
      <w:pPr>
        <w:autoSpaceDE w:val="0"/>
        <w:autoSpaceDN w:val="0"/>
        <w:adjustRightInd w:val="0"/>
        <w:spacing w:after="0" w:line="240" w:lineRule="auto"/>
        <w:jc w:val="both"/>
        <w:rPr>
          <w:rFonts w:ascii="Garamond" w:hAnsi="Garamond"/>
          <w:sz w:val="20"/>
          <w:szCs w:val="20"/>
          <w:lang w:val="en-US"/>
        </w:rPr>
      </w:pPr>
      <w:r w:rsidRPr="00D36F91">
        <w:rPr>
          <w:rStyle w:val="Rimandonotaapidipagina"/>
          <w:rFonts w:ascii="Garamond" w:hAnsi="Garamond"/>
          <w:sz w:val="20"/>
          <w:szCs w:val="20"/>
        </w:rPr>
        <w:footnoteRef/>
      </w:r>
      <w:r w:rsidRPr="00D36F91">
        <w:rPr>
          <w:rFonts w:ascii="Garamond" w:hAnsi="Garamond"/>
          <w:sz w:val="20"/>
          <w:szCs w:val="20"/>
          <w:lang w:val="en-US"/>
        </w:rPr>
        <w:t xml:space="preserve"> </w:t>
      </w:r>
      <w:proofErr w:type="spellStart"/>
      <w:r w:rsidRPr="00D36F91">
        <w:rPr>
          <w:rFonts w:ascii="Garamond" w:hAnsi="Garamond"/>
          <w:sz w:val="20"/>
          <w:szCs w:val="20"/>
          <w:lang w:val="en-US"/>
        </w:rPr>
        <w:t>Cfr</w:t>
      </w:r>
      <w:proofErr w:type="spellEnd"/>
      <w:r w:rsidRPr="00D36F91">
        <w:rPr>
          <w:rFonts w:ascii="Garamond" w:hAnsi="Garamond"/>
          <w:sz w:val="20"/>
          <w:szCs w:val="20"/>
          <w:lang w:val="en-US"/>
        </w:rPr>
        <w:t xml:space="preserve">. </w:t>
      </w:r>
      <w:proofErr w:type="spellStart"/>
      <w:r w:rsidRPr="00D36F91">
        <w:rPr>
          <w:rFonts w:ascii="Garamond" w:hAnsi="Garamond"/>
          <w:sz w:val="20"/>
          <w:szCs w:val="20"/>
          <w:lang w:val="en-US"/>
        </w:rPr>
        <w:t>K.</w:t>
      </w:r>
      <w:r w:rsidRPr="00D36F91">
        <w:rPr>
          <w:rFonts w:ascii="Garamond" w:hAnsi="Garamond" w:cs="TimesNewRomanPSMT"/>
          <w:sz w:val="20"/>
          <w:szCs w:val="20"/>
          <w:lang w:val="en-US"/>
        </w:rPr>
        <w:t>Tuori</w:t>
      </w:r>
      <w:proofErr w:type="spellEnd"/>
      <w:r w:rsidRPr="00D36F91">
        <w:rPr>
          <w:rFonts w:ascii="Garamond" w:hAnsi="Garamond" w:cs="TimesNewRomanPSMT"/>
          <w:sz w:val="20"/>
          <w:szCs w:val="20"/>
          <w:lang w:val="en-US"/>
        </w:rPr>
        <w:t xml:space="preserve">, </w:t>
      </w:r>
      <w:r w:rsidRPr="00D36F91">
        <w:rPr>
          <w:rFonts w:ascii="Garamond" w:hAnsi="Garamond" w:cs="TimesNewRomanPSMT"/>
          <w:i/>
          <w:iCs/>
          <w:sz w:val="20"/>
          <w:szCs w:val="20"/>
          <w:lang w:val="en-US"/>
        </w:rPr>
        <w:t>The European financial crisis. Constitutional aspects and implications',</w:t>
      </w:r>
      <w:r w:rsidRPr="00D36F91">
        <w:rPr>
          <w:rFonts w:ascii="Garamond" w:hAnsi="Garamond" w:cs="TimesNewRomanPSMT"/>
          <w:sz w:val="20"/>
          <w:szCs w:val="20"/>
          <w:lang w:val="en-US"/>
        </w:rPr>
        <w:t xml:space="preserve"> EUI Working Papers, Law 2012/28, </w:t>
      </w:r>
      <w:proofErr w:type="spellStart"/>
      <w:r w:rsidRPr="00D36F91">
        <w:rPr>
          <w:rFonts w:ascii="Garamond" w:hAnsi="Garamond" w:cs="TimesNewRomanPSMT"/>
          <w:sz w:val="20"/>
          <w:szCs w:val="20"/>
          <w:lang w:val="en-US"/>
        </w:rPr>
        <w:t>reperibile</w:t>
      </w:r>
      <w:proofErr w:type="spellEnd"/>
      <w:r w:rsidRPr="00D36F91">
        <w:rPr>
          <w:rFonts w:ascii="Garamond" w:hAnsi="Garamond" w:cs="TimesNewRomanPSMT"/>
          <w:sz w:val="20"/>
          <w:szCs w:val="20"/>
          <w:lang w:val="en-US"/>
        </w:rPr>
        <w:t xml:space="preserve"> all’indirizzo:http://cadmus.eui.eu/bitstream/handle/1814/24301/LAW_2012_28_Tuori.pdf?sequ</w:t>
      </w:r>
    </w:p>
  </w:footnote>
  <w:footnote w:id="16">
    <w:p w:rsidR="0005296D" w:rsidRPr="00D36F91" w:rsidRDefault="0005296D" w:rsidP="007D52DF">
      <w:pPr>
        <w:pStyle w:val="Testonotaapidipagina"/>
        <w:jc w:val="both"/>
        <w:rPr>
          <w:rFonts w:ascii="Garamond" w:hAnsi="Garamond"/>
          <w:lang w:val="en-US"/>
        </w:rPr>
      </w:pPr>
      <w:r w:rsidRPr="00D36F91">
        <w:rPr>
          <w:rStyle w:val="Rimandonotaapidipagina"/>
          <w:rFonts w:ascii="Garamond" w:hAnsi="Garamond"/>
        </w:rPr>
        <w:footnoteRef/>
      </w:r>
      <w:r w:rsidRPr="00D36F91">
        <w:rPr>
          <w:rFonts w:ascii="Garamond" w:hAnsi="Garamond"/>
        </w:rPr>
        <w:t xml:space="preserve"> Sulla natura composita dell’ordinamento europeo S. </w:t>
      </w:r>
      <w:proofErr w:type="spellStart"/>
      <w:r w:rsidRPr="00D36F91">
        <w:rPr>
          <w:rFonts w:ascii="Garamond" w:hAnsi="Garamond"/>
        </w:rPr>
        <w:t>Cassese</w:t>
      </w:r>
      <w:proofErr w:type="spellEnd"/>
      <w:r w:rsidRPr="00D36F91">
        <w:rPr>
          <w:rFonts w:ascii="Garamond" w:hAnsi="Garamond"/>
        </w:rPr>
        <w:t xml:space="preserve">, </w:t>
      </w:r>
      <w:r w:rsidRPr="00D36F91">
        <w:rPr>
          <w:rFonts w:ascii="Garamond" w:hAnsi="Garamond"/>
          <w:i/>
          <w:iCs/>
        </w:rPr>
        <w:t>L’Unione  europea come organizzazione pubblica composita</w:t>
      </w:r>
      <w:r w:rsidRPr="00D36F91">
        <w:rPr>
          <w:rFonts w:ascii="Garamond" w:hAnsi="Garamond"/>
        </w:rPr>
        <w:t xml:space="preserve">, in </w:t>
      </w:r>
      <w:proofErr w:type="spellStart"/>
      <w:r w:rsidRPr="00D36F91">
        <w:rPr>
          <w:rFonts w:ascii="Garamond" w:hAnsi="Garamond"/>
          <w:i/>
          <w:iCs/>
        </w:rPr>
        <w:t>Riv.it.dir.</w:t>
      </w:r>
      <w:proofErr w:type="spellEnd"/>
      <w:r w:rsidRPr="00D36F91">
        <w:rPr>
          <w:rFonts w:ascii="Garamond" w:hAnsi="Garamond"/>
          <w:i/>
          <w:iCs/>
        </w:rPr>
        <w:t xml:space="preserve"> pubbl. com.</w:t>
      </w:r>
      <w:r w:rsidRPr="00D36F91">
        <w:rPr>
          <w:rFonts w:ascii="Garamond" w:hAnsi="Garamond"/>
        </w:rPr>
        <w:t xml:space="preserve"> n.5/2000, p.991 e ss; Id., </w:t>
      </w:r>
      <w:r w:rsidRPr="00D36F91">
        <w:rPr>
          <w:rFonts w:ascii="Garamond" w:hAnsi="Garamond"/>
          <w:i/>
          <w:iCs/>
        </w:rPr>
        <w:t>Che tipo di potere pubblico è l’Unione europea</w:t>
      </w:r>
      <w:r w:rsidRPr="00D36F91">
        <w:rPr>
          <w:rFonts w:ascii="Garamond" w:hAnsi="Garamond"/>
        </w:rPr>
        <w:t xml:space="preserve">?, in </w:t>
      </w:r>
      <w:r w:rsidRPr="00D36F91">
        <w:rPr>
          <w:rFonts w:ascii="Garamond" w:hAnsi="Garamond"/>
          <w:i/>
          <w:iCs/>
        </w:rPr>
        <w:t>Quaderni fiorentini, n.3/2003</w:t>
      </w:r>
      <w:r w:rsidRPr="00D36F91">
        <w:rPr>
          <w:rFonts w:ascii="Garamond" w:hAnsi="Garamond"/>
        </w:rPr>
        <w:t xml:space="preserve"> p.141 e ss; </w:t>
      </w:r>
      <w:proofErr w:type="spellStart"/>
      <w:r w:rsidRPr="00D36F91">
        <w:rPr>
          <w:rFonts w:ascii="Garamond" w:hAnsi="Garamond"/>
        </w:rPr>
        <w:t>G.della</w:t>
      </w:r>
      <w:proofErr w:type="spellEnd"/>
      <w:r w:rsidRPr="00D36F91">
        <w:rPr>
          <w:rFonts w:ascii="Garamond" w:hAnsi="Garamond"/>
        </w:rPr>
        <w:t xml:space="preserve"> Cananea, </w:t>
      </w:r>
      <w:r w:rsidRPr="00D36F91">
        <w:rPr>
          <w:rFonts w:ascii="Garamond" w:hAnsi="Garamond"/>
          <w:i/>
          <w:iCs/>
        </w:rPr>
        <w:t>L’Unione europea. Un ordinamento Composito</w:t>
      </w:r>
      <w:r w:rsidRPr="00D36F91">
        <w:rPr>
          <w:rFonts w:ascii="Garamond" w:hAnsi="Garamond"/>
        </w:rPr>
        <w:t xml:space="preserve">, Laterza, Bari, 2003, </w:t>
      </w:r>
      <w:proofErr w:type="spellStart"/>
      <w:r w:rsidRPr="00D36F91">
        <w:rPr>
          <w:rFonts w:ascii="Garamond" w:hAnsi="Garamond"/>
          <w:i/>
          <w:iCs/>
        </w:rPr>
        <w:t>passim</w:t>
      </w:r>
      <w:proofErr w:type="spellEnd"/>
      <w:r w:rsidRPr="00D36F91">
        <w:rPr>
          <w:rFonts w:ascii="Garamond" w:hAnsi="Garamond"/>
          <w:i/>
          <w:iCs/>
        </w:rPr>
        <w:t xml:space="preserve">; </w:t>
      </w:r>
      <w:r w:rsidRPr="00D36F91">
        <w:rPr>
          <w:rFonts w:ascii="Garamond" w:hAnsi="Garamond"/>
        </w:rPr>
        <w:t xml:space="preserve">sull’identificazione dell’Unione come ordinamento “sui generis”, come potere a </w:t>
      </w:r>
      <w:proofErr w:type="spellStart"/>
      <w:r w:rsidRPr="00D36F91">
        <w:rPr>
          <w:rFonts w:ascii="Garamond" w:hAnsi="Garamond"/>
        </w:rPr>
        <w:t>metò</w:t>
      </w:r>
      <w:proofErr w:type="spellEnd"/>
      <w:r w:rsidRPr="00D36F91">
        <w:rPr>
          <w:rFonts w:ascii="Garamond" w:hAnsi="Garamond"/>
        </w:rPr>
        <w:t xml:space="preserve"> tra lo Stato federale e l’organizzazione internazionale si veda </w:t>
      </w:r>
      <w:proofErr w:type="spellStart"/>
      <w:r w:rsidRPr="00D36F91">
        <w:rPr>
          <w:rFonts w:ascii="Garamond" w:hAnsi="Garamond"/>
        </w:rPr>
        <w:t>B.Laffan</w:t>
      </w:r>
      <w:proofErr w:type="spellEnd"/>
      <w:r w:rsidRPr="00D36F91">
        <w:rPr>
          <w:rFonts w:ascii="Garamond" w:hAnsi="Garamond"/>
        </w:rPr>
        <w:t xml:space="preserve">, </w:t>
      </w:r>
      <w:r w:rsidRPr="00D36F91">
        <w:rPr>
          <w:rFonts w:ascii="Garamond" w:hAnsi="Garamond"/>
          <w:i/>
          <w:iCs/>
        </w:rPr>
        <w:t xml:space="preserve">The </w:t>
      </w:r>
      <w:proofErr w:type="spellStart"/>
      <w:r w:rsidRPr="00D36F91">
        <w:rPr>
          <w:rFonts w:ascii="Garamond" w:hAnsi="Garamond"/>
          <w:i/>
          <w:iCs/>
        </w:rPr>
        <w:t>European</w:t>
      </w:r>
      <w:proofErr w:type="spellEnd"/>
      <w:r w:rsidRPr="00D36F91">
        <w:rPr>
          <w:rFonts w:ascii="Garamond" w:hAnsi="Garamond"/>
          <w:i/>
          <w:iCs/>
        </w:rPr>
        <w:t xml:space="preserve"> </w:t>
      </w:r>
      <w:proofErr w:type="spellStart"/>
      <w:r w:rsidRPr="00D36F91">
        <w:rPr>
          <w:rFonts w:ascii="Garamond" w:hAnsi="Garamond"/>
          <w:i/>
          <w:iCs/>
        </w:rPr>
        <w:t>Union</w:t>
      </w:r>
      <w:proofErr w:type="spellEnd"/>
      <w:r w:rsidRPr="00D36F91">
        <w:rPr>
          <w:rFonts w:ascii="Garamond" w:hAnsi="Garamond"/>
          <w:i/>
          <w:iCs/>
        </w:rPr>
        <w:t xml:space="preserve">: a </w:t>
      </w:r>
      <w:proofErr w:type="spellStart"/>
      <w:r w:rsidRPr="00D36F91">
        <w:rPr>
          <w:rFonts w:ascii="Garamond" w:hAnsi="Garamond"/>
          <w:i/>
          <w:iCs/>
        </w:rPr>
        <w:t>Distinctive</w:t>
      </w:r>
      <w:proofErr w:type="spellEnd"/>
      <w:r w:rsidRPr="00D36F91">
        <w:rPr>
          <w:rFonts w:ascii="Garamond" w:hAnsi="Garamond"/>
          <w:i/>
          <w:iCs/>
        </w:rPr>
        <w:t xml:space="preserve"> </w:t>
      </w:r>
      <w:proofErr w:type="spellStart"/>
      <w:r w:rsidRPr="00D36F91">
        <w:rPr>
          <w:rFonts w:ascii="Garamond" w:hAnsi="Garamond"/>
          <w:i/>
          <w:iCs/>
        </w:rPr>
        <w:t>Model</w:t>
      </w:r>
      <w:proofErr w:type="spellEnd"/>
      <w:r w:rsidRPr="00D36F91">
        <w:rPr>
          <w:rFonts w:ascii="Garamond" w:hAnsi="Garamond"/>
          <w:i/>
          <w:iCs/>
        </w:rPr>
        <w:t xml:space="preserve"> </w:t>
      </w:r>
      <w:proofErr w:type="spellStart"/>
      <w:r w:rsidRPr="00D36F91">
        <w:rPr>
          <w:rFonts w:ascii="Garamond" w:hAnsi="Garamond"/>
          <w:i/>
          <w:iCs/>
        </w:rPr>
        <w:t>of</w:t>
      </w:r>
      <w:proofErr w:type="spellEnd"/>
      <w:r w:rsidRPr="00D36F91">
        <w:rPr>
          <w:rFonts w:ascii="Garamond" w:hAnsi="Garamond"/>
          <w:i/>
          <w:iCs/>
        </w:rPr>
        <w:t xml:space="preserve"> </w:t>
      </w:r>
      <w:proofErr w:type="spellStart"/>
      <w:r w:rsidRPr="00D36F91">
        <w:rPr>
          <w:rFonts w:ascii="Garamond" w:hAnsi="Garamond"/>
          <w:i/>
          <w:iCs/>
        </w:rPr>
        <w:t>Internationalisation</w:t>
      </w:r>
      <w:proofErr w:type="spellEnd"/>
      <w:r w:rsidRPr="00D36F91">
        <w:rPr>
          <w:rFonts w:ascii="Garamond" w:hAnsi="Garamond"/>
          <w:i/>
          <w:iCs/>
        </w:rPr>
        <w:t>?</w:t>
      </w:r>
      <w:r w:rsidRPr="00D36F91">
        <w:rPr>
          <w:rFonts w:ascii="Garamond" w:hAnsi="Garamond"/>
        </w:rPr>
        <w:t xml:space="preserve"> in </w:t>
      </w:r>
      <w:proofErr w:type="spellStart"/>
      <w:r w:rsidRPr="00D36F91">
        <w:rPr>
          <w:rFonts w:ascii="Garamond" w:hAnsi="Garamond"/>
          <w:i/>
          <w:iCs/>
        </w:rPr>
        <w:t>European</w:t>
      </w:r>
      <w:proofErr w:type="spellEnd"/>
      <w:r w:rsidRPr="00D36F91">
        <w:rPr>
          <w:rFonts w:ascii="Garamond" w:hAnsi="Garamond"/>
          <w:i/>
          <w:iCs/>
        </w:rPr>
        <w:t xml:space="preserve"> </w:t>
      </w:r>
      <w:proofErr w:type="spellStart"/>
      <w:r w:rsidRPr="00D36F91">
        <w:rPr>
          <w:rFonts w:ascii="Garamond" w:hAnsi="Garamond"/>
          <w:i/>
          <w:iCs/>
        </w:rPr>
        <w:t>Integration</w:t>
      </w:r>
      <w:proofErr w:type="spellEnd"/>
      <w:r w:rsidRPr="00D36F91">
        <w:rPr>
          <w:rFonts w:ascii="Garamond" w:hAnsi="Garamond"/>
          <w:i/>
          <w:iCs/>
        </w:rPr>
        <w:t xml:space="preserve"> online </w:t>
      </w:r>
      <w:proofErr w:type="spellStart"/>
      <w:r w:rsidRPr="00D36F91">
        <w:rPr>
          <w:rFonts w:ascii="Garamond" w:hAnsi="Garamond"/>
          <w:i/>
          <w:iCs/>
        </w:rPr>
        <w:t>Paper</w:t>
      </w:r>
      <w:proofErr w:type="spellEnd"/>
      <w:r w:rsidRPr="00D36F91">
        <w:rPr>
          <w:rFonts w:ascii="Garamond" w:hAnsi="Garamond"/>
          <w:i/>
          <w:iCs/>
        </w:rPr>
        <w:t xml:space="preserve"> (</w:t>
      </w:r>
      <w:proofErr w:type="spellStart"/>
      <w:r w:rsidRPr="00D36F91">
        <w:rPr>
          <w:rFonts w:ascii="Garamond" w:hAnsi="Garamond"/>
          <w:i/>
          <w:iCs/>
        </w:rPr>
        <w:t>Eiop</w:t>
      </w:r>
      <w:proofErr w:type="spellEnd"/>
      <w:r w:rsidRPr="00D36F91">
        <w:rPr>
          <w:rFonts w:ascii="Garamond" w:hAnsi="Garamond"/>
          <w:i/>
          <w:iCs/>
        </w:rPr>
        <w:t>),</w:t>
      </w:r>
      <w:r w:rsidRPr="00D36F91">
        <w:rPr>
          <w:rFonts w:ascii="Garamond" w:hAnsi="Garamond"/>
        </w:rPr>
        <w:t xml:space="preserve"> vol.18, n.1/1997; per una ricostruzione del dibattito sulla natura dell’Unione si veda </w:t>
      </w:r>
      <w:proofErr w:type="spellStart"/>
      <w:r w:rsidRPr="00D36F91">
        <w:rPr>
          <w:rFonts w:ascii="Garamond" w:hAnsi="Garamond"/>
        </w:rPr>
        <w:t>J.E.</w:t>
      </w:r>
      <w:proofErr w:type="spellEnd"/>
      <w:r w:rsidRPr="00D36F91">
        <w:rPr>
          <w:rFonts w:ascii="Garamond" w:hAnsi="Garamond"/>
        </w:rPr>
        <w:t xml:space="preserve"> </w:t>
      </w:r>
      <w:proofErr w:type="spellStart"/>
      <w:r w:rsidRPr="00D36F91">
        <w:rPr>
          <w:rFonts w:ascii="Garamond" w:hAnsi="Garamond"/>
        </w:rPr>
        <w:t>Fossum</w:t>
      </w:r>
      <w:proofErr w:type="spellEnd"/>
      <w:r w:rsidRPr="00D36F91">
        <w:rPr>
          <w:rFonts w:ascii="Garamond" w:hAnsi="Garamond"/>
        </w:rPr>
        <w:t xml:space="preserve">, </w:t>
      </w:r>
      <w:proofErr w:type="spellStart"/>
      <w:r w:rsidRPr="00D36F91">
        <w:rPr>
          <w:rFonts w:ascii="Garamond" w:hAnsi="Garamond"/>
        </w:rPr>
        <w:t>A.J.</w:t>
      </w:r>
      <w:proofErr w:type="spellEnd"/>
      <w:r w:rsidRPr="00D36F91">
        <w:rPr>
          <w:rFonts w:ascii="Garamond" w:hAnsi="Garamond"/>
        </w:rPr>
        <w:t xml:space="preserve"> </w:t>
      </w:r>
      <w:proofErr w:type="spellStart"/>
      <w:r w:rsidRPr="00D36F91">
        <w:rPr>
          <w:rFonts w:ascii="Garamond" w:hAnsi="Garamond"/>
        </w:rPr>
        <w:t>Menéndez</w:t>
      </w:r>
      <w:proofErr w:type="spellEnd"/>
      <w:r w:rsidRPr="00D36F91">
        <w:rPr>
          <w:rFonts w:ascii="Garamond" w:hAnsi="Garamond"/>
        </w:rPr>
        <w:t xml:space="preserve">, </w:t>
      </w:r>
      <w:r w:rsidRPr="00D36F91">
        <w:rPr>
          <w:rFonts w:ascii="Garamond" w:hAnsi="Garamond"/>
          <w:i/>
          <w:iCs/>
        </w:rPr>
        <w:t xml:space="preserve">The </w:t>
      </w:r>
      <w:proofErr w:type="spellStart"/>
      <w:r w:rsidRPr="00D36F91">
        <w:rPr>
          <w:rFonts w:ascii="Garamond" w:hAnsi="Garamond"/>
          <w:i/>
          <w:iCs/>
        </w:rPr>
        <w:t>Constitution’s</w:t>
      </w:r>
      <w:proofErr w:type="spellEnd"/>
      <w:r w:rsidRPr="00D36F91">
        <w:rPr>
          <w:rFonts w:ascii="Garamond" w:hAnsi="Garamond"/>
          <w:i/>
          <w:iCs/>
        </w:rPr>
        <w:t xml:space="preserve"> </w:t>
      </w:r>
      <w:proofErr w:type="spellStart"/>
      <w:r w:rsidRPr="00D36F91">
        <w:rPr>
          <w:rFonts w:ascii="Garamond" w:hAnsi="Garamond"/>
          <w:i/>
          <w:iCs/>
        </w:rPr>
        <w:t>Gift</w:t>
      </w:r>
      <w:proofErr w:type="spellEnd"/>
      <w:r w:rsidRPr="00D36F91">
        <w:rPr>
          <w:rFonts w:ascii="Garamond" w:hAnsi="Garamond"/>
          <w:i/>
          <w:iCs/>
        </w:rPr>
        <w:t xml:space="preserve">. </w:t>
      </w:r>
      <w:r w:rsidRPr="00D36F91">
        <w:rPr>
          <w:rFonts w:ascii="Garamond" w:hAnsi="Garamond"/>
          <w:i/>
          <w:iCs/>
          <w:lang w:val="en-US"/>
        </w:rPr>
        <w:t xml:space="preserve">A Constitutional Theory for a </w:t>
      </w:r>
      <w:proofErr w:type="spellStart"/>
      <w:r w:rsidRPr="00D36F91">
        <w:rPr>
          <w:rFonts w:ascii="Garamond" w:hAnsi="Garamond"/>
          <w:i/>
          <w:iCs/>
          <w:lang w:val="en-US"/>
        </w:rPr>
        <w:t>Democratc</w:t>
      </w:r>
      <w:proofErr w:type="spellEnd"/>
      <w:r w:rsidRPr="00D36F91">
        <w:rPr>
          <w:rFonts w:ascii="Garamond" w:hAnsi="Garamond"/>
          <w:i/>
          <w:iCs/>
          <w:lang w:val="en-US"/>
        </w:rPr>
        <w:t xml:space="preserve"> Union</w:t>
      </w:r>
      <w:r w:rsidRPr="00D36F91">
        <w:rPr>
          <w:rFonts w:ascii="Garamond" w:hAnsi="Garamond"/>
          <w:lang w:val="en-US"/>
        </w:rPr>
        <w:t xml:space="preserve">, Lanham, </w:t>
      </w:r>
      <w:proofErr w:type="spellStart"/>
      <w:r w:rsidRPr="00D36F91">
        <w:rPr>
          <w:rFonts w:ascii="Garamond" w:hAnsi="Garamond"/>
          <w:lang w:val="en-US"/>
        </w:rPr>
        <w:t>Rowman</w:t>
      </w:r>
      <w:proofErr w:type="spellEnd"/>
      <w:r w:rsidRPr="00D36F91">
        <w:rPr>
          <w:rFonts w:ascii="Garamond" w:hAnsi="Garamond"/>
          <w:lang w:val="en-US"/>
        </w:rPr>
        <w:t xml:space="preserve"> &amp;</w:t>
      </w:r>
      <w:proofErr w:type="spellStart"/>
      <w:r w:rsidRPr="00D36F91">
        <w:rPr>
          <w:rFonts w:ascii="Garamond" w:hAnsi="Garamond"/>
          <w:lang w:val="en-US"/>
        </w:rPr>
        <w:t>Littlenfield</w:t>
      </w:r>
      <w:proofErr w:type="spellEnd"/>
      <w:r w:rsidRPr="00D36F91">
        <w:rPr>
          <w:rFonts w:ascii="Garamond" w:hAnsi="Garamond"/>
          <w:lang w:val="en-US"/>
        </w:rPr>
        <w:t xml:space="preserve"> Publishers, 2011</w:t>
      </w:r>
    </w:p>
  </w:footnote>
  <w:footnote w:id="17">
    <w:p w:rsidR="0005296D" w:rsidRPr="00D36F91" w:rsidRDefault="0005296D" w:rsidP="007D52DF">
      <w:pPr>
        <w:autoSpaceDE w:val="0"/>
        <w:autoSpaceDN w:val="0"/>
        <w:adjustRightInd w:val="0"/>
        <w:spacing w:after="0" w:line="240" w:lineRule="auto"/>
        <w:jc w:val="both"/>
        <w:rPr>
          <w:rFonts w:ascii="Garamond" w:hAnsi="Garamond"/>
          <w:sz w:val="20"/>
          <w:szCs w:val="20"/>
          <w:lang w:val="en-US"/>
        </w:rPr>
      </w:pPr>
      <w:r w:rsidRPr="00D36F91">
        <w:rPr>
          <w:rStyle w:val="Rimandonotaapidipagina"/>
          <w:rFonts w:ascii="Garamond" w:hAnsi="Garamond"/>
          <w:sz w:val="20"/>
          <w:szCs w:val="20"/>
        </w:rPr>
        <w:footnoteRef/>
      </w:r>
      <w:r w:rsidRPr="00D36F91">
        <w:rPr>
          <w:rFonts w:ascii="Garamond" w:hAnsi="Garamond"/>
          <w:sz w:val="20"/>
          <w:szCs w:val="20"/>
        </w:rPr>
        <w:t xml:space="preserve"> </w:t>
      </w:r>
      <w:proofErr w:type="spellStart"/>
      <w:r w:rsidRPr="00D36F91">
        <w:rPr>
          <w:rFonts w:ascii="Garamond" w:hAnsi="Garamond"/>
          <w:sz w:val="20"/>
          <w:szCs w:val="20"/>
        </w:rPr>
        <w:t>Cfr</w:t>
      </w:r>
      <w:proofErr w:type="spellEnd"/>
      <w:r w:rsidRPr="00D36F91">
        <w:rPr>
          <w:rFonts w:ascii="Garamond" w:hAnsi="Garamond"/>
          <w:sz w:val="20"/>
          <w:szCs w:val="20"/>
        </w:rPr>
        <w:t xml:space="preserve"> </w:t>
      </w:r>
      <w:proofErr w:type="spellStart"/>
      <w:r w:rsidRPr="00D36F91">
        <w:rPr>
          <w:rFonts w:ascii="Garamond" w:hAnsi="Garamond"/>
          <w:sz w:val="20"/>
          <w:szCs w:val="20"/>
        </w:rPr>
        <w:t>K.</w:t>
      </w:r>
      <w:r w:rsidRPr="00D36F91">
        <w:rPr>
          <w:rFonts w:ascii="Garamond" w:hAnsi="Garamond" w:cs="TimesNewRomanPSMT"/>
          <w:sz w:val="20"/>
          <w:szCs w:val="20"/>
        </w:rPr>
        <w:t>Tuori</w:t>
      </w:r>
      <w:proofErr w:type="spellEnd"/>
      <w:r w:rsidRPr="00D36F91">
        <w:rPr>
          <w:rFonts w:ascii="Garamond" w:hAnsi="Garamond" w:cs="TimesNewRomanPSMT"/>
          <w:sz w:val="20"/>
          <w:szCs w:val="20"/>
        </w:rPr>
        <w:t xml:space="preserve">, </w:t>
      </w:r>
      <w:r w:rsidRPr="00D36F91">
        <w:rPr>
          <w:rFonts w:ascii="Garamond" w:hAnsi="Garamond" w:cs="Times New Roman"/>
          <w:i/>
          <w:iCs/>
          <w:sz w:val="20"/>
          <w:szCs w:val="20"/>
        </w:rPr>
        <w:t xml:space="preserve">The Eurozone </w:t>
      </w:r>
      <w:proofErr w:type="spellStart"/>
      <w:r w:rsidRPr="00D36F91">
        <w:rPr>
          <w:rFonts w:ascii="Garamond" w:hAnsi="Garamond" w:cs="Times New Roman"/>
          <w:i/>
          <w:iCs/>
          <w:sz w:val="20"/>
          <w:szCs w:val="20"/>
        </w:rPr>
        <w:t>Crisis</w:t>
      </w:r>
      <w:proofErr w:type="spellEnd"/>
      <w:r w:rsidRPr="00D36F91">
        <w:rPr>
          <w:rFonts w:ascii="Garamond" w:hAnsi="Garamond" w:cs="Times New Roman"/>
          <w:i/>
          <w:iCs/>
          <w:sz w:val="20"/>
          <w:szCs w:val="20"/>
        </w:rPr>
        <w:t xml:space="preserve">. </w:t>
      </w:r>
      <w:r w:rsidRPr="00D36F91">
        <w:rPr>
          <w:rFonts w:ascii="Garamond" w:hAnsi="Garamond" w:cs="Times New Roman"/>
          <w:i/>
          <w:iCs/>
          <w:sz w:val="20"/>
          <w:szCs w:val="20"/>
          <w:lang w:val="en-US"/>
        </w:rPr>
        <w:t>A Constitutional Analysis</w:t>
      </w:r>
      <w:r w:rsidRPr="00D36F91">
        <w:rPr>
          <w:rFonts w:ascii="Garamond" w:hAnsi="Garamond" w:cs="TimesNewRomanPSMT"/>
          <w:sz w:val="20"/>
          <w:szCs w:val="20"/>
          <w:lang w:val="en-US"/>
        </w:rPr>
        <w:t xml:space="preserve">, Cambridge, Cambridge University Press, 2014, specie p.215 e </w:t>
      </w:r>
      <w:proofErr w:type="spellStart"/>
      <w:r w:rsidRPr="00D36F91">
        <w:rPr>
          <w:rFonts w:ascii="Garamond" w:hAnsi="Garamond" w:cs="TimesNewRomanPSMT"/>
          <w:sz w:val="20"/>
          <w:szCs w:val="20"/>
          <w:lang w:val="en-US"/>
        </w:rPr>
        <w:t>ss</w:t>
      </w:r>
      <w:proofErr w:type="spellEnd"/>
    </w:p>
  </w:footnote>
  <w:footnote w:id="18">
    <w:p w:rsidR="0005296D" w:rsidRPr="00D36F91" w:rsidRDefault="0005296D" w:rsidP="007D52DF">
      <w:pPr>
        <w:autoSpaceDE w:val="0"/>
        <w:autoSpaceDN w:val="0"/>
        <w:adjustRightInd w:val="0"/>
        <w:spacing w:after="0" w:line="240" w:lineRule="auto"/>
        <w:jc w:val="both"/>
        <w:rPr>
          <w:rFonts w:ascii="Garamond" w:hAnsi="Garamond"/>
          <w:sz w:val="20"/>
          <w:szCs w:val="20"/>
          <w:lang w:val="de-DE"/>
        </w:rPr>
      </w:pPr>
      <w:r w:rsidRPr="00D36F91">
        <w:rPr>
          <w:rStyle w:val="Rimandonotaapidipagina"/>
          <w:rFonts w:ascii="Garamond" w:hAnsi="Garamond"/>
          <w:sz w:val="20"/>
          <w:szCs w:val="20"/>
        </w:rPr>
        <w:footnoteRef/>
      </w:r>
      <w:r w:rsidRPr="00D36F91">
        <w:rPr>
          <w:rFonts w:ascii="Garamond" w:hAnsi="Garamond"/>
          <w:sz w:val="20"/>
          <w:szCs w:val="20"/>
          <w:lang w:val="de-DE"/>
        </w:rPr>
        <w:t xml:space="preserve"> In </w:t>
      </w:r>
      <w:proofErr w:type="spellStart"/>
      <w:r w:rsidRPr="00D36F91">
        <w:rPr>
          <w:rFonts w:ascii="Garamond" w:hAnsi="Garamond"/>
          <w:sz w:val="20"/>
          <w:szCs w:val="20"/>
          <w:lang w:val="de-DE"/>
        </w:rPr>
        <w:t>questo</w:t>
      </w:r>
      <w:proofErr w:type="spellEnd"/>
      <w:r w:rsidRPr="00D36F91">
        <w:rPr>
          <w:rFonts w:ascii="Garamond" w:hAnsi="Garamond"/>
          <w:sz w:val="20"/>
          <w:szCs w:val="20"/>
          <w:lang w:val="de-DE"/>
        </w:rPr>
        <w:t xml:space="preserve"> </w:t>
      </w:r>
      <w:proofErr w:type="spellStart"/>
      <w:r w:rsidRPr="00D36F91">
        <w:rPr>
          <w:rFonts w:ascii="Garamond" w:hAnsi="Garamond"/>
          <w:sz w:val="20"/>
          <w:szCs w:val="20"/>
          <w:lang w:val="de-DE"/>
        </w:rPr>
        <w:t>senso</w:t>
      </w:r>
      <w:proofErr w:type="spellEnd"/>
      <w:r w:rsidRPr="00D36F91">
        <w:rPr>
          <w:rFonts w:ascii="Garamond" w:hAnsi="Garamond"/>
          <w:sz w:val="20"/>
          <w:szCs w:val="20"/>
          <w:lang w:val="de-DE"/>
        </w:rPr>
        <w:t xml:space="preserve"> </w:t>
      </w:r>
      <w:proofErr w:type="spellStart"/>
      <w:r w:rsidRPr="00D36F91">
        <w:rPr>
          <w:rFonts w:ascii="Garamond" w:hAnsi="Garamond"/>
          <w:sz w:val="20"/>
          <w:szCs w:val="20"/>
          <w:lang w:val="de-DE"/>
        </w:rPr>
        <w:t>M.</w:t>
      </w:r>
      <w:r w:rsidRPr="00D36F91">
        <w:rPr>
          <w:rFonts w:ascii="Garamond" w:hAnsi="Garamond" w:cs="TimesNewRomanPSMT"/>
          <w:sz w:val="20"/>
          <w:szCs w:val="20"/>
          <w:lang w:val="de-DE"/>
        </w:rPr>
        <w:t>Roth</w:t>
      </w:r>
      <w:proofErr w:type="spellEnd"/>
      <w:r w:rsidRPr="00D36F91">
        <w:rPr>
          <w:rFonts w:ascii="Garamond" w:hAnsi="Garamond" w:cs="TimesNewRomanPSMT"/>
          <w:sz w:val="20"/>
          <w:szCs w:val="20"/>
          <w:lang w:val="de-DE"/>
        </w:rPr>
        <w:t>,</w:t>
      </w:r>
      <w:r w:rsidRPr="00D36F91">
        <w:rPr>
          <w:rFonts w:ascii="Garamond" w:hAnsi="Garamond" w:cs="TimesNewRomanPSMT"/>
          <w:i/>
          <w:iCs/>
          <w:sz w:val="20"/>
          <w:szCs w:val="20"/>
          <w:lang w:val="de-DE"/>
        </w:rPr>
        <w:t xml:space="preserve"> Der Euro braucht ein Parlament</w:t>
      </w:r>
      <w:r w:rsidRPr="00D36F91">
        <w:rPr>
          <w:rFonts w:ascii="Garamond" w:hAnsi="Garamond" w:cs="TimesNewRomanPSMT"/>
          <w:sz w:val="20"/>
          <w:szCs w:val="20"/>
          <w:lang w:val="de-DE"/>
        </w:rPr>
        <w:t xml:space="preserve">, November 2011, Friedrich Ebert Stiftung Perspektive, </w:t>
      </w:r>
      <w:proofErr w:type="spellStart"/>
      <w:r w:rsidRPr="00D36F91">
        <w:rPr>
          <w:rFonts w:ascii="Garamond" w:hAnsi="Garamond" w:cs="TimesNewRomanPSMT"/>
          <w:sz w:val="20"/>
          <w:szCs w:val="20"/>
          <w:lang w:val="de-DE"/>
        </w:rPr>
        <w:t>reperibile</w:t>
      </w:r>
      <w:proofErr w:type="spellEnd"/>
      <w:r w:rsidRPr="00D36F91">
        <w:rPr>
          <w:rFonts w:ascii="Garamond" w:hAnsi="Garamond" w:cs="TimesNewRomanPSMT"/>
          <w:sz w:val="20"/>
          <w:szCs w:val="20"/>
          <w:lang w:val="de-DE"/>
        </w:rPr>
        <w:t xml:space="preserve"> </w:t>
      </w:r>
      <w:proofErr w:type="spellStart"/>
      <w:r w:rsidRPr="00D36F91">
        <w:rPr>
          <w:rFonts w:ascii="Garamond" w:hAnsi="Garamond" w:cs="TimesNewRomanPSMT"/>
          <w:sz w:val="20"/>
          <w:szCs w:val="20"/>
          <w:lang w:val="de-DE"/>
        </w:rPr>
        <w:t>all‘indirizzo</w:t>
      </w:r>
      <w:proofErr w:type="spellEnd"/>
      <w:r w:rsidRPr="00D36F91">
        <w:rPr>
          <w:rFonts w:ascii="Garamond" w:hAnsi="Garamond" w:cs="TimesNewRomanPSMT"/>
          <w:sz w:val="20"/>
          <w:szCs w:val="20"/>
          <w:lang w:val="de-DE"/>
        </w:rPr>
        <w:t>: http://library.fes.de/pdf-files/id/ipa/08645.pdf</w:t>
      </w:r>
    </w:p>
  </w:footnote>
  <w:footnote w:id="19">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In questo senso, tra gli altri,J. </w:t>
      </w:r>
      <w:r w:rsidRPr="00D36F91">
        <w:rPr>
          <w:rFonts w:ascii="Garamond" w:hAnsi="Garamond" w:cs="TimesNewRomanPSMT"/>
          <w:sz w:val="20"/>
          <w:szCs w:val="20"/>
        </w:rPr>
        <w:t xml:space="preserve">Fischer, </w:t>
      </w:r>
      <w:proofErr w:type="spellStart"/>
      <w:r w:rsidRPr="00D36F91">
        <w:rPr>
          <w:rFonts w:ascii="Garamond" w:hAnsi="Garamond" w:cs="TimesNewRomanPSMT"/>
          <w:i/>
          <w:iCs/>
          <w:sz w:val="20"/>
          <w:szCs w:val="20"/>
        </w:rPr>
        <w:t>Europe’s</w:t>
      </w:r>
      <w:proofErr w:type="spellEnd"/>
      <w:r w:rsidRPr="00D36F91">
        <w:rPr>
          <w:rFonts w:ascii="Garamond" w:hAnsi="Garamond" w:cs="TimesNewRomanPSMT"/>
          <w:i/>
          <w:iCs/>
          <w:sz w:val="20"/>
          <w:szCs w:val="20"/>
        </w:rPr>
        <w:t xml:space="preserve"> trial </w:t>
      </w:r>
      <w:proofErr w:type="spellStart"/>
      <w:r w:rsidRPr="00D36F91">
        <w:rPr>
          <w:rFonts w:ascii="Garamond" w:hAnsi="Garamond" w:cs="TimesNewRomanPSMT"/>
          <w:i/>
          <w:iCs/>
          <w:sz w:val="20"/>
          <w:szCs w:val="20"/>
        </w:rPr>
        <w:t>by</w:t>
      </w:r>
      <w:proofErr w:type="spellEnd"/>
      <w:r w:rsidRPr="00D36F91">
        <w:rPr>
          <w:rFonts w:ascii="Garamond" w:hAnsi="Garamond" w:cs="TimesNewRomanPSMT"/>
          <w:i/>
          <w:iCs/>
          <w:sz w:val="20"/>
          <w:szCs w:val="20"/>
        </w:rPr>
        <w:t xml:space="preserve"> </w:t>
      </w:r>
      <w:proofErr w:type="spellStart"/>
      <w:r w:rsidRPr="00D36F91">
        <w:rPr>
          <w:rFonts w:ascii="Garamond" w:hAnsi="Garamond" w:cs="TimesNewRomanPSMT"/>
          <w:i/>
          <w:iCs/>
          <w:sz w:val="20"/>
          <w:szCs w:val="20"/>
        </w:rPr>
        <w:t>crisis</w:t>
      </w:r>
      <w:proofErr w:type="spellEnd"/>
      <w:r w:rsidRPr="00D36F91">
        <w:rPr>
          <w:rFonts w:ascii="Garamond" w:hAnsi="Garamond" w:cs="TimesNewRomanPSMT"/>
          <w:sz w:val="20"/>
          <w:szCs w:val="20"/>
        </w:rPr>
        <w:t xml:space="preserve">, 2 </w:t>
      </w:r>
      <w:proofErr w:type="spellStart"/>
      <w:r w:rsidRPr="00D36F91">
        <w:rPr>
          <w:rFonts w:ascii="Garamond" w:hAnsi="Garamond" w:cs="TimesNewRomanPSMT"/>
          <w:sz w:val="20"/>
          <w:szCs w:val="20"/>
        </w:rPr>
        <w:t>October</w:t>
      </w:r>
      <w:proofErr w:type="spellEnd"/>
      <w:r w:rsidRPr="00D36F91">
        <w:rPr>
          <w:rFonts w:ascii="Garamond" w:hAnsi="Garamond" w:cs="TimesNewRomanPSMT"/>
          <w:sz w:val="20"/>
          <w:szCs w:val="20"/>
        </w:rPr>
        <w:t xml:space="preserve"> 2012,reperibile all’indirizzo:http://europeandaily.com/opinion/2012/10/02/europe%E2%80%99s-trial-crisis</w:t>
      </w:r>
    </w:p>
  </w:footnote>
  <w:footnote w:id="20">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w:t>
      </w:r>
      <w:proofErr w:type="spellStart"/>
      <w:r w:rsidRPr="00D36F91">
        <w:rPr>
          <w:rFonts w:ascii="Garamond" w:hAnsi="Garamond"/>
          <w:sz w:val="20"/>
          <w:szCs w:val="20"/>
        </w:rPr>
        <w:t>Cfr.E.Griglio</w:t>
      </w:r>
      <w:proofErr w:type="spellEnd"/>
      <w:r w:rsidRPr="00D36F91">
        <w:rPr>
          <w:rFonts w:ascii="Garamond" w:hAnsi="Garamond"/>
          <w:sz w:val="20"/>
          <w:szCs w:val="20"/>
        </w:rPr>
        <w:t xml:space="preserve">, </w:t>
      </w:r>
      <w:proofErr w:type="spellStart"/>
      <w:r w:rsidRPr="00D36F91">
        <w:rPr>
          <w:rFonts w:ascii="Garamond" w:hAnsi="Garamond"/>
          <w:sz w:val="20"/>
          <w:szCs w:val="20"/>
        </w:rPr>
        <w:t>N.Lupo</w:t>
      </w:r>
      <w:proofErr w:type="spellEnd"/>
      <w:r w:rsidRPr="00D36F91">
        <w:rPr>
          <w:rFonts w:ascii="Garamond" w:hAnsi="Garamond"/>
          <w:sz w:val="20"/>
          <w:szCs w:val="20"/>
        </w:rPr>
        <w:t>,</w:t>
      </w:r>
      <w:proofErr w:type="spellStart"/>
      <w:r w:rsidRPr="00D36F91">
        <w:rPr>
          <w:rFonts w:ascii="Garamond" w:hAnsi="Garamond" w:cs="Garamond"/>
          <w:i/>
          <w:iCs/>
          <w:sz w:val="20"/>
          <w:szCs w:val="20"/>
        </w:rPr>
        <w:t>Towards</w:t>
      </w:r>
      <w:proofErr w:type="spellEnd"/>
      <w:r w:rsidRPr="00D36F91">
        <w:rPr>
          <w:rFonts w:ascii="Garamond" w:hAnsi="Garamond" w:cs="Garamond"/>
          <w:i/>
          <w:iCs/>
          <w:sz w:val="20"/>
          <w:szCs w:val="20"/>
        </w:rPr>
        <w:t xml:space="preserve"> </w:t>
      </w:r>
      <w:proofErr w:type="spellStart"/>
      <w:r w:rsidRPr="00D36F91">
        <w:rPr>
          <w:rFonts w:ascii="Garamond" w:hAnsi="Garamond" w:cs="Garamond"/>
          <w:i/>
          <w:iCs/>
          <w:sz w:val="20"/>
          <w:szCs w:val="20"/>
        </w:rPr>
        <w:t>an</w:t>
      </w:r>
      <w:proofErr w:type="spellEnd"/>
      <w:r w:rsidRPr="00D36F91">
        <w:rPr>
          <w:rFonts w:ascii="Garamond" w:hAnsi="Garamond" w:cs="Garamond"/>
          <w:i/>
          <w:iCs/>
          <w:sz w:val="20"/>
          <w:szCs w:val="20"/>
        </w:rPr>
        <w:t xml:space="preserve"> </w:t>
      </w:r>
      <w:proofErr w:type="spellStart"/>
      <w:r w:rsidRPr="00D36F91">
        <w:rPr>
          <w:rFonts w:ascii="Garamond" w:hAnsi="Garamond" w:cs="Garamond"/>
          <w:i/>
          <w:iCs/>
          <w:sz w:val="20"/>
          <w:szCs w:val="20"/>
        </w:rPr>
        <w:t>asymmetric</w:t>
      </w:r>
      <w:proofErr w:type="spellEnd"/>
      <w:r w:rsidRPr="00D36F91">
        <w:rPr>
          <w:rFonts w:ascii="Garamond" w:hAnsi="Garamond" w:cs="Garamond"/>
          <w:i/>
          <w:iCs/>
          <w:sz w:val="20"/>
          <w:szCs w:val="20"/>
        </w:rPr>
        <w:t xml:space="preserve"> </w:t>
      </w:r>
      <w:proofErr w:type="spellStart"/>
      <w:r w:rsidRPr="00D36F91">
        <w:rPr>
          <w:rFonts w:ascii="Garamond" w:hAnsi="Garamond" w:cs="Garamond"/>
          <w:i/>
          <w:iCs/>
          <w:sz w:val="20"/>
          <w:szCs w:val="20"/>
        </w:rPr>
        <w:t>european</w:t>
      </w:r>
      <w:proofErr w:type="spellEnd"/>
      <w:r w:rsidRPr="00D36F91">
        <w:rPr>
          <w:rFonts w:ascii="Garamond" w:hAnsi="Garamond" w:cs="Garamond"/>
          <w:i/>
          <w:iCs/>
          <w:sz w:val="20"/>
          <w:szCs w:val="20"/>
        </w:rPr>
        <w:t xml:space="preserve"> </w:t>
      </w:r>
      <w:proofErr w:type="spellStart"/>
      <w:r w:rsidRPr="00D36F91">
        <w:rPr>
          <w:rFonts w:ascii="Garamond" w:hAnsi="Garamond" w:cs="Garamond"/>
          <w:i/>
          <w:iCs/>
          <w:sz w:val="20"/>
          <w:szCs w:val="20"/>
        </w:rPr>
        <w:t>union</w:t>
      </w:r>
      <w:proofErr w:type="spellEnd"/>
      <w:r w:rsidRPr="00D36F91">
        <w:rPr>
          <w:rFonts w:ascii="Garamond" w:hAnsi="Garamond" w:cs="Garamond"/>
          <w:i/>
          <w:iCs/>
          <w:sz w:val="20"/>
          <w:szCs w:val="20"/>
        </w:rPr>
        <w:t>,</w:t>
      </w:r>
      <w:proofErr w:type="spellStart"/>
      <w:r w:rsidRPr="00D36F91">
        <w:rPr>
          <w:rFonts w:ascii="Garamond" w:hAnsi="Garamond" w:cs="Garamond"/>
          <w:i/>
          <w:iCs/>
          <w:sz w:val="20"/>
          <w:szCs w:val="20"/>
        </w:rPr>
        <w:t>without</w:t>
      </w:r>
      <w:proofErr w:type="spellEnd"/>
      <w:r w:rsidRPr="00D36F91">
        <w:rPr>
          <w:rFonts w:ascii="Garamond" w:hAnsi="Garamond" w:cs="Garamond"/>
          <w:i/>
          <w:iCs/>
          <w:sz w:val="20"/>
          <w:szCs w:val="20"/>
        </w:rPr>
        <w:t xml:space="preserve"> </w:t>
      </w:r>
      <w:proofErr w:type="spellStart"/>
      <w:r w:rsidRPr="00D36F91">
        <w:rPr>
          <w:rFonts w:ascii="Garamond" w:hAnsi="Garamond" w:cs="Garamond"/>
          <w:i/>
          <w:iCs/>
          <w:sz w:val="20"/>
          <w:szCs w:val="20"/>
        </w:rPr>
        <w:t>an</w:t>
      </w:r>
      <w:proofErr w:type="spellEnd"/>
      <w:r w:rsidRPr="00D36F91">
        <w:rPr>
          <w:rFonts w:ascii="Garamond" w:hAnsi="Garamond" w:cs="Garamond"/>
          <w:i/>
          <w:iCs/>
          <w:sz w:val="20"/>
          <w:szCs w:val="20"/>
        </w:rPr>
        <w:t xml:space="preserve"> </w:t>
      </w:r>
      <w:proofErr w:type="spellStart"/>
      <w:r w:rsidRPr="00D36F91">
        <w:rPr>
          <w:rFonts w:ascii="Garamond" w:hAnsi="Garamond" w:cs="Garamond"/>
          <w:i/>
          <w:iCs/>
          <w:sz w:val="20"/>
          <w:szCs w:val="20"/>
        </w:rPr>
        <w:t>asymmetric</w:t>
      </w:r>
      <w:proofErr w:type="spellEnd"/>
      <w:r w:rsidRPr="00D36F91">
        <w:rPr>
          <w:rFonts w:ascii="Garamond" w:hAnsi="Garamond" w:cs="Garamond"/>
          <w:i/>
          <w:iCs/>
          <w:sz w:val="20"/>
          <w:szCs w:val="20"/>
        </w:rPr>
        <w:t xml:space="preserve"> </w:t>
      </w:r>
      <w:proofErr w:type="spellStart"/>
      <w:r w:rsidRPr="00D36F91">
        <w:rPr>
          <w:rFonts w:ascii="Garamond" w:hAnsi="Garamond" w:cs="Garamond"/>
          <w:i/>
          <w:iCs/>
          <w:sz w:val="20"/>
          <w:szCs w:val="20"/>
        </w:rPr>
        <w:t>european</w:t>
      </w:r>
      <w:proofErr w:type="spellEnd"/>
      <w:r w:rsidRPr="00D36F91">
        <w:rPr>
          <w:rFonts w:ascii="Garamond" w:hAnsi="Garamond" w:cs="Garamond"/>
          <w:i/>
          <w:iCs/>
          <w:sz w:val="20"/>
          <w:szCs w:val="20"/>
        </w:rPr>
        <w:t xml:space="preserve"> </w:t>
      </w:r>
      <w:proofErr w:type="spellStart"/>
      <w:r w:rsidRPr="00D36F91">
        <w:rPr>
          <w:rFonts w:ascii="Garamond" w:hAnsi="Garamond" w:cs="Garamond"/>
          <w:i/>
          <w:iCs/>
          <w:sz w:val="20"/>
          <w:szCs w:val="20"/>
        </w:rPr>
        <w:t>parliament</w:t>
      </w:r>
      <w:proofErr w:type="spellEnd"/>
      <w:r w:rsidRPr="00D36F91">
        <w:rPr>
          <w:rFonts w:ascii="Garamond" w:hAnsi="Garamond" w:cs="Garamond"/>
          <w:sz w:val="20"/>
          <w:szCs w:val="20"/>
        </w:rPr>
        <w:t xml:space="preserve">, </w:t>
      </w:r>
      <w:proofErr w:type="spellStart"/>
      <w:r w:rsidRPr="00D36F91">
        <w:rPr>
          <w:rFonts w:ascii="Garamond" w:hAnsi="Garamond" w:cs="Garamond"/>
          <w:sz w:val="20"/>
          <w:szCs w:val="20"/>
        </w:rPr>
        <w:t>Working</w:t>
      </w:r>
      <w:proofErr w:type="spellEnd"/>
      <w:r w:rsidRPr="00D36F91">
        <w:rPr>
          <w:rFonts w:ascii="Garamond" w:hAnsi="Garamond" w:cs="Garamond"/>
          <w:sz w:val="20"/>
          <w:szCs w:val="20"/>
        </w:rPr>
        <w:t xml:space="preserve"> </w:t>
      </w:r>
      <w:proofErr w:type="spellStart"/>
      <w:r w:rsidRPr="00D36F91">
        <w:rPr>
          <w:rFonts w:ascii="Garamond" w:hAnsi="Garamond" w:cs="Garamond"/>
          <w:sz w:val="20"/>
          <w:szCs w:val="20"/>
        </w:rPr>
        <w:t>paper</w:t>
      </w:r>
      <w:proofErr w:type="spellEnd"/>
      <w:r w:rsidRPr="00D36F91">
        <w:rPr>
          <w:rFonts w:ascii="Garamond" w:hAnsi="Garamond" w:cs="Garamond"/>
          <w:sz w:val="20"/>
          <w:szCs w:val="20"/>
        </w:rPr>
        <w:t xml:space="preserve"> n.20/2014, p.16 e ss. reperibile all’indirizzo: </w:t>
      </w:r>
      <w:hyperlink r:id="rId4" w:history="1">
        <w:r w:rsidRPr="00D36F91">
          <w:rPr>
            <w:rStyle w:val="Collegamentoipertestuale"/>
            <w:rFonts w:ascii="Garamond" w:hAnsi="Garamond" w:cs="Garamond"/>
            <w:sz w:val="20"/>
            <w:szCs w:val="20"/>
          </w:rPr>
          <w:t>www.sog.luiss.it</w:t>
        </w:r>
      </w:hyperlink>
      <w:r w:rsidRPr="00D36F91">
        <w:rPr>
          <w:rFonts w:ascii="Garamond" w:hAnsi="Garamond" w:cs="Garamond"/>
          <w:sz w:val="20"/>
          <w:szCs w:val="20"/>
        </w:rPr>
        <w:t xml:space="preserve">, </w:t>
      </w:r>
    </w:p>
  </w:footnote>
  <w:footnote w:id="21">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In questo senso si veda T. </w:t>
      </w:r>
      <w:proofErr w:type="spellStart"/>
      <w:r w:rsidRPr="00D36F91">
        <w:rPr>
          <w:rFonts w:ascii="Garamond" w:hAnsi="Garamond" w:cs="TimesNewRomanPSMT"/>
          <w:sz w:val="20"/>
          <w:szCs w:val="20"/>
        </w:rPr>
        <w:t>Piketty</w:t>
      </w:r>
      <w:proofErr w:type="spellEnd"/>
      <w:r w:rsidRPr="00D36F91">
        <w:rPr>
          <w:rFonts w:ascii="Garamond" w:hAnsi="Garamond" w:cs="TimesNewRomanPSMT"/>
          <w:sz w:val="20"/>
          <w:szCs w:val="20"/>
        </w:rPr>
        <w:t xml:space="preserve">, </w:t>
      </w:r>
      <w:proofErr w:type="spellStart"/>
      <w:r w:rsidRPr="00D36F91">
        <w:rPr>
          <w:rFonts w:ascii="Garamond" w:hAnsi="Garamond" w:cs="TimesNewRomanPSMT"/>
          <w:sz w:val="20"/>
          <w:szCs w:val="20"/>
        </w:rPr>
        <w:t>et</w:t>
      </w:r>
      <w:proofErr w:type="spellEnd"/>
      <w:r w:rsidRPr="00D36F91">
        <w:rPr>
          <w:rFonts w:ascii="Garamond" w:hAnsi="Garamond" w:cs="TimesNewRomanPSMT"/>
          <w:sz w:val="20"/>
          <w:szCs w:val="20"/>
        </w:rPr>
        <w:t xml:space="preserve"> al.,</w:t>
      </w:r>
      <w:proofErr w:type="spellStart"/>
      <w:r w:rsidRPr="00D36F91">
        <w:rPr>
          <w:rFonts w:ascii="Garamond" w:hAnsi="Garamond" w:cs="TimesNewRomanPSMT"/>
          <w:i/>
          <w:iCs/>
          <w:sz w:val="20"/>
          <w:szCs w:val="20"/>
        </w:rPr>
        <w:t>Our</w:t>
      </w:r>
      <w:proofErr w:type="spellEnd"/>
      <w:r w:rsidRPr="00D36F91">
        <w:rPr>
          <w:rFonts w:ascii="Garamond" w:hAnsi="Garamond" w:cs="TimesNewRomanPSMT"/>
          <w:i/>
          <w:iCs/>
          <w:sz w:val="20"/>
          <w:szCs w:val="20"/>
        </w:rPr>
        <w:t xml:space="preserve"> manifesto </w:t>
      </w:r>
      <w:proofErr w:type="spellStart"/>
      <w:r w:rsidRPr="00D36F91">
        <w:rPr>
          <w:rFonts w:ascii="Garamond" w:hAnsi="Garamond" w:cs="TimesNewRomanPSMT"/>
          <w:i/>
          <w:iCs/>
          <w:sz w:val="20"/>
          <w:szCs w:val="20"/>
        </w:rPr>
        <w:t>for</w:t>
      </w:r>
      <w:proofErr w:type="spellEnd"/>
      <w:r w:rsidRPr="00D36F91">
        <w:rPr>
          <w:rFonts w:ascii="Garamond" w:hAnsi="Garamond" w:cs="TimesNewRomanPSMT"/>
          <w:i/>
          <w:iCs/>
          <w:sz w:val="20"/>
          <w:szCs w:val="20"/>
        </w:rPr>
        <w:t xml:space="preserve"> </w:t>
      </w:r>
      <w:proofErr w:type="spellStart"/>
      <w:r w:rsidRPr="00D36F91">
        <w:rPr>
          <w:rFonts w:ascii="Garamond" w:hAnsi="Garamond" w:cs="TimesNewRomanPSMT"/>
          <w:i/>
          <w:iCs/>
          <w:sz w:val="20"/>
          <w:szCs w:val="20"/>
        </w:rPr>
        <w:t>Europe</w:t>
      </w:r>
      <w:proofErr w:type="spellEnd"/>
      <w:r w:rsidRPr="00D36F91">
        <w:rPr>
          <w:rFonts w:ascii="Garamond" w:hAnsi="Garamond" w:cs="TimesNewRomanPSMT"/>
          <w:i/>
          <w:iCs/>
          <w:sz w:val="20"/>
          <w:szCs w:val="20"/>
        </w:rPr>
        <w:t xml:space="preserve">. </w:t>
      </w:r>
      <w:r w:rsidRPr="00D36F91">
        <w:rPr>
          <w:rFonts w:ascii="Garamond" w:hAnsi="Garamond" w:cs="TimesNewRomanPSMT"/>
          <w:i/>
          <w:iCs/>
          <w:sz w:val="20"/>
          <w:szCs w:val="20"/>
          <w:lang w:val="en-US"/>
        </w:rPr>
        <w:t>European Union institutions no longer work. A radical financial and democratic settlement is needed</w:t>
      </w:r>
      <w:r w:rsidRPr="00D36F91">
        <w:rPr>
          <w:rFonts w:ascii="Garamond" w:hAnsi="Garamond" w:cs="TimesNewRomanPSMT"/>
          <w:sz w:val="20"/>
          <w:szCs w:val="20"/>
          <w:lang w:val="en-US"/>
        </w:rPr>
        <w:t xml:space="preserve">', in The Guardian, 2 May 2014, </w:t>
      </w:r>
      <w:proofErr w:type="spellStart"/>
      <w:r w:rsidRPr="00D36F91">
        <w:rPr>
          <w:rFonts w:ascii="Garamond" w:hAnsi="Garamond" w:cs="TimesNewRomanPSMT"/>
          <w:sz w:val="20"/>
          <w:szCs w:val="20"/>
          <w:lang w:val="en-US"/>
        </w:rPr>
        <w:t>reperibile</w:t>
      </w:r>
      <w:proofErr w:type="spellEnd"/>
      <w:r w:rsidRPr="00D36F91">
        <w:rPr>
          <w:rFonts w:ascii="Garamond" w:hAnsi="Garamond" w:cs="TimesNewRomanPSMT"/>
          <w:sz w:val="20"/>
          <w:szCs w:val="20"/>
          <w:lang w:val="en-US"/>
        </w:rPr>
        <w:t xml:space="preserve"> all’indirizzo:http://www.theguardian.com/commentisfree/2014/may/02/manifesto-europe-radical-financialdemocratic; </w:t>
      </w:r>
      <w:proofErr w:type="spellStart"/>
      <w:r w:rsidRPr="00D36F91">
        <w:rPr>
          <w:rFonts w:ascii="Garamond" w:hAnsi="Garamond" w:cs="TimesNewRomanPSMT"/>
          <w:sz w:val="20"/>
          <w:szCs w:val="20"/>
          <w:lang w:val="en-US"/>
        </w:rPr>
        <w:t>sul</w:t>
      </w:r>
      <w:proofErr w:type="spellEnd"/>
      <w:r w:rsidRPr="00D36F91">
        <w:rPr>
          <w:rFonts w:ascii="Garamond" w:hAnsi="Garamond" w:cs="TimesNewRomanPSMT"/>
          <w:sz w:val="20"/>
          <w:szCs w:val="20"/>
          <w:lang w:val="en-US"/>
        </w:rPr>
        <w:t xml:space="preserve"> </w:t>
      </w:r>
      <w:proofErr w:type="spellStart"/>
      <w:r w:rsidRPr="00D36F91">
        <w:rPr>
          <w:rFonts w:ascii="Garamond" w:hAnsi="Garamond" w:cs="TimesNewRomanPSMT"/>
          <w:sz w:val="20"/>
          <w:szCs w:val="20"/>
          <w:lang w:val="en-US"/>
        </w:rPr>
        <w:t>punto</w:t>
      </w:r>
      <w:proofErr w:type="spellEnd"/>
      <w:r w:rsidRPr="00D36F91">
        <w:rPr>
          <w:rFonts w:ascii="Garamond" w:hAnsi="Garamond" w:cs="TimesNewRomanPSMT"/>
          <w:sz w:val="20"/>
          <w:szCs w:val="20"/>
          <w:lang w:val="en-US"/>
        </w:rPr>
        <w:t xml:space="preserve"> </w:t>
      </w:r>
      <w:proofErr w:type="spellStart"/>
      <w:r w:rsidRPr="00D36F91">
        <w:rPr>
          <w:rFonts w:ascii="Garamond" w:hAnsi="Garamond" w:cs="TimesNewRomanPSMT"/>
          <w:sz w:val="20"/>
          <w:szCs w:val="20"/>
          <w:lang w:val="en-US"/>
        </w:rPr>
        <w:t>R.Dehousse</w:t>
      </w:r>
      <w:proofErr w:type="spellEnd"/>
      <w:r w:rsidRPr="00D36F91">
        <w:rPr>
          <w:rFonts w:ascii="Garamond" w:hAnsi="Garamond" w:cs="TimesNewRomanPSMT"/>
          <w:sz w:val="20"/>
          <w:szCs w:val="20"/>
          <w:lang w:val="en-US"/>
        </w:rPr>
        <w:t xml:space="preserve">, </w:t>
      </w:r>
      <w:proofErr w:type="spellStart"/>
      <w:r w:rsidRPr="00D36F91">
        <w:rPr>
          <w:rFonts w:ascii="Garamond" w:hAnsi="Garamond" w:cs="TimesNewRomanPSMT"/>
          <w:sz w:val="20"/>
          <w:szCs w:val="20"/>
          <w:lang w:val="en-US"/>
        </w:rPr>
        <w:t>Dehousse</w:t>
      </w:r>
      <w:proofErr w:type="spellEnd"/>
      <w:r w:rsidRPr="00D36F91">
        <w:rPr>
          <w:rFonts w:ascii="Garamond" w:hAnsi="Garamond" w:cs="TimesNewRomanPSMT"/>
          <w:sz w:val="20"/>
          <w:szCs w:val="20"/>
          <w:lang w:val="en-US"/>
        </w:rPr>
        <w:t xml:space="preserve">, R. (2012), Is the ‘Community Method’ still relevant?’, in </w:t>
      </w:r>
      <w:proofErr w:type="spellStart"/>
      <w:r w:rsidRPr="00D36F91">
        <w:rPr>
          <w:rFonts w:ascii="Garamond" w:hAnsi="Garamond" w:cs="TimesNewRomanPSMT"/>
          <w:sz w:val="20"/>
          <w:szCs w:val="20"/>
          <w:lang w:val="en-US"/>
        </w:rPr>
        <w:t>Pernice</w:t>
      </w:r>
      <w:proofErr w:type="spellEnd"/>
      <w:r w:rsidRPr="00D36F91">
        <w:rPr>
          <w:rFonts w:ascii="Garamond" w:hAnsi="Garamond" w:cs="TimesNewRomanPSMT"/>
          <w:sz w:val="20"/>
          <w:szCs w:val="20"/>
          <w:lang w:val="en-US"/>
        </w:rPr>
        <w:t xml:space="preserve"> et al, </w:t>
      </w:r>
      <w:r w:rsidRPr="00D36F91">
        <w:rPr>
          <w:rFonts w:ascii="Garamond" w:hAnsi="Garamond" w:cs="Times New Roman"/>
          <w:i/>
          <w:iCs/>
          <w:sz w:val="20"/>
          <w:szCs w:val="20"/>
          <w:lang w:val="en-US"/>
        </w:rPr>
        <w:t xml:space="preserve">Challenges of multi-tier governance in the European Union. </w:t>
      </w:r>
      <w:proofErr w:type="spellStart"/>
      <w:r w:rsidRPr="00D36F91">
        <w:rPr>
          <w:rFonts w:ascii="Garamond" w:hAnsi="Garamond" w:cs="Times New Roman"/>
          <w:i/>
          <w:iCs/>
          <w:sz w:val="20"/>
          <w:szCs w:val="20"/>
        </w:rPr>
        <w:t>Effectiveness</w:t>
      </w:r>
      <w:proofErr w:type="spellEnd"/>
      <w:r w:rsidRPr="00D36F91">
        <w:rPr>
          <w:rFonts w:ascii="Garamond" w:hAnsi="Garamond" w:cs="Times New Roman"/>
          <w:i/>
          <w:iCs/>
          <w:sz w:val="20"/>
          <w:szCs w:val="20"/>
        </w:rPr>
        <w:t xml:space="preserve">, </w:t>
      </w:r>
      <w:proofErr w:type="spellStart"/>
      <w:r w:rsidRPr="00D36F91">
        <w:rPr>
          <w:rFonts w:ascii="Garamond" w:hAnsi="Garamond" w:cs="Times New Roman"/>
          <w:i/>
          <w:iCs/>
          <w:sz w:val="20"/>
          <w:szCs w:val="20"/>
        </w:rPr>
        <w:t>efficiency</w:t>
      </w:r>
      <w:proofErr w:type="spellEnd"/>
      <w:r w:rsidRPr="00D36F91">
        <w:rPr>
          <w:rFonts w:ascii="Garamond" w:hAnsi="Garamond" w:cs="Times New Roman"/>
          <w:i/>
          <w:iCs/>
          <w:sz w:val="20"/>
          <w:szCs w:val="20"/>
        </w:rPr>
        <w:t xml:space="preserve"> and </w:t>
      </w:r>
      <w:proofErr w:type="spellStart"/>
      <w:r w:rsidRPr="00D36F91">
        <w:rPr>
          <w:rFonts w:ascii="Garamond" w:hAnsi="Garamond" w:cs="Times New Roman"/>
          <w:i/>
          <w:iCs/>
          <w:sz w:val="20"/>
          <w:szCs w:val="20"/>
        </w:rPr>
        <w:t>legitimacy</w:t>
      </w:r>
      <w:proofErr w:type="spellEnd"/>
      <w:r w:rsidRPr="00D36F91">
        <w:rPr>
          <w:rFonts w:ascii="Garamond" w:hAnsi="Garamond" w:cs="TimesNewRomanPSMT"/>
          <w:sz w:val="20"/>
          <w:szCs w:val="20"/>
        </w:rPr>
        <w:t xml:space="preserve">, </w:t>
      </w:r>
      <w:proofErr w:type="spellStart"/>
      <w:r w:rsidRPr="00D36F91">
        <w:rPr>
          <w:rFonts w:ascii="Garamond" w:hAnsi="Garamond" w:cs="TimesNewRomanPSMT"/>
          <w:sz w:val="20"/>
          <w:szCs w:val="20"/>
        </w:rPr>
        <w:t>European</w:t>
      </w:r>
      <w:proofErr w:type="spellEnd"/>
      <w:r w:rsidRPr="00D36F91">
        <w:rPr>
          <w:rFonts w:ascii="Garamond" w:hAnsi="Garamond" w:cs="TimesNewRomanPSMT"/>
          <w:sz w:val="20"/>
          <w:szCs w:val="20"/>
        </w:rPr>
        <w:t xml:space="preserve"> </w:t>
      </w:r>
      <w:proofErr w:type="spellStart"/>
      <w:r w:rsidRPr="00D36F91">
        <w:rPr>
          <w:rFonts w:ascii="Garamond" w:hAnsi="Garamond" w:cs="TimesNewRomanPSMT"/>
          <w:sz w:val="20"/>
          <w:szCs w:val="20"/>
        </w:rPr>
        <w:t>Parliament</w:t>
      </w:r>
      <w:proofErr w:type="spellEnd"/>
      <w:r w:rsidRPr="00D36F91">
        <w:rPr>
          <w:rFonts w:ascii="Garamond" w:hAnsi="Garamond" w:cs="TimesNewRomanPSMT"/>
          <w:sz w:val="20"/>
          <w:szCs w:val="20"/>
        </w:rPr>
        <w:t xml:space="preserve"> </w:t>
      </w:r>
      <w:proofErr w:type="spellStart"/>
      <w:r w:rsidRPr="00D36F91">
        <w:rPr>
          <w:rFonts w:ascii="Garamond" w:hAnsi="Garamond" w:cs="TimesNewRomanPSMT"/>
          <w:sz w:val="20"/>
          <w:szCs w:val="20"/>
        </w:rPr>
        <w:t>Directorate</w:t>
      </w:r>
      <w:proofErr w:type="spellEnd"/>
      <w:r w:rsidRPr="00D36F91">
        <w:rPr>
          <w:rFonts w:ascii="Garamond" w:hAnsi="Garamond" w:cs="TimesNewRomanPSMT"/>
          <w:sz w:val="20"/>
          <w:szCs w:val="20"/>
        </w:rPr>
        <w:t xml:space="preserve"> General,for,InternalPolicies,reperibile,all’indirizzo://www.europarl.europa.eu/activities/committees/studies.do?language=EN, p.92 e ss., ha evidenziato come la tutela dell’unitarietà del Parlamento in un contesto asimmetrico,rischi di indebolirne ulteriormente il ruolo a vantaggio dei Parlamenti nazionali, considerabili principale risorsa di legittimazione e rappresentanza.</w:t>
      </w:r>
    </w:p>
  </w:footnote>
  <w:footnote w:id="22">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Il,rapporto,presentato,il,</w:t>
      </w:r>
      <w:r w:rsidRPr="00D36F91">
        <w:rPr>
          <w:rFonts w:ascii="Garamond" w:hAnsi="Garamond" w:cs="TimesNewRomanPSMT"/>
          <w:sz w:val="20"/>
          <w:szCs w:val="20"/>
        </w:rPr>
        <w:t>17,Settembre,2012,è,reperibile,all’indirizzo:http://ec.europa.eu/dorie/cardPrint.do?locale=en&amp;cardId=1275685.</w:t>
      </w:r>
    </w:p>
  </w:footnote>
  <w:footnote w:id="23">
    <w:p w:rsidR="0005296D" w:rsidRPr="00D36F91" w:rsidRDefault="0005296D" w:rsidP="007D52DF">
      <w:pPr>
        <w:pStyle w:val="Testonotaapidipagina"/>
        <w:jc w:val="both"/>
        <w:rPr>
          <w:rFonts w:ascii="Garamond" w:hAnsi="Garamond"/>
        </w:rPr>
      </w:pPr>
      <w:r w:rsidRPr="00D36F91">
        <w:rPr>
          <w:rStyle w:val="Rimandonotaapidipagina"/>
          <w:rFonts w:ascii="Garamond" w:hAnsi="Garamond"/>
        </w:rPr>
        <w:footnoteRef/>
      </w:r>
      <w:r w:rsidRPr="00D36F91">
        <w:rPr>
          <w:rFonts w:ascii="Garamond" w:hAnsi="Garamond"/>
        </w:rPr>
        <w:t xml:space="preserve"> In questi termini </w:t>
      </w:r>
      <w:proofErr w:type="spellStart"/>
      <w:r w:rsidRPr="00D36F91">
        <w:rPr>
          <w:rFonts w:ascii="Garamond" w:hAnsi="Garamond"/>
        </w:rPr>
        <w:t>E.Griglio</w:t>
      </w:r>
      <w:proofErr w:type="spellEnd"/>
      <w:r w:rsidRPr="00D36F91">
        <w:rPr>
          <w:rFonts w:ascii="Garamond" w:hAnsi="Garamond"/>
        </w:rPr>
        <w:t xml:space="preserve">, </w:t>
      </w:r>
      <w:proofErr w:type="spellStart"/>
      <w:r w:rsidRPr="00D36F91">
        <w:rPr>
          <w:rFonts w:ascii="Garamond" w:hAnsi="Garamond"/>
        </w:rPr>
        <w:t>N.Lupo</w:t>
      </w:r>
      <w:proofErr w:type="spellEnd"/>
      <w:r w:rsidRPr="00D36F91">
        <w:rPr>
          <w:rFonts w:ascii="Garamond" w:hAnsi="Garamond"/>
        </w:rPr>
        <w:t>,</w:t>
      </w:r>
      <w:proofErr w:type="spellStart"/>
      <w:r w:rsidRPr="00D36F91">
        <w:rPr>
          <w:rFonts w:ascii="Garamond" w:hAnsi="Garamond" w:cs="Garamond"/>
          <w:i/>
          <w:iCs/>
        </w:rPr>
        <w:t>Towards</w:t>
      </w:r>
      <w:proofErr w:type="spellEnd"/>
      <w:r w:rsidRPr="00D36F91">
        <w:rPr>
          <w:rFonts w:ascii="Garamond" w:hAnsi="Garamond" w:cs="Garamond"/>
          <w:i/>
          <w:iCs/>
        </w:rPr>
        <w:t xml:space="preserve"> </w:t>
      </w:r>
      <w:proofErr w:type="spellStart"/>
      <w:r w:rsidRPr="00D36F91">
        <w:rPr>
          <w:rFonts w:ascii="Garamond" w:hAnsi="Garamond" w:cs="Garamond"/>
          <w:i/>
          <w:iCs/>
        </w:rPr>
        <w:t>an</w:t>
      </w:r>
      <w:proofErr w:type="spellEnd"/>
      <w:r w:rsidRPr="00D36F91">
        <w:rPr>
          <w:rFonts w:ascii="Garamond" w:hAnsi="Garamond" w:cs="Garamond"/>
          <w:i/>
          <w:iCs/>
        </w:rPr>
        <w:t xml:space="preserve"> </w:t>
      </w:r>
      <w:proofErr w:type="spellStart"/>
      <w:r w:rsidRPr="00D36F91">
        <w:rPr>
          <w:rFonts w:ascii="Garamond" w:hAnsi="Garamond" w:cs="Garamond"/>
          <w:i/>
          <w:iCs/>
        </w:rPr>
        <w:t>asymmetric</w:t>
      </w:r>
      <w:proofErr w:type="spellEnd"/>
      <w:r w:rsidRPr="00D36F91">
        <w:rPr>
          <w:rFonts w:ascii="Garamond" w:hAnsi="Garamond" w:cs="Garamond"/>
          <w:i/>
          <w:iCs/>
        </w:rPr>
        <w:t xml:space="preserve"> </w:t>
      </w:r>
      <w:proofErr w:type="spellStart"/>
      <w:r w:rsidRPr="00D36F91">
        <w:rPr>
          <w:rFonts w:ascii="Garamond" w:hAnsi="Garamond" w:cs="Garamond"/>
          <w:i/>
          <w:iCs/>
        </w:rPr>
        <w:t>european</w:t>
      </w:r>
      <w:proofErr w:type="spellEnd"/>
      <w:r w:rsidRPr="00D36F91">
        <w:rPr>
          <w:rFonts w:ascii="Garamond" w:hAnsi="Garamond" w:cs="Garamond"/>
          <w:i/>
          <w:iCs/>
        </w:rPr>
        <w:t xml:space="preserve"> </w:t>
      </w:r>
      <w:proofErr w:type="spellStart"/>
      <w:r w:rsidRPr="00D36F91">
        <w:rPr>
          <w:rFonts w:ascii="Garamond" w:hAnsi="Garamond" w:cs="Garamond"/>
          <w:i/>
          <w:iCs/>
        </w:rPr>
        <w:t>union</w:t>
      </w:r>
      <w:proofErr w:type="spellEnd"/>
      <w:r w:rsidRPr="00D36F91">
        <w:rPr>
          <w:rFonts w:ascii="Garamond" w:hAnsi="Garamond" w:cs="Garamond"/>
          <w:i/>
          <w:iCs/>
        </w:rPr>
        <w:t>,</w:t>
      </w:r>
      <w:proofErr w:type="spellStart"/>
      <w:r w:rsidRPr="00D36F91">
        <w:rPr>
          <w:rFonts w:ascii="Garamond" w:hAnsi="Garamond" w:cs="Garamond"/>
          <w:i/>
          <w:iCs/>
        </w:rPr>
        <w:t>without</w:t>
      </w:r>
      <w:proofErr w:type="spellEnd"/>
      <w:r w:rsidRPr="00D36F91">
        <w:rPr>
          <w:rFonts w:ascii="Garamond" w:hAnsi="Garamond" w:cs="Garamond"/>
          <w:i/>
          <w:iCs/>
        </w:rPr>
        <w:t xml:space="preserve"> </w:t>
      </w:r>
      <w:proofErr w:type="spellStart"/>
      <w:r w:rsidRPr="00D36F91">
        <w:rPr>
          <w:rFonts w:ascii="Garamond" w:hAnsi="Garamond" w:cs="Garamond"/>
          <w:i/>
          <w:iCs/>
        </w:rPr>
        <w:t>an</w:t>
      </w:r>
      <w:proofErr w:type="spellEnd"/>
      <w:r w:rsidRPr="00D36F91">
        <w:rPr>
          <w:rFonts w:ascii="Garamond" w:hAnsi="Garamond" w:cs="Garamond"/>
          <w:i/>
          <w:iCs/>
        </w:rPr>
        <w:t xml:space="preserve"> </w:t>
      </w:r>
      <w:proofErr w:type="spellStart"/>
      <w:r w:rsidRPr="00D36F91">
        <w:rPr>
          <w:rFonts w:ascii="Garamond" w:hAnsi="Garamond" w:cs="Garamond"/>
          <w:i/>
          <w:iCs/>
        </w:rPr>
        <w:t>asymmetric</w:t>
      </w:r>
      <w:proofErr w:type="spellEnd"/>
      <w:r w:rsidRPr="00D36F91">
        <w:rPr>
          <w:rFonts w:ascii="Garamond" w:hAnsi="Garamond" w:cs="Garamond"/>
          <w:i/>
          <w:iCs/>
        </w:rPr>
        <w:t xml:space="preserve"> </w:t>
      </w:r>
      <w:proofErr w:type="spellStart"/>
      <w:r w:rsidRPr="00D36F91">
        <w:rPr>
          <w:rFonts w:ascii="Garamond" w:hAnsi="Garamond" w:cs="Garamond"/>
          <w:i/>
          <w:iCs/>
        </w:rPr>
        <w:t>european</w:t>
      </w:r>
      <w:proofErr w:type="spellEnd"/>
      <w:r w:rsidRPr="00D36F91">
        <w:rPr>
          <w:rFonts w:ascii="Garamond" w:hAnsi="Garamond" w:cs="Garamond"/>
          <w:i/>
          <w:iCs/>
        </w:rPr>
        <w:t xml:space="preserve"> </w:t>
      </w:r>
      <w:proofErr w:type="spellStart"/>
      <w:r w:rsidRPr="00D36F91">
        <w:rPr>
          <w:rFonts w:ascii="Garamond" w:hAnsi="Garamond" w:cs="Garamond"/>
          <w:i/>
          <w:iCs/>
        </w:rPr>
        <w:t>parliament</w:t>
      </w:r>
      <w:proofErr w:type="spellEnd"/>
      <w:r w:rsidRPr="00D36F91">
        <w:rPr>
          <w:rFonts w:ascii="Garamond" w:hAnsi="Garamond" w:cs="Garamond"/>
        </w:rPr>
        <w:t xml:space="preserve">, </w:t>
      </w:r>
      <w:proofErr w:type="spellStart"/>
      <w:r w:rsidRPr="00D36F91">
        <w:rPr>
          <w:rFonts w:ascii="Garamond" w:hAnsi="Garamond" w:cs="Garamond"/>
        </w:rPr>
        <w:t>Working</w:t>
      </w:r>
      <w:proofErr w:type="spellEnd"/>
      <w:r w:rsidRPr="00D36F91">
        <w:rPr>
          <w:rFonts w:ascii="Garamond" w:hAnsi="Garamond" w:cs="Garamond"/>
        </w:rPr>
        <w:t xml:space="preserve"> </w:t>
      </w:r>
      <w:proofErr w:type="spellStart"/>
      <w:r w:rsidRPr="00D36F91">
        <w:rPr>
          <w:rFonts w:ascii="Garamond" w:hAnsi="Garamond" w:cs="Garamond"/>
        </w:rPr>
        <w:t>paper</w:t>
      </w:r>
      <w:proofErr w:type="spellEnd"/>
      <w:r w:rsidRPr="00D36F91">
        <w:rPr>
          <w:rFonts w:ascii="Garamond" w:hAnsi="Garamond" w:cs="Garamond"/>
        </w:rPr>
        <w:t xml:space="preserve"> n.20/2014, p.17-18, reperibile all’indirizzo: </w:t>
      </w:r>
      <w:hyperlink r:id="rId5" w:history="1">
        <w:r w:rsidRPr="00D36F91">
          <w:rPr>
            <w:rStyle w:val="Collegamentoipertestuale"/>
            <w:rFonts w:ascii="Garamond" w:hAnsi="Garamond" w:cs="Garamond"/>
          </w:rPr>
          <w:t>www.sog.luiss.it</w:t>
        </w:r>
      </w:hyperlink>
    </w:p>
  </w:footnote>
  <w:footnote w:id="24">
    <w:p w:rsidR="0005296D" w:rsidRPr="00D36F91" w:rsidRDefault="0005296D" w:rsidP="007D52DF">
      <w:pPr>
        <w:pStyle w:val="Testonotaapidipagina"/>
        <w:jc w:val="both"/>
        <w:rPr>
          <w:rFonts w:ascii="Garamond" w:hAnsi="Garamond"/>
        </w:rPr>
      </w:pPr>
      <w:r w:rsidRPr="00D36F91">
        <w:rPr>
          <w:rStyle w:val="Rimandonotaapidipagina"/>
          <w:rFonts w:ascii="Garamond" w:hAnsi="Garamond"/>
        </w:rPr>
        <w:footnoteRef/>
      </w:r>
      <w:r w:rsidRPr="00D36F91">
        <w:rPr>
          <w:rFonts w:ascii="Garamond" w:hAnsi="Garamond"/>
        </w:rPr>
        <w:t xml:space="preserve"> Cfr. </w:t>
      </w:r>
      <w:proofErr w:type="spellStart"/>
      <w:r w:rsidRPr="00D36F91">
        <w:rPr>
          <w:rFonts w:ascii="Garamond" w:hAnsi="Garamond"/>
        </w:rPr>
        <w:t>P.Craig</w:t>
      </w:r>
      <w:proofErr w:type="spellEnd"/>
      <w:r w:rsidRPr="00D36F91">
        <w:rPr>
          <w:rFonts w:ascii="Garamond" w:hAnsi="Garamond"/>
        </w:rPr>
        <w:t xml:space="preserve">, </w:t>
      </w:r>
      <w:r w:rsidRPr="00D36F91">
        <w:rPr>
          <w:rFonts w:ascii="Garamond" w:hAnsi="Garamond"/>
          <w:i/>
          <w:iCs/>
        </w:rPr>
        <w:t xml:space="preserve">The </w:t>
      </w:r>
      <w:proofErr w:type="spellStart"/>
      <w:r w:rsidRPr="00D36F91">
        <w:rPr>
          <w:rFonts w:ascii="Garamond" w:hAnsi="Garamond"/>
          <w:i/>
          <w:iCs/>
        </w:rPr>
        <w:t>finacial</w:t>
      </w:r>
      <w:proofErr w:type="spellEnd"/>
      <w:r w:rsidRPr="00D36F91">
        <w:rPr>
          <w:rFonts w:ascii="Garamond" w:hAnsi="Garamond"/>
          <w:i/>
          <w:iCs/>
        </w:rPr>
        <w:t xml:space="preserve"> </w:t>
      </w:r>
      <w:proofErr w:type="spellStart"/>
      <w:r w:rsidRPr="00D36F91">
        <w:rPr>
          <w:rFonts w:ascii="Garamond" w:hAnsi="Garamond"/>
          <w:i/>
          <w:iCs/>
        </w:rPr>
        <w:t>crisis</w:t>
      </w:r>
      <w:proofErr w:type="spellEnd"/>
      <w:r w:rsidRPr="00D36F91">
        <w:rPr>
          <w:rFonts w:ascii="Garamond" w:hAnsi="Garamond"/>
          <w:i/>
          <w:iCs/>
        </w:rPr>
        <w:t xml:space="preserve">, the </w:t>
      </w:r>
      <w:proofErr w:type="spellStart"/>
      <w:r w:rsidRPr="00D36F91">
        <w:rPr>
          <w:rFonts w:ascii="Garamond" w:hAnsi="Garamond"/>
          <w:i/>
          <w:iCs/>
        </w:rPr>
        <w:t>Eu</w:t>
      </w:r>
      <w:proofErr w:type="spellEnd"/>
      <w:r w:rsidRPr="00D36F91">
        <w:rPr>
          <w:rFonts w:ascii="Garamond" w:hAnsi="Garamond"/>
          <w:i/>
          <w:iCs/>
        </w:rPr>
        <w:t xml:space="preserve"> </w:t>
      </w:r>
      <w:proofErr w:type="spellStart"/>
      <w:r w:rsidRPr="00D36F91">
        <w:rPr>
          <w:rFonts w:ascii="Garamond" w:hAnsi="Garamond"/>
          <w:i/>
          <w:iCs/>
        </w:rPr>
        <w:t>Institutional</w:t>
      </w:r>
      <w:proofErr w:type="spellEnd"/>
      <w:r w:rsidRPr="00D36F91">
        <w:rPr>
          <w:rFonts w:ascii="Garamond" w:hAnsi="Garamond"/>
          <w:i/>
          <w:iCs/>
        </w:rPr>
        <w:t xml:space="preserve"> </w:t>
      </w:r>
      <w:proofErr w:type="spellStart"/>
      <w:r w:rsidRPr="00D36F91">
        <w:rPr>
          <w:rFonts w:ascii="Garamond" w:hAnsi="Garamond"/>
          <w:i/>
          <w:iCs/>
        </w:rPr>
        <w:t>Order</w:t>
      </w:r>
      <w:proofErr w:type="spellEnd"/>
      <w:r w:rsidRPr="00D36F91">
        <w:rPr>
          <w:rFonts w:ascii="Garamond" w:hAnsi="Garamond"/>
          <w:i/>
          <w:iCs/>
        </w:rPr>
        <w:t xml:space="preserve"> and </w:t>
      </w:r>
      <w:proofErr w:type="spellStart"/>
      <w:r w:rsidRPr="00D36F91">
        <w:rPr>
          <w:rFonts w:ascii="Garamond" w:hAnsi="Garamond"/>
          <w:i/>
          <w:iCs/>
        </w:rPr>
        <w:t>Constitutional</w:t>
      </w:r>
      <w:proofErr w:type="spellEnd"/>
      <w:r w:rsidRPr="00D36F91">
        <w:rPr>
          <w:rFonts w:ascii="Garamond" w:hAnsi="Garamond"/>
          <w:i/>
          <w:iCs/>
        </w:rPr>
        <w:t xml:space="preserve"> </w:t>
      </w:r>
      <w:proofErr w:type="spellStart"/>
      <w:r w:rsidRPr="00D36F91">
        <w:rPr>
          <w:rFonts w:ascii="Garamond" w:hAnsi="Garamond"/>
          <w:i/>
          <w:iCs/>
        </w:rPr>
        <w:t>Responsability</w:t>
      </w:r>
      <w:proofErr w:type="spellEnd"/>
      <w:r w:rsidRPr="00D36F91">
        <w:rPr>
          <w:rFonts w:ascii="Garamond" w:hAnsi="Garamond"/>
          <w:i/>
          <w:iCs/>
        </w:rPr>
        <w:t xml:space="preserve">, </w:t>
      </w:r>
      <w:proofErr w:type="spellStart"/>
      <w:r w:rsidRPr="00D36F91">
        <w:rPr>
          <w:rFonts w:ascii="Garamond" w:hAnsi="Garamond"/>
        </w:rPr>
        <w:t>Paper</w:t>
      </w:r>
      <w:proofErr w:type="spellEnd"/>
      <w:r w:rsidRPr="00D36F91">
        <w:rPr>
          <w:rFonts w:ascii="Garamond" w:hAnsi="Garamond"/>
        </w:rPr>
        <w:t xml:space="preserve"> 31 ottobre 2014 presentato al Fide </w:t>
      </w:r>
      <w:proofErr w:type="spellStart"/>
      <w:r w:rsidRPr="00D36F91">
        <w:rPr>
          <w:rFonts w:ascii="Garamond" w:hAnsi="Garamond"/>
        </w:rPr>
        <w:t>Conference</w:t>
      </w:r>
      <w:proofErr w:type="spellEnd"/>
      <w:r w:rsidRPr="00D36F91">
        <w:rPr>
          <w:rFonts w:ascii="Garamond" w:hAnsi="Garamond"/>
        </w:rPr>
        <w:t xml:space="preserve"> di Copenaghen nel 2014, reperibile al sito di ssrn.com, specie p.3 e ss</w:t>
      </w:r>
    </w:p>
  </w:footnote>
  <w:footnote w:id="25">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w:t>
      </w:r>
      <w:proofErr w:type="spellStart"/>
      <w:r w:rsidRPr="00D36F91">
        <w:rPr>
          <w:rFonts w:ascii="Garamond" w:hAnsi="Garamond"/>
          <w:sz w:val="20"/>
          <w:szCs w:val="20"/>
        </w:rPr>
        <w:t>Cfr.A.Maurer</w:t>
      </w:r>
      <w:proofErr w:type="spellEnd"/>
      <w:r w:rsidRPr="00D36F91">
        <w:rPr>
          <w:rFonts w:ascii="Garamond" w:hAnsi="Garamond"/>
          <w:sz w:val="20"/>
          <w:szCs w:val="20"/>
        </w:rPr>
        <w:t xml:space="preserve">, </w:t>
      </w:r>
      <w:proofErr w:type="spellStart"/>
      <w:r w:rsidRPr="00D36F91">
        <w:rPr>
          <w:rFonts w:ascii="Garamond" w:hAnsi="Garamond"/>
          <w:i/>
          <w:iCs/>
          <w:sz w:val="20"/>
          <w:szCs w:val="20"/>
        </w:rPr>
        <w:t>From</w:t>
      </w:r>
      <w:proofErr w:type="spellEnd"/>
      <w:r w:rsidRPr="00D36F91">
        <w:rPr>
          <w:rFonts w:ascii="Garamond" w:hAnsi="Garamond"/>
          <w:i/>
          <w:iCs/>
          <w:sz w:val="20"/>
          <w:szCs w:val="20"/>
        </w:rPr>
        <w:t xml:space="preserve"> Emu </w:t>
      </w:r>
      <w:proofErr w:type="spellStart"/>
      <w:r w:rsidRPr="00D36F91">
        <w:rPr>
          <w:rFonts w:ascii="Garamond" w:hAnsi="Garamond"/>
          <w:i/>
          <w:iCs/>
          <w:sz w:val="20"/>
          <w:szCs w:val="20"/>
        </w:rPr>
        <w:t>to</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Demu</w:t>
      </w:r>
      <w:proofErr w:type="spellEnd"/>
      <w:r w:rsidRPr="00D36F91">
        <w:rPr>
          <w:rFonts w:ascii="Garamond" w:hAnsi="Garamond"/>
          <w:sz w:val="20"/>
          <w:szCs w:val="20"/>
        </w:rPr>
        <w:t xml:space="preserve">, cit., p.9-10; l’obiezione si richiama la  c.d. West </w:t>
      </w:r>
      <w:proofErr w:type="spellStart"/>
      <w:r w:rsidRPr="00D36F91">
        <w:rPr>
          <w:rFonts w:ascii="Garamond" w:hAnsi="Garamond"/>
          <w:sz w:val="20"/>
          <w:szCs w:val="20"/>
        </w:rPr>
        <w:t>lothian</w:t>
      </w:r>
      <w:proofErr w:type="spellEnd"/>
      <w:r w:rsidRPr="00D36F91">
        <w:rPr>
          <w:rFonts w:ascii="Garamond" w:hAnsi="Garamond"/>
          <w:sz w:val="20"/>
          <w:szCs w:val="20"/>
        </w:rPr>
        <w:t xml:space="preserve"> </w:t>
      </w:r>
      <w:proofErr w:type="spellStart"/>
      <w:r w:rsidRPr="00D36F91">
        <w:rPr>
          <w:rFonts w:ascii="Garamond" w:hAnsi="Garamond"/>
          <w:sz w:val="20"/>
          <w:szCs w:val="20"/>
        </w:rPr>
        <w:t>question</w:t>
      </w:r>
      <w:proofErr w:type="spellEnd"/>
      <w:r w:rsidRPr="00D36F91">
        <w:rPr>
          <w:rFonts w:ascii="Garamond" w:hAnsi="Garamond"/>
          <w:sz w:val="20"/>
          <w:szCs w:val="20"/>
        </w:rPr>
        <w:t xml:space="preserve"> relativa all’esercizio o meno del diritto di voto nella Camera dei Comuni, da parte di membri eletti nell’Irlanda del Nord, Scozia e Galles, su questioni che riguardano solo l’Inghilterra; sul punto cfr.</w:t>
      </w:r>
      <w:r w:rsidRPr="00D36F91">
        <w:rPr>
          <w:rFonts w:ascii="Garamond" w:hAnsi="Garamond" w:cs="TimesNewRomanPSMT"/>
          <w:sz w:val="20"/>
          <w:szCs w:val="20"/>
        </w:rPr>
        <w:t xml:space="preserve"> </w:t>
      </w:r>
      <w:proofErr w:type="spellStart"/>
      <w:r w:rsidRPr="00D36F91">
        <w:rPr>
          <w:rFonts w:ascii="Garamond" w:hAnsi="Garamond" w:cs="TimesNewRomanPSMT"/>
          <w:sz w:val="20"/>
          <w:szCs w:val="20"/>
        </w:rPr>
        <w:t>C.Fasone</w:t>
      </w:r>
      <w:proofErr w:type="spellEnd"/>
      <w:r w:rsidRPr="00D36F91">
        <w:rPr>
          <w:rFonts w:ascii="Garamond" w:hAnsi="Garamond" w:cs="TimesNewRomanPSMT"/>
          <w:sz w:val="20"/>
          <w:szCs w:val="20"/>
        </w:rPr>
        <w:t xml:space="preserve">, </w:t>
      </w:r>
      <w:r w:rsidRPr="004D79EF">
        <w:rPr>
          <w:rFonts w:ascii="Garamond" w:hAnsi="Garamond" w:cs="TimesNewRomanPSMT"/>
          <w:i/>
          <w:iCs/>
          <w:sz w:val="20"/>
          <w:szCs w:val="20"/>
        </w:rPr>
        <w:t>Il parlamento europeo nell'Unione asimmetric</w:t>
      </w:r>
      <w:r>
        <w:rPr>
          <w:rFonts w:ascii="Garamond" w:hAnsi="Garamond" w:cs="TimesNewRomanPSMT"/>
          <w:i/>
          <w:iCs/>
          <w:sz w:val="20"/>
          <w:szCs w:val="20"/>
        </w:rPr>
        <w:t>a,</w:t>
      </w:r>
      <w:r w:rsidRPr="00D36F91">
        <w:rPr>
          <w:rFonts w:ascii="Garamond" w:hAnsi="Garamond" w:cs="TimesNewRomanPSMT"/>
          <w:sz w:val="20"/>
          <w:szCs w:val="20"/>
        </w:rPr>
        <w:t xml:space="preserve">, in </w:t>
      </w:r>
      <w:proofErr w:type="spellStart"/>
      <w:r>
        <w:rPr>
          <w:rFonts w:ascii="Garamond" w:hAnsi="Garamond" w:cs="TimesNewRomanPSMT"/>
          <w:sz w:val="20"/>
          <w:szCs w:val="20"/>
        </w:rPr>
        <w:t>A.</w:t>
      </w:r>
      <w:r w:rsidRPr="00D36F91">
        <w:rPr>
          <w:rFonts w:ascii="Garamond" w:hAnsi="Garamond" w:cs="TimesNewRomanPSMT"/>
          <w:sz w:val="20"/>
          <w:szCs w:val="20"/>
        </w:rPr>
        <w:t>Manzella</w:t>
      </w:r>
      <w:proofErr w:type="spellEnd"/>
      <w:r>
        <w:rPr>
          <w:rFonts w:ascii="Garamond" w:hAnsi="Garamond" w:cs="TimesNewRomanPSMT"/>
          <w:sz w:val="20"/>
          <w:szCs w:val="20"/>
        </w:rPr>
        <w:t xml:space="preserve">, </w:t>
      </w:r>
      <w:proofErr w:type="spellStart"/>
      <w:r>
        <w:rPr>
          <w:rFonts w:ascii="Garamond" w:hAnsi="Garamond" w:cs="TimesNewRomanPSMT"/>
          <w:sz w:val="20"/>
          <w:szCs w:val="20"/>
        </w:rPr>
        <w:t>N.</w:t>
      </w:r>
      <w:r w:rsidRPr="00D36F91">
        <w:rPr>
          <w:rFonts w:ascii="Garamond" w:hAnsi="Garamond" w:cs="TimesNewRomanPSMT"/>
          <w:sz w:val="20"/>
          <w:szCs w:val="20"/>
        </w:rPr>
        <w:t>Lupo</w:t>
      </w:r>
      <w:proofErr w:type="spellEnd"/>
      <w:r w:rsidRPr="00D36F91">
        <w:rPr>
          <w:rFonts w:ascii="Garamond" w:hAnsi="Garamond" w:cs="TimesNewRomanPSMT"/>
          <w:sz w:val="20"/>
          <w:szCs w:val="20"/>
        </w:rPr>
        <w:t>(</w:t>
      </w:r>
      <w:r>
        <w:rPr>
          <w:rFonts w:ascii="Garamond" w:hAnsi="Garamond" w:cs="TimesNewRomanPSMT"/>
          <w:sz w:val="20"/>
          <w:szCs w:val="20"/>
        </w:rPr>
        <w:t>a cura di)</w:t>
      </w:r>
      <w:r w:rsidRPr="00D36F91">
        <w:rPr>
          <w:rFonts w:ascii="Garamond" w:hAnsi="Garamond" w:cs="TimesNewRomanPSMT"/>
          <w:sz w:val="20"/>
          <w:szCs w:val="20"/>
        </w:rPr>
        <w:t xml:space="preserve">, </w:t>
      </w:r>
      <w:r w:rsidRPr="00D36F91">
        <w:rPr>
          <w:rFonts w:ascii="Garamond" w:hAnsi="Garamond" w:cs="Times New Roman"/>
          <w:i/>
          <w:iCs/>
          <w:sz w:val="20"/>
          <w:szCs w:val="20"/>
        </w:rPr>
        <w:t xml:space="preserve">Il sistema parlamentare euro-nazionale. Lezioni, </w:t>
      </w:r>
      <w:r w:rsidRPr="00D36F91">
        <w:rPr>
          <w:rFonts w:ascii="Garamond" w:hAnsi="Garamond" w:cs="TimesNewRomanPSMT"/>
          <w:sz w:val="20"/>
          <w:szCs w:val="20"/>
        </w:rPr>
        <w:t xml:space="preserve">Torino, </w:t>
      </w:r>
      <w:proofErr w:type="spellStart"/>
      <w:r w:rsidRPr="00D36F91">
        <w:rPr>
          <w:rFonts w:ascii="Garamond" w:hAnsi="Garamond" w:cs="TimesNewRomanPSMT"/>
          <w:sz w:val="20"/>
          <w:szCs w:val="20"/>
        </w:rPr>
        <w:t>Giappichelli</w:t>
      </w:r>
      <w:proofErr w:type="spellEnd"/>
      <w:r w:rsidRPr="00D36F91">
        <w:rPr>
          <w:rFonts w:ascii="Garamond" w:hAnsi="Garamond" w:cs="TimesNewRomanPSMT"/>
          <w:sz w:val="20"/>
          <w:szCs w:val="20"/>
        </w:rPr>
        <w:t>, 2014</w:t>
      </w:r>
    </w:p>
  </w:footnote>
  <w:footnote w:id="26">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w:t>
      </w:r>
      <w:proofErr w:type="spellStart"/>
      <w:r w:rsidRPr="00D36F91">
        <w:rPr>
          <w:rFonts w:ascii="Garamond" w:hAnsi="Garamond"/>
          <w:sz w:val="20"/>
          <w:szCs w:val="20"/>
        </w:rPr>
        <w:t>Cfr.G.L.Tosato</w:t>
      </w:r>
      <w:proofErr w:type="spellEnd"/>
      <w:r w:rsidRPr="00D36F91">
        <w:rPr>
          <w:rFonts w:ascii="Garamond" w:hAnsi="Garamond"/>
          <w:sz w:val="20"/>
          <w:szCs w:val="20"/>
        </w:rPr>
        <w:t xml:space="preserve">, </w:t>
      </w:r>
      <w:r w:rsidRPr="00D36F91">
        <w:rPr>
          <w:rFonts w:ascii="Garamond" w:hAnsi="Garamond" w:cs="SimonciniGaramond"/>
          <w:i/>
          <w:iCs/>
          <w:sz w:val="20"/>
          <w:szCs w:val="20"/>
        </w:rPr>
        <w:t>Asimmetrie e dilemmi istituzionali tra Ue ed Eurozona:la Ue a due velocità</w:t>
      </w:r>
      <w:r w:rsidRPr="00D36F91">
        <w:rPr>
          <w:rFonts w:ascii="Garamond" w:hAnsi="Garamond" w:cs="SimonciniGaramond"/>
          <w:sz w:val="20"/>
          <w:szCs w:val="20"/>
        </w:rPr>
        <w:t xml:space="preserve">, </w:t>
      </w:r>
      <w:r w:rsidRPr="00D36F91">
        <w:rPr>
          <w:rFonts w:ascii="Garamond" w:hAnsi="Garamond" w:cs="SimonciniGaramond-Italic"/>
          <w:i/>
          <w:iCs/>
          <w:sz w:val="20"/>
          <w:szCs w:val="20"/>
        </w:rPr>
        <w:t>cit. p.315 e ss.</w:t>
      </w:r>
    </w:p>
  </w:footnote>
  <w:footnote w:id="27">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Cfr.</w:t>
      </w:r>
      <w:r w:rsidRPr="00D36F91">
        <w:rPr>
          <w:rFonts w:ascii="Garamond" w:hAnsi="Garamond" w:cs="TimesNewRomanPSMT"/>
          <w:sz w:val="20"/>
          <w:szCs w:val="20"/>
        </w:rPr>
        <w:t xml:space="preserve"> </w:t>
      </w:r>
      <w:proofErr w:type="spellStart"/>
      <w:r w:rsidRPr="00D36F91">
        <w:rPr>
          <w:rFonts w:ascii="Garamond" w:hAnsi="Garamond" w:cs="TimesNewRomanPSMT"/>
          <w:sz w:val="20"/>
          <w:szCs w:val="20"/>
        </w:rPr>
        <w:t>G.Martinico</w:t>
      </w:r>
      <w:proofErr w:type="spellEnd"/>
      <w:r w:rsidRPr="00D36F91">
        <w:rPr>
          <w:rFonts w:ascii="Garamond" w:hAnsi="Garamond" w:cs="TimesNewRomanPSMT"/>
          <w:sz w:val="20"/>
          <w:szCs w:val="20"/>
        </w:rPr>
        <w:t xml:space="preserve">, </w:t>
      </w:r>
      <w:r w:rsidRPr="00D36F91">
        <w:rPr>
          <w:rFonts w:ascii="Garamond" w:hAnsi="Garamond" w:cs="TimesNewRomanPSMT"/>
          <w:i/>
          <w:iCs/>
          <w:sz w:val="20"/>
          <w:szCs w:val="20"/>
        </w:rPr>
        <w:t>L'art. 13 del Fiscal Compact e il ruolo dei parlamenti nel sistema multilivello</w:t>
      </w:r>
      <w:r w:rsidRPr="00D36F91">
        <w:rPr>
          <w:rFonts w:ascii="Garamond" w:hAnsi="Garamond" w:cs="TimesNewRomanPSMT"/>
          <w:sz w:val="20"/>
          <w:szCs w:val="20"/>
        </w:rPr>
        <w:t xml:space="preserve">, in Bonvicini, G. - </w:t>
      </w:r>
      <w:proofErr w:type="spellStart"/>
      <w:r w:rsidRPr="00D36F91">
        <w:rPr>
          <w:rFonts w:ascii="Garamond" w:hAnsi="Garamond" w:cs="TimesNewRomanPSMT"/>
          <w:sz w:val="20"/>
          <w:szCs w:val="20"/>
        </w:rPr>
        <w:t>Brugnoli</w:t>
      </w:r>
      <w:proofErr w:type="spellEnd"/>
      <w:r w:rsidRPr="00D36F91">
        <w:rPr>
          <w:rFonts w:ascii="Garamond" w:hAnsi="Garamond" w:cs="TimesNewRomanPSMT"/>
          <w:sz w:val="20"/>
          <w:szCs w:val="20"/>
        </w:rPr>
        <w:t>, F. (</w:t>
      </w:r>
      <w:proofErr w:type="spellStart"/>
      <w:r w:rsidRPr="00D36F91">
        <w:rPr>
          <w:rFonts w:ascii="Garamond" w:hAnsi="Garamond" w:cs="TimesNewRomanPSMT"/>
          <w:sz w:val="20"/>
          <w:szCs w:val="20"/>
        </w:rPr>
        <w:t>eds</w:t>
      </w:r>
      <w:proofErr w:type="spellEnd"/>
      <w:r w:rsidRPr="00D36F91">
        <w:rPr>
          <w:rFonts w:ascii="Garamond" w:hAnsi="Garamond" w:cs="TimesNewRomanPSMT"/>
          <w:sz w:val="20"/>
          <w:szCs w:val="20"/>
        </w:rPr>
        <w:t xml:space="preserve">.), </w:t>
      </w:r>
      <w:r w:rsidRPr="00D36F91">
        <w:rPr>
          <w:rFonts w:ascii="Garamond" w:hAnsi="Garamond" w:cs="Times New Roman"/>
          <w:i/>
          <w:iCs/>
          <w:sz w:val="20"/>
          <w:szCs w:val="20"/>
        </w:rPr>
        <w:t>Il Fiscal Compact</w:t>
      </w:r>
      <w:r w:rsidRPr="00D36F91">
        <w:rPr>
          <w:rFonts w:ascii="Garamond" w:hAnsi="Garamond" w:cs="TimesNewRomanPSMT"/>
          <w:sz w:val="20"/>
          <w:szCs w:val="20"/>
        </w:rPr>
        <w:t>, Roma, Edizioni Nuova Cultura, 2013</w:t>
      </w:r>
    </w:p>
  </w:footnote>
  <w:footnote w:id="28">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Cfr. A. Esposito, </w:t>
      </w:r>
      <w:r w:rsidRPr="00D36F91">
        <w:rPr>
          <w:rFonts w:ascii="Garamond" w:hAnsi="Garamond" w:cs="Arial,Italic"/>
          <w:i/>
          <w:iCs/>
          <w:sz w:val="20"/>
          <w:szCs w:val="20"/>
        </w:rPr>
        <w:t>La cooperazione interparlamentare: principi, strumenti e prospettive</w:t>
      </w:r>
      <w:r w:rsidRPr="00D36F91">
        <w:rPr>
          <w:rFonts w:ascii="Garamond" w:hAnsi="Garamond"/>
          <w:sz w:val="20"/>
          <w:szCs w:val="20"/>
        </w:rPr>
        <w:t xml:space="preserve">,in A. </w:t>
      </w:r>
      <w:proofErr w:type="spellStart"/>
      <w:r w:rsidRPr="00D36F91">
        <w:rPr>
          <w:rFonts w:ascii="Garamond" w:hAnsi="Garamond"/>
          <w:sz w:val="20"/>
          <w:szCs w:val="20"/>
        </w:rPr>
        <w:t>Manzella</w:t>
      </w:r>
      <w:proofErr w:type="spellEnd"/>
      <w:r w:rsidRPr="00D36F91">
        <w:rPr>
          <w:rFonts w:ascii="Garamond" w:hAnsi="Garamond"/>
          <w:sz w:val="20"/>
          <w:szCs w:val="20"/>
        </w:rPr>
        <w:t xml:space="preserve">, N. Lupo (a cura di), </w:t>
      </w:r>
      <w:r w:rsidRPr="00D36F91">
        <w:rPr>
          <w:rFonts w:ascii="Garamond" w:hAnsi="Garamond" w:cs="Arial,Italic"/>
          <w:i/>
          <w:iCs/>
          <w:sz w:val="20"/>
          <w:szCs w:val="20"/>
        </w:rPr>
        <w:t xml:space="preserve">Il sistema parlamentare </w:t>
      </w:r>
      <w:proofErr w:type="spellStart"/>
      <w:r w:rsidRPr="00D36F91">
        <w:rPr>
          <w:rFonts w:ascii="Garamond" w:hAnsi="Garamond" w:cs="Arial,Italic"/>
          <w:i/>
          <w:iCs/>
          <w:sz w:val="20"/>
          <w:szCs w:val="20"/>
        </w:rPr>
        <w:t>euro-nazionale.Lezioni</w:t>
      </w:r>
      <w:proofErr w:type="spellEnd"/>
      <w:r w:rsidRPr="00D36F91">
        <w:rPr>
          <w:rFonts w:ascii="Garamond" w:hAnsi="Garamond"/>
          <w:sz w:val="20"/>
          <w:szCs w:val="20"/>
        </w:rPr>
        <w:t xml:space="preserve">, </w:t>
      </w:r>
      <w:proofErr w:type="spellStart"/>
      <w:r w:rsidRPr="00D36F91">
        <w:rPr>
          <w:rFonts w:ascii="Garamond" w:hAnsi="Garamond"/>
          <w:sz w:val="20"/>
          <w:szCs w:val="20"/>
        </w:rPr>
        <w:t>Giappichelli</w:t>
      </w:r>
      <w:proofErr w:type="spellEnd"/>
      <w:r w:rsidRPr="00D36F91">
        <w:rPr>
          <w:rFonts w:ascii="Garamond" w:hAnsi="Garamond"/>
          <w:sz w:val="20"/>
          <w:szCs w:val="20"/>
        </w:rPr>
        <w:t>, Torino, p. 133-182</w:t>
      </w:r>
    </w:p>
  </w:footnote>
  <w:footnote w:id="29">
    <w:p w:rsidR="0005296D" w:rsidRPr="00D36F91"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w:t>
      </w:r>
      <w:proofErr w:type="spellStart"/>
      <w:r w:rsidRPr="00D36F91">
        <w:rPr>
          <w:rFonts w:ascii="Garamond" w:hAnsi="Garamond"/>
          <w:sz w:val="20"/>
          <w:szCs w:val="20"/>
        </w:rPr>
        <w:t>Cfr.N.Lupo</w:t>
      </w:r>
      <w:proofErr w:type="spellEnd"/>
      <w:r w:rsidRPr="00D36F91">
        <w:rPr>
          <w:rFonts w:ascii="Garamond" w:hAnsi="Garamond"/>
          <w:sz w:val="20"/>
          <w:szCs w:val="20"/>
        </w:rPr>
        <w:t>,</w:t>
      </w:r>
      <w:r w:rsidRPr="00D36F91">
        <w:rPr>
          <w:rFonts w:ascii="Garamond" w:hAnsi="Garamond" w:cs="Arial,Bold"/>
          <w:b/>
          <w:bCs/>
          <w:sz w:val="20"/>
          <w:szCs w:val="20"/>
        </w:rPr>
        <w:t xml:space="preserve"> </w:t>
      </w:r>
      <w:r w:rsidRPr="00D36F91">
        <w:rPr>
          <w:rFonts w:ascii="Garamond" w:hAnsi="Garamond" w:cs="Arial,Bold"/>
          <w:i/>
          <w:iCs/>
          <w:sz w:val="20"/>
          <w:szCs w:val="20"/>
        </w:rPr>
        <w:t>Parlamento europeo e Parlamenti nazionali nella Costituzione “composita” nell’Ue: le diverse letture possibili,</w:t>
      </w:r>
      <w:r w:rsidRPr="00D36F91">
        <w:rPr>
          <w:rFonts w:ascii="Garamond" w:hAnsi="Garamond" w:cs="Arial,Bold"/>
          <w:b/>
          <w:bCs/>
          <w:sz w:val="20"/>
          <w:szCs w:val="20"/>
        </w:rPr>
        <w:t xml:space="preserve"> cit. p.7</w:t>
      </w:r>
    </w:p>
  </w:footnote>
  <w:footnote w:id="30">
    <w:p w:rsidR="0005296D" w:rsidRPr="00D36F91" w:rsidRDefault="0005296D" w:rsidP="007D52DF">
      <w:pPr>
        <w:pStyle w:val="Testonotaapidipagina"/>
        <w:jc w:val="both"/>
        <w:rPr>
          <w:rFonts w:ascii="Garamond" w:hAnsi="Garamond"/>
        </w:rPr>
      </w:pPr>
      <w:r w:rsidRPr="00D36F91">
        <w:rPr>
          <w:rStyle w:val="Rimandonotaapidipagina"/>
          <w:rFonts w:ascii="Garamond" w:hAnsi="Garamond"/>
        </w:rPr>
        <w:footnoteRef/>
      </w:r>
      <w:r w:rsidRPr="00D36F91">
        <w:rPr>
          <w:rFonts w:ascii="Garamond" w:hAnsi="Garamond"/>
        </w:rPr>
        <w:t xml:space="preserve"> Cfr. A. Esposito, </w:t>
      </w:r>
      <w:r w:rsidRPr="00D36F91">
        <w:rPr>
          <w:rFonts w:ascii="Garamond" w:hAnsi="Garamond" w:cs="Arial,Italic"/>
          <w:i/>
          <w:iCs/>
        </w:rPr>
        <w:t>La cooperazione interparlamentare: principi, strumenti e prospettive</w:t>
      </w:r>
      <w:r w:rsidRPr="00D36F91">
        <w:rPr>
          <w:rFonts w:ascii="Garamond" w:hAnsi="Garamond"/>
        </w:rPr>
        <w:t>,cit., p.160 e ss</w:t>
      </w:r>
    </w:p>
  </w:footnote>
  <w:footnote w:id="31">
    <w:p w:rsidR="0005296D" w:rsidRPr="00BF3FA0" w:rsidRDefault="0005296D" w:rsidP="007D52DF">
      <w:pPr>
        <w:autoSpaceDE w:val="0"/>
        <w:autoSpaceDN w:val="0"/>
        <w:adjustRightInd w:val="0"/>
        <w:spacing w:after="0" w:line="240" w:lineRule="auto"/>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w:t>
      </w:r>
      <w:proofErr w:type="spellStart"/>
      <w:r w:rsidRPr="00D36F91">
        <w:rPr>
          <w:rFonts w:ascii="Garamond" w:hAnsi="Garamond"/>
          <w:sz w:val="20"/>
          <w:szCs w:val="20"/>
        </w:rPr>
        <w:t>Cfr.N.Lupo</w:t>
      </w:r>
      <w:proofErr w:type="spellEnd"/>
      <w:r w:rsidRPr="00D36F91">
        <w:rPr>
          <w:rFonts w:ascii="Garamond" w:hAnsi="Garamond"/>
          <w:i/>
          <w:iCs/>
          <w:sz w:val="20"/>
          <w:szCs w:val="20"/>
        </w:rPr>
        <w:t xml:space="preserve">, La Conferenza interparlamentare sulla </w:t>
      </w:r>
      <w:proofErr w:type="spellStart"/>
      <w:r w:rsidRPr="00D36F91">
        <w:rPr>
          <w:rFonts w:ascii="Garamond" w:hAnsi="Garamond"/>
          <w:i/>
          <w:iCs/>
          <w:sz w:val="20"/>
          <w:szCs w:val="20"/>
        </w:rPr>
        <w:t>governance</w:t>
      </w:r>
      <w:proofErr w:type="spellEnd"/>
      <w:r w:rsidRPr="00D36F91">
        <w:rPr>
          <w:rFonts w:ascii="Garamond" w:hAnsi="Garamond"/>
          <w:i/>
          <w:iCs/>
          <w:sz w:val="20"/>
          <w:szCs w:val="20"/>
        </w:rPr>
        <w:t xml:space="preserve"> economica e finanziaria: la deludente attuazione dell’art.13 del Fiscal Compact, </w:t>
      </w:r>
      <w:r w:rsidRPr="00D36F91">
        <w:rPr>
          <w:rFonts w:ascii="Garamond" w:hAnsi="Garamond"/>
          <w:sz w:val="20"/>
          <w:szCs w:val="20"/>
        </w:rPr>
        <w:t>in Quaderni Costituzionali, n.1</w:t>
      </w:r>
      <w:r>
        <w:rPr>
          <w:rFonts w:ascii="Garamond" w:hAnsi="Garamond"/>
          <w:sz w:val="20"/>
          <w:szCs w:val="20"/>
        </w:rPr>
        <w:t>/2014</w:t>
      </w:r>
      <w:r w:rsidRPr="00D36F91">
        <w:rPr>
          <w:rFonts w:ascii="Garamond" w:hAnsi="Garamond"/>
          <w:sz w:val="20"/>
          <w:szCs w:val="20"/>
        </w:rPr>
        <w:t xml:space="preserve">, p.113 e ss; V. </w:t>
      </w:r>
      <w:proofErr w:type="spellStart"/>
      <w:r w:rsidRPr="00D36F91">
        <w:rPr>
          <w:rFonts w:ascii="Garamond" w:hAnsi="Garamond"/>
          <w:sz w:val="20"/>
          <w:szCs w:val="20"/>
        </w:rPr>
        <w:t>Kreilinger</w:t>
      </w:r>
      <w:proofErr w:type="spellEnd"/>
      <w:r w:rsidRPr="00D36F91">
        <w:rPr>
          <w:rFonts w:ascii="Garamond" w:hAnsi="Garamond"/>
          <w:sz w:val="20"/>
          <w:szCs w:val="20"/>
        </w:rPr>
        <w:t xml:space="preserve">, </w:t>
      </w:r>
      <w:r w:rsidRPr="00D36F91">
        <w:rPr>
          <w:rFonts w:ascii="Garamond" w:hAnsi="Garamond" w:cs="Arial,Italic"/>
          <w:i/>
          <w:iCs/>
          <w:sz w:val="20"/>
          <w:szCs w:val="20"/>
        </w:rPr>
        <w:t xml:space="preserve">The </w:t>
      </w:r>
      <w:proofErr w:type="spellStart"/>
      <w:r w:rsidRPr="00D36F91">
        <w:rPr>
          <w:rFonts w:ascii="Garamond" w:hAnsi="Garamond" w:cs="Arial,Italic"/>
          <w:i/>
          <w:iCs/>
          <w:sz w:val="20"/>
          <w:szCs w:val="20"/>
        </w:rPr>
        <w:t>new</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Inter-parliamentary</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Conference</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for</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economic</w:t>
      </w:r>
      <w:proofErr w:type="spellEnd"/>
      <w:r w:rsidRPr="00D36F91">
        <w:rPr>
          <w:rFonts w:ascii="Garamond" w:hAnsi="Garamond" w:cs="Arial,Italic"/>
          <w:i/>
          <w:iCs/>
          <w:sz w:val="20"/>
          <w:szCs w:val="20"/>
        </w:rPr>
        <w:t xml:space="preserve"> and </w:t>
      </w:r>
      <w:proofErr w:type="spellStart"/>
      <w:r w:rsidRPr="00D36F91">
        <w:rPr>
          <w:rFonts w:ascii="Garamond" w:hAnsi="Garamond" w:cs="Arial,Italic"/>
          <w:i/>
          <w:iCs/>
          <w:sz w:val="20"/>
          <w:szCs w:val="20"/>
        </w:rPr>
        <w:t>financial</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governance</w:t>
      </w:r>
      <w:proofErr w:type="spellEnd"/>
      <w:r w:rsidRPr="00D36F91">
        <w:rPr>
          <w:rFonts w:ascii="Garamond" w:hAnsi="Garamond"/>
          <w:sz w:val="20"/>
          <w:szCs w:val="20"/>
        </w:rPr>
        <w:t xml:space="preserve">,in </w:t>
      </w:r>
      <w:proofErr w:type="spellStart"/>
      <w:r w:rsidRPr="00D36F91">
        <w:rPr>
          <w:rFonts w:ascii="Garamond" w:hAnsi="Garamond" w:cs="Arial,Italic"/>
          <w:i/>
          <w:iCs/>
          <w:sz w:val="20"/>
          <w:szCs w:val="20"/>
        </w:rPr>
        <w:t>Notre</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Europe</w:t>
      </w:r>
      <w:proofErr w:type="spellEnd"/>
      <w:r w:rsidRPr="00D36F91">
        <w:rPr>
          <w:rFonts w:ascii="Garamond" w:hAnsi="Garamond" w:cs="Arial,Italic"/>
          <w:i/>
          <w:iCs/>
          <w:sz w:val="20"/>
          <w:szCs w:val="20"/>
        </w:rPr>
        <w:t xml:space="preserve">, Policy </w:t>
      </w:r>
      <w:proofErr w:type="spellStart"/>
      <w:r w:rsidRPr="00D36F91">
        <w:rPr>
          <w:rFonts w:ascii="Garamond" w:hAnsi="Garamond" w:cs="Arial,Italic"/>
          <w:i/>
          <w:iCs/>
          <w:sz w:val="20"/>
          <w:szCs w:val="20"/>
        </w:rPr>
        <w:t>Papers</w:t>
      </w:r>
      <w:proofErr w:type="spellEnd"/>
      <w:r w:rsidRPr="00D36F91">
        <w:rPr>
          <w:rFonts w:ascii="Garamond" w:hAnsi="Garamond" w:cs="Arial,Italic"/>
          <w:i/>
          <w:iCs/>
          <w:sz w:val="20"/>
          <w:szCs w:val="20"/>
        </w:rPr>
        <w:t xml:space="preserve"> </w:t>
      </w:r>
      <w:r w:rsidRPr="00D36F91">
        <w:rPr>
          <w:rFonts w:ascii="Garamond" w:hAnsi="Garamond"/>
          <w:sz w:val="20"/>
          <w:szCs w:val="20"/>
        </w:rPr>
        <w:t xml:space="preserve">n. 100/2013, in www.notre-europe.eu; </w:t>
      </w:r>
      <w:proofErr w:type="spellStart"/>
      <w:r w:rsidRPr="00D36F91">
        <w:rPr>
          <w:rFonts w:ascii="Garamond" w:hAnsi="Garamond"/>
          <w:sz w:val="20"/>
          <w:szCs w:val="20"/>
        </w:rPr>
        <w:t>A.Manzella</w:t>
      </w:r>
      <w:proofErr w:type="spellEnd"/>
      <w:r w:rsidRPr="00D36F91">
        <w:rPr>
          <w:rFonts w:ascii="Garamond" w:hAnsi="Garamond"/>
          <w:sz w:val="20"/>
          <w:szCs w:val="20"/>
        </w:rPr>
        <w:t xml:space="preserve">, </w:t>
      </w:r>
      <w:r w:rsidRPr="00D36F91">
        <w:rPr>
          <w:rFonts w:ascii="Garamond" w:hAnsi="Garamond"/>
          <w:i/>
          <w:iCs/>
          <w:sz w:val="20"/>
          <w:szCs w:val="20"/>
        </w:rPr>
        <w:t>La cooperazione interparlamentare nel “Trattato internazionale,</w:t>
      </w:r>
      <w:r w:rsidRPr="00D36F91">
        <w:rPr>
          <w:rFonts w:ascii="Garamond" w:hAnsi="Garamond"/>
          <w:sz w:val="20"/>
          <w:szCs w:val="20"/>
        </w:rPr>
        <w:t xml:space="preserve"> reperibile all’indirizzo www.astridonline.it; </w:t>
      </w:r>
      <w:proofErr w:type="spellStart"/>
      <w:r w:rsidRPr="00D36F91">
        <w:rPr>
          <w:rFonts w:ascii="Garamond" w:hAnsi="Garamond"/>
          <w:sz w:val="20"/>
          <w:szCs w:val="20"/>
        </w:rPr>
        <w:t>B.Crum</w:t>
      </w:r>
      <w:proofErr w:type="spellEnd"/>
      <w:r w:rsidRPr="00D36F91">
        <w:rPr>
          <w:rFonts w:ascii="Garamond" w:hAnsi="Garamond"/>
          <w:sz w:val="20"/>
          <w:szCs w:val="20"/>
        </w:rPr>
        <w:t xml:space="preserve">, </w:t>
      </w:r>
      <w:proofErr w:type="spellStart"/>
      <w:r w:rsidRPr="00D36F91">
        <w:rPr>
          <w:rFonts w:ascii="Garamond" w:hAnsi="Garamond"/>
          <w:sz w:val="20"/>
          <w:szCs w:val="20"/>
        </w:rPr>
        <w:t>J.E.Fossum</w:t>
      </w:r>
      <w:proofErr w:type="spellEnd"/>
      <w:r w:rsidRPr="00D36F91">
        <w:rPr>
          <w:rFonts w:ascii="Garamond" w:hAnsi="Garamond"/>
          <w:sz w:val="20"/>
          <w:szCs w:val="20"/>
        </w:rPr>
        <w:t xml:space="preserve"> (</w:t>
      </w:r>
      <w:proofErr w:type="spellStart"/>
      <w:r w:rsidRPr="00D36F91">
        <w:rPr>
          <w:rFonts w:ascii="Garamond" w:hAnsi="Garamond"/>
          <w:sz w:val="20"/>
          <w:szCs w:val="20"/>
        </w:rPr>
        <w:t>eds</w:t>
      </w:r>
      <w:proofErr w:type="spellEnd"/>
      <w:r w:rsidRPr="00D36F91">
        <w:rPr>
          <w:rFonts w:ascii="Garamond" w:hAnsi="Garamond"/>
          <w:sz w:val="20"/>
          <w:szCs w:val="20"/>
        </w:rPr>
        <w:t xml:space="preserve">), </w:t>
      </w:r>
      <w:proofErr w:type="spellStart"/>
      <w:r w:rsidRPr="00D36F91">
        <w:rPr>
          <w:rFonts w:ascii="Garamond" w:hAnsi="Garamond" w:cs="Arial,Italic"/>
          <w:i/>
          <w:iCs/>
          <w:sz w:val="20"/>
          <w:szCs w:val="20"/>
        </w:rPr>
        <w:t>Practices</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of</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inter-parliamentary</w:t>
      </w:r>
      <w:proofErr w:type="spellEnd"/>
      <w:r w:rsidRPr="00D36F91">
        <w:rPr>
          <w:rFonts w:ascii="Garamond" w:hAnsi="Garamond" w:cs="Arial,Italic"/>
          <w:i/>
          <w:iCs/>
          <w:sz w:val="20"/>
          <w:szCs w:val="20"/>
        </w:rPr>
        <w:t xml:space="preserve"> </w:t>
      </w:r>
      <w:proofErr w:type="spellStart"/>
      <w:r w:rsidRPr="00D36F91">
        <w:rPr>
          <w:rFonts w:ascii="Garamond" w:hAnsi="Garamond" w:cs="Arial,Italic"/>
          <w:i/>
          <w:iCs/>
          <w:sz w:val="20"/>
          <w:szCs w:val="20"/>
        </w:rPr>
        <w:t>coordination</w:t>
      </w:r>
      <w:proofErr w:type="spellEnd"/>
      <w:r w:rsidRPr="00D36F91">
        <w:rPr>
          <w:rFonts w:ascii="Garamond" w:hAnsi="Garamond" w:cs="Arial,Italic"/>
          <w:i/>
          <w:iCs/>
          <w:sz w:val="20"/>
          <w:szCs w:val="20"/>
        </w:rPr>
        <w:t xml:space="preserve"> in International </w:t>
      </w:r>
      <w:proofErr w:type="spellStart"/>
      <w:r w:rsidRPr="00D36F91">
        <w:rPr>
          <w:rFonts w:ascii="Garamond" w:hAnsi="Garamond" w:cs="Arial,Italic"/>
          <w:i/>
          <w:iCs/>
          <w:sz w:val="20"/>
          <w:szCs w:val="20"/>
        </w:rPr>
        <w:t>politics</w:t>
      </w:r>
      <w:proofErr w:type="spellEnd"/>
      <w:r w:rsidRPr="00D36F91">
        <w:rPr>
          <w:rFonts w:ascii="Garamond" w:hAnsi="Garamond" w:cs="Arial,Italic"/>
          <w:i/>
          <w:iCs/>
          <w:sz w:val="20"/>
          <w:szCs w:val="20"/>
        </w:rPr>
        <w:t xml:space="preserve">. </w:t>
      </w:r>
      <w:r w:rsidRPr="00BF3FA0">
        <w:rPr>
          <w:rFonts w:ascii="Garamond" w:hAnsi="Garamond" w:cs="Arial,Italic"/>
          <w:i/>
          <w:iCs/>
          <w:sz w:val="20"/>
          <w:szCs w:val="20"/>
        </w:rPr>
        <w:t xml:space="preserve">The </w:t>
      </w:r>
      <w:proofErr w:type="spellStart"/>
      <w:r w:rsidRPr="00BF3FA0">
        <w:rPr>
          <w:rFonts w:ascii="Garamond" w:hAnsi="Garamond" w:cs="Arial,Italic"/>
          <w:i/>
          <w:iCs/>
          <w:sz w:val="20"/>
          <w:szCs w:val="20"/>
        </w:rPr>
        <w:t>European</w:t>
      </w:r>
      <w:proofErr w:type="spellEnd"/>
      <w:r w:rsidRPr="00BF3FA0">
        <w:rPr>
          <w:rFonts w:ascii="Garamond" w:hAnsi="Garamond" w:cs="Arial,Italic"/>
          <w:i/>
          <w:iCs/>
          <w:sz w:val="20"/>
          <w:szCs w:val="20"/>
        </w:rPr>
        <w:t xml:space="preserve"> </w:t>
      </w:r>
      <w:proofErr w:type="spellStart"/>
      <w:r w:rsidRPr="00BF3FA0">
        <w:rPr>
          <w:rFonts w:ascii="Garamond" w:hAnsi="Garamond" w:cs="Arial,Italic"/>
          <w:i/>
          <w:iCs/>
          <w:sz w:val="20"/>
          <w:szCs w:val="20"/>
        </w:rPr>
        <w:t>Union</w:t>
      </w:r>
      <w:proofErr w:type="spellEnd"/>
      <w:r w:rsidRPr="00BF3FA0">
        <w:rPr>
          <w:rFonts w:ascii="Garamond" w:hAnsi="Garamond" w:cs="Arial,Italic"/>
          <w:i/>
          <w:iCs/>
          <w:sz w:val="20"/>
          <w:szCs w:val="20"/>
        </w:rPr>
        <w:t xml:space="preserve"> and </w:t>
      </w:r>
      <w:proofErr w:type="spellStart"/>
      <w:r w:rsidRPr="00BF3FA0">
        <w:rPr>
          <w:rFonts w:ascii="Garamond" w:hAnsi="Garamond" w:cs="Arial,Italic"/>
          <w:i/>
          <w:iCs/>
          <w:sz w:val="20"/>
          <w:szCs w:val="20"/>
        </w:rPr>
        <w:t>beyond</w:t>
      </w:r>
      <w:proofErr w:type="spellEnd"/>
      <w:r w:rsidRPr="00BF3FA0">
        <w:rPr>
          <w:rFonts w:ascii="Garamond" w:hAnsi="Garamond"/>
          <w:sz w:val="20"/>
          <w:szCs w:val="20"/>
        </w:rPr>
        <w:t xml:space="preserve">, ECPR Press, </w:t>
      </w:r>
      <w:proofErr w:type="spellStart"/>
      <w:r w:rsidRPr="00BF3FA0">
        <w:rPr>
          <w:rFonts w:ascii="Garamond" w:hAnsi="Garamond"/>
          <w:sz w:val="20"/>
          <w:szCs w:val="20"/>
        </w:rPr>
        <w:t>Colchester</w:t>
      </w:r>
      <w:proofErr w:type="spellEnd"/>
      <w:r w:rsidRPr="00BF3FA0">
        <w:rPr>
          <w:rFonts w:ascii="Garamond" w:hAnsi="Garamond"/>
          <w:sz w:val="20"/>
          <w:szCs w:val="20"/>
        </w:rPr>
        <w:t xml:space="preserve">, 2013, </w:t>
      </w:r>
      <w:proofErr w:type="spellStart"/>
      <w:r w:rsidRPr="00BF3FA0">
        <w:rPr>
          <w:rFonts w:ascii="Garamond" w:hAnsi="Garamond"/>
          <w:sz w:val="20"/>
          <w:szCs w:val="20"/>
        </w:rPr>
        <w:t>passim</w:t>
      </w:r>
      <w:proofErr w:type="spellEnd"/>
      <w:r w:rsidRPr="00BF3FA0">
        <w:rPr>
          <w:rFonts w:ascii="Garamond" w:hAnsi="Garamond"/>
          <w:sz w:val="20"/>
          <w:szCs w:val="20"/>
        </w:rPr>
        <w:t>;</w:t>
      </w:r>
    </w:p>
  </w:footnote>
  <w:footnote w:id="32">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Cfr. </w:t>
      </w:r>
      <w:r w:rsidRPr="00D36F91">
        <w:rPr>
          <w:rFonts w:ascii="Garamond" w:hAnsi="Garamond" w:cs="AdvP2A67"/>
          <w:sz w:val="20"/>
          <w:szCs w:val="20"/>
        </w:rPr>
        <w:t xml:space="preserve">M. Olivetti, </w:t>
      </w:r>
      <w:r w:rsidRPr="00D36F91">
        <w:rPr>
          <w:rFonts w:ascii="Garamond" w:hAnsi="Garamond" w:cs="AdvP2A71"/>
          <w:i/>
          <w:iCs/>
          <w:sz w:val="20"/>
          <w:szCs w:val="20"/>
        </w:rPr>
        <w:t>Parlamenti nazionali nell’Unione europea</w:t>
      </w:r>
      <w:r w:rsidRPr="00D36F91">
        <w:rPr>
          <w:rFonts w:ascii="Garamond" w:hAnsi="Garamond" w:cs="AdvP2A67"/>
          <w:sz w:val="20"/>
          <w:szCs w:val="20"/>
        </w:rPr>
        <w:t xml:space="preserve">, </w:t>
      </w:r>
      <w:r w:rsidRPr="00D36F91">
        <w:rPr>
          <w:rFonts w:ascii="Garamond" w:hAnsi="Garamond" w:cs="AdvP2A67"/>
          <w:i/>
          <w:iCs/>
          <w:sz w:val="20"/>
          <w:szCs w:val="20"/>
        </w:rPr>
        <w:t>voce</w:t>
      </w:r>
      <w:r w:rsidRPr="00D36F91">
        <w:rPr>
          <w:rFonts w:ascii="Garamond" w:hAnsi="Garamond" w:cs="AdvP2A67"/>
          <w:sz w:val="20"/>
          <w:szCs w:val="20"/>
        </w:rPr>
        <w:t xml:space="preserve">, in </w:t>
      </w:r>
      <w:proofErr w:type="spellStart"/>
      <w:r w:rsidRPr="00D36F91">
        <w:rPr>
          <w:rFonts w:ascii="Garamond" w:hAnsi="Garamond" w:cs="AdvP2A71"/>
          <w:i/>
          <w:iCs/>
          <w:sz w:val="20"/>
          <w:szCs w:val="20"/>
        </w:rPr>
        <w:t>Dig</w:t>
      </w:r>
      <w:proofErr w:type="spellEnd"/>
      <w:r w:rsidRPr="00D36F91">
        <w:rPr>
          <w:rFonts w:ascii="Garamond" w:hAnsi="Garamond" w:cs="AdvP2A71"/>
          <w:i/>
          <w:iCs/>
          <w:sz w:val="20"/>
          <w:szCs w:val="20"/>
        </w:rPr>
        <w:t>. disc. pubbl.</w:t>
      </w:r>
      <w:r w:rsidRPr="00D36F91">
        <w:rPr>
          <w:rFonts w:ascii="Garamond" w:hAnsi="Garamond" w:cs="AdvP2A67"/>
          <w:i/>
          <w:iCs/>
          <w:sz w:val="20"/>
          <w:szCs w:val="20"/>
        </w:rPr>
        <w:t>, V Aggiornamento,</w:t>
      </w:r>
      <w:r w:rsidRPr="00D36F91">
        <w:rPr>
          <w:rFonts w:ascii="Garamond" w:hAnsi="Garamond" w:cs="AdvP2A67"/>
          <w:sz w:val="20"/>
          <w:szCs w:val="20"/>
        </w:rPr>
        <w:t xml:space="preserve">Torino, 2012, 510 </w:t>
      </w:r>
      <w:proofErr w:type="spellStart"/>
      <w:r w:rsidRPr="00D36F91">
        <w:rPr>
          <w:rFonts w:ascii="Garamond" w:hAnsi="Garamond" w:cs="AdvP2A67"/>
          <w:sz w:val="20"/>
          <w:szCs w:val="20"/>
        </w:rPr>
        <w:t>ss.</w:t>
      </w:r>
      <w:r w:rsidRPr="00D36F91">
        <w:rPr>
          <w:rFonts w:ascii="Garamond" w:hAnsi="Garamond"/>
          <w:sz w:val="20"/>
          <w:szCs w:val="20"/>
        </w:rPr>
        <w:t>S.</w:t>
      </w:r>
      <w:proofErr w:type="spellEnd"/>
      <w:r w:rsidRPr="00D36F91">
        <w:rPr>
          <w:rFonts w:ascii="Garamond" w:hAnsi="Garamond"/>
          <w:sz w:val="20"/>
          <w:szCs w:val="20"/>
        </w:rPr>
        <w:t xml:space="preserve"> </w:t>
      </w:r>
      <w:proofErr w:type="spellStart"/>
      <w:r w:rsidRPr="00D36F91">
        <w:rPr>
          <w:rFonts w:ascii="Garamond" w:hAnsi="Garamond"/>
          <w:sz w:val="20"/>
          <w:szCs w:val="20"/>
        </w:rPr>
        <w:t>Sicardi</w:t>
      </w:r>
      <w:proofErr w:type="spellEnd"/>
      <w:r w:rsidRPr="00D36F91">
        <w:rPr>
          <w:rFonts w:ascii="Garamond" w:hAnsi="Garamond"/>
          <w:sz w:val="20"/>
          <w:szCs w:val="20"/>
        </w:rPr>
        <w:t xml:space="preserve">, </w:t>
      </w:r>
      <w:r w:rsidRPr="00D36F91">
        <w:rPr>
          <w:rFonts w:ascii="Garamond" w:hAnsi="Garamond"/>
          <w:i/>
          <w:iCs/>
          <w:sz w:val="20"/>
          <w:szCs w:val="20"/>
        </w:rPr>
        <w:t>Controllo e indirizzo parlamentare</w:t>
      </w:r>
      <w:r w:rsidRPr="00D36F91">
        <w:rPr>
          <w:rFonts w:ascii="Garamond" w:hAnsi="Garamond"/>
          <w:sz w:val="20"/>
          <w:szCs w:val="20"/>
        </w:rPr>
        <w:t xml:space="preserve">, </w:t>
      </w:r>
      <w:r w:rsidRPr="00D36F91">
        <w:rPr>
          <w:rFonts w:ascii="Garamond" w:hAnsi="Garamond"/>
          <w:i/>
          <w:iCs/>
          <w:sz w:val="20"/>
          <w:szCs w:val="20"/>
        </w:rPr>
        <w:t>voce</w:t>
      </w:r>
      <w:r w:rsidRPr="00D36F91">
        <w:rPr>
          <w:rFonts w:ascii="Garamond" w:hAnsi="Garamond"/>
          <w:sz w:val="20"/>
          <w:szCs w:val="20"/>
        </w:rPr>
        <w:t xml:space="preserve"> in </w:t>
      </w:r>
      <w:r w:rsidRPr="00D36F91">
        <w:rPr>
          <w:rFonts w:ascii="Garamond" w:hAnsi="Garamond"/>
          <w:i/>
          <w:iCs/>
          <w:sz w:val="20"/>
          <w:szCs w:val="20"/>
        </w:rPr>
        <w:t>Digesto disc. pubbl</w:t>
      </w:r>
      <w:r w:rsidRPr="00D36F91">
        <w:rPr>
          <w:rFonts w:ascii="Garamond" w:hAnsi="Garamond"/>
          <w:sz w:val="20"/>
          <w:szCs w:val="20"/>
        </w:rPr>
        <w:t xml:space="preserve">., vol. IV, Torino, UTET, 1989, spec. p. 107 e ss., A. </w:t>
      </w:r>
      <w:proofErr w:type="spellStart"/>
      <w:r w:rsidRPr="00D36F91">
        <w:rPr>
          <w:rFonts w:ascii="Garamond" w:hAnsi="Garamond"/>
          <w:sz w:val="20"/>
          <w:szCs w:val="20"/>
        </w:rPr>
        <w:t>Manzella</w:t>
      </w:r>
      <w:proofErr w:type="spellEnd"/>
      <w:r w:rsidRPr="00D36F91">
        <w:rPr>
          <w:rFonts w:ascii="Garamond" w:hAnsi="Garamond"/>
          <w:sz w:val="20"/>
          <w:szCs w:val="20"/>
        </w:rPr>
        <w:t xml:space="preserve">, </w:t>
      </w:r>
      <w:r w:rsidRPr="00D36F91">
        <w:rPr>
          <w:rFonts w:ascii="Garamond" w:hAnsi="Garamond"/>
          <w:i/>
          <w:iCs/>
          <w:sz w:val="20"/>
          <w:szCs w:val="20"/>
        </w:rPr>
        <w:t>La funzione di controllo</w:t>
      </w:r>
      <w:r w:rsidRPr="00D36F91">
        <w:rPr>
          <w:rFonts w:ascii="Garamond" w:hAnsi="Garamond"/>
          <w:sz w:val="20"/>
          <w:szCs w:val="20"/>
        </w:rPr>
        <w:t xml:space="preserve">, in </w:t>
      </w:r>
      <w:r w:rsidRPr="00D36F91">
        <w:rPr>
          <w:rFonts w:ascii="Garamond" w:hAnsi="Garamond"/>
          <w:i/>
          <w:iCs/>
          <w:sz w:val="20"/>
          <w:szCs w:val="20"/>
        </w:rPr>
        <w:t>Il Parlamento</w:t>
      </w:r>
      <w:r w:rsidRPr="00D36F91">
        <w:rPr>
          <w:rFonts w:ascii="Garamond" w:hAnsi="Garamond"/>
          <w:sz w:val="20"/>
          <w:szCs w:val="20"/>
        </w:rPr>
        <w:t xml:space="preserve">, A.I.C., Annuario 2000, Padova, </w:t>
      </w:r>
      <w:proofErr w:type="spellStart"/>
      <w:r w:rsidRPr="00D36F91">
        <w:rPr>
          <w:rFonts w:ascii="Garamond" w:hAnsi="Garamond"/>
          <w:sz w:val="20"/>
          <w:szCs w:val="20"/>
        </w:rPr>
        <w:t>Cedam</w:t>
      </w:r>
      <w:proofErr w:type="spellEnd"/>
      <w:r w:rsidRPr="00D36F91">
        <w:rPr>
          <w:rFonts w:ascii="Garamond" w:hAnsi="Garamond"/>
          <w:sz w:val="20"/>
          <w:szCs w:val="20"/>
        </w:rPr>
        <w:t xml:space="preserve">, 2001, p. 216 e ss;  </w:t>
      </w:r>
      <w:proofErr w:type="spellStart"/>
      <w:r w:rsidRPr="00D36F91">
        <w:rPr>
          <w:rFonts w:ascii="Garamond" w:hAnsi="Garamond"/>
          <w:sz w:val="20"/>
          <w:szCs w:val="20"/>
        </w:rPr>
        <w:t>Id</w:t>
      </w:r>
      <w:proofErr w:type="spellEnd"/>
      <w:r w:rsidRPr="00D36F91">
        <w:rPr>
          <w:rFonts w:ascii="Garamond" w:hAnsi="Garamond"/>
          <w:sz w:val="20"/>
          <w:szCs w:val="20"/>
        </w:rPr>
        <w:t xml:space="preserve">, </w:t>
      </w:r>
      <w:r w:rsidRPr="00D36F91">
        <w:rPr>
          <w:rFonts w:ascii="Garamond" w:hAnsi="Garamond"/>
          <w:i/>
          <w:iCs/>
          <w:sz w:val="20"/>
          <w:szCs w:val="20"/>
        </w:rPr>
        <w:t>Il Parlamento federatore</w:t>
      </w:r>
      <w:r w:rsidRPr="00D36F91">
        <w:rPr>
          <w:rFonts w:ascii="Garamond" w:hAnsi="Garamond"/>
          <w:sz w:val="20"/>
          <w:szCs w:val="20"/>
        </w:rPr>
        <w:t xml:space="preserve">, in QC, n.1/2002, p.46; I. Pernice, </w:t>
      </w:r>
      <w:r w:rsidRPr="00D36F91">
        <w:rPr>
          <w:rFonts w:ascii="Garamond" w:hAnsi="Garamond"/>
          <w:i/>
          <w:iCs/>
          <w:sz w:val="20"/>
          <w:szCs w:val="20"/>
        </w:rPr>
        <w:t xml:space="preserve">The </w:t>
      </w:r>
      <w:proofErr w:type="spellStart"/>
      <w:r w:rsidRPr="00D36F91">
        <w:rPr>
          <w:rFonts w:ascii="Garamond" w:hAnsi="Garamond"/>
          <w:i/>
          <w:iCs/>
          <w:sz w:val="20"/>
          <w:szCs w:val="20"/>
        </w:rPr>
        <w:t>Treaty</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of</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Lisbon</w:t>
      </w:r>
      <w:proofErr w:type="spellEnd"/>
      <w:r w:rsidRPr="00D36F91">
        <w:rPr>
          <w:rFonts w:ascii="Garamond" w:hAnsi="Garamond"/>
          <w:sz w:val="20"/>
          <w:szCs w:val="20"/>
        </w:rPr>
        <w:t xml:space="preserve">, in </w:t>
      </w:r>
      <w:r w:rsidRPr="00D36F91">
        <w:rPr>
          <w:rFonts w:ascii="Garamond" w:hAnsi="Garamond"/>
          <w:i/>
          <w:iCs/>
          <w:sz w:val="20"/>
          <w:szCs w:val="20"/>
        </w:rPr>
        <w:t xml:space="preserve">Columbia Journal </w:t>
      </w:r>
      <w:proofErr w:type="spellStart"/>
      <w:r w:rsidRPr="00D36F91">
        <w:rPr>
          <w:rFonts w:ascii="Garamond" w:hAnsi="Garamond"/>
          <w:i/>
          <w:iCs/>
          <w:sz w:val="20"/>
          <w:szCs w:val="20"/>
        </w:rPr>
        <w:t>of</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European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Law</w:t>
      </w:r>
      <w:proofErr w:type="spellEnd"/>
      <w:r w:rsidRPr="00D36F91">
        <w:rPr>
          <w:rFonts w:ascii="Garamond" w:hAnsi="Garamond"/>
          <w:sz w:val="20"/>
          <w:szCs w:val="20"/>
        </w:rPr>
        <w:t xml:space="preserve">, vol.5, n.3/2009, p.349, specie p.391; </w:t>
      </w:r>
      <w:proofErr w:type="spellStart"/>
      <w:r w:rsidRPr="00D36F91">
        <w:rPr>
          <w:rFonts w:ascii="Garamond" w:hAnsi="Garamond"/>
          <w:sz w:val="20"/>
          <w:szCs w:val="20"/>
        </w:rPr>
        <w:t>Casalena</w:t>
      </w:r>
      <w:proofErr w:type="spellEnd"/>
      <w:r w:rsidRPr="00D36F91">
        <w:rPr>
          <w:rFonts w:ascii="Garamond" w:hAnsi="Garamond"/>
          <w:sz w:val="20"/>
          <w:szCs w:val="20"/>
        </w:rPr>
        <w:t xml:space="preserve">,C. </w:t>
      </w:r>
      <w:proofErr w:type="spellStart"/>
      <w:r w:rsidRPr="00D36F91">
        <w:rPr>
          <w:rFonts w:ascii="Garamond" w:hAnsi="Garamond"/>
          <w:sz w:val="20"/>
          <w:szCs w:val="20"/>
        </w:rPr>
        <w:t>Fasone</w:t>
      </w:r>
      <w:proofErr w:type="spellEnd"/>
      <w:r w:rsidRPr="00D36F91">
        <w:rPr>
          <w:rFonts w:ascii="Garamond" w:hAnsi="Garamond"/>
          <w:sz w:val="20"/>
          <w:szCs w:val="20"/>
        </w:rPr>
        <w:t xml:space="preserve"> N. Lupo, </w:t>
      </w:r>
      <w:proofErr w:type="spellStart"/>
      <w:r w:rsidRPr="00D36F91">
        <w:rPr>
          <w:rFonts w:ascii="Garamond" w:hAnsi="Garamond"/>
          <w:i/>
          <w:iCs/>
          <w:sz w:val="20"/>
          <w:szCs w:val="20"/>
        </w:rPr>
        <w:t>Protocol</w:t>
      </w:r>
      <w:proofErr w:type="spellEnd"/>
      <w:r w:rsidRPr="00D36F91">
        <w:rPr>
          <w:rFonts w:ascii="Garamond" w:hAnsi="Garamond"/>
          <w:i/>
          <w:iCs/>
          <w:sz w:val="20"/>
          <w:szCs w:val="20"/>
        </w:rPr>
        <w:t xml:space="preserve"> (No.1) on the </w:t>
      </w:r>
      <w:proofErr w:type="spellStart"/>
      <w:r w:rsidRPr="00D36F91">
        <w:rPr>
          <w:rFonts w:ascii="Garamond" w:hAnsi="Garamond"/>
          <w:i/>
          <w:iCs/>
          <w:sz w:val="20"/>
          <w:szCs w:val="20"/>
        </w:rPr>
        <w:t>role</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of</w:t>
      </w:r>
      <w:proofErr w:type="spellEnd"/>
      <w:r w:rsidRPr="00D36F91">
        <w:rPr>
          <w:rFonts w:ascii="Garamond" w:hAnsi="Garamond"/>
          <w:i/>
          <w:iCs/>
          <w:sz w:val="20"/>
          <w:szCs w:val="20"/>
        </w:rPr>
        <w:t xml:space="preserve"> National </w:t>
      </w:r>
      <w:proofErr w:type="spellStart"/>
      <w:r w:rsidRPr="00D36F91">
        <w:rPr>
          <w:rFonts w:ascii="Garamond" w:hAnsi="Garamond"/>
          <w:i/>
          <w:iCs/>
          <w:sz w:val="20"/>
          <w:szCs w:val="20"/>
        </w:rPr>
        <w:t>parliaments</w:t>
      </w:r>
      <w:proofErr w:type="spellEnd"/>
      <w:r w:rsidRPr="00D36F91">
        <w:rPr>
          <w:rFonts w:ascii="Garamond" w:hAnsi="Garamond"/>
          <w:i/>
          <w:iCs/>
          <w:sz w:val="20"/>
          <w:szCs w:val="20"/>
        </w:rPr>
        <w:t xml:space="preserve"> in the </w:t>
      </w:r>
      <w:proofErr w:type="spellStart"/>
      <w:r w:rsidRPr="00D36F91">
        <w:rPr>
          <w:rFonts w:ascii="Garamond" w:hAnsi="Garamond"/>
          <w:i/>
          <w:iCs/>
          <w:sz w:val="20"/>
          <w:szCs w:val="20"/>
        </w:rPr>
        <w:t>European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Union</w:t>
      </w:r>
      <w:proofErr w:type="spellEnd"/>
      <w:r w:rsidRPr="00D36F91">
        <w:rPr>
          <w:rFonts w:ascii="Garamond" w:hAnsi="Garamond"/>
          <w:sz w:val="20"/>
          <w:szCs w:val="20"/>
        </w:rPr>
        <w:t xml:space="preserve">, in </w:t>
      </w:r>
      <w:proofErr w:type="spellStart"/>
      <w:r w:rsidRPr="00D36F91">
        <w:rPr>
          <w:rFonts w:ascii="Garamond" w:hAnsi="Garamond"/>
          <w:sz w:val="20"/>
          <w:szCs w:val="20"/>
        </w:rPr>
        <w:t>Blanke-</w:t>
      </w:r>
      <w:proofErr w:type="spellEnd"/>
      <w:r w:rsidRPr="00D36F91">
        <w:rPr>
          <w:rFonts w:ascii="Garamond" w:hAnsi="Garamond"/>
          <w:sz w:val="20"/>
          <w:szCs w:val="20"/>
        </w:rPr>
        <w:t xml:space="preserve"> Mangiameli ( a cura di) </w:t>
      </w:r>
      <w:proofErr w:type="spellStart"/>
      <w:r w:rsidRPr="00D36F91">
        <w:rPr>
          <w:rFonts w:ascii="Garamond" w:hAnsi="Garamond"/>
          <w:i/>
          <w:iCs/>
          <w:sz w:val="20"/>
          <w:szCs w:val="20"/>
        </w:rPr>
        <w:t>Commentary</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to</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Treaty</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of</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Lisbon</w:t>
      </w:r>
      <w:proofErr w:type="spellEnd"/>
      <w:r w:rsidRPr="00D36F91">
        <w:rPr>
          <w:rFonts w:ascii="Garamond" w:hAnsi="Garamond"/>
          <w:i/>
          <w:iCs/>
          <w:sz w:val="20"/>
          <w:szCs w:val="20"/>
        </w:rPr>
        <w:t xml:space="preserve">, </w:t>
      </w:r>
      <w:proofErr w:type="spellStart"/>
      <w:r w:rsidRPr="00D36F91">
        <w:rPr>
          <w:rFonts w:ascii="Garamond" w:hAnsi="Garamond"/>
          <w:sz w:val="20"/>
          <w:szCs w:val="20"/>
        </w:rPr>
        <w:t>Springer</w:t>
      </w:r>
      <w:proofErr w:type="spellEnd"/>
      <w:r w:rsidRPr="00D36F91">
        <w:rPr>
          <w:rFonts w:ascii="Garamond" w:hAnsi="Garamond"/>
          <w:sz w:val="20"/>
          <w:szCs w:val="20"/>
        </w:rPr>
        <w:t xml:space="preserve">, </w:t>
      </w:r>
      <w:proofErr w:type="spellStart"/>
      <w:r w:rsidRPr="00D36F91">
        <w:rPr>
          <w:rFonts w:ascii="Garamond" w:hAnsi="Garamond"/>
          <w:sz w:val="20"/>
          <w:szCs w:val="20"/>
        </w:rPr>
        <w:t>Heidelberg</w:t>
      </w:r>
      <w:proofErr w:type="spellEnd"/>
      <w:r w:rsidRPr="00D36F91">
        <w:rPr>
          <w:rFonts w:ascii="Garamond" w:hAnsi="Garamond"/>
          <w:sz w:val="20"/>
          <w:szCs w:val="20"/>
        </w:rPr>
        <w:t xml:space="preserve">, 2012; </w:t>
      </w:r>
      <w:proofErr w:type="spellStart"/>
      <w:r w:rsidRPr="00D36F91">
        <w:rPr>
          <w:rFonts w:ascii="Garamond" w:hAnsi="Garamond"/>
          <w:sz w:val="20"/>
          <w:szCs w:val="20"/>
        </w:rPr>
        <w:t>P.Craig</w:t>
      </w:r>
      <w:proofErr w:type="spellEnd"/>
      <w:r w:rsidRPr="00D36F91">
        <w:rPr>
          <w:rFonts w:ascii="Garamond" w:hAnsi="Garamond"/>
          <w:sz w:val="20"/>
          <w:szCs w:val="20"/>
        </w:rPr>
        <w:t xml:space="preserve">, </w:t>
      </w:r>
      <w:r w:rsidRPr="00D36F91">
        <w:rPr>
          <w:rFonts w:ascii="Garamond" w:hAnsi="Garamond"/>
          <w:i/>
          <w:iCs/>
          <w:sz w:val="20"/>
          <w:szCs w:val="20"/>
        </w:rPr>
        <w:t xml:space="preserve">The </w:t>
      </w:r>
      <w:proofErr w:type="spellStart"/>
      <w:r w:rsidRPr="00D36F91">
        <w:rPr>
          <w:rFonts w:ascii="Garamond" w:hAnsi="Garamond"/>
          <w:i/>
          <w:iCs/>
          <w:sz w:val="20"/>
          <w:szCs w:val="20"/>
        </w:rPr>
        <w:t>Lisbon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Treaty</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Law</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Politics</w:t>
      </w:r>
      <w:proofErr w:type="spellEnd"/>
      <w:r w:rsidRPr="00D36F91">
        <w:rPr>
          <w:rFonts w:ascii="Garamond" w:hAnsi="Garamond"/>
          <w:i/>
          <w:iCs/>
          <w:sz w:val="20"/>
          <w:szCs w:val="20"/>
        </w:rPr>
        <w:t xml:space="preserve"> and </w:t>
      </w:r>
      <w:proofErr w:type="spellStart"/>
      <w:r w:rsidRPr="00D36F91">
        <w:rPr>
          <w:rFonts w:ascii="Garamond" w:hAnsi="Garamond"/>
          <w:i/>
          <w:iCs/>
          <w:sz w:val="20"/>
          <w:szCs w:val="20"/>
        </w:rPr>
        <w:t>Treaty</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Reform</w:t>
      </w:r>
      <w:proofErr w:type="spellEnd"/>
      <w:r w:rsidRPr="00D36F91">
        <w:rPr>
          <w:rFonts w:ascii="Garamond" w:hAnsi="Garamond"/>
          <w:i/>
          <w:iCs/>
          <w:sz w:val="20"/>
          <w:szCs w:val="20"/>
        </w:rPr>
        <w:t xml:space="preserve">, </w:t>
      </w:r>
      <w:r w:rsidRPr="00D36F91">
        <w:rPr>
          <w:rFonts w:ascii="Garamond" w:hAnsi="Garamond"/>
          <w:sz w:val="20"/>
          <w:szCs w:val="20"/>
        </w:rPr>
        <w:t xml:space="preserve">Oxford </w:t>
      </w:r>
      <w:proofErr w:type="spellStart"/>
      <w:r w:rsidRPr="00D36F91">
        <w:rPr>
          <w:rFonts w:ascii="Garamond" w:hAnsi="Garamond"/>
          <w:sz w:val="20"/>
          <w:szCs w:val="20"/>
        </w:rPr>
        <w:t>University</w:t>
      </w:r>
      <w:proofErr w:type="spellEnd"/>
      <w:r w:rsidRPr="00D36F91">
        <w:rPr>
          <w:rFonts w:ascii="Garamond" w:hAnsi="Garamond"/>
          <w:sz w:val="20"/>
          <w:szCs w:val="20"/>
        </w:rPr>
        <w:t xml:space="preserve"> Press, Oxford, 2010; </w:t>
      </w:r>
      <w:proofErr w:type="spellStart"/>
      <w:r w:rsidRPr="00D36F91">
        <w:rPr>
          <w:rFonts w:ascii="Garamond" w:hAnsi="Garamond"/>
          <w:sz w:val="20"/>
          <w:szCs w:val="20"/>
        </w:rPr>
        <w:t>L.Gianniti</w:t>
      </w:r>
      <w:proofErr w:type="spellEnd"/>
      <w:r w:rsidRPr="00D36F91">
        <w:rPr>
          <w:rFonts w:ascii="Garamond" w:hAnsi="Garamond"/>
          <w:sz w:val="20"/>
          <w:szCs w:val="20"/>
        </w:rPr>
        <w:t xml:space="preserve">, </w:t>
      </w:r>
      <w:r w:rsidRPr="00D36F91">
        <w:rPr>
          <w:rFonts w:ascii="Garamond" w:hAnsi="Garamond"/>
          <w:i/>
          <w:iCs/>
          <w:sz w:val="20"/>
          <w:szCs w:val="20"/>
        </w:rPr>
        <w:t>Il ruolo dei parlamenti nazionali,</w:t>
      </w:r>
      <w:r w:rsidRPr="00D36F91">
        <w:rPr>
          <w:rFonts w:ascii="Garamond" w:hAnsi="Garamond"/>
          <w:sz w:val="20"/>
          <w:szCs w:val="20"/>
        </w:rPr>
        <w:t xml:space="preserve"> in </w:t>
      </w:r>
      <w:r w:rsidRPr="00D36F91">
        <w:rPr>
          <w:rFonts w:ascii="Garamond" w:hAnsi="Garamond"/>
          <w:i/>
          <w:iCs/>
          <w:sz w:val="20"/>
          <w:szCs w:val="20"/>
        </w:rPr>
        <w:t>Le nuove istituzioni europee. Commento al Trattato di Lisbona</w:t>
      </w:r>
      <w:r w:rsidRPr="00D36F91">
        <w:rPr>
          <w:rFonts w:ascii="Garamond" w:hAnsi="Garamond"/>
          <w:sz w:val="20"/>
          <w:szCs w:val="20"/>
        </w:rPr>
        <w:t xml:space="preserve">, a cura di F. </w:t>
      </w:r>
      <w:proofErr w:type="spellStart"/>
      <w:r w:rsidRPr="00D36F91">
        <w:rPr>
          <w:rFonts w:ascii="Garamond" w:hAnsi="Garamond"/>
          <w:sz w:val="20"/>
          <w:szCs w:val="20"/>
        </w:rPr>
        <w:t>Bassanini</w:t>
      </w:r>
      <w:proofErr w:type="spellEnd"/>
      <w:r w:rsidRPr="00D36F91">
        <w:rPr>
          <w:rFonts w:ascii="Garamond" w:hAnsi="Garamond"/>
          <w:sz w:val="20"/>
          <w:szCs w:val="20"/>
        </w:rPr>
        <w:t xml:space="preserve">, G. </w:t>
      </w:r>
      <w:proofErr w:type="spellStart"/>
      <w:r w:rsidRPr="00D36F91">
        <w:rPr>
          <w:rFonts w:ascii="Garamond" w:hAnsi="Garamond"/>
          <w:sz w:val="20"/>
          <w:szCs w:val="20"/>
        </w:rPr>
        <w:t>Tiberi</w:t>
      </w:r>
      <w:proofErr w:type="spellEnd"/>
      <w:r w:rsidRPr="00D36F91">
        <w:rPr>
          <w:rFonts w:ascii="Garamond" w:hAnsi="Garamond"/>
          <w:sz w:val="20"/>
          <w:szCs w:val="20"/>
        </w:rPr>
        <w:t xml:space="preserve">, Bologna 2010 </w:t>
      </w:r>
    </w:p>
  </w:footnote>
  <w:footnote w:id="33">
    <w:p w:rsidR="0005296D" w:rsidRPr="00D36F91" w:rsidRDefault="0005296D" w:rsidP="002B28BE">
      <w:pPr>
        <w:autoSpaceDE w:val="0"/>
        <w:autoSpaceDN w:val="0"/>
        <w:adjustRightInd w:val="0"/>
        <w:spacing w:after="0"/>
        <w:jc w:val="both"/>
        <w:rPr>
          <w:rFonts w:ascii="Garamond" w:hAnsi="Garamond" w:cs="Cambria"/>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In base all’art.12 del Tue “</w:t>
      </w:r>
      <w:r w:rsidRPr="00D36F91">
        <w:rPr>
          <w:rFonts w:ascii="Garamond" w:hAnsi="Garamond" w:cs="Cambria"/>
          <w:sz w:val="20"/>
          <w:szCs w:val="20"/>
        </w:rPr>
        <w:t xml:space="preserve">I parlamenti nazionali contribuiscono attivamente al buon funzionamento dell’Unione: a) venendo informati dalle istituzioni dell’Unione e ricevendo i progetti di atti legislativi europei in conformità del protocollo sul ruolo dei parlamenti nazionali nell’Unione europea;b) vigilando sul rispetto del principio di sussidiarietà secondo le procedure previste dal protocollo sull'applicazione dei principi di sussidiarietà e di proporzionalità;c) partecipando, nell'ambito dello spazio di libertà, sicurezza e giustizia, ai meccanismi di valutazione ai fini dell’attuazione delle politiche dell'Unione in tale settore, in conformità dell’articolo 70 del trattato sul funzionamento dell’Unione europea, ed essendo associati al controllo politico di </w:t>
      </w:r>
      <w:proofErr w:type="spellStart"/>
      <w:r w:rsidRPr="00D36F91">
        <w:rPr>
          <w:rFonts w:ascii="Garamond" w:hAnsi="Garamond" w:cs="Cambria"/>
          <w:sz w:val="20"/>
          <w:szCs w:val="20"/>
        </w:rPr>
        <w:t>Europol</w:t>
      </w:r>
      <w:proofErr w:type="spellEnd"/>
      <w:r w:rsidRPr="00D36F91">
        <w:rPr>
          <w:rFonts w:ascii="Garamond" w:hAnsi="Garamond" w:cs="Cambria"/>
          <w:sz w:val="20"/>
          <w:szCs w:val="20"/>
        </w:rPr>
        <w:t xml:space="preserve"> e alla valutazione delle attività di </w:t>
      </w:r>
      <w:proofErr w:type="spellStart"/>
      <w:r w:rsidRPr="00D36F91">
        <w:rPr>
          <w:rFonts w:ascii="Garamond" w:hAnsi="Garamond" w:cs="Cambria"/>
          <w:sz w:val="20"/>
          <w:szCs w:val="20"/>
        </w:rPr>
        <w:t>Eurojust</w:t>
      </w:r>
      <w:proofErr w:type="spellEnd"/>
      <w:r w:rsidRPr="00D36F91">
        <w:rPr>
          <w:rFonts w:ascii="Garamond" w:hAnsi="Garamond" w:cs="Cambria"/>
          <w:sz w:val="20"/>
          <w:szCs w:val="20"/>
        </w:rPr>
        <w:t>, in conformità degli articoli 88 e 85 di detto trattato;d) partecipando alle procedure di revisione dei trattati in conformità dell’articolo 48 del presente trattato; e) venendo informati delle domande di adesione all'Unione in conformità dell'articolo 49 del presente trattato;f) partecipando alla cooperazione interparlamentare tra parlamenti nazionali e con il Parlamento europeo in conformità del protocollo sul ruolo dei parlamenti nazionali nell'Unione europea</w:t>
      </w:r>
    </w:p>
  </w:footnote>
  <w:footnote w:id="34">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In particolare con riferimento al soggetto e alle modalità di esercizio del potere si può operare una sorta di schematizzazione secondo la quale alcuni poteri sono attribuiti alla singola Camera; altri al singolo Parlamento nazionale; altri ad un insieme di Camere a condizione che raggiungano una determinata soglia; altri poteri sono attribuiti collettivamente comprendendo anche il Parlamento europeo. Alle singole Camere sono attribuiti i</w:t>
      </w:r>
      <w:r w:rsidRPr="00D36F91">
        <w:rPr>
          <w:rFonts w:ascii="Garamond" w:hAnsi="Garamond" w:cs="SimonciniGaramond"/>
          <w:sz w:val="20"/>
          <w:szCs w:val="20"/>
        </w:rPr>
        <w:t xml:space="preserve"> poteri di informazione e di controllo; il potere di esprimere pareri “motivati e contributi alla Commissione, nell’ambito del «dialogo politico»; quelli di impugnare un atto davanti alla Corte di giustizia per violazione del principio di sussidiarietà”; al singolo Parlamento sono attribuiti poteri di veto sulle clausole passerella”;  a gruppi di camere sono attribuiti poteri connessi al rispetto del principio di sussidiarietà che si attiva al raggiungimento di una determinata soglia;gli altri poteri attribuiti in forma collettiva sono riconducibili al metodo della Convenzione e alle forme di cooperazione interparlamentare. </w:t>
      </w:r>
      <w:r w:rsidRPr="00D36F91">
        <w:rPr>
          <w:rFonts w:ascii="Garamond" w:hAnsi="Garamond"/>
          <w:sz w:val="20"/>
          <w:szCs w:val="20"/>
        </w:rPr>
        <w:t xml:space="preserve">Così </w:t>
      </w:r>
      <w:proofErr w:type="spellStart"/>
      <w:r w:rsidRPr="00D36F91">
        <w:rPr>
          <w:rFonts w:ascii="Garamond" w:hAnsi="Garamond"/>
          <w:sz w:val="20"/>
          <w:szCs w:val="20"/>
        </w:rPr>
        <w:t>N.Lupo</w:t>
      </w:r>
      <w:proofErr w:type="spellEnd"/>
      <w:r w:rsidRPr="00D36F91">
        <w:rPr>
          <w:rFonts w:ascii="Garamond" w:hAnsi="Garamond"/>
          <w:sz w:val="20"/>
          <w:szCs w:val="20"/>
        </w:rPr>
        <w:t xml:space="preserve">, I parlamenti nazionali e le istituzioni europee, in </w:t>
      </w:r>
      <w:proofErr w:type="spellStart"/>
      <w:r w:rsidRPr="00D36F91">
        <w:rPr>
          <w:rFonts w:ascii="Garamond" w:hAnsi="Garamond"/>
          <w:sz w:val="20"/>
          <w:szCs w:val="20"/>
        </w:rPr>
        <w:t>G.Amato</w:t>
      </w:r>
      <w:proofErr w:type="spellEnd"/>
      <w:r w:rsidRPr="00D36F91">
        <w:rPr>
          <w:rFonts w:ascii="Garamond" w:hAnsi="Garamond"/>
          <w:sz w:val="20"/>
          <w:szCs w:val="20"/>
        </w:rPr>
        <w:t xml:space="preserve">, </w:t>
      </w:r>
      <w:proofErr w:type="spellStart"/>
      <w:r w:rsidRPr="00D36F91">
        <w:rPr>
          <w:rFonts w:ascii="Garamond" w:hAnsi="Garamond"/>
          <w:sz w:val="20"/>
          <w:szCs w:val="20"/>
        </w:rPr>
        <w:t>R.Gualtieri</w:t>
      </w:r>
      <w:proofErr w:type="spellEnd"/>
      <w:r w:rsidRPr="00D36F91">
        <w:rPr>
          <w:rFonts w:ascii="Garamond" w:hAnsi="Garamond"/>
          <w:sz w:val="20"/>
          <w:szCs w:val="20"/>
        </w:rPr>
        <w:t xml:space="preserve"> ( a cura di)</w:t>
      </w:r>
      <w:r w:rsidRPr="00D36F91">
        <w:rPr>
          <w:rFonts w:ascii="Garamond" w:hAnsi="Garamond" w:cs="Bembo-Italic"/>
          <w:i/>
          <w:iCs/>
          <w:sz w:val="20"/>
          <w:szCs w:val="20"/>
        </w:rPr>
        <w:t xml:space="preserve">Prove di Europa </w:t>
      </w:r>
      <w:proofErr w:type="spellStart"/>
      <w:r w:rsidRPr="00D36F91">
        <w:rPr>
          <w:rFonts w:ascii="Garamond" w:hAnsi="Garamond" w:cs="Bembo-Italic"/>
          <w:i/>
          <w:iCs/>
          <w:sz w:val="20"/>
          <w:szCs w:val="20"/>
        </w:rPr>
        <w:t>unita.Le</w:t>
      </w:r>
      <w:proofErr w:type="spellEnd"/>
      <w:r w:rsidRPr="00D36F91">
        <w:rPr>
          <w:rFonts w:ascii="Garamond" w:hAnsi="Garamond" w:cs="Bembo-Italic"/>
          <w:i/>
          <w:iCs/>
          <w:sz w:val="20"/>
          <w:szCs w:val="20"/>
        </w:rPr>
        <w:t xml:space="preserve"> istituzioni europee di fronte alla crisi, Firenze, </w:t>
      </w:r>
      <w:proofErr w:type="spellStart"/>
      <w:r w:rsidRPr="00D36F91">
        <w:rPr>
          <w:rFonts w:ascii="Garamond" w:hAnsi="Garamond" w:cs="Bembo-Italic"/>
          <w:i/>
          <w:iCs/>
          <w:sz w:val="20"/>
          <w:szCs w:val="20"/>
        </w:rPr>
        <w:t>Passigli</w:t>
      </w:r>
      <w:proofErr w:type="spellEnd"/>
      <w:r w:rsidRPr="00D36F91">
        <w:rPr>
          <w:rFonts w:ascii="Garamond" w:hAnsi="Garamond" w:cs="Bembo-Italic"/>
          <w:i/>
          <w:iCs/>
          <w:sz w:val="20"/>
          <w:szCs w:val="20"/>
        </w:rPr>
        <w:t>, 2013, p.337 e ss., specie p.340;</w:t>
      </w:r>
      <w:r w:rsidRPr="00D36F91">
        <w:rPr>
          <w:rFonts w:ascii="Garamond" w:hAnsi="Garamond"/>
          <w:sz w:val="20"/>
          <w:szCs w:val="20"/>
        </w:rPr>
        <w:t xml:space="preserve"> </w:t>
      </w:r>
      <w:r w:rsidRPr="00D36F91">
        <w:rPr>
          <w:rFonts w:ascii="Garamond" w:hAnsi="Garamond" w:cs="SimonciniGaramond"/>
          <w:sz w:val="20"/>
          <w:szCs w:val="20"/>
        </w:rPr>
        <w:t xml:space="preserve">L. </w:t>
      </w:r>
      <w:proofErr w:type="spellStart"/>
      <w:r w:rsidRPr="00D36F91">
        <w:rPr>
          <w:rFonts w:ascii="Garamond" w:hAnsi="Garamond" w:cs="SimonciniGaramond"/>
          <w:sz w:val="20"/>
          <w:szCs w:val="20"/>
        </w:rPr>
        <w:t>Gianniti</w:t>
      </w:r>
      <w:proofErr w:type="spellEnd"/>
      <w:r w:rsidRPr="00D36F91">
        <w:rPr>
          <w:rFonts w:ascii="Garamond" w:hAnsi="Garamond" w:cs="SimonciniGaramond"/>
          <w:sz w:val="20"/>
          <w:szCs w:val="20"/>
        </w:rPr>
        <w:t xml:space="preserve">, </w:t>
      </w:r>
      <w:r w:rsidRPr="00D36F91">
        <w:rPr>
          <w:rFonts w:ascii="Garamond" w:hAnsi="Garamond" w:cs="SimonciniGaramond-Italic"/>
          <w:i/>
          <w:iCs/>
          <w:sz w:val="20"/>
          <w:szCs w:val="20"/>
        </w:rPr>
        <w:t>Il ruolo dei Parlamenti nazionali</w:t>
      </w:r>
      <w:r w:rsidRPr="00D36F91">
        <w:rPr>
          <w:rFonts w:ascii="Garamond" w:hAnsi="Garamond" w:cs="SimonciniGaramond"/>
          <w:sz w:val="20"/>
          <w:szCs w:val="20"/>
        </w:rPr>
        <w:t xml:space="preserve">,  in  F. </w:t>
      </w:r>
      <w:proofErr w:type="spellStart"/>
      <w:r w:rsidRPr="00D36F91">
        <w:rPr>
          <w:rFonts w:ascii="Garamond" w:hAnsi="Garamond" w:cs="SimonciniGaramond"/>
          <w:sz w:val="20"/>
          <w:szCs w:val="20"/>
        </w:rPr>
        <w:t>Bassanini</w:t>
      </w:r>
      <w:proofErr w:type="spellEnd"/>
      <w:r w:rsidRPr="00D36F91">
        <w:rPr>
          <w:rFonts w:ascii="Garamond" w:hAnsi="Garamond" w:cs="SimonciniGaramond"/>
          <w:sz w:val="20"/>
          <w:szCs w:val="20"/>
        </w:rPr>
        <w:t xml:space="preserve">, G. </w:t>
      </w:r>
      <w:proofErr w:type="spellStart"/>
      <w:r w:rsidRPr="00D36F91">
        <w:rPr>
          <w:rFonts w:ascii="Garamond" w:hAnsi="Garamond" w:cs="SimonciniGaramond"/>
          <w:sz w:val="20"/>
          <w:szCs w:val="20"/>
        </w:rPr>
        <w:t>Tiberi</w:t>
      </w:r>
      <w:proofErr w:type="spellEnd"/>
      <w:r w:rsidRPr="00D36F91">
        <w:rPr>
          <w:rFonts w:ascii="Garamond" w:hAnsi="Garamond" w:cs="SimonciniGaramond"/>
          <w:sz w:val="20"/>
          <w:szCs w:val="20"/>
        </w:rPr>
        <w:t xml:space="preserve"> ( a cura di)</w:t>
      </w:r>
      <w:r w:rsidRPr="00D36F91">
        <w:rPr>
          <w:rFonts w:ascii="Garamond" w:hAnsi="Garamond" w:cs="SimonciniGaramond-Italic"/>
          <w:i/>
          <w:iCs/>
          <w:sz w:val="20"/>
          <w:szCs w:val="20"/>
        </w:rPr>
        <w:t xml:space="preserve"> Le nuove istituzioni europee. Commento al trattato di Lisbona</w:t>
      </w:r>
      <w:r w:rsidRPr="00D36F91">
        <w:rPr>
          <w:rFonts w:ascii="Garamond" w:hAnsi="Garamond" w:cs="SimonciniGaramond"/>
          <w:sz w:val="20"/>
          <w:szCs w:val="20"/>
        </w:rPr>
        <w:t xml:space="preserve">, ai, II, Bologna, Il Mulino, 2010; per ulteriori criteri di classificazione proposti in letteratura si veda </w:t>
      </w:r>
      <w:proofErr w:type="spellStart"/>
      <w:r w:rsidRPr="00D36F91">
        <w:rPr>
          <w:rFonts w:ascii="Garamond" w:hAnsi="Garamond" w:cs="SimonciniGaramond"/>
          <w:sz w:val="20"/>
          <w:szCs w:val="20"/>
        </w:rPr>
        <w:t>M.Olivetti</w:t>
      </w:r>
      <w:proofErr w:type="spellEnd"/>
      <w:r w:rsidRPr="00D36F91">
        <w:rPr>
          <w:rFonts w:ascii="Garamond" w:hAnsi="Garamond" w:cs="SimonciniGaramond"/>
          <w:sz w:val="20"/>
          <w:szCs w:val="20"/>
        </w:rPr>
        <w:t>, Parlamenti nazionali, cit. p.509</w:t>
      </w:r>
    </w:p>
  </w:footnote>
  <w:footnote w:id="35">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Sul punto si veda </w:t>
      </w:r>
      <w:proofErr w:type="spellStart"/>
      <w:r w:rsidRPr="00D36F91">
        <w:rPr>
          <w:rFonts w:ascii="Garamond" w:hAnsi="Garamond"/>
        </w:rPr>
        <w:t>M.Olivetti</w:t>
      </w:r>
      <w:proofErr w:type="spellEnd"/>
      <w:r w:rsidRPr="00D36F91">
        <w:rPr>
          <w:rFonts w:ascii="Garamond" w:hAnsi="Garamond"/>
        </w:rPr>
        <w:t xml:space="preserve">, </w:t>
      </w:r>
      <w:r w:rsidRPr="00D36F91">
        <w:rPr>
          <w:rFonts w:ascii="Garamond" w:hAnsi="Garamond"/>
          <w:i/>
          <w:iCs/>
        </w:rPr>
        <w:t>Parlamenti nazionali nell’Unione europea</w:t>
      </w:r>
      <w:r w:rsidRPr="00D36F91">
        <w:rPr>
          <w:rFonts w:ascii="Garamond" w:hAnsi="Garamond"/>
        </w:rPr>
        <w:t xml:space="preserve">, cit. p. 510, che evidenzia come nell’ambito delle funzioni di raccordo interistituzionale, le interazioni con le assemblee rappresentative sub statali delineano “un sistema di “vasi comunicanti”. Quest’ultimo sembra in effetti essere l’arricchimento principale ai classici “cataloghi” delle funzioni dei Parlamenti elaborati dalla letteratura da </w:t>
      </w:r>
      <w:proofErr w:type="spellStart"/>
      <w:r w:rsidRPr="00D36F91">
        <w:rPr>
          <w:rFonts w:ascii="Garamond" w:hAnsi="Garamond"/>
        </w:rPr>
        <w:t>Bagehot</w:t>
      </w:r>
      <w:proofErr w:type="spellEnd"/>
      <w:r w:rsidRPr="00D36F91">
        <w:rPr>
          <w:rFonts w:ascii="Garamond" w:hAnsi="Garamond"/>
        </w:rPr>
        <w:t xml:space="preserve"> in poi”</w:t>
      </w:r>
    </w:p>
  </w:footnote>
  <w:footnote w:id="36">
    <w:p w:rsidR="0005296D" w:rsidRPr="00D36F91" w:rsidRDefault="0005296D" w:rsidP="002B28BE">
      <w:pPr>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Le disposizioni sono suscettibili di interpretazioni contrastanti, manifestate in occasione della sostituzione dell’assemblea parlamentare dell’Unione europea occidentale con le forme di controllo parlamentare sulla Politica estera e di sicurezza comune (</w:t>
      </w:r>
      <w:proofErr w:type="spellStart"/>
      <w:r w:rsidRPr="00D36F91">
        <w:rPr>
          <w:rFonts w:ascii="Garamond" w:hAnsi="Garamond"/>
          <w:sz w:val="20"/>
          <w:szCs w:val="20"/>
        </w:rPr>
        <w:t>Pesc</w:t>
      </w:r>
      <w:proofErr w:type="spellEnd"/>
      <w:r w:rsidRPr="00D36F91">
        <w:rPr>
          <w:rFonts w:ascii="Garamond" w:hAnsi="Garamond"/>
          <w:sz w:val="20"/>
          <w:szCs w:val="20"/>
        </w:rPr>
        <w:t xml:space="preserve">). In quell’occasione il Parlamento europeo ha sostenuto che tutte le forme di cooperazione “regolare” si sarebbero dovute svolgere in applicazione dell’art.9, vale a dire con il Parlamento europeo da un lato, e i parlamenti nazionali, dall’altro, posti su un piano di parità nella decisione dell’organizzazione della cooperazione interparlamentare; all’opposto i Parlamenti nazionali hanno sostenuto la possibilità di ricorrere alla </w:t>
      </w:r>
      <w:proofErr w:type="spellStart"/>
      <w:r w:rsidRPr="00D36F91">
        <w:rPr>
          <w:rFonts w:ascii="Garamond" w:hAnsi="Garamond"/>
          <w:sz w:val="20"/>
          <w:szCs w:val="20"/>
        </w:rPr>
        <w:t>Cosac</w:t>
      </w:r>
      <w:proofErr w:type="spellEnd"/>
      <w:r w:rsidRPr="00D36F91">
        <w:rPr>
          <w:rFonts w:ascii="Garamond" w:hAnsi="Garamond"/>
          <w:sz w:val="20"/>
          <w:szCs w:val="20"/>
        </w:rPr>
        <w:t xml:space="preserve"> per iniziative anche di “carattere stabile purché riferite a specifiche questioni” comprese la </w:t>
      </w:r>
      <w:proofErr w:type="spellStart"/>
      <w:r w:rsidRPr="00D36F91">
        <w:rPr>
          <w:rFonts w:ascii="Garamond" w:hAnsi="Garamond"/>
          <w:sz w:val="20"/>
          <w:szCs w:val="20"/>
        </w:rPr>
        <w:t>Pesc</w:t>
      </w:r>
      <w:proofErr w:type="spellEnd"/>
      <w:r w:rsidRPr="00D36F91">
        <w:rPr>
          <w:rFonts w:ascii="Garamond" w:hAnsi="Garamond"/>
          <w:sz w:val="20"/>
          <w:szCs w:val="20"/>
        </w:rPr>
        <w:t xml:space="preserve"> e la </w:t>
      </w:r>
      <w:proofErr w:type="spellStart"/>
      <w:r w:rsidRPr="00D36F91">
        <w:rPr>
          <w:rFonts w:ascii="Garamond" w:hAnsi="Garamond"/>
          <w:sz w:val="20"/>
          <w:szCs w:val="20"/>
        </w:rPr>
        <w:t>Pesd</w:t>
      </w:r>
      <w:proofErr w:type="spellEnd"/>
      <w:r w:rsidRPr="00D36F91">
        <w:rPr>
          <w:rFonts w:ascii="Garamond" w:hAnsi="Garamond"/>
          <w:sz w:val="20"/>
          <w:szCs w:val="20"/>
        </w:rPr>
        <w:t xml:space="preserve"> citate dallo stesso art.10.  Secondo questa interpretazione il Parlamento europeo avrebbe avuto un peso analogo a quello di un parlamento nazionale. Al fine di evitare ulteriori occasioni per l’insorgere di contrasti tra le diverse interpretazioni e le negative ricadute in termini di funzionamento delle istituzioni, in occasione del negoziato sul </w:t>
      </w:r>
      <w:proofErr w:type="spellStart"/>
      <w:r w:rsidRPr="00D36F91">
        <w:rPr>
          <w:rFonts w:ascii="Garamond" w:hAnsi="Garamond"/>
          <w:sz w:val="20"/>
          <w:szCs w:val="20"/>
        </w:rPr>
        <w:t>Tscg</w:t>
      </w:r>
      <w:proofErr w:type="spellEnd"/>
      <w:r w:rsidRPr="00D36F91">
        <w:rPr>
          <w:rFonts w:ascii="Garamond" w:hAnsi="Garamond"/>
          <w:sz w:val="20"/>
          <w:szCs w:val="20"/>
        </w:rPr>
        <w:t xml:space="preserve"> è stato ritenuto opportuno optare per una disposizione aperta ad entrambe le opzioni recate dai due articoli compresi nel Protocollo n.1. La vicenda, ricordata da </w:t>
      </w:r>
      <w:proofErr w:type="spellStart"/>
      <w:r w:rsidRPr="00D36F91">
        <w:rPr>
          <w:rFonts w:ascii="Garamond" w:hAnsi="Garamond"/>
          <w:sz w:val="20"/>
          <w:szCs w:val="20"/>
        </w:rPr>
        <w:t>N.Lupo</w:t>
      </w:r>
      <w:proofErr w:type="spellEnd"/>
      <w:r w:rsidRPr="00D36F91">
        <w:rPr>
          <w:rFonts w:ascii="Garamond" w:hAnsi="Garamond"/>
          <w:sz w:val="20"/>
          <w:szCs w:val="20"/>
        </w:rPr>
        <w:t xml:space="preserve">, </w:t>
      </w:r>
      <w:r w:rsidRPr="00D36F91">
        <w:rPr>
          <w:rFonts w:ascii="Garamond" w:hAnsi="Garamond"/>
          <w:i/>
          <w:iCs/>
          <w:sz w:val="20"/>
          <w:szCs w:val="20"/>
        </w:rPr>
        <w:t>I parlamenti nazionali e le istituzioni europee</w:t>
      </w:r>
      <w:r w:rsidRPr="00D36F91">
        <w:rPr>
          <w:rFonts w:ascii="Garamond" w:hAnsi="Garamond"/>
          <w:sz w:val="20"/>
          <w:szCs w:val="20"/>
        </w:rPr>
        <w:t xml:space="preserve">, cit. p.342, si è poi conclusa con </w:t>
      </w:r>
      <w:r w:rsidRPr="00D36F91">
        <w:rPr>
          <w:rFonts w:ascii="Garamond" w:hAnsi="Garamond" w:cs="SimonciniGaramond"/>
          <w:sz w:val="20"/>
          <w:szCs w:val="20"/>
        </w:rPr>
        <w:t xml:space="preserve"> un accordo nell’ambito della Conferenza dei Presidenti dell’Unione svoltasi il 21 aprile 2012, con cui è stato  escluso il modello </w:t>
      </w:r>
      <w:proofErr w:type="spellStart"/>
      <w:r w:rsidRPr="00D36F91">
        <w:rPr>
          <w:rFonts w:ascii="Garamond" w:hAnsi="Garamond" w:cs="SimonciniGaramond"/>
          <w:sz w:val="20"/>
          <w:szCs w:val="20"/>
        </w:rPr>
        <w:t>Cosac</w:t>
      </w:r>
      <w:proofErr w:type="spellEnd"/>
      <w:r w:rsidRPr="00D36F91">
        <w:rPr>
          <w:rFonts w:ascii="Garamond" w:hAnsi="Garamond" w:cs="SimonciniGaramond"/>
          <w:sz w:val="20"/>
          <w:szCs w:val="20"/>
        </w:rPr>
        <w:t xml:space="preserve"> ed è stato scelto di applicare l’art. 9 del protocollo n. 1, con alcuni adattamenti quali:riunione semestrale della Conferenza;adozione per consenso delle sue conclusioni che non sono vincolanti; peso del Parlamento europeo costituito da 16 delegati, mentre il peso di ciascun Parlamento nazionale è costituito da 6 membri.</w:t>
      </w:r>
    </w:p>
  </w:footnote>
  <w:footnote w:id="37">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Così </w:t>
      </w:r>
      <w:proofErr w:type="spellStart"/>
      <w:r w:rsidRPr="00D36F91">
        <w:rPr>
          <w:rFonts w:ascii="Garamond" w:hAnsi="Garamond"/>
        </w:rPr>
        <w:t>M.Olivetti</w:t>
      </w:r>
      <w:proofErr w:type="spellEnd"/>
      <w:r w:rsidRPr="00D36F91">
        <w:rPr>
          <w:rFonts w:ascii="Garamond" w:hAnsi="Garamond"/>
        </w:rPr>
        <w:t xml:space="preserve">, </w:t>
      </w:r>
      <w:r w:rsidRPr="00D36F91">
        <w:rPr>
          <w:rFonts w:ascii="Garamond" w:hAnsi="Garamond"/>
          <w:i/>
          <w:iCs/>
        </w:rPr>
        <w:t>Parlamenti nazionali</w:t>
      </w:r>
      <w:r w:rsidRPr="00D36F91">
        <w:rPr>
          <w:rFonts w:ascii="Garamond" w:hAnsi="Garamond"/>
        </w:rPr>
        <w:t xml:space="preserve">, cit. p.510; </w:t>
      </w:r>
      <w:proofErr w:type="spellStart"/>
      <w:r w:rsidRPr="00D36F91">
        <w:rPr>
          <w:rFonts w:ascii="Garamond" w:hAnsi="Garamond"/>
        </w:rPr>
        <w:t>J.Locke</w:t>
      </w:r>
      <w:proofErr w:type="spellEnd"/>
      <w:r w:rsidRPr="00D36F91">
        <w:rPr>
          <w:rFonts w:ascii="Garamond" w:hAnsi="Garamond"/>
        </w:rPr>
        <w:t xml:space="preserve">, </w:t>
      </w:r>
      <w:proofErr w:type="spellStart"/>
      <w:r w:rsidRPr="00D36F91">
        <w:rPr>
          <w:rFonts w:ascii="Garamond" w:hAnsi="Garamond"/>
          <w:i/>
          <w:iCs/>
        </w:rPr>
        <w:t>Secon</w:t>
      </w:r>
      <w:proofErr w:type="spellEnd"/>
      <w:r w:rsidRPr="00D36F91">
        <w:rPr>
          <w:rFonts w:ascii="Garamond" w:hAnsi="Garamond"/>
          <w:i/>
          <w:iCs/>
        </w:rPr>
        <w:t xml:space="preserve"> </w:t>
      </w:r>
      <w:proofErr w:type="spellStart"/>
      <w:r w:rsidRPr="00D36F91">
        <w:rPr>
          <w:rFonts w:ascii="Garamond" w:hAnsi="Garamond"/>
          <w:i/>
          <w:iCs/>
        </w:rPr>
        <w:t>Treatise</w:t>
      </w:r>
      <w:proofErr w:type="spellEnd"/>
      <w:r w:rsidRPr="00D36F91">
        <w:rPr>
          <w:rFonts w:ascii="Garamond" w:hAnsi="Garamond"/>
          <w:i/>
          <w:iCs/>
        </w:rPr>
        <w:t xml:space="preserve"> on </w:t>
      </w:r>
      <w:proofErr w:type="spellStart"/>
      <w:r w:rsidRPr="00D36F91">
        <w:rPr>
          <w:rFonts w:ascii="Garamond" w:hAnsi="Garamond"/>
          <w:i/>
          <w:iCs/>
        </w:rPr>
        <w:t>civil</w:t>
      </w:r>
      <w:proofErr w:type="spellEnd"/>
      <w:r w:rsidRPr="00D36F91">
        <w:rPr>
          <w:rFonts w:ascii="Garamond" w:hAnsi="Garamond"/>
          <w:i/>
          <w:iCs/>
        </w:rPr>
        <w:t xml:space="preserve"> </w:t>
      </w:r>
      <w:proofErr w:type="spellStart"/>
      <w:r w:rsidRPr="00D36F91">
        <w:rPr>
          <w:rFonts w:ascii="Garamond" w:hAnsi="Garamond"/>
          <w:i/>
          <w:iCs/>
        </w:rPr>
        <w:t>Government</w:t>
      </w:r>
      <w:proofErr w:type="spellEnd"/>
      <w:r w:rsidRPr="00D36F91">
        <w:rPr>
          <w:rFonts w:ascii="Garamond" w:hAnsi="Garamond"/>
        </w:rPr>
        <w:t xml:space="preserve">, </w:t>
      </w:r>
      <w:proofErr w:type="spellStart"/>
      <w:r w:rsidRPr="00D36F91">
        <w:rPr>
          <w:rFonts w:ascii="Garamond" w:hAnsi="Garamond"/>
        </w:rPr>
        <w:t>Barnes</w:t>
      </w:r>
      <w:proofErr w:type="spellEnd"/>
      <w:r w:rsidRPr="00D36F91">
        <w:rPr>
          <w:rFonts w:ascii="Garamond" w:hAnsi="Garamond"/>
        </w:rPr>
        <w:t xml:space="preserve"> &amp; </w:t>
      </w:r>
      <w:proofErr w:type="spellStart"/>
      <w:r w:rsidRPr="00D36F91">
        <w:rPr>
          <w:rFonts w:ascii="Garamond" w:hAnsi="Garamond"/>
        </w:rPr>
        <w:t>Noble</w:t>
      </w:r>
      <w:proofErr w:type="spellEnd"/>
      <w:r w:rsidRPr="00D36F91">
        <w:rPr>
          <w:rFonts w:ascii="Garamond" w:hAnsi="Garamond"/>
        </w:rPr>
        <w:t xml:space="preserve"> </w:t>
      </w:r>
      <w:proofErr w:type="spellStart"/>
      <w:r w:rsidRPr="00D36F91">
        <w:rPr>
          <w:rFonts w:ascii="Garamond" w:hAnsi="Garamond"/>
        </w:rPr>
        <w:t>Publishing</w:t>
      </w:r>
      <w:proofErr w:type="spellEnd"/>
      <w:r w:rsidRPr="00D36F91">
        <w:rPr>
          <w:rFonts w:ascii="Garamond" w:hAnsi="Garamond"/>
        </w:rPr>
        <w:t xml:space="preserve">, 1690, </w:t>
      </w:r>
      <w:proofErr w:type="spellStart"/>
      <w:r w:rsidRPr="00D36F91">
        <w:rPr>
          <w:rFonts w:ascii="Garamond" w:hAnsi="Garamond"/>
        </w:rPr>
        <w:t>cap.XII</w:t>
      </w:r>
      <w:proofErr w:type="spellEnd"/>
    </w:p>
  </w:footnote>
  <w:footnote w:id="38">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Considerando n. 11 del </w:t>
      </w:r>
      <w:proofErr w:type="spellStart"/>
      <w:r w:rsidRPr="00D36F91">
        <w:rPr>
          <w:rFonts w:ascii="Garamond" w:hAnsi="Garamond"/>
        </w:rPr>
        <w:t>Reg.Ue</w:t>
      </w:r>
      <w:proofErr w:type="spellEnd"/>
      <w:r w:rsidRPr="00D36F91">
        <w:rPr>
          <w:rFonts w:ascii="Garamond" w:hAnsi="Garamond"/>
        </w:rPr>
        <w:t xml:space="preserve"> n.1173/2011 e Considerando n.25 del </w:t>
      </w:r>
      <w:proofErr w:type="spellStart"/>
      <w:r w:rsidRPr="00D36F91">
        <w:rPr>
          <w:rFonts w:ascii="Garamond" w:hAnsi="Garamond"/>
        </w:rPr>
        <w:t>Reg.Ue</w:t>
      </w:r>
      <w:proofErr w:type="spellEnd"/>
      <w:r w:rsidRPr="00D36F91">
        <w:rPr>
          <w:rFonts w:ascii="Garamond" w:hAnsi="Garamond"/>
        </w:rPr>
        <w:t xml:space="preserve"> n.1176/2011; Considerando n.16 del </w:t>
      </w:r>
      <w:proofErr w:type="spellStart"/>
      <w:r w:rsidRPr="00D36F91">
        <w:rPr>
          <w:rFonts w:ascii="Garamond" w:hAnsi="Garamond"/>
        </w:rPr>
        <w:t>Reg.Ue</w:t>
      </w:r>
      <w:proofErr w:type="spellEnd"/>
      <w:r w:rsidRPr="00D36F91">
        <w:rPr>
          <w:rFonts w:ascii="Garamond" w:hAnsi="Garamond"/>
        </w:rPr>
        <w:t xml:space="preserve"> n.1175/2011, il quale prevede anche che il </w:t>
      </w:r>
      <w:proofErr w:type="spellStart"/>
      <w:r w:rsidRPr="00D36F91">
        <w:rPr>
          <w:rFonts w:ascii="Garamond" w:hAnsi="Garamond"/>
        </w:rPr>
        <w:t>progrmma</w:t>
      </w:r>
      <w:proofErr w:type="spellEnd"/>
      <w:r w:rsidRPr="00D36F91">
        <w:rPr>
          <w:rFonts w:ascii="Garamond" w:hAnsi="Garamond"/>
        </w:rPr>
        <w:t xml:space="preserve"> di stabilità presentato dal governo al Consiglio e alla Commissione debba indicare se sia stato sottoposto al Parlamento; </w:t>
      </w:r>
      <w:proofErr w:type="spellStart"/>
      <w:r w:rsidRPr="00D36F91">
        <w:rPr>
          <w:rFonts w:ascii="Garamond" w:hAnsi="Garamond"/>
        </w:rPr>
        <w:t>cfr.A.Delcamp</w:t>
      </w:r>
      <w:proofErr w:type="spellEnd"/>
      <w:r w:rsidRPr="00D36F91">
        <w:rPr>
          <w:rFonts w:ascii="Garamond" w:hAnsi="Garamond"/>
        </w:rPr>
        <w:t xml:space="preserve">, </w:t>
      </w:r>
      <w:proofErr w:type="spellStart"/>
      <w:r w:rsidRPr="00D36F91">
        <w:rPr>
          <w:rFonts w:ascii="Garamond" w:hAnsi="Garamond"/>
          <w:i/>
          <w:iCs/>
        </w:rPr>
        <w:t>Les</w:t>
      </w:r>
      <w:proofErr w:type="spellEnd"/>
      <w:r w:rsidRPr="00D36F91">
        <w:rPr>
          <w:rFonts w:ascii="Garamond" w:hAnsi="Garamond"/>
          <w:i/>
          <w:iCs/>
        </w:rPr>
        <w:t xml:space="preserve"> </w:t>
      </w:r>
      <w:proofErr w:type="spellStart"/>
      <w:r w:rsidRPr="00D36F91">
        <w:rPr>
          <w:rFonts w:ascii="Garamond" w:hAnsi="Garamond"/>
          <w:i/>
          <w:iCs/>
        </w:rPr>
        <w:t>parlaments</w:t>
      </w:r>
      <w:proofErr w:type="spellEnd"/>
      <w:r w:rsidRPr="00D36F91">
        <w:rPr>
          <w:rFonts w:ascii="Garamond" w:hAnsi="Garamond"/>
          <w:i/>
          <w:iCs/>
        </w:rPr>
        <w:t xml:space="preserve"> </w:t>
      </w:r>
      <w:proofErr w:type="spellStart"/>
      <w:r w:rsidRPr="00D36F91">
        <w:rPr>
          <w:rFonts w:ascii="Garamond" w:hAnsi="Garamond"/>
          <w:i/>
          <w:iCs/>
        </w:rPr>
        <w:t>nationaux</w:t>
      </w:r>
      <w:proofErr w:type="spellEnd"/>
      <w:r w:rsidRPr="00D36F91">
        <w:rPr>
          <w:rFonts w:ascii="Garamond" w:hAnsi="Garamond"/>
          <w:i/>
          <w:iCs/>
        </w:rPr>
        <w:t xml:space="preserve"> </w:t>
      </w:r>
      <w:proofErr w:type="spellStart"/>
      <w:r w:rsidRPr="00D36F91">
        <w:rPr>
          <w:rFonts w:ascii="Garamond" w:hAnsi="Garamond"/>
          <w:i/>
          <w:iCs/>
        </w:rPr>
        <w:t>et</w:t>
      </w:r>
      <w:proofErr w:type="spellEnd"/>
      <w:r w:rsidRPr="00D36F91">
        <w:rPr>
          <w:rFonts w:ascii="Garamond" w:hAnsi="Garamond"/>
          <w:i/>
          <w:iCs/>
        </w:rPr>
        <w:t xml:space="preserve"> l’</w:t>
      </w:r>
      <w:proofErr w:type="spellStart"/>
      <w:r w:rsidRPr="00D36F91">
        <w:rPr>
          <w:rFonts w:ascii="Garamond" w:hAnsi="Garamond"/>
          <w:i/>
          <w:iCs/>
        </w:rPr>
        <w:t>Union</w:t>
      </w:r>
      <w:proofErr w:type="spellEnd"/>
      <w:r w:rsidRPr="00D36F91">
        <w:rPr>
          <w:rFonts w:ascii="Garamond" w:hAnsi="Garamond"/>
          <w:i/>
          <w:iCs/>
        </w:rPr>
        <w:t xml:space="preserve"> </w:t>
      </w:r>
      <w:proofErr w:type="spellStart"/>
      <w:r w:rsidRPr="00D36F91">
        <w:rPr>
          <w:rFonts w:ascii="Garamond" w:hAnsi="Garamond"/>
          <w:i/>
          <w:iCs/>
        </w:rPr>
        <w:t>européenne</w:t>
      </w:r>
      <w:proofErr w:type="spellEnd"/>
      <w:r w:rsidRPr="00D36F91">
        <w:rPr>
          <w:rFonts w:ascii="Garamond" w:hAnsi="Garamond"/>
          <w:i/>
          <w:iCs/>
        </w:rPr>
        <w:t xml:space="preserve">:de la </w:t>
      </w:r>
      <w:proofErr w:type="spellStart"/>
      <w:r w:rsidRPr="00D36F91">
        <w:rPr>
          <w:rFonts w:ascii="Garamond" w:hAnsi="Garamond"/>
          <w:i/>
          <w:iCs/>
        </w:rPr>
        <w:t>reconnaissance</w:t>
      </w:r>
      <w:proofErr w:type="spellEnd"/>
      <w:r w:rsidRPr="00D36F91">
        <w:rPr>
          <w:rFonts w:ascii="Garamond" w:hAnsi="Garamond"/>
          <w:i/>
          <w:iCs/>
        </w:rPr>
        <w:t xml:space="preserve"> à l’engagement, </w:t>
      </w:r>
      <w:proofErr w:type="spellStart"/>
      <w:r w:rsidRPr="00D36F91">
        <w:rPr>
          <w:rFonts w:ascii="Garamond" w:hAnsi="Garamond"/>
          <w:i/>
          <w:iCs/>
        </w:rPr>
        <w:t>Revue</w:t>
      </w:r>
      <w:proofErr w:type="spellEnd"/>
      <w:r w:rsidRPr="00D36F91">
        <w:rPr>
          <w:rFonts w:ascii="Garamond" w:hAnsi="Garamond"/>
          <w:i/>
          <w:iCs/>
        </w:rPr>
        <w:t xml:space="preserve"> de l’</w:t>
      </w:r>
      <w:proofErr w:type="spellStart"/>
      <w:r w:rsidRPr="00D36F91">
        <w:rPr>
          <w:rFonts w:ascii="Garamond" w:hAnsi="Garamond"/>
          <w:i/>
          <w:iCs/>
        </w:rPr>
        <w:t>Union</w:t>
      </w:r>
      <w:proofErr w:type="spellEnd"/>
      <w:r w:rsidRPr="00D36F91">
        <w:rPr>
          <w:rFonts w:ascii="Garamond" w:hAnsi="Garamond"/>
          <w:i/>
          <w:iCs/>
        </w:rPr>
        <w:t xml:space="preserve"> </w:t>
      </w:r>
      <w:proofErr w:type="spellStart"/>
      <w:r w:rsidRPr="00D36F91">
        <w:rPr>
          <w:rFonts w:ascii="Garamond" w:hAnsi="Garamond"/>
          <w:i/>
          <w:iCs/>
        </w:rPr>
        <w:t>européenne</w:t>
      </w:r>
      <w:proofErr w:type="spellEnd"/>
      <w:r w:rsidRPr="00D36F91">
        <w:rPr>
          <w:rFonts w:ascii="Garamond" w:hAnsi="Garamond"/>
          <w:i/>
          <w:iCs/>
        </w:rPr>
        <w:t xml:space="preserve">,n.544, 2011, p.7, specie </w:t>
      </w:r>
      <w:r w:rsidRPr="00D36F91">
        <w:rPr>
          <w:rFonts w:ascii="Garamond" w:hAnsi="Garamond"/>
        </w:rPr>
        <w:t xml:space="preserve">, p. 11; </w:t>
      </w:r>
      <w:proofErr w:type="spellStart"/>
      <w:r w:rsidRPr="00D36F91">
        <w:rPr>
          <w:rFonts w:ascii="Garamond" w:hAnsi="Garamond"/>
        </w:rPr>
        <w:t>P.Bilancia</w:t>
      </w:r>
      <w:proofErr w:type="spellEnd"/>
      <w:r w:rsidRPr="00D36F91">
        <w:rPr>
          <w:rFonts w:ascii="Garamond" w:hAnsi="Garamond"/>
        </w:rPr>
        <w:t xml:space="preserve">, </w:t>
      </w:r>
      <w:r w:rsidRPr="00D36F91">
        <w:rPr>
          <w:rFonts w:ascii="Garamond" w:hAnsi="Garamond"/>
          <w:i/>
          <w:iCs/>
        </w:rPr>
        <w:t xml:space="preserve">The </w:t>
      </w:r>
      <w:proofErr w:type="spellStart"/>
      <w:r w:rsidRPr="00D36F91">
        <w:rPr>
          <w:rFonts w:ascii="Garamond" w:hAnsi="Garamond"/>
          <w:i/>
          <w:iCs/>
        </w:rPr>
        <w:t>Role</w:t>
      </w:r>
      <w:proofErr w:type="spellEnd"/>
      <w:r w:rsidRPr="00D36F91">
        <w:rPr>
          <w:rFonts w:ascii="Garamond" w:hAnsi="Garamond"/>
          <w:i/>
          <w:iCs/>
        </w:rPr>
        <w:t xml:space="preserve"> and </w:t>
      </w:r>
      <w:proofErr w:type="spellStart"/>
      <w:r w:rsidRPr="00D36F91">
        <w:rPr>
          <w:rFonts w:ascii="Garamond" w:hAnsi="Garamond"/>
          <w:i/>
          <w:iCs/>
        </w:rPr>
        <w:t>Power</w:t>
      </w:r>
      <w:proofErr w:type="spellEnd"/>
      <w:r w:rsidRPr="00D36F91">
        <w:rPr>
          <w:rFonts w:ascii="Garamond" w:hAnsi="Garamond"/>
          <w:i/>
          <w:iCs/>
        </w:rPr>
        <w:t xml:space="preserve"> </w:t>
      </w:r>
      <w:proofErr w:type="spellStart"/>
      <w:r w:rsidRPr="00D36F91">
        <w:rPr>
          <w:rFonts w:ascii="Garamond" w:hAnsi="Garamond"/>
          <w:i/>
          <w:iCs/>
        </w:rPr>
        <w:t>of</w:t>
      </w:r>
      <w:proofErr w:type="spellEnd"/>
      <w:r w:rsidRPr="00D36F91">
        <w:rPr>
          <w:rFonts w:ascii="Garamond" w:hAnsi="Garamond"/>
          <w:i/>
          <w:iCs/>
        </w:rPr>
        <w:t xml:space="preserve"> </w:t>
      </w:r>
      <w:proofErr w:type="spellStart"/>
      <w:r w:rsidRPr="00D36F91">
        <w:rPr>
          <w:rFonts w:ascii="Garamond" w:hAnsi="Garamond"/>
          <w:i/>
          <w:iCs/>
        </w:rPr>
        <w:t>European</w:t>
      </w:r>
      <w:proofErr w:type="spellEnd"/>
      <w:r w:rsidRPr="00D36F91">
        <w:rPr>
          <w:rFonts w:ascii="Garamond" w:hAnsi="Garamond"/>
          <w:i/>
          <w:iCs/>
        </w:rPr>
        <w:t xml:space="preserve"> and National </w:t>
      </w:r>
      <w:proofErr w:type="spellStart"/>
      <w:r w:rsidRPr="00D36F91">
        <w:rPr>
          <w:rFonts w:ascii="Garamond" w:hAnsi="Garamond"/>
          <w:i/>
          <w:iCs/>
        </w:rPr>
        <w:t>Parliaments</w:t>
      </w:r>
      <w:proofErr w:type="spellEnd"/>
      <w:r w:rsidRPr="00D36F91">
        <w:rPr>
          <w:rFonts w:ascii="Garamond" w:hAnsi="Garamond"/>
          <w:i/>
          <w:iCs/>
        </w:rPr>
        <w:t xml:space="preserve"> in the Dynamics </w:t>
      </w:r>
      <w:proofErr w:type="spellStart"/>
      <w:r w:rsidRPr="00D36F91">
        <w:rPr>
          <w:rFonts w:ascii="Garamond" w:hAnsi="Garamond"/>
          <w:i/>
          <w:iCs/>
        </w:rPr>
        <w:t>of</w:t>
      </w:r>
      <w:proofErr w:type="spellEnd"/>
      <w:r w:rsidRPr="00D36F91">
        <w:rPr>
          <w:rFonts w:ascii="Garamond" w:hAnsi="Garamond"/>
          <w:i/>
          <w:iCs/>
        </w:rPr>
        <w:t xml:space="preserve"> </w:t>
      </w:r>
      <w:proofErr w:type="spellStart"/>
      <w:r w:rsidRPr="00D36F91">
        <w:rPr>
          <w:rFonts w:ascii="Garamond" w:hAnsi="Garamond"/>
          <w:i/>
          <w:iCs/>
        </w:rPr>
        <w:t>Integration</w:t>
      </w:r>
      <w:proofErr w:type="spellEnd"/>
      <w:r w:rsidRPr="00D36F91">
        <w:rPr>
          <w:rFonts w:ascii="Garamond" w:hAnsi="Garamond"/>
        </w:rPr>
        <w:t xml:space="preserve">, in </w:t>
      </w:r>
      <w:proofErr w:type="spellStart"/>
      <w:r w:rsidRPr="00D36F91">
        <w:rPr>
          <w:rFonts w:ascii="Garamond" w:hAnsi="Garamond"/>
          <w:i/>
          <w:iCs/>
        </w:rPr>
        <w:t>Riv.It.Dir.Pubb.</w:t>
      </w:r>
      <w:proofErr w:type="spellEnd"/>
      <w:r w:rsidRPr="00D36F91">
        <w:rPr>
          <w:rFonts w:ascii="Garamond" w:hAnsi="Garamond"/>
          <w:i/>
          <w:iCs/>
        </w:rPr>
        <w:t xml:space="preserve"> com</w:t>
      </w:r>
      <w:r w:rsidRPr="00D36F91">
        <w:rPr>
          <w:rFonts w:ascii="Garamond" w:hAnsi="Garamond"/>
        </w:rPr>
        <w:t>., n.2/2009, p.1119 e ss;</w:t>
      </w:r>
    </w:p>
  </w:footnote>
  <w:footnote w:id="39">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Le prerogative parlamentari, in relazione al </w:t>
      </w:r>
      <w:proofErr w:type="spellStart"/>
      <w:r w:rsidRPr="00D36F91">
        <w:rPr>
          <w:rFonts w:ascii="Garamond" w:hAnsi="Garamond"/>
          <w:sz w:val="20"/>
          <w:szCs w:val="20"/>
        </w:rPr>
        <w:t>Tscg</w:t>
      </w:r>
      <w:proofErr w:type="spellEnd"/>
      <w:r w:rsidRPr="00D36F91">
        <w:rPr>
          <w:rFonts w:ascii="Garamond" w:hAnsi="Garamond"/>
          <w:sz w:val="20"/>
          <w:szCs w:val="20"/>
        </w:rPr>
        <w:t xml:space="preserve"> sono illustrate nel </w:t>
      </w:r>
      <w:r w:rsidRPr="00D36F91">
        <w:rPr>
          <w:rFonts w:ascii="Garamond" w:hAnsi="Garamond" w:cs="Times#20New#20Roman"/>
          <w:sz w:val="20"/>
          <w:szCs w:val="20"/>
        </w:rPr>
        <w:t>XVIII rapporto semestrale del Segretariato della COSAC “</w:t>
      </w:r>
      <w:proofErr w:type="spellStart"/>
      <w:r w:rsidRPr="00D36F91">
        <w:rPr>
          <w:rFonts w:ascii="Garamond" w:hAnsi="Garamond" w:cs="TimesNewRomanPS-ItalicMT"/>
          <w:i/>
          <w:iCs/>
          <w:sz w:val="20"/>
          <w:szCs w:val="20"/>
        </w:rPr>
        <w:t>Developments</w:t>
      </w:r>
      <w:proofErr w:type="spellEnd"/>
      <w:r w:rsidRPr="00D36F91">
        <w:rPr>
          <w:rFonts w:ascii="Garamond" w:hAnsi="Garamond" w:cs="TimesNewRomanPS-ItalicMT"/>
          <w:i/>
          <w:iCs/>
          <w:sz w:val="20"/>
          <w:szCs w:val="20"/>
        </w:rPr>
        <w:t xml:space="preserve"> in </w:t>
      </w:r>
      <w:proofErr w:type="spellStart"/>
      <w:r w:rsidRPr="00D36F91">
        <w:rPr>
          <w:rFonts w:ascii="Garamond" w:hAnsi="Garamond" w:cs="TimesNewRomanPS-ItalicMT"/>
          <w:i/>
          <w:iCs/>
          <w:sz w:val="20"/>
          <w:szCs w:val="20"/>
        </w:rPr>
        <w:t>European</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Union</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Procedures</w:t>
      </w:r>
      <w:proofErr w:type="spellEnd"/>
      <w:r w:rsidRPr="00D36F91">
        <w:rPr>
          <w:rFonts w:ascii="Garamond" w:hAnsi="Garamond" w:cs="TimesNewRomanPS-ItalicMT"/>
          <w:i/>
          <w:iCs/>
          <w:sz w:val="20"/>
          <w:szCs w:val="20"/>
        </w:rPr>
        <w:t xml:space="preserve"> and </w:t>
      </w:r>
      <w:proofErr w:type="spellStart"/>
      <w:r w:rsidRPr="00D36F91">
        <w:rPr>
          <w:rFonts w:ascii="Garamond" w:hAnsi="Garamond" w:cs="TimesNewRomanPS-ItalicMT"/>
          <w:i/>
          <w:iCs/>
          <w:sz w:val="20"/>
          <w:szCs w:val="20"/>
        </w:rPr>
        <w:t>Practices</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Relevant</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to</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Parliamentary</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Scrutiny</w:t>
      </w:r>
      <w:proofErr w:type="spellEnd"/>
      <w:r w:rsidRPr="00D36F91">
        <w:rPr>
          <w:rFonts w:ascii="Garamond" w:hAnsi="Garamond" w:cs="Times#20New#20Roman"/>
          <w:sz w:val="20"/>
          <w:szCs w:val="20"/>
        </w:rPr>
        <w:t>”, pubblicato nel settembre 2012,</w:t>
      </w:r>
      <w:r w:rsidRPr="00D36F91">
        <w:rPr>
          <w:rFonts w:ascii="Garamond" w:hAnsi="Garamond" w:cs="TimesNewRomanPSMT"/>
          <w:sz w:val="20"/>
          <w:szCs w:val="20"/>
        </w:rPr>
        <w:t xml:space="preserve">reperibile nel sito </w:t>
      </w:r>
      <w:hyperlink r:id="rId6" w:history="1">
        <w:r w:rsidRPr="00D36F91">
          <w:rPr>
            <w:rStyle w:val="Collegamentoipertestuale"/>
            <w:rFonts w:ascii="Garamond" w:hAnsi="Garamond" w:cs="TimesNewRomanPSMT"/>
            <w:sz w:val="20"/>
            <w:szCs w:val="20"/>
          </w:rPr>
          <w:t>www.cosac.eu</w:t>
        </w:r>
      </w:hyperlink>
      <w:r w:rsidRPr="00D36F91">
        <w:rPr>
          <w:rFonts w:ascii="Garamond" w:hAnsi="Garamond" w:cs="TimesNewRomanPSMT"/>
          <w:sz w:val="20"/>
          <w:szCs w:val="20"/>
        </w:rPr>
        <w:t xml:space="preserve">; più ampiamente su questi aspetti C. FASONE, </w:t>
      </w:r>
      <w:r w:rsidRPr="00D36F91">
        <w:rPr>
          <w:rFonts w:ascii="Garamond" w:hAnsi="Garamond" w:cs="TimesNewRomanPS-ItalicMT"/>
          <w:i/>
          <w:iCs/>
          <w:sz w:val="20"/>
          <w:szCs w:val="20"/>
        </w:rPr>
        <w:t xml:space="preserve">The </w:t>
      </w:r>
      <w:proofErr w:type="spellStart"/>
      <w:r w:rsidRPr="00D36F91">
        <w:rPr>
          <w:rFonts w:ascii="Garamond" w:hAnsi="Garamond" w:cs="TimesNewRomanPS-ItalicMT"/>
          <w:i/>
          <w:iCs/>
          <w:sz w:val="20"/>
          <w:szCs w:val="20"/>
        </w:rPr>
        <w:t>Struggle</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of</w:t>
      </w:r>
      <w:proofErr w:type="spellEnd"/>
      <w:r w:rsidRPr="00D36F91">
        <w:rPr>
          <w:rFonts w:ascii="Garamond" w:hAnsi="Garamond" w:cs="TimesNewRomanPS-ItalicMT"/>
          <w:i/>
          <w:iCs/>
          <w:sz w:val="20"/>
          <w:szCs w:val="20"/>
        </w:rPr>
        <w:t xml:space="preserve"> the </w:t>
      </w:r>
      <w:proofErr w:type="spellStart"/>
      <w:r w:rsidRPr="00D36F91">
        <w:rPr>
          <w:rFonts w:ascii="Garamond" w:hAnsi="Garamond" w:cs="TimesNewRomanPS-ItalicMT"/>
          <w:i/>
          <w:iCs/>
          <w:sz w:val="20"/>
          <w:szCs w:val="20"/>
        </w:rPr>
        <w:t>European</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Parliament</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to</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Participate</w:t>
      </w:r>
      <w:proofErr w:type="spellEnd"/>
      <w:r w:rsidRPr="00D36F91">
        <w:rPr>
          <w:rFonts w:ascii="Garamond" w:hAnsi="Garamond" w:cs="TimesNewRomanPS-ItalicMT"/>
          <w:i/>
          <w:iCs/>
          <w:sz w:val="20"/>
          <w:szCs w:val="20"/>
        </w:rPr>
        <w:t xml:space="preserve"> in the New </w:t>
      </w:r>
      <w:proofErr w:type="spellStart"/>
      <w:r w:rsidRPr="00D36F91">
        <w:rPr>
          <w:rFonts w:ascii="Garamond" w:hAnsi="Garamond" w:cs="TimesNewRomanPS-ItalicMT"/>
          <w:i/>
          <w:iCs/>
          <w:sz w:val="20"/>
          <w:szCs w:val="20"/>
        </w:rPr>
        <w:t>Economic</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Governance</w:t>
      </w:r>
      <w:proofErr w:type="spellEnd"/>
      <w:r w:rsidRPr="00D36F91">
        <w:rPr>
          <w:rFonts w:ascii="Garamond" w:hAnsi="Garamond" w:cs="TimesNewRomanPSMT"/>
          <w:sz w:val="20"/>
          <w:szCs w:val="20"/>
        </w:rPr>
        <w:t xml:space="preserve">, EUDO </w:t>
      </w:r>
      <w:proofErr w:type="spellStart"/>
      <w:r w:rsidRPr="00D36F91">
        <w:rPr>
          <w:rFonts w:ascii="Garamond" w:hAnsi="Garamond" w:cs="TimesNewRomanPSMT"/>
          <w:sz w:val="20"/>
          <w:szCs w:val="20"/>
        </w:rPr>
        <w:t>working</w:t>
      </w:r>
      <w:proofErr w:type="spellEnd"/>
      <w:r w:rsidRPr="00D36F91">
        <w:rPr>
          <w:rFonts w:ascii="Garamond" w:hAnsi="Garamond" w:cs="TimesNewRomanPSMT"/>
          <w:sz w:val="20"/>
          <w:szCs w:val="20"/>
        </w:rPr>
        <w:t xml:space="preserve"> </w:t>
      </w:r>
      <w:proofErr w:type="spellStart"/>
      <w:r w:rsidRPr="00D36F91">
        <w:rPr>
          <w:rFonts w:ascii="Garamond" w:hAnsi="Garamond" w:cs="TimesNewRomanPSMT"/>
          <w:sz w:val="20"/>
          <w:szCs w:val="20"/>
        </w:rPr>
        <w:t>paper</w:t>
      </w:r>
      <w:proofErr w:type="spellEnd"/>
      <w:r w:rsidRPr="00D36F91">
        <w:rPr>
          <w:rFonts w:ascii="Garamond" w:hAnsi="Garamond" w:cs="TimesNewRomanPSMT"/>
          <w:sz w:val="20"/>
          <w:szCs w:val="20"/>
        </w:rPr>
        <w:t xml:space="preserve">, Firenze, Agosto 2012, disponibile sul sito: </w:t>
      </w:r>
      <w:r w:rsidRPr="00D36F91">
        <w:rPr>
          <w:rFonts w:ascii="Garamond" w:hAnsi="Garamond" w:cs="TimesNewRomanPS-ItalicMT"/>
          <w:i/>
          <w:iCs/>
          <w:sz w:val="20"/>
          <w:szCs w:val="20"/>
        </w:rPr>
        <w:t>http://cadmus.eui.eu</w:t>
      </w:r>
    </w:p>
  </w:footnote>
  <w:footnote w:id="40">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In realtà, la stessa introduzione del semestre europeo, può essere considerata una sorta di tappa intermedia rispetto alla cooperazione interparlamentare delineata dall’art.13 del Trattato, dal momento che, come è stato osservato, le programmazioni finanziarie presentate al vaglio della Commissione tengono conto della loro “sostenibilità parlamentare” , il che induce a risolvere il tutto in una sorta di“dialogo a distanza” tra i parlamenti degli Stati membri. Così </w:t>
      </w:r>
      <w:r w:rsidRPr="00D36F91">
        <w:rPr>
          <w:rFonts w:ascii="Garamond" w:hAnsi="Garamond" w:cs="SimonciniGaramond"/>
          <w:sz w:val="20"/>
          <w:szCs w:val="20"/>
        </w:rPr>
        <w:t xml:space="preserve">A. </w:t>
      </w:r>
      <w:proofErr w:type="spellStart"/>
      <w:r w:rsidRPr="00D36F91">
        <w:rPr>
          <w:rFonts w:ascii="Garamond" w:hAnsi="Garamond" w:cs="SimonciniGaramond"/>
          <w:sz w:val="20"/>
          <w:szCs w:val="20"/>
        </w:rPr>
        <w:t>Manzella</w:t>
      </w:r>
      <w:proofErr w:type="spellEnd"/>
      <w:r w:rsidRPr="00D36F91">
        <w:rPr>
          <w:rFonts w:ascii="Garamond" w:hAnsi="Garamond" w:cs="SimonciniGaramond"/>
          <w:sz w:val="20"/>
          <w:szCs w:val="20"/>
        </w:rPr>
        <w:t xml:space="preserve">, </w:t>
      </w:r>
      <w:r w:rsidRPr="00D36F91">
        <w:rPr>
          <w:rFonts w:ascii="Garamond" w:hAnsi="Garamond" w:cs="SimonciniGaramond-Italic"/>
          <w:i/>
          <w:iCs/>
          <w:sz w:val="20"/>
          <w:szCs w:val="20"/>
        </w:rPr>
        <w:t xml:space="preserve">La cooperazione interparlamentare nel </w:t>
      </w:r>
      <w:r w:rsidRPr="00D36F91">
        <w:rPr>
          <w:rFonts w:ascii="Garamond" w:hAnsi="Garamond" w:cs="SimonciniGaramond"/>
          <w:sz w:val="20"/>
          <w:szCs w:val="20"/>
        </w:rPr>
        <w:t>«</w:t>
      </w:r>
      <w:r w:rsidRPr="00D36F91">
        <w:rPr>
          <w:rFonts w:ascii="Garamond" w:hAnsi="Garamond" w:cs="SimonciniGaramond-Italic"/>
          <w:i/>
          <w:iCs/>
          <w:sz w:val="20"/>
          <w:szCs w:val="20"/>
        </w:rPr>
        <w:t>trattato internazionale</w:t>
      </w:r>
      <w:r w:rsidRPr="00D36F91">
        <w:rPr>
          <w:rFonts w:ascii="Garamond" w:hAnsi="Garamond" w:cs="SimonciniGaramond"/>
          <w:sz w:val="20"/>
          <w:szCs w:val="20"/>
        </w:rPr>
        <w:t xml:space="preserve">» </w:t>
      </w:r>
      <w:r w:rsidRPr="00D36F91">
        <w:rPr>
          <w:rFonts w:ascii="Garamond" w:hAnsi="Garamond" w:cs="SimonciniGaramond-Italic"/>
          <w:i/>
          <w:iCs/>
          <w:sz w:val="20"/>
          <w:szCs w:val="20"/>
        </w:rPr>
        <w:t>europeo</w:t>
      </w:r>
      <w:r w:rsidRPr="00D36F91">
        <w:rPr>
          <w:rFonts w:ascii="Garamond" w:hAnsi="Garamond" w:cs="SimonciniGaramond"/>
          <w:sz w:val="20"/>
          <w:szCs w:val="20"/>
        </w:rPr>
        <w:t>, in «</w:t>
      </w:r>
      <w:proofErr w:type="spellStart"/>
      <w:r w:rsidRPr="00D36F91">
        <w:rPr>
          <w:rFonts w:ascii="Garamond" w:hAnsi="Garamond" w:cs="SimonciniGaramond"/>
          <w:sz w:val="20"/>
          <w:szCs w:val="20"/>
        </w:rPr>
        <w:t>Astrid</w:t>
      </w:r>
      <w:proofErr w:type="spellEnd"/>
      <w:r w:rsidRPr="00D36F91">
        <w:rPr>
          <w:rFonts w:ascii="Garamond" w:hAnsi="Garamond" w:cs="SimonciniGaramond"/>
          <w:sz w:val="20"/>
          <w:szCs w:val="20"/>
        </w:rPr>
        <w:t xml:space="preserve"> Rassegna», n.4/2012, p.4</w:t>
      </w:r>
    </w:p>
  </w:footnote>
  <w:footnote w:id="41">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Sul punto si veda </w:t>
      </w:r>
      <w:proofErr w:type="spellStart"/>
      <w:r w:rsidRPr="00D36F91">
        <w:rPr>
          <w:rFonts w:ascii="Garamond" w:hAnsi="Garamond"/>
        </w:rPr>
        <w:t>M.Roberti</w:t>
      </w:r>
      <w:proofErr w:type="spellEnd"/>
      <w:r w:rsidRPr="00D36F91">
        <w:rPr>
          <w:rFonts w:ascii="Garamond" w:hAnsi="Garamond"/>
        </w:rPr>
        <w:t>,</w:t>
      </w:r>
      <w:r w:rsidRPr="00D36F91">
        <w:rPr>
          <w:rFonts w:ascii="Garamond" w:hAnsi="Garamond"/>
          <w:i/>
          <w:iCs/>
        </w:rPr>
        <w:t xml:space="preserve"> La cooperazione interparlamentare a seguito del Trattato di Lisbona</w:t>
      </w:r>
      <w:r w:rsidRPr="00D36F91">
        <w:rPr>
          <w:rFonts w:ascii="Garamond" w:hAnsi="Garamond"/>
        </w:rPr>
        <w:t xml:space="preserve">, </w:t>
      </w:r>
      <w:proofErr w:type="spellStart"/>
      <w:r w:rsidRPr="00D36F91">
        <w:rPr>
          <w:rFonts w:ascii="Garamond" w:hAnsi="Garamond"/>
        </w:rPr>
        <w:t>E.Rossi</w:t>
      </w:r>
      <w:proofErr w:type="spellEnd"/>
      <w:r w:rsidRPr="00D36F91">
        <w:rPr>
          <w:rFonts w:ascii="Garamond" w:hAnsi="Garamond"/>
        </w:rPr>
        <w:t xml:space="preserve"> ( a cura di),</w:t>
      </w:r>
      <w:r w:rsidRPr="00D36F91">
        <w:rPr>
          <w:rFonts w:ascii="Garamond" w:hAnsi="Garamond"/>
          <w:i/>
          <w:iCs/>
        </w:rPr>
        <w:t xml:space="preserve"> Studi Pisani sul Parlamento,</w:t>
      </w:r>
      <w:r w:rsidRPr="00D36F91">
        <w:rPr>
          <w:rFonts w:ascii="Garamond" w:hAnsi="Garamond"/>
        </w:rPr>
        <w:t xml:space="preserve"> Pisa, Plus, 2012, p. 283, si sofferma sulla risoluzione del Parlamento europeo del 7 maggio 2009 relativa allo sviluppo di rapporti tra Parlamento europeo e parlamenti nazionali, auspicando la costruzione di una rete di commissioni parlamentari omologhe.</w:t>
      </w:r>
    </w:p>
  </w:footnote>
  <w:footnote w:id="42">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Così </w:t>
      </w:r>
      <w:proofErr w:type="spellStart"/>
      <w:r w:rsidRPr="00D36F91">
        <w:rPr>
          <w:rFonts w:ascii="Garamond" w:hAnsi="Garamond"/>
          <w:sz w:val="20"/>
          <w:szCs w:val="20"/>
        </w:rPr>
        <w:t>A.Manzella</w:t>
      </w:r>
      <w:proofErr w:type="spellEnd"/>
      <w:r w:rsidRPr="00D36F91">
        <w:rPr>
          <w:rFonts w:ascii="Garamond" w:hAnsi="Garamond"/>
          <w:sz w:val="20"/>
          <w:szCs w:val="20"/>
        </w:rPr>
        <w:t xml:space="preserve">, </w:t>
      </w:r>
      <w:r w:rsidRPr="00D36F91">
        <w:rPr>
          <w:rFonts w:ascii="Garamond" w:hAnsi="Garamond"/>
          <w:i/>
          <w:iCs/>
          <w:sz w:val="20"/>
          <w:szCs w:val="20"/>
        </w:rPr>
        <w:t>La cooperazione interparlamentare nel “Trattato internazionale” europeo</w:t>
      </w:r>
      <w:r w:rsidRPr="00D36F91">
        <w:rPr>
          <w:rFonts w:ascii="Garamond" w:hAnsi="Garamond"/>
          <w:sz w:val="20"/>
          <w:szCs w:val="20"/>
        </w:rPr>
        <w:t xml:space="preserve">, in </w:t>
      </w:r>
      <w:hyperlink r:id="rId7" w:history="1">
        <w:r w:rsidRPr="00D36F91">
          <w:rPr>
            <w:rStyle w:val="Collegamentoipertestuale"/>
            <w:rFonts w:ascii="Garamond" w:hAnsi="Garamond"/>
            <w:sz w:val="20"/>
            <w:szCs w:val="20"/>
          </w:rPr>
          <w:t>www.astridonline.it,22</w:t>
        </w:r>
      </w:hyperlink>
      <w:r w:rsidRPr="00D36F91">
        <w:rPr>
          <w:rFonts w:ascii="Garamond" w:hAnsi="Garamond"/>
          <w:sz w:val="20"/>
          <w:szCs w:val="20"/>
        </w:rPr>
        <w:t xml:space="preserve"> febbraio 2012, p.4</w:t>
      </w:r>
    </w:p>
  </w:footnote>
  <w:footnote w:id="43">
    <w:p w:rsidR="0005296D" w:rsidRPr="00D36F91" w:rsidRDefault="0005296D" w:rsidP="002B28BE">
      <w:pPr>
        <w:pStyle w:val="Pa7"/>
        <w:spacing w:before="160"/>
        <w:jc w:val="both"/>
        <w:rPr>
          <w:rFonts w:ascii="Garamond" w:hAnsi="Garamond"/>
          <w:sz w:val="20"/>
          <w:szCs w:val="20"/>
          <w:lang w:val="en-US"/>
        </w:rPr>
      </w:pPr>
      <w:r w:rsidRPr="00D36F91">
        <w:rPr>
          <w:rStyle w:val="Rimandonotaapidipagina"/>
          <w:rFonts w:ascii="Garamond" w:hAnsi="Garamond"/>
          <w:sz w:val="20"/>
          <w:szCs w:val="20"/>
        </w:rPr>
        <w:footnoteRef/>
      </w:r>
      <w:r w:rsidRPr="00D36F91">
        <w:rPr>
          <w:rFonts w:ascii="Garamond" w:hAnsi="Garamond"/>
          <w:sz w:val="20"/>
          <w:szCs w:val="20"/>
        </w:rPr>
        <w:t xml:space="preserve">In questa prospettiva si veda </w:t>
      </w:r>
      <w:proofErr w:type="spellStart"/>
      <w:r w:rsidRPr="00D36F91">
        <w:rPr>
          <w:rFonts w:ascii="Garamond" w:hAnsi="Garamond"/>
          <w:sz w:val="20"/>
          <w:szCs w:val="20"/>
        </w:rPr>
        <w:t>Y.Bertoncini</w:t>
      </w:r>
      <w:proofErr w:type="spellEnd"/>
      <w:r w:rsidRPr="00D36F91">
        <w:rPr>
          <w:rFonts w:ascii="Garamond" w:hAnsi="Garamond"/>
          <w:sz w:val="20"/>
          <w:szCs w:val="20"/>
        </w:rPr>
        <w:t xml:space="preserve">, </w:t>
      </w:r>
      <w:r w:rsidRPr="00D36F91">
        <w:rPr>
          <w:rFonts w:ascii="Garamond" w:hAnsi="Garamond"/>
          <w:i/>
          <w:iCs/>
          <w:sz w:val="20"/>
          <w:szCs w:val="20"/>
        </w:rPr>
        <w:t xml:space="preserve">The </w:t>
      </w:r>
      <w:proofErr w:type="spellStart"/>
      <w:r w:rsidRPr="00D36F91">
        <w:rPr>
          <w:rFonts w:ascii="Garamond" w:hAnsi="Garamond"/>
          <w:i/>
          <w:iCs/>
          <w:sz w:val="20"/>
          <w:szCs w:val="20"/>
        </w:rPr>
        <w:t>parliaments</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of</w:t>
      </w:r>
      <w:proofErr w:type="spellEnd"/>
      <w:r w:rsidRPr="00D36F91">
        <w:rPr>
          <w:rFonts w:ascii="Garamond" w:hAnsi="Garamond"/>
          <w:i/>
          <w:iCs/>
          <w:sz w:val="20"/>
          <w:szCs w:val="20"/>
        </w:rPr>
        <w:t xml:space="preserve"> the </w:t>
      </w:r>
      <w:proofErr w:type="spellStart"/>
      <w:r w:rsidRPr="00D36F91">
        <w:rPr>
          <w:rFonts w:ascii="Garamond" w:hAnsi="Garamond"/>
          <w:i/>
          <w:iCs/>
          <w:sz w:val="20"/>
          <w:szCs w:val="20"/>
        </w:rPr>
        <w:t>Eu</w:t>
      </w:r>
      <w:proofErr w:type="spellEnd"/>
      <w:r w:rsidRPr="00D36F91">
        <w:rPr>
          <w:rFonts w:ascii="Garamond" w:hAnsi="Garamond"/>
          <w:i/>
          <w:iCs/>
          <w:sz w:val="20"/>
          <w:szCs w:val="20"/>
        </w:rPr>
        <w:t xml:space="preserve"> and the Emu </w:t>
      </w:r>
      <w:proofErr w:type="spellStart"/>
      <w:r w:rsidRPr="00D36F91">
        <w:rPr>
          <w:rFonts w:ascii="Garamond" w:hAnsi="Garamond"/>
          <w:i/>
          <w:iCs/>
          <w:sz w:val="20"/>
          <w:szCs w:val="20"/>
        </w:rPr>
        <w:t>Governance.What</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parliamentary</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dimension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for</w:t>
      </w:r>
      <w:proofErr w:type="spellEnd"/>
      <w:r w:rsidRPr="00D36F91">
        <w:rPr>
          <w:rFonts w:ascii="Garamond" w:hAnsi="Garamond"/>
          <w:i/>
          <w:iCs/>
          <w:sz w:val="20"/>
          <w:szCs w:val="20"/>
        </w:rPr>
        <w:t xml:space="preserve"> the “</w:t>
      </w:r>
      <w:proofErr w:type="spellStart"/>
      <w:r w:rsidRPr="00D36F91">
        <w:rPr>
          <w:rFonts w:ascii="Garamond" w:hAnsi="Garamond"/>
          <w:i/>
          <w:iCs/>
          <w:sz w:val="20"/>
          <w:szCs w:val="20"/>
        </w:rPr>
        <w:t>political</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Union</w:t>
      </w:r>
      <w:proofErr w:type="spellEnd"/>
      <w:r w:rsidRPr="00D36F91">
        <w:rPr>
          <w:rFonts w:ascii="Garamond" w:hAnsi="Garamond"/>
          <w:i/>
          <w:iCs/>
          <w:sz w:val="20"/>
          <w:szCs w:val="20"/>
        </w:rPr>
        <w:t>”?,</w:t>
      </w:r>
      <w:r w:rsidRPr="00D36F91">
        <w:rPr>
          <w:rFonts w:ascii="Garamond" w:hAnsi="Garamond"/>
          <w:sz w:val="20"/>
          <w:szCs w:val="20"/>
        </w:rPr>
        <w:t xml:space="preserve"> in Tribune 11April 2013, </w:t>
      </w:r>
      <w:proofErr w:type="spellStart"/>
      <w:r w:rsidRPr="00D36F91">
        <w:rPr>
          <w:rFonts w:ascii="Garamond" w:hAnsi="Garamond"/>
          <w:i/>
          <w:iCs/>
          <w:sz w:val="20"/>
          <w:szCs w:val="20"/>
        </w:rPr>
        <w:t>Notre</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Europe</w:t>
      </w:r>
      <w:proofErr w:type="spellEnd"/>
      <w:r w:rsidRPr="00D36F91">
        <w:rPr>
          <w:rFonts w:ascii="Garamond" w:hAnsi="Garamond"/>
          <w:sz w:val="20"/>
          <w:szCs w:val="20"/>
        </w:rPr>
        <w:t>, che evidenzia come il rafforzamento dei Parlamenti nazionali non equivarrebbe ad un indebolimento del Parlamento europeo ma ad un ulteriore passaggio verso la risoluzione del deficit democratico solo se saranno in grado di compiere tre passaggi complementari quali:</w:t>
      </w:r>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putting</w:t>
      </w:r>
      <w:proofErr w:type="spellEnd"/>
      <w:r w:rsidRPr="00D36F91">
        <w:rPr>
          <w:rFonts w:ascii="Garamond" w:hAnsi="Garamond" w:cs="DejaVu Serif Condensed"/>
          <w:sz w:val="20"/>
          <w:szCs w:val="20"/>
        </w:rPr>
        <w:t xml:space="preserve"> the Eurozone </w:t>
      </w:r>
      <w:proofErr w:type="spellStart"/>
      <w:r w:rsidRPr="00D36F91">
        <w:rPr>
          <w:rFonts w:ascii="Garamond" w:hAnsi="Garamond" w:cs="DejaVu Serif Condensed"/>
          <w:sz w:val="20"/>
          <w:szCs w:val="20"/>
        </w:rPr>
        <w:t>crisis</w:t>
      </w:r>
      <w:proofErr w:type="spellEnd"/>
      <w:r w:rsidRPr="00D36F91">
        <w:rPr>
          <w:rFonts w:ascii="Garamond" w:hAnsi="Garamond" w:cs="DejaVu Serif Condensed"/>
          <w:sz w:val="20"/>
          <w:szCs w:val="20"/>
        </w:rPr>
        <w:t xml:space="preserve"> and </w:t>
      </w:r>
      <w:proofErr w:type="spellStart"/>
      <w:r w:rsidRPr="00D36F91">
        <w:rPr>
          <w:rFonts w:ascii="Garamond" w:hAnsi="Garamond" w:cs="DejaVu Serif Condensed"/>
          <w:sz w:val="20"/>
          <w:szCs w:val="20"/>
        </w:rPr>
        <w:t>its</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settlement</w:t>
      </w:r>
      <w:proofErr w:type="spellEnd"/>
      <w:r w:rsidRPr="00D36F91">
        <w:rPr>
          <w:rFonts w:ascii="Garamond" w:hAnsi="Garamond" w:cs="DejaVu Serif Condensed"/>
          <w:sz w:val="20"/>
          <w:szCs w:val="20"/>
        </w:rPr>
        <w:t xml:space="preserve"> at the </w:t>
      </w:r>
      <w:proofErr w:type="spellStart"/>
      <w:r w:rsidRPr="00D36F91">
        <w:rPr>
          <w:rFonts w:ascii="Garamond" w:hAnsi="Garamond" w:cs="DejaVu Serif Condensed"/>
          <w:sz w:val="20"/>
          <w:szCs w:val="20"/>
        </w:rPr>
        <w:t>core</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of</w:t>
      </w:r>
      <w:proofErr w:type="spellEnd"/>
      <w:r w:rsidRPr="00D36F91">
        <w:rPr>
          <w:rFonts w:ascii="Garamond" w:hAnsi="Garamond" w:cs="DejaVu Serif Condensed"/>
          <w:sz w:val="20"/>
          <w:szCs w:val="20"/>
        </w:rPr>
        <w:t xml:space="preserve"> the </w:t>
      </w:r>
      <w:proofErr w:type="spellStart"/>
      <w:r w:rsidRPr="00D36F91">
        <w:rPr>
          <w:rFonts w:ascii="Garamond" w:hAnsi="Garamond" w:cs="DejaVu Serif Condensed"/>
          <w:sz w:val="20"/>
          <w:szCs w:val="20"/>
        </w:rPr>
        <w:t>next</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European</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elections</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of</w:t>
      </w:r>
      <w:proofErr w:type="spellEnd"/>
      <w:r w:rsidRPr="00D36F91">
        <w:rPr>
          <w:rFonts w:ascii="Garamond" w:hAnsi="Garamond" w:cs="DejaVu Serif Condensed"/>
          <w:sz w:val="20"/>
          <w:szCs w:val="20"/>
        </w:rPr>
        <w:t xml:space="preserve"> May 2014: </w:t>
      </w:r>
      <w:proofErr w:type="spellStart"/>
      <w:r w:rsidRPr="00D36F91">
        <w:rPr>
          <w:rFonts w:ascii="Garamond" w:hAnsi="Garamond" w:cs="DejaVu Serif Condensed"/>
          <w:sz w:val="20"/>
          <w:szCs w:val="20"/>
        </w:rPr>
        <w:t>this</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objective</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could</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be</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achieved</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not</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only</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by</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drafting</w:t>
      </w:r>
      <w:proofErr w:type="spellEnd"/>
      <w:r w:rsidRPr="00D36F91">
        <w:rPr>
          <w:rFonts w:ascii="Garamond" w:hAnsi="Garamond" w:cs="DejaVu Serif Condensed"/>
          <w:sz w:val="20"/>
          <w:szCs w:val="20"/>
        </w:rPr>
        <w:t xml:space="preserve"> precise state </w:t>
      </w:r>
      <w:proofErr w:type="spellStart"/>
      <w:r w:rsidRPr="00D36F91">
        <w:rPr>
          <w:rFonts w:ascii="Garamond" w:hAnsi="Garamond" w:cs="DejaVu Serif Condensed"/>
          <w:sz w:val="20"/>
          <w:szCs w:val="20"/>
        </w:rPr>
        <w:t>of</w:t>
      </w:r>
      <w:proofErr w:type="spellEnd"/>
      <w:r w:rsidRPr="00D36F91">
        <w:rPr>
          <w:rFonts w:ascii="Garamond" w:hAnsi="Garamond" w:cs="DejaVu Serif Condensed"/>
          <w:sz w:val="20"/>
          <w:szCs w:val="20"/>
        </w:rPr>
        <w:t xml:space="preserve"> the art and </w:t>
      </w:r>
      <w:proofErr w:type="spellStart"/>
      <w:r w:rsidRPr="00D36F91">
        <w:rPr>
          <w:rFonts w:ascii="Garamond" w:hAnsi="Garamond" w:cs="DejaVu Serif Condensed"/>
          <w:sz w:val="20"/>
          <w:szCs w:val="20"/>
        </w:rPr>
        <w:t>recommendations</w:t>
      </w:r>
      <w:proofErr w:type="spellEnd"/>
      <w:r w:rsidRPr="00D36F91">
        <w:rPr>
          <w:rFonts w:ascii="Garamond" w:hAnsi="Garamond" w:cs="DejaVu Serif Condensed"/>
          <w:sz w:val="20"/>
          <w:szCs w:val="20"/>
        </w:rPr>
        <w:t xml:space="preserve"> in the “</w:t>
      </w:r>
      <w:proofErr w:type="spellStart"/>
      <w:r w:rsidRPr="00D36F91">
        <w:rPr>
          <w:rFonts w:ascii="Garamond" w:hAnsi="Garamond" w:cs="DejaVu Serif Condensed"/>
          <w:sz w:val="20"/>
          <w:szCs w:val="20"/>
        </w:rPr>
        <w:t>Manifestos</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of</w:t>
      </w:r>
      <w:proofErr w:type="spellEnd"/>
      <w:r w:rsidRPr="00D36F91">
        <w:rPr>
          <w:rFonts w:ascii="Garamond" w:hAnsi="Garamond" w:cs="DejaVu Serif Condensed"/>
          <w:sz w:val="20"/>
          <w:szCs w:val="20"/>
        </w:rPr>
        <w:t xml:space="preserve"> the </w:t>
      </w:r>
      <w:proofErr w:type="spellStart"/>
      <w:r w:rsidRPr="00D36F91">
        <w:rPr>
          <w:rFonts w:ascii="Garamond" w:hAnsi="Garamond" w:cs="DejaVu Serif Condensed"/>
          <w:sz w:val="20"/>
          <w:szCs w:val="20"/>
        </w:rPr>
        <w:t>European</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political</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parties</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but</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also</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by</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giving</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to</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each</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candidates</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running</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for</w:t>
      </w:r>
      <w:proofErr w:type="spellEnd"/>
      <w:r w:rsidRPr="00D36F91">
        <w:rPr>
          <w:rFonts w:ascii="Garamond" w:hAnsi="Garamond" w:cs="DejaVu Serif Condensed"/>
          <w:sz w:val="20"/>
          <w:szCs w:val="20"/>
        </w:rPr>
        <w:t xml:space="preserve"> the presidency </w:t>
      </w:r>
      <w:proofErr w:type="spellStart"/>
      <w:r w:rsidRPr="00D36F91">
        <w:rPr>
          <w:rFonts w:ascii="Garamond" w:hAnsi="Garamond" w:cs="DejaVu Serif Condensed"/>
          <w:sz w:val="20"/>
          <w:szCs w:val="20"/>
        </w:rPr>
        <w:t>of</w:t>
      </w:r>
      <w:proofErr w:type="spellEnd"/>
      <w:r w:rsidRPr="00D36F91">
        <w:rPr>
          <w:rFonts w:ascii="Garamond" w:hAnsi="Garamond" w:cs="DejaVu Serif Condensed"/>
          <w:sz w:val="20"/>
          <w:szCs w:val="20"/>
        </w:rPr>
        <w:t xml:space="preserve"> the </w:t>
      </w:r>
      <w:proofErr w:type="spellStart"/>
      <w:r w:rsidRPr="00D36F91">
        <w:rPr>
          <w:rFonts w:ascii="Garamond" w:hAnsi="Garamond" w:cs="DejaVu Serif Condensed"/>
          <w:sz w:val="20"/>
          <w:szCs w:val="20"/>
        </w:rPr>
        <w:t>Commission</w:t>
      </w:r>
      <w:proofErr w:type="spellEnd"/>
      <w:r w:rsidRPr="00D36F91">
        <w:rPr>
          <w:rFonts w:ascii="Garamond" w:hAnsi="Garamond" w:cs="DejaVu Serif Condensed"/>
          <w:sz w:val="20"/>
          <w:szCs w:val="20"/>
        </w:rPr>
        <w:t xml:space="preserve"> a </w:t>
      </w:r>
      <w:proofErr w:type="spellStart"/>
      <w:r w:rsidRPr="00D36F91">
        <w:rPr>
          <w:rFonts w:ascii="Garamond" w:hAnsi="Garamond" w:cs="DejaVu Serif Condensed"/>
          <w:sz w:val="20"/>
          <w:szCs w:val="20"/>
        </w:rPr>
        <w:t>clear</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programme</w:t>
      </w:r>
      <w:proofErr w:type="spellEnd"/>
      <w:r w:rsidRPr="00D36F91">
        <w:rPr>
          <w:rFonts w:ascii="Garamond" w:hAnsi="Garamond" w:cs="DejaVu Serif Condensed"/>
          <w:sz w:val="20"/>
          <w:szCs w:val="20"/>
        </w:rPr>
        <w:t xml:space="preserve"> and mandate on </w:t>
      </w:r>
      <w:proofErr w:type="spellStart"/>
      <w:r w:rsidRPr="00D36F91">
        <w:rPr>
          <w:rFonts w:ascii="Garamond" w:hAnsi="Garamond" w:cs="DejaVu Serif Condensed"/>
          <w:sz w:val="20"/>
          <w:szCs w:val="20"/>
        </w:rPr>
        <w:t>this</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central</w:t>
      </w:r>
      <w:proofErr w:type="spellEnd"/>
      <w:r w:rsidRPr="00D36F91">
        <w:rPr>
          <w:rFonts w:ascii="Garamond" w:hAnsi="Garamond" w:cs="DejaVu Serif Condensed"/>
          <w:sz w:val="20"/>
          <w:szCs w:val="20"/>
        </w:rPr>
        <w:t xml:space="preserve"> </w:t>
      </w:r>
      <w:proofErr w:type="spellStart"/>
      <w:r w:rsidRPr="00D36F91">
        <w:rPr>
          <w:rFonts w:ascii="Garamond" w:hAnsi="Garamond" w:cs="DejaVu Serif Condensed"/>
          <w:sz w:val="20"/>
          <w:szCs w:val="20"/>
        </w:rPr>
        <w:t>issue</w:t>
      </w:r>
      <w:proofErr w:type="spellEnd"/>
      <w:r w:rsidRPr="00D36F91">
        <w:rPr>
          <w:rFonts w:ascii="Garamond" w:hAnsi="Garamond" w:cs="DejaVu Serif Condensed"/>
          <w:sz w:val="20"/>
          <w:szCs w:val="20"/>
        </w:rPr>
        <w:t xml:space="preserve">. </w:t>
      </w:r>
      <w:r w:rsidRPr="00D36F91">
        <w:rPr>
          <w:rFonts w:ascii="Garamond" w:hAnsi="Garamond" w:cs="DejaVu Serif Condensed"/>
          <w:sz w:val="20"/>
          <w:szCs w:val="20"/>
          <w:lang w:val="en-US"/>
        </w:rPr>
        <w:t xml:space="preserve">The second step is the creation of a </w:t>
      </w:r>
      <w:proofErr w:type="spellStart"/>
      <w:r w:rsidRPr="00D36F91">
        <w:rPr>
          <w:rFonts w:ascii="Garamond" w:hAnsi="Garamond" w:cs="DejaVu Serif Condensed"/>
          <w:sz w:val="20"/>
          <w:szCs w:val="20"/>
          <w:lang w:val="en-US"/>
        </w:rPr>
        <w:t>Eurozone</w:t>
      </w:r>
      <w:proofErr w:type="spellEnd"/>
      <w:r w:rsidRPr="00D36F91">
        <w:rPr>
          <w:rFonts w:ascii="Garamond" w:hAnsi="Garamond" w:cs="DejaVu Serif Condensed"/>
          <w:sz w:val="20"/>
          <w:szCs w:val="20"/>
          <w:lang w:val="en-US"/>
        </w:rPr>
        <w:t xml:space="preserve"> subcommittee within the European Parliament.(…);The third step is the reinforcement of the European Parliament’s control powers over the </w:t>
      </w:r>
      <w:proofErr w:type="spellStart"/>
      <w:r w:rsidRPr="00D36F91">
        <w:rPr>
          <w:rFonts w:ascii="Garamond" w:hAnsi="Garamond" w:cs="DejaVu Serif Condensed"/>
          <w:sz w:val="20"/>
          <w:szCs w:val="20"/>
          <w:lang w:val="en-US"/>
        </w:rPr>
        <w:t>Eurozone</w:t>
      </w:r>
      <w:proofErr w:type="spellEnd"/>
      <w:r w:rsidRPr="00D36F91">
        <w:rPr>
          <w:rFonts w:ascii="Garamond" w:hAnsi="Garamond" w:cs="DejaVu Serif Condensed"/>
          <w:sz w:val="20"/>
          <w:szCs w:val="20"/>
          <w:lang w:val="en-US"/>
        </w:rPr>
        <w:t xml:space="preserve"> decision makers, which would be made easier if a stable and full time president of the </w:t>
      </w:r>
      <w:proofErr w:type="spellStart"/>
      <w:r w:rsidRPr="00D36F91">
        <w:rPr>
          <w:rFonts w:ascii="Garamond" w:hAnsi="Garamond" w:cs="DejaVu Serif Condensed"/>
          <w:sz w:val="20"/>
          <w:szCs w:val="20"/>
          <w:lang w:val="en-US"/>
        </w:rPr>
        <w:t>Eurogroup</w:t>
      </w:r>
      <w:proofErr w:type="spellEnd"/>
      <w:r w:rsidRPr="00D36F91">
        <w:rPr>
          <w:rFonts w:ascii="Garamond" w:hAnsi="Garamond" w:cs="DejaVu Serif Condensed"/>
          <w:sz w:val="20"/>
          <w:szCs w:val="20"/>
          <w:lang w:val="en-US"/>
        </w:rPr>
        <w:t xml:space="preserve"> was appointed.(…) A permanent president of the </w:t>
      </w:r>
      <w:proofErr w:type="spellStart"/>
      <w:r w:rsidRPr="00D36F91">
        <w:rPr>
          <w:rFonts w:ascii="Garamond" w:hAnsi="Garamond" w:cs="DejaVu Serif Condensed"/>
          <w:sz w:val="20"/>
          <w:szCs w:val="20"/>
          <w:lang w:val="en-US"/>
        </w:rPr>
        <w:t>Eurogroup</w:t>
      </w:r>
      <w:proofErr w:type="spellEnd"/>
      <w:r w:rsidRPr="00D36F91">
        <w:rPr>
          <w:rFonts w:ascii="Garamond" w:hAnsi="Garamond" w:cs="DejaVu Serif Condensed"/>
          <w:sz w:val="20"/>
          <w:szCs w:val="20"/>
          <w:lang w:val="en-US"/>
        </w:rPr>
        <w:t xml:space="preserve"> would be the more regular interlocutor of the </w:t>
      </w:r>
      <w:proofErr w:type="spellStart"/>
      <w:r w:rsidRPr="00D36F91">
        <w:rPr>
          <w:rFonts w:ascii="Garamond" w:hAnsi="Garamond" w:cs="DejaVu Serif Condensed"/>
          <w:sz w:val="20"/>
          <w:szCs w:val="20"/>
          <w:lang w:val="en-US"/>
        </w:rPr>
        <w:t>Eurozone</w:t>
      </w:r>
      <w:proofErr w:type="spellEnd"/>
      <w:r w:rsidRPr="00D36F91">
        <w:rPr>
          <w:rFonts w:ascii="Garamond" w:hAnsi="Garamond" w:cs="DejaVu Serif Condensed"/>
          <w:sz w:val="20"/>
          <w:szCs w:val="20"/>
          <w:lang w:val="en-US"/>
        </w:rPr>
        <w:t xml:space="preserve"> subcommittee, which would exercise a sound, public and regular control over him/her”</w:t>
      </w:r>
    </w:p>
  </w:footnote>
  <w:footnote w:id="44">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In questi termini </w:t>
      </w:r>
      <w:proofErr w:type="spellStart"/>
      <w:r w:rsidRPr="00D36F91">
        <w:rPr>
          <w:rFonts w:ascii="Garamond" w:hAnsi="Garamond"/>
        </w:rPr>
        <w:t>G.Martinico</w:t>
      </w:r>
      <w:proofErr w:type="spellEnd"/>
      <w:r w:rsidRPr="00D36F91">
        <w:rPr>
          <w:rFonts w:ascii="Garamond" w:hAnsi="Garamond"/>
        </w:rPr>
        <w:t xml:space="preserve">, </w:t>
      </w:r>
      <w:r w:rsidRPr="00D36F91">
        <w:rPr>
          <w:rFonts w:ascii="Garamond" w:hAnsi="Garamond"/>
          <w:i/>
          <w:iCs/>
        </w:rPr>
        <w:t>L’art.13 del Fiscal compact e il ruolo dei parlamenti nel sistema multilivello</w:t>
      </w:r>
      <w:r w:rsidRPr="00D36F91">
        <w:rPr>
          <w:rFonts w:ascii="Garamond" w:hAnsi="Garamond"/>
        </w:rPr>
        <w:t xml:space="preserve">, in G. Bonvicini, </w:t>
      </w:r>
      <w:proofErr w:type="spellStart"/>
      <w:r w:rsidRPr="00D36F91">
        <w:rPr>
          <w:rFonts w:ascii="Garamond" w:hAnsi="Garamond"/>
        </w:rPr>
        <w:t>F.Brugnoli</w:t>
      </w:r>
      <w:proofErr w:type="spellEnd"/>
      <w:r w:rsidRPr="00D36F91">
        <w:rPr>
          <w:rFonts w:ascii="Garamond" w:hAnsi="Garamond"/>
        </w:rPr>
        <w:t xml:space="preserve">, </w:t>
      </w:r>
      <w:r w:rsidRPr="00D36F91">
        <w:rPr>
          <w:rFonts w:ascii="Garamond" w:hAnsi="Garamond"/>
          <w:i/>
          <w:iCs/>
        </w:rPr>
        <w:t>Il Fiscal compact</w:t>
      </w:r>
      <w:r w:rsidRPr="00D36F91">
        <w:rPr>
          <w:rFonts w:ascii="Garamond" w:hAnsi="Garamond"/>
        </w:rPr>
        <w:t xml:space="preserve">, </w:t>
      </w:r>
      <w:r w:rsidRPr="00D36F91">
        <w:rPr>
          <w:rFonts w:ascii="Garamond" w:hAnsi="Garamond"/>
          <w:i/>
          <w:iCs/>
        </w:rPr>
        <w:t>Quaderni IAI,</w:t>
      </w:r>
      <w:r w:rsidRPr="00D36F91">
        <w:rPr>
          <w:rFonts w:ascii="Garamond" w:hAnsi="Garamond"/>
        </w:rPr>
        <w:t xml:space="preserve"> 2012 p.35 e ss, specie p.43; In questo senso la cooperazione interparlamentare di cui all’art.13 è apparsa funzionale anche alla risoluzione delle problematiche del deficit democratico dell’Unione che proprio nelle decisioni di bilancio trova il suo punto nevralgico. Il tema è stato evidenziato nell’ambito della prima Conferenza interparlamentare svoltasi in applicazione dell’art.13 del </w:t>
      </w:r>
      <w:proofErr w:type="spellStart"/>
      <w:r w:rsidRPr="00D36F91">
        <w:rPr>
          <w:rFonts w:ascii="Garamond" w:hAnsi="Garamond"/>
        </w:rPr>
        <w:t>Tscg</w:t>
      </w:r>
      <w:proofErr w:type="spellEnd"/>
      <w:r w:rsidRPr="00D36F91">
        <w:rPr>
          <w:rFonts w:ascii="Garamond" w:hAnsi="Garamond"/>
        </w:rPr>
        <w:t xml:space="preserve"> a il 16 e 17 ottobre a Vilnius, sotto la presidenza lituana. La Conferenza si riunisce due volte l’anno ed è coordinata con il ciclo del semestre europeo. Tale sede potrebbe configurarsi come la più opportuna per avviare un confronto non solo sulle politiche di bilancio ma anche sul futuro bilancio, in senso federale, dell’Unione europea; in argomento si veda V. </w:t>
      </w:r>
      <w:proofErr w:type="spellStart"/>
      <w:r w:rsidRPr="00D36F91">
        <w:rPr>
          <w:rFonts w:ascii="Garamond" w:hAnsi="Garamond"/>
        </w:rPr>
        <w:t>Kreilinger</w:t>
      </w:r>
      <w:proofErr w:type="spellEnd"/>
      <w:r w:rsidRPr="00D36F91">
        <w:rPr>
          <w:rFonts w:ascii="Garamond" w:hAnsi="Garamond"/>
        </w:rPr>
        <w:t xml:space="preserve">, </w:t>
      </w:r>
      <w:r w:rsidRPr="00D36F91">
        <w:rPr>
          <w:rFonts w:ascii="Garamond" w:hAnsi="Garamond"/>
          <w:i/>
          <w:iCs/>
        </w:rPr>
        <w:t xml:space="preserve">La nouvelle </w:t>
      </w:r>
      <w:proofErr w:type="spellStart"/>
      <w:r w:rsidRPr="00D36F91">
        <w:rPr>
          <w:rFonts w:ascii="Garamond" w:hAnsi="Garamond"/>
          <w:i/>
          <w:iCs/>
        </w:rPr>
        <w:t>conférence</w:t>
      </w:r>
      <w:proofErr w:type="spellEnd"/>
      <w:r w:rsidRPr="00D36F91">
        <w:rPr>
          <w:rFonts w:ascii="Garamond" w:hAnsi="Garamond"/>
          <w:i/>
          <w:iCs/>
        </w:rPr>
        <w:t xml:space="preserve"> </w:t>
      </w:r>
      <w:proofErr w:type="spellStart"/>
      <w:r w:rsidRPr="00D36F91">
        <w:rPr>
          <w:rFonts w:ascii="Garamond" w:hAnsi="Garamond"/>
          <w:i/>
          <w:iCs/>
        </w:rPr>
        <w:t>interparlamentaire</w:t>
      </w:r>
      <w:proofErr w:type="spellEnd"/>
      <w:r w:rsidRPr="00D36F91">
        <w:rPr>
          <w:rFonts w:ascii="Garamond" w:hAnsi="Garamond"/>
          <w:i/>
          <w:iCs/>
        </w:rPr>
        <w:t xml:space="preserve"> pour la </w:t>
      </w:r>
      <w:proofErr w:type="spellStart"/>
      <w:r w:rsidRPr="00D36F91">
        <w:rPr>
          <w:rFonts w:ascii="Garamond" w:hAnsi="Garamond"/>
          <w:i/>
          <w:iCs/>
        </w:rPr>
        <w:t>gouvernance</w:t>
      </w:r>
      <w:proofErr w:type="spellEnd"/>
      <w:r w:rsidRPr="00D36F91">
        <w:rPr>
          <w:rFonts w:ascii="Garamond" w:hAnsi="Garamond"/>
          <w:i/>
          <w:iCs/>
        </w:rPr>
        <w:t xml:space="preserve"> </w:t>
      </w:r>
      <w:proofErr w:type="spellStart"/>
      <w:r w:rsidRPr="00D36F91">
        <w:rPr>
          <w:rFonts w:ascii="Garamond" w:hAnsi="Garamond"/>
          <w:i/>
          <w:iCs/>
        </w:rPr>
        <w:t>économique</w:t>
      </w:r>
      <w:proofErr w:type="spellEnd"/>
      <w:r w:rsidRPr="00D36F91">
        <w:rPr>
          <w:rFonts w:ascii="Garamond" w:hAnsi="Garamond"/>
          <w:i/>
          <w:iCs/>
        </w:rPr>
        <w:t xml:space="preserve"> </w:t>
      </w:r>
      <w:proofErr w:type="spellStart"/>
      <w:r w:rsidRPr="00D36F91">
        <w:rPr>
          <w:rFonts w:ascii="Garamond" w:hAnsi="Garamond"/>
          <w:i/>
          <w:iCs/>
        </w:rPr>
        <w:t>et</w:t>
      </w:r>
      <w:proofErr w:type="spellEnd"/>
      <w:r w:rsidRPr="00D36F91">
        <w:rPr>
          <w:rFonts w:ascii="Garamond" w:hAnsi="Garamond"/>
          <w:i/>
          <w:iCs/>
        </w:rPr>
        <w:t xml:space="preserve"> </w:t>
      </w:r>
      <w:proofErr w:type="spellStart"/>
      <w:r w:rsidRPr="00D36F91">
        <w:rPr>
          <w:rFonts w:ascii="Garamond" w:hAnsi="Garamond"/>
          <w:i/>
          <w:iCs/>
        </w:rPr>
        <w:t>financière</w:t>
      </w:r>
      <w:proofErr w:type="spellEnd"/>
      <w:r w:rsidRPr="00D36F91">
        <w:rPr>
          <w:rFonts w:ascii="Garamond" w:hAnsi="Garamond"/>
        </w:rPr>
        <w:t xml:space="preserve">, in </w:t>
      </w:r>
      <w:proofErr w:type="spellStart"/>
      <w:r w:rsidRPr="00D36F91">
        <w:rPr>
          <w:rFonts w:ascii="Garamond" w:hAnsi="Garamond"/>
          <w:i/>
          <w:iCs/>
        </w:rPr>
        <w:t>Notre</w:t>
      </w:r>
      <w:proofErr w:type="spellEnd"/>
      <w:r w:rsidRPr="00D36F91">
        <w:rPr>
          <w:rFonts w:ascii="Garamond" w:hAnsi="Garamond"/>
          <w:i/>
          <w:iCs/>
        </w:rPr>
        <w:t xml:space="preserve"> </w:t>
      </w:r>
      <w:proofErr w:type="spellStart"/>
      <w:r w:rsidRPr="00D36F91">
        <w:rPr>
          <w:rFonts w:ascii="Garamond" w:hAnsi="Garamond"/>
          <w:i/>
          <w:iCs/>
        </w:rPr>
        <w:t>Europe</w:t>
      </w:r>
      <w:proofErr w:type="spellEnd"/>
      <w:r w:rsidRPr="00D36F91">
        <w:rPr>
          <w:rFonts w:ascii="Garamond" w:hAnsi="Garamond"/>
        </w:rPr>
        <w:t xml:space="preserve">, </w:t>
      </w:r>
      <w:proofErr w:type="spellStart"/>
      <w:r w:rsidRPr="00D36F91">
        <w:rPr>
          <w:rFonts w:ascii="Garamond" w:hAnsi="Garamond"/>
        </w:rPr>
        <w:t>Institut</w:t>
      </w:r>
      <w:proofErr w:type="spellEnd"/>
      <w:r w:rsidRPr="00D36F91">
        <w:rPr>
          <w:rFonts w:ascii="Garamond" w:hAnsi="Garamond"/>
        </w:rPr>
        <w:t xml:space="preserve"> </w:t>
      </w:r>
      <w:proofErr w:type="spellStart"/>
      <w:r w:rsidRPr="00D36F91">
        <w:rPr>
          <w:rFonts w:ascii="Garamond" w:hAnsi="Garamond"/>
        </w:rPr>
        <w:t>Jacque</w:t>
      </w:r>
      <w:proofErr w:type="spellEnd"/>
      <w:r w:rsidRPr="00D36F91">
        <w:rPr>
          <w:rFonts w:ascii="Garamond" w:hAnsi="Garamond"/>
        </w:rPr>
        <w:t xml:space="preserve"> Delors, </w:t>
      </w:r>
      <w:proofErr w:type="spellStart"/>
      <w:r w:rsidRPr="00D36F91">
        <w:rPr>
          <w:rFonts w:ascii="Garamond" w:hAnsi="Garamond"/>
        </w:rPr>
        <w:t>octobre</w:t>
      </w:r>
      <w:proofErr w:type="spellEnd"/>
      <w:r w:rsidRPr="00D36F91">
        <w:rPr>
          <w:rFonts w:ascii="Garamond" w:hAnsi="Garamond"/>
        </w:rPr>
        <w:t xml:space="preserve"> 2013; in generale sulla cooperazione interparlamentare cfr A. </w:t>
      </w:r>
      <w:proofErr w:type="spellStart"/>
      <w:r w:rsidRPr="00D36F91">
        <w:rPr>
          <w:rFonts w:ascii="Garamond" w:hAnsi="Garamond"/>
        </w:rPr>
        <w:t>Manzella</w:t>
      </w:r>
      <w:proofErr w:type="spellEnd"/>
      <w:r w:rsidRPr="00D36F91">
        <w:rPr>
          <w:rFonts w:ascii="Garamond" w:hAnsi="Garamond"/>
        </w:rPr>
        <w:t xml:space="preserve">, </w:t>
      </w:r>
      <w:r w:rsidRPr="00D36F91">
        <w:rPr>
          <w:rFonts w:ascii="Garamond" w:hAnsi="Garamond"/>
          <w:i/>
          <w:iCs/>
        </w:rPr>
        <w:t>Sui principi democratici dell’Unione Europa</w:t>
      </w:r>
      <w:r w:rsidRPr="00D36F91">
        <w:rPr>
          <w:rFonts w:ascii="Garamond" w:hAnsi="Garamond"/>
        </w:rPr>
        <w:t>, Napoli, 2013, p. 33 ss.</w:t>
      </w:r>
    </w:p>
  </w:footnote>
  <w:footnote w:id="45">
    <w:p w:rsidR="0005296D" w:rsidRPr="00D36F91" w:rsidRDefault="0005296D" w:rsidP="00340EC5">
      <w:pPr>
        <w:autoSpaceDE w:val="0"/>
        <w:autoSpaceDN w:val="0"/>
        <w:adjustRightInd w:val="0"/>
        <w:spacing w:after="0" w:line="240" w:lineRule="auto"/>
        <w:jc w:val="both"/>
        <w:rPr>
          <w:rFonts w:ascii="Garamond" w:hAnsi="Garamond"/>
          <w:sz w:val="20"/>
          <w:szCs w:val="20"/>
          <w:lang w:val="en-US"/>
        </w:rPr>
      </w:pPr>
      <w:r w:rsidRPr="00D36F91">
        <w:rPr>
          <w:rStyle w:val="Rimandonotaapidipagina"/>
          <w:rFonts w:ascii="Garamond" w:hAnsi="Garamond"/>
          <w:sz w:val="20"/>
          <w:szCs w:val="20"/>
        </w:rPr>
        <w:footnoteRef/>
      </w:r>
      <w:r w:rsidRPr="00D36F91">
        <w:rPr>
          <w:rFonts w:ascii="Garamond" w:hAnsi="Garamond"/>
          <w:sz w:val="20"/>
          <w:szCs w:val="20"/>
        </w:rPr>
        <w:t xml:space="preserve"> Il richiamo della Corte costituzionale tedesca ad una valorizzazione del ruolo di controllo del Parlamento nazionale sul governo nazionale e sulle istituzioni europee si può far risalire alla nota sentenza del 30 giugno 2009, </w:t>
      </w:r>
      <w:proofErr w:type="spellStart"/>
      <w:r w:rsidRPr="00D36F91">
        <w:rPr>
          <w:rFonts w:ascii="Garamond" w:hAnsi="Garamond"/>
          <w:sz w:val="20"/>
          <w:szCs w:val="20"/>
        </w:rPr>
        <w:t>Lissabon</w:t>
      </w:r>
      <w:proofErr w:type="spellEnd"/>
      <w:r w:rsidRPr="00D36F91">
        <w:rPr>
          <w:rFonts w:ascii="Garamond" w:hAnsi="Garamond"/>
          <w:sz w:val="20"/>
          <w:szCs w:val="20"/>
        </w:rPr>
        <w:t xml:space="preserve"> </w:t>
      </w:r>
      <w:proofErr w:type="spellStart"/>
      <w:r w:rsidRPr="00D36F91">
        <w:rPr>
          <w:rFonts w:ascii="Garamond" w:hAnsi="Garamond"/>
          <w:sz w:val="20"/>
          <w:szCs w:val="20"/>
        </w:rPr>
        <w:t>Urteil</w:t>
      </w:r>
      <w:proofErr w:type="spellEnd"/>
      <w:r w:rsidRPr="00D36F91">
        <w:rPr>
          <w:rFonts w:ascii="Garamond" w:hAnsi="Garamond"/>
          <w:sz w:val="20"/>
          <w:szCs w:val="20"/>
        </w:rPr>
        <w:t xml:space="preserve">, specie par.411, in cui si ribadisce che è dovere del Parlamento esercitare la propria responsabilità rispetto all’integrazione nei diversi casi di sviluppo dinamico dei Trattati. La sentenza, fondando sul principio costituzionale di rappresentanza politica, giungeva ad ammettere il ricorso dei singoli deputati in sede di controllo astratto di legittimità, sebbene la legge fondamentale tedesca, art.93, lo riservi al Governo federale, al Governo di un </w:t>
      </w:r>
      <w:proofErr w:type="spellStart"/>
      <w:r w:rsidRPr="00D36F91">
        <w:rPr>
          <w:rFonts w:ascii="Garamond" w:hAnsi="Garamond"/>
          <w:sz w:val="20"/>
          <w:szCs w:val="20"/>
        </w:rPr>
        <w:t>Land</w:t>
      </w:r>
      <w:proofErr w:type="spellEnd"/>
      <w:r w:rsidRPr="00D36F91">
        <w:rPr>
          <w:rFonts w:ascii="Garamond" w:hAnsi="Garamond"/>
          <w:sz w:val="20"/>
          <w:szCs w:val="20"/>
        </w:rPr>
        <w:t xml:space="preserve"> o ad un terzo dei membri del </w:t>
      </w:r>
      <w:proofErr w:type="spellStart"/>
      <w:r w:rsidRPr="00D36F91">
        <w:rPr>
          <w:rFonts w:ascii="Garamond" w:hAnsi="Garamond"/>
          <w:sz w:val="20"/>
          <w:szCs w:val="20"/>
        </w:rPr>
        <w:t>Bundestag</w:t>
      </w:r>
      <w:proofErr w:type="spellEnd"/>
      <w:r w:rsidRPr="00D36F91">
        <w:rPr>
          <w:rFonts w:ascii="Garamond" w:hAnsi="Garamond"/>
          <w:sz w:val="20"/>
          <w:szCs w:val="20"/>
        </w:rPr>
        <w:t xml:space="preserve">; così </w:t>
      </w:r>
      <w:proofErr w:type="spellStart"/>
      <w:r w:rsidRPr="00D36F91">
        <w:rPr>
          <w:rFonts w:ascii="Garamond" w:hAnsi="Garamond"/>
          <w:sz w:val="20"/>
          <w:szCs w:val="20"/>
        </w:rPr>
        <w:t>C.Pinelli</w:t>
      </w:r>
      <w:proofErr w:type="spellEnd"/>
      <w:r w:rsidRPr="00D36F91">
        <w:rPr>
          <w:rFonts w:ascii="Garamond" w:hAnsi="Garamond"/>
          <w:sz w:val="20"/>
          <w:szCs w:val="20"/>
        </w:rPr>
        <w:t xml:space="preserve">, </w:t>
      </w:r>
      <w:r w:rsidRPr="00D36F91">
        <w:rPr>
          <w:rFonts w:ascii="Garamond" w:hAnsi="Garamond"/>
          <w:i/>
          <w:iCs/>
          <w:sz w:val="20"/>
          <w:szCs w:val="20"/>
        </w:rPr>
        <w:t>Le Corti Europee, i</w:t>
      </w:r>
      <w:r w:rsidRPr="00D36F91">
        <w:rPr>
          <w:rFonts w:ascii="Garamond" w:hAnsi="Garamond"/>
          <w:sz w:val="20"/>
          <w:szCs w:val="20"/>
        </w:rPr>
        <w:t xml:space="preserve">n </w:t>
      </w:r>
      <w:proofErr w:type="spellStart"/>
      <w:r w:rsidRPr="00D36F91">
        <w:rPr>
          <w:rFonts w:ascii="Garamond" w:hAnsi="Garamond"/>
          <w:sz w:val="20"/>
          <w:szCs w:val="20"/>
        </w:rPr>
        <w:t>G.Amato</w:t>
      </w:r>
      <w:proofErr w:type="spellEnd"/>
      <w:r w:rsidRPr="00D36F91">
        <w:rPr>
          <w:rFonts w:ascii="Garamond" w:hAnsi="Garamond"/>
          <w:sz w:val="20"/>
          <w:szCs w:val="20"/>
        </w:rPr>
        <w:t xml:space="preserve">, </w:t>
      </w:r>
      <w:proofErr w:type="spellStart"/>
      <w:r w:rsidRPr="00D36F91">
        <w:rPr>
          <w:rFonts w:ascii="Garamond" w:hAnsi="Garamond"/>
          <w:sz w:val="20"/>
          <w:szCs w:val="20"/>
        </w:rPr>
        <w:t>Gualtieri</w:t>
      </w:r>
      <w:proofErr w:type="spellEnd"/>
      <w:r w:rsidRPr="00D36F91">
        <w:rPr>
          <w:rFonts w:ascii="Garamond" w:hAnsi="Garamond"/>
          <w:sz w:val="20"/>
          <w:szCs w:val="20"/>
        </w:rPr>
        <w:t>, ( a cura di),</w:t>
      </w:r>
      <w:r w:rsidRPr="00D36F91">
        <w:rPr>
          <w:rFonts w:ascii="Garamond" w:hAnsi="Garamond"/>
          <w:i/>
          <w:iCs/>
          <w:sz w:val="20"/>
          <w:szCs w:val="20"/>
        </w:rPr>
        <w:t xml:space="preserve"> Prove di Europa unita</w:t>
      </w:r>
      <w:r w:rsidRPr="00D36F91">
        <w:rPr>
          <w:rFonts w:ascii="Garamond" w:hAnsi="Garamond"/>
          <w:sz w:val="20"/>
          <w:szCs w:val="20"/>
        </w:rPr>
        <w:t xml:space="preserve">, </w:t>
      </w:r>
      <w:proofErr w:type="spellStart"/>
      <w:r w:rsidRPr="00D36F91">
        <w:rPr>
          <w:rFonts w:ascii="Garamond" w:hAnsi="Garamond"/>
          <w:sz w:val="20"/>
          <w:szCs w:val="20"/>
        </w:rPr>
        <w:t>cit</w:t>
      </w:r>
      <w:proofErr w:type="spellEnd"/>
      <w:r w:rsidRPr="00D36F91">
        <w:rPr>
          <w:rFonts w:ascii="Garamond" w:hAnsi="Garamond"/>
          <w:sz w:val="20"/>
          <w:szCs w:val="20"/>
        </w:rPr>
        <w:t xml:space="preserve"> p.325; soprattutto per una comparazione della giurisprudenza delle Corti costituzionali europee e della Corte di giustizia; peraltro, più specificatamente nel senso di garantire e valorizzare il ruolo dei parlamenti nazionali nel processo di integrazione europea, quale garanzia del rispetto dell’</w:t>
      </w:r>
      <w:proofErr w:type="spellStart"/>
      <w:r w:rsidRPr="00D36F91">
        <w:rPr>
          <w:rFonts w:ascii="Garamond" w:hAnsi="Garamond"/>
          <w:sz w:val="20"/>
          <w:szCs w:val="20"/>
        </w:rPr>
        <w:t>indentità</w:t>
      </w:r>
      <w:proofErr w:type="spellEnd"/>
      <w:r w:rsidRPr="00D36F91">
        <w:rPr>
          <w:rFonts w:ascii="Garamond" w:hAnsi="Garamond"/>
          <w:sz w:val="20"/>
          <w:szCs w:val="20"/>
        </w:rPr>
        <w:t xml:space="preserve"> costituzionale degli Stati membri anche le precedenti decisioni </w:t>
      </w:r>
      <w:proofErr w:type="spellStart"/>
      <w:r w:rsidRPr="00D36F91">
        <w:rPr>
          <w:rFonts w:ascii="Garamond" w:hAnsi="Garamond"/>
          <w:sz w:val="20"/>
          <w:szCs w:val="20"/>
        </w:rPr>
        <w:t>Solange</w:t>
      </w:r>
      <w:proofErr w:type="spellEnd"/>
      <w:r w:rsidRPr="00D36F91">
        <w:rPr>
          <w:rFonts w:ascii="Garamond" w:hAnsi="Garamond"/>
          <w:sz w:val="20"/>
          <w:szCs w:val="20"/>
        </w:rPr>
        <w:t>;</w:t>
      </w:r>
      <w:r w:rsidRPr="00D36F91">
        <w:rPr>
          <w:rFonts w:ascii="Garamond" w:hAnsi="Garamond" w:cs="SimonciniGaramond"/>
          <w:sz w:val="20"/>
          <w:szCs w:val="20"/>
        </w:rPr>
        <w:t xml:space="preserve"> M. </w:t>
      </w:r>
      <w:proofErr w:type="spellStart"/>
      <w:r w:rsidRPr="00D36F91">
        <w:rPr>
          <w:rFonts w:ascii="Garamond" w:hAnsi="Garamond" w:cs="SimonciniGaramond"/>
          <w:sz w:val="20"/>
          <w:szCs w:val="20"/>
        </w:rPr>
        <w:t>Bonini</w:t>
      </w:r>
      <w:proofErr w:type="spellEnd"/>
      <w:r w:rsidRPr="00D36F91">
        <w:rPr>
          <w:rFonts w:ascii="Garamond" w:hAnsi="Garamond" w:cs="SimonciniGaramond"/>
          <w:sz w:val="20"/>
          <w:szCs w:val="20"/>
        </w:rPr>
        <w:t xml:space="preserve">, </w:t>
      </w:r>
      <w:r w:rsidRPr="00D36F91">
        <w:rPr>
          <w:rFonts w:ascii="Garamond" w:hAnsi="Garamond" w:cs="SimonciniGaramond-Italic"/>
          <w:i/>
          <w:iCs/>
          <w:sz w:val="20"/>
          <w:szCs w:val="20"/>
        </w:rPr>
        <w:t xml:space="preserve">Status dei parlamentari e </w:t>
      </w:r>
      <w:proofErr w:type="spellStart"/>
      <w:r w:rsidRPr="00D36F91">
        <w:rPr>
          <w:rFonts w:ascii="Garamond" w:hAnsi="Garamond" w:cs="SimonciniGaramond"/>
          <w:sz w:val="20"/>
          <w:szCs w:val="20"/>
        </w:rPr>
        <w:t>European</w:t>
      </w:r>
      <w:proofErr w:type="spellEnd"/>
      <w:r w:rsidRPr="00D36F91">
        <w:rPr>
          <w:rFonts w:ascii="Garamond" w:hAnsi="Garamond" w:cs="SimonciniGaramond"/>
          <w:sz w:val="20"/>
          <w:szCs w:val="20"/>
        </w:rPr>
        <w:t xml:space="preserve"> Financial </w:t>
      </w:r>
      <w:proofErr w:type="spellStart"/>
      <w:r w:rsidRPr="00D36F91">
        <w:rPr>
          <w:rFonts w:ascii="Garamond" w:hAnsi="Garamond" w:cs="SimonciniGaramond"/>
          <w:sz w:val="20"/>
          <w:szCs w:val="20"/>
        </w:rPr>
        <w:t>Stability</w:t>
      </w:r>
      <w:proofErr w:type="spellEnd"/>
      <w:r w:rsidRPr="00D36F91">
        <w:rPr>
          <w:rFonts w:ascii="Garamond" w:hAnsi="Garamond" w:cs="SimonciniGaramond"/>
          <w:sz w:val="20"/>
          <w:szCs w:val="20"/>
        </w:rPr>
        <w:t xml:space="preserve"> </w:t>
      </w:r>
      <w:proofErr w:type="spellStart"/>
      <w:r w:rsidRPr="00D36F91">
        <w:rPr>
          <w:rFonts w:ascii="Garamond" w:hAnsi="Garamond" w:cs="SimonciniGaramond"/>
          <w:sz w:val="20"/>
          <w:szCs w:val="20"/>
        </w:rPr>
        <w:t>Facility</w:t>
      </w:r>
      <w:proofErr w:type="spellEnd"/>
      <w:r w:rsidRPr="00D36F91">
        <w:rPr>
          <w:rFonts w:ascii="Garamond" w:hAnsi="Garamond" w:cs="SimonciniGaramond-Italic"/>
          <w:i/>
          <w:iCs/>
          <w:sz w:val="20"/>
          <w:szCs w:val="20"/>
        </w:rPr>
        <w:t xml:space="preserve">:controllo democratico e indebitamento pubblico nella giurisprudenza del </w:t>
      </w:r>
      <w:proofErr w:type="spellStart"/>
      <w:r w:rsidRPr="00D36F91">
        <w:rPr>
          <w:rFonts w:ascii="Garamond" w:hAnsi="Garamond" w:cs="SimonciniGaramond"/>
          <w:sz w:val="20"/>
          <w:szCs w:val="20"/>
        </w:rPr>
        <w:t>BverfG</w:t>
      </w:r>
      <w:proofErr w:type="spellEnd"/>
      <w:r w:rsidRPr="00D36F91">
        <w:rPr>
          <w:rFonts w:ascii="Garamond" w:hAnsi="Garamond" w:cs="SimonciniGaramond"/>
          <w:sz w:val="20"/>
          <w:szCs w:val="20"/>
        </w:rPr>
        <w:t>, in Rivista telematica dell’AIC, n. 1/2012, specie p.12 e ss.;</w:t>
      </w:r>
      <w:r w:rsidRPr="00D36F91">
        <w:rPr>
          <w:rFonts w:ascii="Garamond" w:hAnsi="Garamond" w:cs="TimesNewRomanPSMT"/>
          <w:sz w:val="20"/>
          <w:szCs w:val="20"/>
        </w:rPr>
        <w:t xml:space="preserve"> è particolarmente significativa la legislazione tedesca adottata in seguito alle pronunce del Tribunale costituzionale federale tedesco,che ha introdotto per il Governo obblighi di informazione e consultazione del </w:t>
      </w:r>
      <w:proofErr w:type="spellStart"/>
      <w:r w:rsidRPr="00D36F91">
        <w:rPr>
          <w:rFonts w:ascii="Garamond" w:hAnsi="Garamond" w:cs="TimesNewRomanPSMT"/>
          <w:sz w:val="20"/>
          <w:szCs w:val="20"/>
        </w:rPr>
        <w:t>Bundestag</w:t>
      </w:r>
      <w:proofErr w:type="spellEnd"/>
      <w:r w:rsidRPr="00D36F91">
        <w:rPr>
          <w:rFonts w:ascii="Garamond" w:hAnsi="Garamond" w:cs="TimesNewRomanPSMT"/>
          <w:sz w:val="20"/>
          <w:szCs w:val="20"/>
        </w:rPr>
        <w:t>, nella fase di elaborazione delle decisioni in materia economica e finanziaria di livello europeo.</w:t>
      </w:r>
      <w:r w:rsidRPr="00D36F91">
        <w:rPr>
          <w:rFonts w:ascii="Garamond" w:hAnsi="Garamond" w:cs="Times#20New#20Roman"/>
          <w:sz w:val="20"/>
          <w:szCs w:val="20"/>
        </w:rPr>
        <w:t xml:space="preserve"> Soprattutto è stato imposto al Governo il previo assenso della </w:t>
      </w:r>
      <w:r w:rsidRPr="00D36F91">
        <w:rPr>
          <w:rFonts w:ascii="Garamond" w:hAnsi="Garamond" w:cs="TimesNewRomanPSMT"/>
          <w:sz w:val="20"/>
          <w:szCs w:val="20"/>
        </w:rPr>
        <w:t xml:space="preserve">Commissione bilancio del </w:t>
      </w:r>
      <w:proofErr w:type="spellStart"/>
      <w:r w:rsidRPr="00D36F91">
        <w:rPr>
          <w:rFonts w:ascii="Garamond" w:hAnsi="Garamond" w:cs="TimesNewRomanPS-ItalicMT"/>
          <w:i/>
          <w:iCs/>
          <w:sz w:val="20"/>
          <w:szCs w:val="20"/>
        </w:rPr>
        <w:t>Bundestag</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in relazione agli interventi di stabilizzazione dell’area euro che abbiano impatto sulla finanza pubblica. Si tratta della </w:t>
      </w:r>
      <w:r w:rsidRPr="00D36F91">
        <w:rPr>
          <w:rFonts w:ascii="Garamond" w:hAnsi="Garamond" w:cs="Times#20New#20Roman"/>
          <w:sz w:val="20"/>
          <w:szCs w:val="20"/>
        </w:rPr>
        <w:t xml:space="preserve">Legge per l’adozione di garanzie per la solvibilità della Repubblica ellenica finalizzate al mantenimento della </w:t>
      </w:r>
      <w:r w:rsidRPr="00D36F91">
        <w:rPr>
          <w:rFonts w:ascii="Garamond" w:hAnsi="Garamond" w:cs="TimesNewRomanPSMT"/>
          <w:sz w:val="20"/>
          <w:szCs w:val="20"/>
        </w:rPr>
        <w:t>stabilità finanzi</w:t>
      </w:r>
      <w:r w:rsidRPr="00D36F91">
        <w:rPr>
          <w:rFonts w:ascii="Garamond" w:hAnsi="Garamond" w:cs="Times#20New#20Roman"/>
          <w:sz w:val="20"/>
          <w:szCs w:val="20"/>
        </w:rPr>
        <w:t>aria nell’ambito dell’Unione monetaria (</w:t>
      </w:r>
      <w:proofErr w:type="spellStart"/>
      <w:r w:rsidRPr="00D36F91">
        <w:rPr>
          <w:rFonts w:ascii="Garamond" w:hAnsi="Garamond" w:cs="Times#20New#20Roman"/>
          <w:sz w:val="20"/>
          <w:szCs w:val="20"/>
        </w:rPr>
        <w:t>WFStG</w:t>
      </w:r>
      <w:proofErr w:type="spellEnd"/>
      <w:r w:rsidRPr="00D36F91">
        <w:rPr>
          <w:rFonts w:ascii="Garamond" w:hAnsi="Garamond" w:cs="Times#20New#20Roman"/>
          <w:sz w:val="20"/>
          <w:szCs w:val="20"/>
        </w:rPr>
        <w:t xml:space="preserve">), del 7 maggio 2010, in </w:t>
      </w:r>
      <w:proofErr w:type="spellStart"/>
      <w:r w:rsidRPr="00D36F91">
        <w:rPr>
          <w:rFonts w:ascii="Garamond" w:hAnsi="Garamond" w:cs="Times#20New#20Roman"/>
          <w:sz w:val="20"/>
          <w:szCs w:val="20"/>
        </w:rPr>
        <w:t>BGBl</w:t>
      </w:r>
      <w:proofErr w:type="spellEnd"/>
      <w:r w:rsidRPr="00D36F91">
        <w:rPr>
          <w:rFonts w:ascii="Garamond" w:hAnsi="Garamond" w:cs="Times#20New#20Roman"/>
          <w:sz w:val="20"/>
          <w:szCs w:val="20"/>
        </w:rPr>
        <w:t xml:space="preserve">, I, p. 537, e della legge per l’adozione di garanzie nell’ambito del meccanismo di stabilità europeo del 22 </w:t>
      </w:r>
      <w:r w:rsidRPr="00D36F91">
        <w:rPr>
          <w:rFonts w:ascii="Garamond" w:hAnsi="Garamond" w:cs="TimesNewRomanPSMT"/>
          <w:sz w:val="20"/>
          <w:szCs w:val="20"/>
        </w:rPr>
        <w:t xml:space="preserve">maggio 2010, in </w:t>
      </w:r>
      <w:proofErr w:type="spellStart"/>
      <w:r w:rsidRPr="00D36F91">
        <w:rPr>
          <w:rFonts w:ascii="Garamond" w:hAnsi="Garamond" w:cs="TimesNewRomanPSMT"/>
          <w:sz w:val="20"/>
          <w:szCs w:val="20"/>
        </w:rPr>
        <w:t>BGBl</w:t>
      </w:r>
      <w:proofErr w:type="spellEnd"/>
      <w:r w:rsidRPr="00D36F91">
        <w:rPr>
          <w:rFonts w:ascii="Garamond" w:hAnsi="Garamond" w:cs="TimesNewRomanPSMT"/>
          <w:sz w:val="20"/>
          <w:szCs w:val="20"/>
        </w:rPr>
        <w:t>, I, p. 627. Le suddette leggi sono state modificate, con la legge del 9 ottobre 2011, in seguito alla la sentenze del Tribunale costituzionale federale (</w:t>
      </w:r>
      <w:proofErr w:type="spellStart"/>
      <w:r w:rsidRPr="00D36F91">
        <w:rPr>
          <w:rFonts w:ascii="Garamond" w:hAnsi="Garamond" w:cs="TimesNewRomanPS-ItalicMT"/>
          <w:i/>
          <w:iCs/>
          <w:sz w:val="20"/>
          <w:szCs w:val="20"/>
        </w:rPr>
        <w:t>Bundesverfassungsgericht</w:t>
      </w:r>
      <w:proofErr w:type="spellEnd"/>
      <w:r w:rsidRPr="00D36F91">
        <w:rPr>
          <w:rFonts w:ascii="Garamond" w:hAnsi="Garamond" w:cs="TimesNewRomanPS-ItalicMT"/>
          <w:i/>
          <w:iCs/>
          <w:sz w:val="20"/>
          <w:szCs w:val="20"/>
        </w:rPr>
        <w:t xml:space="preserve"> o </w:t>
      </w:r>
      <w:proofErr w:type="spellStart"/>
      <w:r w:rsidRPr="00D36F91">
        <w:rPr>
          <w:rFonts w:ascii="Garamond" w:hAnsi="Garamond" w:cs="TimesNewRomanPS-ItalicMT"/>
          <w:i/>
          <w:iCs/>
          <w:sz w:val="20"/>
          <w:szCs w:val="20"/>
        </w:rPr>
        <w:t>BVerfG</w:t>
      </w:r>
      <w:proofErr w:type="spellEnd"/>
      <w:r w:rsidRPr="00D36F91">
        <w:rPr>
          <w:rFonts w:ascii="Garamond" w:hAnsi="Garamond" w:cs="TimesNewRomanPSMT"/>
          <w:sz w:val="20"/>
          <w:szCs w:val="20"/>
        </w:rPr>
        <w:t>) del 7 settembre 2011 (</w:t>
      </w:r>
      <w:proofErr w:type="spellStart"/>
      <w:r w:rsidRPr="00D36F91">
        <w:rPr>
          <w:rFonts w:ascii="Garamond" w:hAnsi="Garamond" w:cs="TimesNewRomanPS-ItalicMT"/>
          <w:i/>
          <w:iCs/>
          <w:sz w:val="20"/>
          <w:szCs w:val="20"/>
        </w:rPr>
        <w:t>BVerfG</w:t>
      </w:r>
      <w:proofErr w:type="spellEnd"/>
      <w:r w:rsidRPr="00D36F91">
        <w:rPr>
          <w:rFonts w:ascii="Garamond" w:hAnsi="Garamond" w:cs="TimesNewRomanPSMT"/>
          <w:sz w:val="20"/>
          <w:szCs w:val="20"/>
        </w:rPr>
        <w:t xml:space="preserve">, 2 </w:t>
      </w:r>
      <w:proofErr w:type="spellStart"/>
      <w:r w:rsidRPr="00D36F91">
        <w:rPr>
          <w:rFonts w:ascii="Garamond" w:hAnsi="Garamond" w:cs="TimesNewRomanPS-ItalicMT"/>
          <w:i/>
          <w:iCs/>
          <w:sz w:val="20"/>
          <w:szCs w:val="20"/>
        </w:rPr>
        <w:t>BvR</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987/10, 2 </w:t>
      </w:r>
      <w:proofErr w:type="spellStart"/>
      <w:r w:rsidRPr="00D36F91">
        <w:rPr>
          <w:rFonts w:ascii="Garamond" w:hAnsi="Garamond" w:cs="TimesNewRomanPS-ItalicMT"/>
          <w:i/>
          <w:iCs/>
          <w:sz w:val="20"/>
          <w:szCs w:val="20"/>
        </w:rPr>
        <w:t>BvR</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1485/10, 2 </w:t>
      </w:r>
      <w:proofErr w:type="spellStart"/>
      <w:r w:rsidRPr="00D36F91">
        <w:rPr>
          <w:rFonts w:ascii="Garamond" w:hAnsi="Garamond" w:cs="TimesNewRomanPS-ItalicMT"/>
          <w:i/>
          <w:iCs/>
          <w:sz w:val="20"/>
          <w:szCs w:val="20"/>
        </w:rPr>
        <w:t>BvR</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1099/10) relativa alla loro compatibilità con la Legge fondamentale tedesca; la successiva  sentenza del 28 febbraio 2012 (</w:t>
      </w:r>
      <w:proofErr w:type="spellStart"/>
      <w:r w:rsidRPr="00D36F91">
        <w:rPr>
          <w:rFonts w:ascii="Garamond" w:hAnsi="Garamond" w:cs="TimesNewRomanPS-ItalicMT"/>
          <w:i/>
          <w:iCs/>
          <w:sz w:val="20"/>
          <w:szCs w:val="20"/>
        </w:rPr>
        <w:t>BVerfG</w:t>
      </w:r>
      <w:proofErr w:type="spellEnd"/>
      <w:r w:rsidRPr="00D36F91">
        <w:rPr>
          <w:rFonts w:ascii="Garamond" w:hAnsi="Garamond" w:cs="TimesNewRomanPSMT"/>
          <w:sz w:val="20"/>
          <w:szCs w:val="20"/>
        </w:rPr>
        <w:t xml:space="preserve">, 2 </w:t>
      </w:r>
      <w:proofErr w:type="spellStart"/>
      <w:r w:rsidRPr="00D36F91">
        <w:rPr>
          <w:rFonts w:ascii="Garamond" w:hAnsi="Garamond" w:cs="TimesNewRomanPS-ItalicMT"/>
          <w:i/>
          <w:iCs/>
          <w:sz w:val="20"/>
          <w:szCs w:val="20"/>
        </w:rPr>
        <w:t>BvE</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8/11) sulla legge del 9 ottobre 2011; la sentenza del 19 giugno 2012 (</w:t>
      </w:r>
      <w:proofErr w:type="spellStart"/>
      <w:r w:rsidRPr="00D36F91">
        <w:rPr>
          <w:rFonts w:ascii="Garamond" w:hAnsi="Garamond" w:cs="TimesNewRomanPS-ItalicMT"/>
          <w:i/>
          <w:iCs/>
          <w:sz w:val="20"/>
          <w:szCs w:val="20"/>
        </w:rPr>
        <w:t>BverfG</w:t>
      </w:r>
      <w:proofErr w:type="spellEnd"/>
      <w:r w:rsidRPr="00D36F91">
        <w:rPr>
          <w:rFonts w:ascii="Garamond" w:hAnsi="Garamond" w:cs="TimesNewRomanPSMT"/>
          <w:sz w:val="20"/>
          <w:szCs w:val="20"/>
        </w:rPr>
        <w:t xml:space="preserve">, 2 </w:t>
      </w:r>
      <w:proofErr w:type="spellStart"/>
      <w:r w:rsidRPr="00D36F91">
        <w:rPr>
          <w:rFonts w:ascii="Garamond" w:hAnsi="Garamond" w:cs="TimesNewRomanPS-ItalicMT"/>
          <w:i/>
          <w:iCs/>
          <w:sz w:val="20"/>
          <w:szCs w:val="20"/>
        </w:rPr>
        <w:t>BvE</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4/11), in cui si afferma che il Governo non aveva adeguatamente e tempestivamente informato il Parlamento sui negoziati relativi alla costituzione del Meccanismo europeo di stabilità e sul Fiscal compact; con la sentenza del 12 settembre 2012(</w:t>
      </w:r>
      <w:proofErr w:type="spellStart"/>
      <w:r w:rsidRPr="00D36F91">
        <w:rPr>
          <w:rFonts w:ascii="Garamond" w:hAnsi="Garamond" w:cs="TimesNewRomanPS-ItalicMT"/>
          <w:i/>
          <w:iCs/>
          <w:sz w:val="20"/>
          <w:szCs w:val="20"/>
        </w:rPr>
        <w:t>BVerfG</w:t>
      </w:r>
      <w:proofErr w:type="spellEnd"/>
      <w:r w:rsidRPr="00D36F91">
        <w:rPr>
          <w:rFonts w:ascii="Garamond" w:hAnsi="Garamond" w:cs="TimesNewRomanPSMT"/>
          <w:sz w:val="20"/>
          <w:szCs w:val="20"/>
        </w:rPr>
        <w:t xml:space="preserve">, 2 </w:t>
      </w:r>
      <w:proofErr w:type="spellStart"/>
      <w:r w:rsidRPr="00D36F91">
        <w:rPr>
          <w:rFonts w:ascii="Garamond" w:hAnsi="Garamond" w:cs="TimesNewRomanPS-ItalicMT"/>
          <w:i/>
          <w:iCs/>
          <w:sz w:val="20"/>
          <w:szCs w:val="20"/>
        </w:rPr>
        <w:t>BvR</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1390/12; 2 </w:t>
      </w:r>
      <w:proofErr w:type="spellStart"/>
      <w:r w:rsidRPr="00D36F91">
        <w:rPr>
          <w:rFonts w:ascii="Garamond" w:hAnsi="Garamond" w:cs="TimesNewRomanPS-ItalicMT"/>
          <w:i/>
          <w:iCs/>
          <w:sz w:val="20"/>
          <w:szCs w:val="20"/>
        </w:rPr>
        <w:t>BvR</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1421/12; 2 </w:t>
      </w:r>
      <w:proofErr w:type="spellStart"/>
      <w:r w:rsidRPr="00D36F91">
        <w:rPr>
          <w:rFonts w:ascii="Garamond" w:hAnsi="Garamond" w:cs="TimesNewRomanPS-ItalicMT"/>
          <w:i/>
          <w:iCs/>
          <w:sz w:val="20"/>
          <w:szCs w:val="20"/>
        </w:rPr>
        <w:t>BvR</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1438/12; 2 </w:t>
      </w:r>
      <w:proofErr w:type="spellStart"/>
      <w:r w:rsidRPr="00D36F91">
        <w:rPr>
          <w:rFonts w:ascii="Garamond" w:hAnsi="Garamond" w:cs="TimesNewRomanPS-ItalicMT"/>
          <w:i/>
          <w:iCs/>
          <w:sz w:val="20"/>
          <w:szCs w:val="20"/>
        </w:rPr>
        <w:t>BvR</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1439/12; 2 </w:t>
      </w:r>
      <w:proofErr w:type="spellStart"/>
      <w:r w:rsidRPr="00D36F91">
        <w:rPr>
          <w:rFonts w:ascii="Garamond" w:hAnsi="Garamond" w:cs="TimesNewRomanPS-ItalicMT"/>
          <w:i/>
          <w:iCs/>
          <w:sz w:val="20"/>
          <w:szCs w:val="20"/>
        </w:rPr>
        <w:t>BvR</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1440/12; 2 </w:t>
      </w:r>
      <w:proofErr w:type="spellStart"/>
      <w:r w:rsidRPr="00D36F91">
        <w:rPr>
          <w:rFonts w:ascii="Garamond" w:hAnsi="Garamond" w:cs="TimesNewRomanPS-ItalicMT"/>
          <w:i/>
          <w:iCs/>
          <w:sz w:val="20"/>
          <w:szCs w:val="20"/>
        </w:rPr>
        <w:t>BvE</w:t>
      </w:r>
      <w:proofErr w:type="spellEnd"/>
      <w:r w:rsidRPr="00D36F91">
        <w:rPr>
          <w:rFonts w:ascii="Garamond" w:hAnsi="Garamond" w:cs="TimesNewRomanPS-ItalicMT"/>
          <w:i/>
          <w:iCs/>
          <w:sz w:val="20"/>
          <w:szCs w:val="20"/>
        </w:rPr>
        <w:t xml:space="preserve"> </w:t>
      </w:r>
      <w:r w:rsidRPr="00D36F91">
        <w:rPr>
          <w:rFonts w:ascii="Garamond" w:hAnsi="Garamond" w:cs="TimesNewRomanPSMT"/>
          <w:sz w:val="20"/>
          <w:szCs w:val="20"/>
        </w:rPr>
        <w:t xml:space="preserve">6/12) i suddetti Trattati internazionali sono stati dichiarati non incompatibili con la Costituzione, a condizione che le relative disposizioni siano interpretate nel senso di sottoporre all’approvazione del Parlamento federale le decisioni di stanziare importi  superiori alla somma versata dalla Germania al meccanismo europeo di stabilità. Le sentenze sono reperibili presso il sito del tribunale costituzionale tedesco: </w:t>
      </w:r>
      <w:hyperlink r:id="rId8" w:history="1">
        <w:r w:rsidRPr="00D36F91">
          <w:rPr>
            <w:rStyle w:val="Collegamentoipertestuale"/>
            <w:rFonts w:ascii="Garamond" w:hAnsi="Garamond" w:cs="TimesNewRomanPSMT"/>
            <w:sz w:val="20"/>
            <w:szCs w:val="20"/>
          </w:rPr>
          <w:t>www.bundesverfassungsgericht.de</w:t>
        </w:r>
      </w:hyperlink>
      <w:r w:rsidRPr="00D36F91">
        <w:rPr>
          <w:rFonts w:ascii="Garamond" w:hAnsi="Garamond" w:cs="TimesNewRomanPSMT"/>
          <w:sz w:val="20"/>
          <w:szCs w:val="20"/>
        </w:rPr>
        <w:t xml:space="preserve">). Tra gli altri si vedano i commenti di  </w:t>
      </w:r>
      <w:proofErr w:type="spellStart"/>
      <w:r w:rsidRPr="00D36F91">
        <w:rPr>
          <w:rFonts w:ascii="Garamond" w:hAnsi="Garamond" w:cs="TimesNewRomanPSMT"/>
          <w:sz w:val="20"/>
          <w:szCs w:val="20"/>
        </w:rPr>
        <w:t>P.Ridola</w:t>
      </w:r>
      <w:proofErr w:type="spellEnd"/>
      <w:r w:rsidRPr="00D36F91">
        <w:rPr>
          <w:rFonts w:ascii="Garamond" w:hAnsi="Garamond" w:cs="TimesNewRomanPSMT"/>
          <w:sz w:val="20"/>
          <w:szCs w:val="20"/>
        </w:rPr>
        <w:t>,</w:t>
      </w:r>
      <w:r w:rsidRPr="00D36F91">
        <w:rPr>
          <w:rFonts w:ascii="Garamond" w:hAnsi="Garamond" w:cs="TimesNewRomanPSMT"/>
          <w:i/>
          <w:iCs/>
          <w:sz w:val="20"/>
          <w:szCs w:val="20"/>
        </w:rPr>
        <w:t xml:space="preserve"> “</w:t>
      </w:r>
      <w:proofErr w:type="spellStart"/>
      <w:r w:rsidRPr="00D36F91">
        <w:rPr>
          <w:rFonts w:ascii="Garamond" w:hAnsi="Garamond" w:cs="TimesNewRomanPSMT"/>
          <w:i/>
          <w:iCs/>
          <w:sz w:val="20"/>
          <w:szCs w:val="20"/>
        </w:rPr>
        <w:t>Karlsruhe</w:t>
      </w:r>
      <w:proofErr w:type="spellEnd"/>
      <w:r w:rsidRPr="00D36F91">
        <w:rPr>
          <w:rFonts w:ascii="Garamond" w:hAnsi="Garamond" w:cs="TimesNewRomanPSMT"/>
          <w:i/>
          <w:iCs/>
          <w:sz w:val="20"/>
          <w:szCs w:val="20"/>
        </w:rPr>
        <w:t xml:space="preserve"> </w:t>
      </w:r>
      <w:proofErr w:type="spellStart"/>
      <w:r w:rsidRPr="00D36F91">
        <w:rPr>
          <w:rFonts w:ascii="Garamond" w:hAnsi="Garamond" w:cs="TimesNewRomanPSMT"/>
          <w:i/>
          <w:iCs/>
          <w:sz w:val="20"/>
          <w:szCs w:val="20"/>
        </w:rPr>
        <w:t>locuta</w:t>
      </w:r>
      <w:proofErr w:type="spellEnd"/>
      <w:r w:rsidRPr="00D36F91">
        <w:rPr>
          <w:rFonts w:ascii="Garamond" w:hAnsi="Garamond" w:cs="TimesNewRomanPSMT"/>
          <w:i/>
          <w:iCs/>
          <w:sz w:val="20"/>
          <w:szCs w:val="20"/>
        </w:rPr>
        <w:t xml:space="preserve"> causa finita?” Il </w:t>
      </w:r>
      <w:proofErr w:type="spellStart"/>
      <w:r w:rsidRPr="00D36F91">
        <w:rPr>
          <w:rFonts w:ascii="Garamond" w:hAnsi="Garamond" w:cs="TimesNewRomanPSMT"/>
          <w:i/>
          <w:iCs/>
          <w:sz w:val="20"/>
          <w:szCs w:val="20"/>
        </w:rPr>
        <w:t>Bundesverfassungericht</w:t>
      </w:r>
      <w:proofErr w:type="spellEnd"/>
      <w:r w:rsidRPr="00D36F91">
        <w:rPr>
          <w:rFonts w:ascii="Garamond" w:hAnsi="Garamond" w:cs="TimesNewRomanPSMT"/>
          <w:i/>
          <w:iCs/>
          <w:sz w:val="20"/>
          <w:szCs w:val="20"/>
        </w:rPr>
        <w:t>, il fondo salva-stati e gli incerti destini della democrazia federalista in Europa,</w:t>
      </w:r>
      <w:r w:rsidRPr="00D36F91">
        <w:rPr>
          <w:rFonts w:ascii="Garamond" w:hAnsi="Garamond" w:cs="TimesNewRomanPSMT"/>
          <w:sz w:val="20"/>
          <w:szCs w:val="20"/>
        </w:rPr>
        <w:t xml:space="preserve"> in </w:t>
      </w:r>
      <w:proofErr w:type="spellStart"/>
      <w:r w:rsidRPr="00D36F91">
        <w:rPr>
          <w:rFonts w:ascii="Garamond" w:hAnsi="Garamond" w:cs="TimesNewRomanPSMT"/>
          <w:i/>
          <w:iCs/>
          <w:sz w:val="20"/>
          <w:szCs w:val="20"/>
        </w:rPr>
        <w:t>federalismi.it</w:t>
      </w:r>
      <w:proofErr w:type="spellEnd"/>
      <w:r w:rsidRPr="00D36F91">
        <w:rPr>
          <w:rFonts w:ascii="Garamond" w:hAnsi="Garamond" w:cs="TimesNewRomanPSMT"/>
          <w:sz w:val="20"/>
          <w:szCs w:val="20"/>
        </w:rPr>
        <w:t xml:space="preserve">, n.18/2012; </w:t>
      </w:r>
      <w:proofErr w:type="spellStart"/>
      <w:r w:rsidRPr="00D36F91">
        <w:rPr>
          <w:rFonts w:ascii="Garamond" w:hAnsi="Garamond" w:cs="TimesNewRomanPSMT"/>
          <w:sz w:val="20"/>
          <w:szCs w:val="20"/>
        </w:rPr>
        <w:t>A.De</w:t>
      </w:r>
      <w:proofErr w:type="spellEnd"/>
      <w:r w:rsidRPr="00D36F91">
        <w:rPr>
          <w:rFonts w:ascii="Garamond" w:hAnsi="Garamond" w:cs="TimesNewRomanPSMT"/>
          <w:sz w:val="20"/>
          <w:szCs w:val="20"/>
        </w:rPr>
        <w:t xml:space="preserve"> </w:t>
      </w:r>
      <w:proofErr w:type="spellStart"/>
      <w:r w:rsidRPr="00D36F91">
        <w:rPr>
          <w:rFonts w:ascii="Garamond" w:hAnsi="Garamond" w:cs="TimesNewRomanPSMT"/>
          <w:sz w:val="20"/>
          <w:szCs w:val="20"/>
        </w:rPr>
        <w:t>petris</w:t>
      </w:r>
      <w:proofErr w:type="spellEnd"/>
      <w:r w:rsidRPr="00D36F91">
        <w:rPr>
          <w:rFonts w:ascii="Garamond" w:hAnsi="Garamond" w:cs="TimesNewRomanPSMT"/>
          <w:sz w:val="20"/>
          <w:szCs w:val="20"/>
        </w:rPr>
        <w:t xml:space="preserve">, </w:t>
      </w:r>
      <w:r w:rsidRPr="00D36F91">
        <w:rPr>
          <w:rFonts w:ascii="Garamond" w:hAnsi="Garamond" w:cs="TimesNewRomanPSMT"/>
          <w:i/>
          <w:iCs/>
          <w:sz w:val="20"/>
          <w:szCs w:val="20"/>
        </w:rPr>
        <w:t xml:space="preserve">La sentenza del </w:t>
      </w:r>
      <w:proofErr w:type="spellStart"/>
      <w:r w:rsidRPr="00D36F91">
        <w:rPr>
          <w:rFonts w:ascii="Garamond" w:hAnsi="Garamond" w:cs="TimesNewRomanPSMT"/>
          <w:i/>
          <w:iCs/>
          <w:sz w:val="20"/>
          <w:szCs w:val="20"/>
        </w:rPr>
        <w:t>Bundesverfassungericht</w:t>
      </w:r>
      <w:proofErr w:type="spellEnd"/>
      <w:r w:rsidRPr="00D36F91">
        <w:rPr>
          <w:rFonts w:ascii="Garamond" w:hAnsi="Garamond" w:cs="TimesNewRomanPSMT"/>
          <w:i/>
          <w:iCs/>
          <w:sz w:val="20"/>
          <w:szCs w:val="20"/>
        </w:rPr>
        <w:t xml:space="preserve"> sul Meccanismo europeo di stabilità e sul Fiscal compact. Una guida alla lettura,</w:t>
      </w:r>
      <w:r w:rsidRPr="00D36F91">
        <w:rPr>
          <w:rFonts w:ascii="Garamond" w:hAnsi="Garamond" w:cs="TimesNewRomanPSMT"/>
          <w:sz w:val="20"/>
          <w:szCs w:val="20"/>
        </w:rPr>
        <w:t xml:space="preserve"> ibidem; </w:t>
      </w:r>
      <w:proofErr w:type="spellStart"/>
      <w:r w:rsidRPr="00D36F91">
        <w:rPr>
          <w:rFonts w:ascii="Garamond" w:hAnsi="Garamond" w:cs="TimesNewRomanPSMT"/>
          <w:sz w:val="20"/>
          <w:szCs w:val="20"/>
        </w:rPr>
        <w:t>A.Di</w:t>
      </w:r>
      <w:proofErr w:type="spellEnd"/>
      <w:r w:rsidRPr="00D36F91">
        <w:rPr>
          <w:rFonts w:ascii="Garamond" w:hAnsi="Garamond" w:cs="TimesNewRomanPSMT"/>
          <w:sz w:val="20"/>
          <w:szCs w:val="20"/>
        </w:rPr>
        <w:t xml:space="preserve"> Martino, </w:t>
      </w:r>
      <w:r w:rsidRPr="00D36F91">
        <w:rPr>
          <w:rFonts w:ascii="Garamond" w:hAnsi="Garamond" w:cs="TimesNewRomanPSMT"/>
          <w:i/>
          <w:iCs/>
          <w:sz w:val="20"/>
          <w:szCs w:val="20"/>
        </w:rPr>
        <w:t xml:space="preserve">La sentenza del  </w:t>
      </w:r>
      <w:proofErr w:type="spellStart"/>
      <w:r w:rsidRPr="00D36F91">
        <w:rPr>
          <w:rFonts w:ascii="Garamond" w:hAnsi="Garamond" w:cs="TimesNewRomanPSMT"/>
          <w:i/>
          <w:iCs/>
          <w:sz w:val="20"/>
          <w:szCs w:val="20"/>
        </w:rPr>
        <w:t>Bundesverfassungericht</w:t>
      </w:r>
      <w:proofErr w:type="spellEnd"/>
      <w:r w:rsidRPr="00D36F91">
        <w:rPr>
          <w:rFonts w:ascii="Garamond" w:hAnsi="Garamond" w:cs="TimesNewRomanPSMT"/>
          <w:i/>
          <w:iCs/>
          <w:sz w:val="20"/>
          <w:szCs w:val="20"/>
        </w:rPr>
        <w:t xml:space="preserve"> sul Meccanismo Europeo di stabilità e sul Fiscal Compact. Una lettura alla luce della giurisprudenza precedente</w:t>
      </w:r>
      <w:r w:rsidRPr="00D36F91">
        <w:rPr>
          <w:rFonts w:ascii="Garamond" w:hAnsi="Garamond" w:cs="TimesNewRomanPSMT"/>
          <w:sz w:val="20"/>
          <w:szCs w:val="20"/>
        </w:rPr>
        <w:t>, ibidem;</w:t>
      </w:r>
      <w:r w:rsidRPr="00D36F91">
        <w:rPr>
          <w:rFonts w:ascii="Garamond" w:hAnsi="Garamond" w:cs="Times New Roman"/>
          <w:sz w:val="20"/>
          <w:szCs w:val="20"/>
        </w:rPr>
        <w:t xml:space="preserve"> F. </w:t>
      </w:r>
      <w:proofErr w:type="spellStart"/>
      <w:r w:rsidRPr="00D36F91">
        <w:rPr>
          <w:rFonts w:ascii="Garamond" w:hAnsi="Garamond" w:cs="Times New Roman"/>
          <w:sz w:val="20"/>
          <w:szCs w:val="20"/>
        </w:rPr>
        <w:t>Pedrini</w:t>
      </w:r>
      <w:proofErr w:type="spellEnd"/>
      <w:r w:rsidRPr="00D36F91">
        <w:rPr>
          <w:rFonts w:ascii="Garamond" w:hAnsi="Garamond" w:cs="Times New Roman"/>
          <w:sz w:val="20"/>
          <w:szCs w:val="20"/>
        </w:rPr>
        <w:t xml:space="preserve">, </w:t>
      </w:r>
      <w:r w:rsidRPr="00D36F91">
        <w:rPr>
          <w:rFonts w:ascii="Garamond" w:hAnsi="Garamond" w:cs="Times New Roman"/>
          <w:i/>
          <w:iCs/>
          <w:sz w:val="20"/>
          <w:szCs w:val="20"/>
        </w:rPr>
        <w:t xml:space="preserve">Le “cautele” di </w:t>
      </w:r>
      <w:proofErr w:type="spellStart"/>
      <w:r w:rsidRPr="00D36F91">
        <w:rPr>
          <w:rFonts w:ascii="Garamond" w:hAnsi="Garamond" w:cs="Times New Roman"/>
          <w:i/>
          <w:iCs/>
          <w:sz w:val="20"/>
          <w:szCs w:val="20"/>
        </w:rPr>
        <w:t>Karlsruhe</w:t>
      </w:r>
      <w:proofErr w:type="spellEnd"/>
      <w:r w:rsidRPr="00D36F91">
        <w:rPr>
          <w:rFonts w:ascii="Garamond" w:hAnsi="Garamond" w:cs="Times New Roman"/>
          <w:i/>
          <w:iCs/>
          <w:sz w:val="20"/>
          <w:szCs w:val="20"/>
        </w:rPr>
        <w:t xml:space="preserve"> in ordine al Fondo “salva Stati” (commento alla sentenza del Tribunale costituzionale del 12 settembre 2012</w:t>
      </w:r>
      <w:r w:rsidRPr="00D36F91">
        <w:rPr>
          <w:rFonts w:ascii="Garamond" w:hAnsi="Garamond" w:cs="Times New Roman"/>
          <w:sz w:val="20"/>
          <w:szCs w:val="20"/>
        </w:rPr>
        <w:t xml:space="preserve">), in Quad. cost., 2012, P. 894 ss.; più recentemente K. Schneider, </w:t>
      </w:r>
      <w:r w:rsidRPr="00D36F91">
        <w:rPr>
          <w:rFonts w:ascii="Garamond" w:hAnsi="Garamond" w:cs="Times New Roman"/>
          <w:i/>
          <w:iCs/>
          <w:sz w:val="20"/>
          <w:szCs w:val="20"/>
        </w:rPr>
        <w:t xml:space="preserve">Yes, </w:t>
      </w:r>
      <w:proofErr w:type="spellStart"/>
      <w:r w:rsidRPr="00D36F91">
        <w:rPr>
          <w:rFonts w:ascii="Garamond" w:hAnsi="Garamond" w:cs="Times New Roman"/>
          <w:i/>
          <w:iCs/>
          <w:sz w:val="20"/>
          <w:szCs w:val="20"/>
        </w:rPr>
        <w:t>But</w:t>
      </w:r>
      <w:proofErr w:type="spellEnd"/>
      <w:r w:rsidRPr="00D36F91">
        <w:rPr>
          <w:rFonts w:ascii="Garamond" w:hAnsi="Garamond" w:cs="Times New Roman"/>
          <w:i/>
          <w:iCs/>
          <w:sz w:val="20"/>
          <w:szCs w:val="20"/>
        </w:rPr>
        <w:t xml:space="preserve"> ... </w:t>
      </w:r>
      <w:r w:rsidRPr="00D36F91">
        <w:rPr>
          <w:rFonts w:ascii="Garamond" w:hAnsi="Garamond" w:cs="Times New Roman"/>
          <w:i/>
          <w:iCs/>
          <w:sz w:val="20"/>
          <w:szCs w:val="20"/>
          <w:lang w:val="en-US"/>
        </w:rPr>
        <w:t>One More Thing: Karlsruhe's Ruling on the European Stability Mechanism</w:t>
      </w:r>
      <w:r w:rsidRPr="00D36F91">
        <w:rPr>
          <w:rFonts w:ascii="Garamond" w:hAnsi="Garamond" w:cs="Times New Roman"/>
          <w:sz w:val="20"/>
          <w:szCs w:val="20"/>
          <w:lang w:val="en-US"/>
        </w:rPr>
        <w:t xml:space="preserve">, in </w:t>
      </w:r>
      <w:r w:rsidRPr="00D36F91">
        <w:rPr>
          <w:rFonts w:ascii="Garamond" w:hAnsi="Garamond" w:cs="Times New Roman"/>
          <w:i/>
          <w:iCs/>
          <w:sz w:val="20"/>
          <w:szCs w:val="20"/>
          <w:lang w:val="en-US"/>
        </w:rPr>
        <w:t>German Law Journal</w:t>
      </w:r>
      <w:r w:rsidRPr="00D36F91">
        <w:rPr>
          <w:rFonts w:ascii="Garamond" w:hAnsi="Garamond" w:cs="Times New Roman"/>
          <w:sz w:val="20"/>
          <w:szCs w:val="20"/>
          <w:lang w:val="en-US"/>
        </w:rPr>
        <w:t xml:space="preserve">, 2013, p. 53 ss.; M. </w:t>
      </w:r>
      <w:proofErr w:type="spellStart"/>
      <w:r w:rsidRPr="00D36F91">
        <w:rPr>
          <w:rFonts w:ascii="Garamond" w:hAnsi="Garamond" w:cs="Times New Roman"/>
          <w:sz w:val="20"/>
          <w:szCs w:val="20"/>
          <w:lang w:val="en-US"/>
        </w:rPr>
        <w:t>Wendel</w:t>
      </w:r>
      <w:proofErr w:type="spellEnd"/>
      <w:r w:rsidRPr="00D36F91">
        <w:rPr>
          <w:rFonts w:ascii="Garamond" w:hAnsi="Garamond" w:cs="Times New Roman"/>
          <w:i/>
          <w:iCs/>
          <w:sz w:val="20"/>
          <w:szCs w:val="20"/>
          <w:lang w:val="en-US"/>
        </w:rPr>
        <w:t>, Judicial Restraint and the Return to Openness: The Decision of the German Federal Constitutional Court on the ESM and the Fiscal Treaty of 12 September 2012,</w:t>
      </w:r>
      <w:r w:rsidRPr="00D36F91">
        <w:rPr>
          <w:rFonts w:ascii="Garamond" w:hAnsi="Garamond" w:cs="Times New Roman"/>
          <w:sz w:val="20"/>
          <w:szCs w:val="20"/>
          <w:lang w:val="en-US"/>
        </w:rPr>
        <w:t xml:space="preserve"> in </w:t>
      </w:r>
      <w:r w:rsidRPr="00D36F91">
        <w:rPr>
          <w:rFonts w:ascii="Garamond" w:hAnsi="Garamond" w:cs="Times New Roman"/>
          <w:i/>
          <w:iCs/>
          <w:sz w:val="20"/>
          <w:szCs w:val="20"/>
          <w:lang w:val="en-US"/>
        </w:rPr>
        <w:t>German Law Journal, 2013,</w:t>
      </w:r>
      <w:r w:rsidRPr="00D36F91">
        <w:rPr>
          <w:rFonts w:ascii="Garamond" w:hAnsi="Garamond" w:cs="Times New Roman"/>
          <w:sz w:val="20"/>
          <w:szCs w:val="20"/>
          <w:lang w:val="en-US"/>
        </w:rPr>
        <w:t xml:space="preserve"> p. 21 ss.</w:t>
      </w:r>
    </w:p>
  </w:footnote>
  <w:footnote w:id="46">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Così </w:t>
      </w:r>
      <w:proofErr w:type="spellStart"/>
      <w:r w:rsidRPr="00D36F91">
        <w:rPr>
          <w:rFonts w:ascii="Garamond" w:hAnsi="Garamond"/>
        </w:rPr>
        <w:t>M.Olivetti</w:t>
      </w:r>
      <w:proofErr w:type="spellEnd"/>
      <w:r w:rsidRPr="00D36F91">
        <w:rPr>
          <w:rFonts w:ascii="Garamond" w:hAnsi="Garamond"/>
        </w:rPr>
        <w:t xml:space="preserve">, </w:t>
      </w:r>
      <w:r w:rsidRPr="00D36F91">
        <w:rPr>
          <w:rFonts w:ascii="Garamond" w:hAnsi="Garamond"/>
          <w:i/>
          <w:iCs/>
        </w:rPr>
        <w:t>Parlamenti nazionali,</w:t>
      </w:r>
      <w:r w:rsidRPr="00D36F91">
        <w:rPr>
          <w:rFonts w:ascii="Garamond" w:hAnsi="Garamond"/>
        </w:rPr>
        <w:t xml:space="preserve"> cit. p.564</w:t>
      </w:r>
    </w:p>
  </w:footnote>
  <w:footnote w:id="47">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Così C. </w:t>
      </w:r>
      <w:proofErr w:type="spellStart"/>
      <w:r w:rsidRPr="00D36F91">
        <w:rPr>
          <w:rFonts w:ascii="Garamond" w:hAnsi="Garamond"/>
        </w:rPr>
        <w:t>Pinelli</w:t>
      </w:r>
      <w:proofErr w:type="spellEnd"/>
      <w:r w:rsidRPr="00D36F91">
        <w:rPr>
          <w:rFonts w:ascii="Garamond" w:hAnsi="Garamond"/>
        </w:rPr>
        <w:t>,</w:t>
      </w:r>
      <w:r w:rsidRPr="00D36F91">
        <w:rPr>
          <w:rFonts w:ascii="Garamond" w:hAnsi="Garamond"/>
          <w:i/>
          <w:iCs/>
        </w:rPr>
        <w:t xml:space="preserve"> Le corti europee,</w:t>
      </w:r>
      <w:r w:rsidRPr="00D36F91">
        <w:rPr>
          <w:rFonts w:ascii="Garamond" w:hAnsi="Garamond"/>
        </w:rPr>
        <w:t xml:space="preserve"> cit. p.335, anche per il virgolettato sopra</w:t>
      </w:r>
    </w:p>
  </w:footnote>
  <w:footnote w:id="48">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Così </w:t>
      </w:r>
      <w:proofErr w:type="spellStart"/>
      <w:r w:rsidRPr="00D36F91">
        <w:rPr>
          <w:rFonts w:ascii="Garamond" w:hAnsi="Garamond"/>
          <w:sz w:val="20"/>
          <w:szCs w:val="20"/>
        </w:rPr>
        <w:t>A.Manzella</w:t>
      </w:r>
      <w:proofErr w:type="spellEnd"/>
      <w:r w:rsidRPr="00D36F91">
        <w:rPr>
          <w:rFonts w:ascii="Garamond" w:hAnsi="Garamond"/>
          <w:sz w:val="20"/>
          <w:szCs w:val="20"/>
        </w:rPr>
        <w:t xml:space="preserve">, </w:t>
      </w:r>
      <w:r w:rsidRPr="00D36F91">
        <w:rPr>
          <w:rFonts w:ascii="Garamond" w:hAnsi="Garamond"/>
          <w:i/>
          <w:iCs/>
          <w:sz w:val="20"/>
          <w:szCs w:val="20"/>
        </w:rPr>
        <w:t>La cooperazione interparlamentare</w:t>
      </w:r>
      <w:r w:rsidRPr="00D36F91">
        <w:rPr>
          <w:rFonts w:ascii="Garamond" w:hAnsi="Garamond"/>
          <w:sz w:val="20"/>
          <w:szCs w:val="20"/>
        </w:rPr>
        <w:t xml:space="preserve">, cit. p.3.; in generale per le diverse forme di cooperazione interparlamentare, tra gli altri, si veda </w:t>
      </w:r>
      <w:proofErr w:type="spellStart"/>
      <w:r w:rsidRPr="00D36F91">
        <w:rPr>
          <w:rFonts w:ascii="Garamond" w:hAnsi="Garamond"/>
          <w:sz w:val="20"/>
          <w:szCs w:val="20"/>
        </w:rPr>
        <w:t>C.Pinelli</w:t>
      </w:r>
      <w:proofErr w:type="spellEnd"/>
      <w:r w:rsidRPr="00D36F91">
        <w:rPr>
          <w:rFonts w:ascii="Garamond" w:hAnsi="Garamond"/>
          <w:sz w:val="20"/>
          <w:szCs w:val="20"/>
        </w:rPr>
        <w:t xml:space="preserve">, </w:t>
      </w:r>
      <w:r w:rsidRPr="00D36F91">
        <w:rPr>
          <w:rFonts w:ascii="Garamond" w:hAnsi="Garamond"/>
          <w:i/>
          <w:iCs/>
          <w:sz w:val="20"/>
          <w:szCs w:val="20"/>
        </w:rPr>
        <w:t>La cooperazione interparlamentare nel processo di integrazione comunitaria</w:t>
      </w:r>
      <w:r w:rsidRPr="00D36F91">
        <w:rPr>
          <w:rFonts w:ascii="Garamond" w:hAnsi="Garamond"/>
          <w:sz w:val="20"/>
          <w:szCs w:val="20"/>
        </w:rPr>
        <w:t xml:space="preserve">, in E. Rossi (a cura di), Studi pisani sul Parlamento, Pisa, Plus, 2008, p.325 e ss; K. </w:t>
      </w:r>
      <w:proofErr w:type="spellStart"/>
      <w:r w:rsidRPr="00D36F91">
        <w:rPr>
          <w:rFonts w:ascii="Garamond" w:hAnsi="Garamond"/>
          <w:sz w:val="20"/>
          <w:szCs w:val="20"/>
        </w:rPr>
        <w:t>Neunreither</w:t>
      </w:r>
      <w:proofErr w:type="spellEnd"/>
      <w:r w:rsidRPr="00D36F91">
        <w:rPr>
          <w:rFonts w:ascii="Garamond" w:hAnsi="Garamond"/>
          <w:sz w:val="20"/>
          <w:szCs w:val="20"/>
        </w:rPr>
        <w:t xml:space="preserve">, </w:t>
      </w:r>
      <w:r w:rsidRPr="00D36F91">
        <w:rPr>
          <w:rFonts w:ascii="Garamond" w:hAnsi="Garamond"/>
          <w:i/>
          <w:iCs/>
          <w:sz w:val="20"/>
          <w:szCs w:val="20"/>
        </w:rPr>
        <w:t xml:space="preserve">The </w:t>
      </w:r>
      <w:proofErr w:type="spellStart"/>
      <w:r w:rsidRPr="00D36F91">
        <w:rPr>
          <w:rFonts w:ascii="Garamond" w:hAnsi="Garamond"/>
          <w:i/>
          <w:iCs/>
          <w:sz w:val="20"/>
          <w:szCs w:val="20"/>
        </w:rPr>
        <w:t>european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parliament</w:t>
      </w:r>
      <w:proofErr w:type="spellEnd"/>
      <w:r w:rsidRPr="00D36F91">
        <w:rPr>
          <w:rFonts w:ascii="Garamond" w:hAnsi="Garamond"/>
          <w:i/>
          <w:iCs/>
          <w:sz w:val="20"/>
          <w:szCs w:val="20"/>
        </w:rPr>
        <w:t xml:space="preserve"> and </w:t>
      </w:r>
      <w:proofErr w:type="spellStart"/>
      <w:r w:rsidRPr="00D36F91">
        <w:rPr>
          <w:rFonts w:ascii="Garamond" w:hAnsi="Garamond"/>
          <w:i/>
          <w:iCs/>
          <w:sz w:val="20"/>
          <w:szCs w:val="20"/>
        </w:rPr>
        <w:t>national</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parliaments</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conflicts</w:t>
      </w:r>
      <w:proofErr w:type="spellEnd"/>
      <w:r w:rsidRPr="00D36F91">
        <w:rPr>
          <w:rFonts w:ascii="Garamond" w:hAnsi="Garamond"/>
          <w:i/>
          <w:iCs/>
          <w:sz w:val="20"/>
          <w:szCs w:val="20"/>
        </w:rPr>
        <w:t xml:space="preserve"> or </w:t>
      </w:r>
      <w:proofErr w:type="spellStart"/>
      <w:r w:rsidRPr="00D36F91">
        <w:rPr>
          <w:rFonts w:ascii="Garamond" w:hAnsi="Garamond"/>
          <w:i/>
          <w:iCs/>
          <w:sz w:val="20"/>
          <w:szCs w:val="20"/>
        </w:rPr>
        <w:t>cooperation</w:t>
      </w:r>
      <w:proofErr w:type="spellEnd"/>
      <w:r w:rsidRPr="00D36F91">
        <w:rPr>
          <w:rFonts w:ascii="Garamond" w:hAnsi="Garamond"/>
          <w:i/>
          <w:iCs/>
          <w:sz w:val="20"/>
          <w:szCs w:val="20"/>
        </w:rPr>
        <w:t>?,</w:t>
      </w:r>
      <w:r w:rsidRPr="00D36F91">
        <w:rPr>
          <w:rFonts w:ascii="Garamond" w:hAnsi="Garamond"/>
          <w:sz w:val="20"/>
          <w:szCs w:val="20"/>
        </w:rPr>
        <w:t xml:space="preserve"> in </w:t>
      </w:r>
      <w:r w:rsidRPr="00D36F91">
        <w:rPr>
          <w:rFonts w:ascii="Garamond" w:hAnsi="Garamond"/>
          <w:i/>
          <w:iCs/>
          <w:sz w:val="20"/>
          <w:szCs w:val="20"/>
        </w:rPr>
        <w:t xml:space="preserve">The Journal </w:t>
      </w:r>
      <w:proofErr w:type="spellStart"/>
      <w:r w:rsidRPr="00D36F91">
        <w:rPr>
          <w:rFonts w:ascii="Garamond" w:hAnsi="Garamond"/>
          <w:i/>
          <w:iCs/>
          <w:sz w:val="20"/>
          <w:szCs w:val="20"/>
        </w:rPr>
        <w:t>of</w:t>
      </w:r>
      <w:proofErr w:type="spellEnd"/>
      <w:r w:rsidRPr="00D36F91">
        <w:rPr>
          <w:rFonts w:ascii="Garamond" w:hAnsi="Garamond"/>
          <w:i/>
          <w:iCs/>
          <w:sz w:val="20"/>
          <w:szCs w:val="20"/>
        </w:rPr>
        <w:t xml:space="preserve"> legislative </w:t>
      </w:r>
      <w:proofErr w:type="spellStart"/>
      <w:r w:rsidRPr="00D36F91">
        <w:rPr>
          <w:rFonts w:ascii="Garamond" w:hAnsi="Garamond"/>
          <w:i/>
          <w:iCs/>
          <w:sz w:val="20"/>
          <w:szCs w:val="20"/>
        </w:rPr>
        <w:t>studies</w:t>
      </w:r>
      <w:proofErr w:type="spellEnd"/>
      <w:r w:rsidRPr="00D36F91">
        <w:rPr>
          <w:rFonts w:ascii="Garamond" w:hAnsi="Garamond"/>
          <w:sz w:val="20"/>
          <w:szCs w:val="20"/>
        </w:rPr>
        <w:t xml:space="preserve">, n.3-4/2010, p.466 e ss; </w:t>
      </w:r>
      <w:proofErr w:type="spellStart"/>
      <w:r w:rsidRPr="00D36F91">
        <w:rPr>
          <w:rFonts w:ascii="Garamond" w:hAnsi="Garamond"/>
          <w:sz w:val="20"/>
          <w:szCs w:val="20"/>
        </w:rPr>
        <w:t>C.Fasone</w:t>
      </w:r>
      <w:proofErr w:type="spellEnd"/>
      <w:r w:rsidRPr="00D36F91">
        <w:rPr>
          <w:rFonts w:ascii="Garamond" w:hAnsi="Garamond"/>
          <w:sz w:val="20"/>
          <w:szCs w:val="20"/>
        </w:rPr>
        <w:t>,</w:t>
      </w:r>
      <w:r w:rsidRPr="00D36F91">
        <w:rPr>
          <w:rFonts w:ascii="Garamond" w:hAnsi="Garamond"/>
          <w:i/>
          <w:iCs/>
          <w:sz w:val="20"/>
          <w:szCs w:val="20"/>
        </w:rPr>
        <w:t xml:space="preserve"> La cooperazione interparlamentare nel continente europeo</w:t>
      </w:r>
      <w:r w:rsidRPr="00D36F91">
        <w:rPr>
          <w:rFonts w:ascii="Garamond" w:hAnsi="Garamond"/>
          <w:sz w:val="20"/>
          <w:szCs w:val="20"/>
        </w:rPr>
        <w:t xml:space="preserve">, in C. </w:t>
      </w:r>
      <w:proofErr w:type="spellStart"/>
      <w:r w:rsidRPr="00D36F91">
        <w:rPr>
          <w:rFonts w:ascii="Garamond" w:hAnsi="Garamond"/>
          <w:sz w:val="20"/>
          <w:szCs w:val="20"/>
        </w:rPr>
        <w:t>Decaro</w:t>
      </w:r>
      <w:proofErr w:type="spellEnd"/>
      <w:r w:rsidRPr="00D36F91">
        <w:rPr>
          <w:rFonts w:ascii="Garamond" w:hAnsi="Garamond"/>
          <w:sz w:val="20"/>
          <w:szCs w:val="20"/>
        </w:rPr>
        <w:t xml:space="preserve">, </w:t>
      </w:r>
      <w:proofErr w:type="spellStart"/>
      <w:r w:rsidRPr="00D36F91">
        <w:rPr>
          <w:rFonts w:ascii="Garamond" w:hAnsi="Garamond"/>
          <w:sz w:val="20"/>
          <w:szCs w:val="20"/>
        </w:rPr>
        <w:t>N.Lupo</w:t>
      </w:r>
      <w:proofErr w:type="spellEnd"/>
      <w:r w:rsidRPr="00D36F91">
        <w:rPr>
          <w:rFonts w:ascii="Garamond" w:hAnsi="Garamond"/>
          <w:sz w:val="20"/>
          <w:szCs w:val="20"/>
        </w:rPr>
        <w:t xml:space="preserve">, </w:t>
      </w:r>
      <w:r w:rsidRPr="00D36F91">
        <w:rPr>
          <w:rFonts w:ascii="Garamond" w:hAnsi="Garamond"/>
          <w:i/>
          <w:iCs/>
          <w:sz w:val="20"/>
          <w:szCs w:val="20"/>
        </w:rPr>
        <w:t>Il “dialogo” tra i Parlamenti: obiettivi risultati</w:t>
      </w:r>
      <w:r w:rsidRPr="00D36F91">
        <w:rPr>
          <w:rFonts w:ascii="Garamond" w:hAnsi="Garamond"/>
          <w:sz w:val="20"/>
          <w:szCs w:val="20"/>
        </w:rPr>
        <w:t xml:space="preserve">, </w:t>
      </w:r>
      <w:proofErr w:type="spellStart"/>
      <w:r w:rsidRPr="00D36F91">
        <w:rPr>
          <w:rFonts w:ascii="Garamond" w:hAnsi="Garamond"/>
          <w:sz w:val="20"/>
          <w:szCs w:val="20"/>
        </w:rPr>
        <w:t>Luiss</w:t>
      </w:r>
      <w:proofErr w:type="spellEnd"/>
      <w:r w:rsidRPr="00D36F91">
        <w:rPr>
          <w:rFonts w:ascii="Garamond" w:hAnsi="Garamond"/>
          <w:sz w:val="20"/>
          <w:szCs w:val="20"/>
        </w:rPr>
        <w:t xml:space="preserve"> </w:t>
      </w:r>
      <w:proofErr w:type="spellStart"/>
      <w:r w:rsidRPr="00D36F91">
        <w:rPr>
          <w:rFonts w:ascii="Garamond" w:hAnsi="Garamond"/>
          <w:sz w:val="20"/>
          <w:szCs w:val="20"/>
        </w:rPr>
        <w:t>University</w:t>
      </w:r>
      <w:proofErr w:type="spellEnd"/>
      <w:r w:rsidRPr="00D36F91">
        <w:rPr>
          <w:rFonts w:ascii="Garamond" w:hAnsi="Garamond"/>
          <w:sz w:val="20"/>
          <w:szCs w:val="20"/>
        </w:rPr>
        <w:t xml:space="preserve"> Press, 2009, p. 97 e ss; Id., </w:t>
      </w:r>
      <w:r w:rsidRPr="00D36F91">
        <w:rPr>
          <w:rFonts w:ascii="Garamond" w:hAnsi="Garamond"/>
          <w:i/>
          <w:iCs/>
          <w:sz w:val="20"/>
          <w:szCs w:val="20"/>
        </w:rPr>
        <w:t xml:space="preserve">I parlamenti degli Stati membri dell’Unione europea nel </w:t>
      </w:r>
      <w:proofErr w:type="spellStart"/>
      <w:r w:rsidRPr="00D36F91">
        <w:rPr>
          <w:rFonts w:ascii="Garamond" w:hAnsi="Garamond"/>
          <w:i/>
          <w:iCs/>
          <w:sz w:val="20"/>
          <w:szCs w:val="20"/>
        </w:rPr>
        <w:t>decision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making</w:t>
      </w:r>
      <w:proofErr w:type="spellEnd"/>
      <w:r w:rsidRPr="00D36F91">
        <w:rPr>
          <w:rFonts w:ascii="Garamond" w:hAnsi="Garamond"/>
          <w:i/>
          <w:iCs/>
          <w:sz w:val="20"/>
          <w:szCs w:val="20"/>
        </w:rPr>
        <w:t xml:space="preserve"> comunitario</w:t>
      </w:r>
      <w:r w:rsidRPr="00D36F91">
        <w:rPr>
          <w:rFonts w:ascii="Garamond" w:hAnsi="Garamond"/>
          <w:sz w:val="20"/>
          <w:szCs w:val="20"/>
        </w:rPr>
        <w:t xml:space="preserve">, Ibidem, p. 159 e ss, specie p.169 </w:t>
      </w:r>
      <w:proofErr w:type="spellStart"/>
      <w:r w:rsidRPr="00D36F91">
        <w:rPr>
          <w:rFonts w:ascii="Garamond" w:hAnsi="Garamond"/>
          <w:sz w:val="20"/>
          <w:szCs w:val="20"/>
        </w:rPr>
        <w:t>ess</w:t>
      </w:r>
      <w:proofErr w:type="spellEnd"/>
      <w:r w:rsidRPr="00D36F91">
        <w:rPr>
          <w:rFonts w:ascii="Garamond" w:hAnsi="Garamond"/>
          <w:sz w:val="20"/>
          <w:szCs w:val="20"/>
        </w:rPr>
        <w:t xml:space="preserve">; per una ricostruzione delle forme di cooperazione interparlamentare dalle origini delle Comunità Europee si rinvia a C. </w:t>
      </w:r>
      <w:proofErr w:type="spellStart"/>
      <w:r w:rsidRPr="00D36F91">
        <w:rPr>
          <w:rFonts w:ascii="Garamond" w:hAnsi="Garamond"/>
          <w:sz w:val="20"/>
          <w:szCs w:val="20"/>
        </w:rPr>
        <w:t>Romanelli</w:t>
      </w:r>
      <w:proofErr w:type="spellEnd"/>
      <w:r w:rsidRPr="00D36F91">
        <w:rPr>
          <w:rFonts w:ascii="Garamond" w:hAnsi="Garamond"/>
          <w:sz w:val="20"/>
          <w:szCs w:val="20"/>
        </w:rPr>
        <w:t xml:space="preserve"> Grimaldi, </w:t>
      </w:r>
      <w:r w:rsidRPr="00D36F91">
        <w:rPr>
          <w:rFonts w:ascii="Garamond" w:hAnsi="Garamond"/>
          <w:i/>
          <w:iCs/>
          <w:sz w:val="20"/>
          <w:szCs w:val="20"/>
        </w:rPr>
        <w:t>Il Parlamento europeo,</w:t>
      </w:r>
      <w:r w:rsidRPr="00D36F91">
        <w:rPr>
          <w:rFonts w:ascii="Garamond" w:hAnsi="Garamond"/>
          <w:sz w:val="20"/>
          <w:szCs w:val="20"/>
        </w:rPr>
        <w:t xml:space="preserve"> Padova, 1977, p.35 e ss; </w:t>
      </w:r>
      <w:proofErr w:type="spellStart"/>
      <w:r w:rsidRPr="00D36F91">
        <w:rPr>
          <w:rFonts w:ascii="Garamond" w:hAnsi="Garamond"/>
          <w:sz w:val="20"/>
          <w:szCs w:val="20"/>
        </w:rPr>
        <w:t>D.Hearl</w:t>
      </w:r>
      <w:proofErr w:type="spellEnd"/>
      <w:r w:rsidRPr="00D36F91">
        <w:rPr>
          <w:rFonts w:ascii="Garamond" w:hAnsi="Garamond"/>
          <w:sz w:val="20"/>
          <w:szCs w:val="20"/>
        </w:rPr>
        <w:t xml:space="preserve">, </w:t>
      </w:r>
      <w:proofErr w:type="spellStart"/>
      <w:r w:rsidRPr="00D36F91">
        <w:rPr>
          <w:rFonts w:ascii="Garamond" w:hAnsi="Garamond"/>
          <w:sz w:val="20"/>
          <w:szCs w:val="20"/>
        </w:rPr>
        <w:t>J.Sargent</w:t>
      </w:r>
      <w:proofErr w:type="spellEnd"/>
      <w:r w:rsidRPr="00D36F91">
        <w:rPr>
          <w:rFonts w:ascii="Garamond" w:hAnsi="Garamond"/>
          <w:sz w:val="20"/>
          <w:szCs w:val="20"/>
        </w:rPr>
        <w:t xml:space="preserve">, </w:t>
      </w:r>
      <w:proofErr w:type="spellStart"/>
      <w:r w:rsidRPr="00D36F91">
        <w:rPr>
          <w:rFonts w:ascii="Garamond" w:hAnsi="Garamond"/>
          <w:i/>
          <w:iCs/>
          <w:sz w:val="20"/>
          <w:szCs w:val="20"/>
        </w:rPr>
        <w:t>Linkage</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Mechanism</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between</w:t>
      </w:r>
      <w:proofErr w:type="spellEnd"/>
      <w:r w:rsidRPr="00D36F91">
        <w:rPr>
          <w:rFonts w:ascii="Garamond" w:hAnsi="Garamond"/>
          <w:i/>
          <w:iCs/>
          <w:sz w:val="20"/>
          <w:szCs w:val="20"/>
        </w:rPr>
        <w:t xml:space="preserve"> the </w:t>
      </w:r>
      <w:proofErr w:type="spellStart"/>
      <w:r w:rsidRPr="00D36F91">
        <w:rPr>
          <w:rFonts w:ascii="Garamond" w:hAnsi="Garamond"/>
          <w:i/>
          <w:iCs/>
          <w:sz w:val="20"/>
          <w:szCs w:val="20"/>
        </w:rPr>
        <w:t>European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Parliament</w:t>
      </w:r>
      <w:proofErr w:type="spellEnd"/>
      <w:r w:rsidRPr="00D36F91">
        <w:rPr>
          <w:rFonts w:ascii="Garamond" w:hAnsi="Garamond"/>
          <w:i/>
          <w:iCs/>
          <w:sz w:val="20"/>
          <w:szCs w:val="20"/>
        </w:rPr>
        <w:t xml:space="preserve"> and the National </w:t>
      </w:r>
      <w:proofErr w:type="spellStart"/>
      <w:r w:rsidRPr="00D36F91">
        <w:rPr>
          <w:rFonts w:ascii="Garamond" w:hAnsi="Garamond"/>
          <w:i/>
          <w:iCs/>
          <w:sz w:val="20"/>
          <w:szCs w:val="20"/>
        </w:rPr>
        <w:t>Parliaments</w:t>
      </w:r>
      <w:proofErr w:type="spellEnd"/>
      <w:r w:rsidRPr="00D36F91">
        <w:rPr>
          <w:rFonts w:ascii="Garamond" w:hAnsi="Garamond"/>
          <w:sz w:val="20"/>
          <w:szCs w:val="20"/>
        </w:rPr>
        <w:t xml:space="preserve">, in </w:t>
      </w:r>
      <w:proofErr w:type="spellStart"/>
      <w:r w:rsidRPr="00D36F91">
        <w:rPr>
          <w:rFonts w:ascii="Garamond" w:hAnsi="Garamond"/>
          <w:sz w:val="20"/>
          <w:szCs w:val="20"/>
        </w:rPr>
        <w:t>V.Herman</w:t>
      </w:r>
      <w:proofErr w:type="spellEnd"/>
      <w:r w:rsidRPr="00D36F91">
        <w:rPr>
          <w:rFonts w:ascii="Garamond" w:hAnsi="Garamond"/>
          <w:sz w:val="20"/>
          <w:szCs w:val="20"/>
        </w:rPr>
        <w:t xml:space="preserve">,, </w:t>
      </w:r>
      <w:proofErr w:type="spellStart"/>
      <w:r w:rsidRPr="00D36F91">
        <w:rPr>
          <w:rFonts w:ascii="Garamond" w:hAnsi="Garamond"/>
          <w:sz w:val="20"/>
          <w:szCs w:val="20"/>
        </w:rPr>
        <w:t>R.van</w:t>
      </w:r>
      <w:proofErr w:type="spellEnd"/>
      <w:r w:rsidRPr="00D36F91">
        <w:rPr>
          <w:rFonts w:ascii="Garamond" w:hAnsi="Garamond"/>
          <w:sz w:val="20"/>
          <w:szCs w:val="20"/>
        </w:rPr>
        <w:t xml:space="preserve"> </w:t>
      </w:r>
      <w:proofErr w:type="spellStart"/>
      <w:r w:rsidRPr="00D36F91">
        <w:rPr>
          <w:rFonts w:ascii="Garamond" w:hAnsi="Garamond"/>
          <w:sz w:val="20"/>
          <w:szCs w:val="20"/>
        </w:rPr>
        <w:t>Schendelen</w:t>
      </w:r>
      <w:proofErr w:type="spellEnd"/>
      <w:r w:rsidRPr="00D36F91">
        <w:rPr>
          <w:rFonts w:ascii="Garamond" w:hAnsi="Garamond"/>
          <w:sz w:val="20"/>
          <w:szCs w:val="20"/>
        </w:rPr>
        <w:t xml:space="preserve"> ( a cura di) </w:t>
      </w:r>
      <w:r w:rsidRPr="00D36F91">
        <w:rPr>
          <w:rFonts w:ascii="Garamond" w:hAnsi="Garamond"/>
          <w:i/>
          <w:iCs/>
          <w:sz w:val="20"/>
          <w:szCs w:val="20"/>
        </w:rPr>
        <w:t xml:space="preserve">The </w:t>
      </w:r>
      <w:proofErr w:type="spellStart"/>
      <w:r w:rsidRPr="00D36F91">
        <w:rPr>
          <w:rFonts w:ascii="Garamond" w:hAnsi="Garamond"/>
          <w:i/>
          <w:iCs/>
          <w:sz w:val="20"/>
          <w:szCs w:val="20"/>
        </w:rPr>
        <w:t>European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Parliament</w:t>
      </w:r>
      <w:proofErr w:type="spellEnd"/>
      <w:r w:rsidRPr="00D36F91">
        <w:rPr>
          <w:rFonts w:ascii="Garamond" w:hAnsi="Garamond"/>
          <w:i/>
          <w:iCs/>
          <w:sz w:val="20"/>
          <w:szCs w:val="20"/>
        </w:rPr>
        <w:t xml:space="preserve"> and the </w:t>
      </w:r>
      <w:proofErr w:type="spellStart"/>
      <w:r w:rsidRPr="00D36F91">
        <w:rPr>
          <w:rFonts w:ascii="Garamond" w:hAnsi="Garamond"/>
          <w:i/>
          <w:iCs/>
          <w:sz w:val="20"/>
          <w:szCs w:val="20"/>
        </w:rPr>
        <w:t>national</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Parliaments</w:t>
      </w:r>
      <w:proofErr w:type="spellEnd"/>
      <w:r w:rsidRPr="00D36F91">
        <w:rPr>
          <w:rFonts w:ascii="Garamond" w:hAnsi="Garamond"/>
          <w:sz w:val="20"/>
          <w:szCs w:val="20"/>
        </w:rPr>
        <w:t xml:space="preserve">, </w:t>
      </w:r>
      <w:proofErr w:type="spellStart"/>
      <w:r w:rsidRPr="00D36F91">
        <w:rPr>
          <w:rFonts w:ascii="Garamond" w:hAnsi="Garamond"/>
          <w:sz w:val="20"/>
          <w:szCs w:val="20"/>
        </w:rPr>
        <w:t>Farnborough</w:t>
      </w:r>
      <w:proofErr w:type="spellEnd"/>
      <w:r w:rsidRPr="00D36F91">
        <w:rPr>
          <w:rFonts w:ascii="Garamond" w:hAnsi="Garamond"/>
          <w:sz w:val="20"/>
          <w:szCs w:val="20"/>
        </w:rPr>
        <w:t xml:space="preserve">, </w:t>
      </w:r>
      <w:proofErr w:type="spellStart"/>
      <w:r w:rsidRPr="00D36F91">
        <w:rPr>
          <w:rFonts w:ascii="Garamond" w:hAnsi="Garamond"/>
          <w:sz w:val="20"/>
          <w:szCs w:val="20"/>
        </w:rPr>
        <w:t>Saxon</w:t>
      </w:r>
      <w:proofErr w:type="spellEnd"/>
      <w:r w:rsidRPr="00D36F91">
        <w:rPr>
          <w:rFonts w:ascii="Garamond" w:hAnsi="Garamond"/>
          <w:sz w:val="20"/>
          <w:szCs w:val="20"/>
        </w:rPr>
        <w:t xml:space="preserve"> House, 1979; più recentemente C..</w:t>
      </w:r>
      <w:proofErr w:type="spellStart"/>
      <w:r w:rsidRPr="00D36F91">
        <w:rPr>
          <w:rFonts w:ascii="Garamond" w:hAnsi="Garamond"/>
          <w:sz w:val="20"/>
          <w:szCs w:val="20"/>
        </w:rPr>
        <w:t>Bengtsson</w:t>
      </w:r>
      <w:proofErr w:type="spellEnd"/>
      <w:r w:rsidRPr="00D36F91">
        <w:rPr>
          <w:rFonts w:ascii="Garamond" w:hAnsi="Garamond"/>
          <w:sz w:val="20"/>
          <w:szCs w:val="20"/>
        </w:rPr>
        <w:t xml:space="preserve">, </w:t>
      </w:r>
      <w:proofErr w:type="spellStart"/>
      <w:r w:rsidRPr="00D36F91">
        <w:rPr>
          <w:rFonts w:ascii="Garamond" w:hAnsi="Garamond"/>
          <w:i/>
          <w:iCs/>
          <w:sz w:val="20"/>
          <w:szCs w:val="20"/>
        </w:rPr>
        <w:t>Interparliamentary</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cooperation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within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Europe</w:t>
      </w:r>
      <w:proofErr w:type="spellEnd"/>
      <w:r w:rsidRPr="00D36F91">
        <w:rPr>
          <w:rFonts w:ascii="Garamond" w:hAnsi="Garamond"/>
          <w:i/>
          <w:iCs/>
          <w:sz w:val="20"/>
          <w:szCs w:val="20"/>
        </w:rPr>
        <w:t xml:space="preserve">, </w:t>
      </w:r>
      <w:r w:rsidRPr="00D36F91">
        <w:rPr>
          <w:rFonts w:ascii="Garamond" w:hAnsi="Garamond"/>
          <w:sz w:val="20"/>
          <w:szCs w:val="20"/>
        </w:rPr>
        <w:t>in O’</w:t>
      </w:r>
      <w:proofErr w:type="spellStart"/>
      <w:r w:rsidRPr="00D36F91">
        <w:rPr>
          <w:rFonts w:ascii="Garamond" w:hAnsi="Garamond"/>
          <w:sz w:val="20"/>
          <w:szCs w:val="20"/>
        </w:rPr>
        <w:t>Brennan</w:t>
      </w:r>
      <w:proofErr w:type="spellEnd"/>
      <w:r w:rsidRPr="00D36F91">
        <w:rPr>
          <w:rFonts w:ascii="Garamond" w:hAnsi="Garamond"/>
          <w:sz w:val="20"/>
          <w:szCs w:val="20"/>
        </w:rPr>
        <w:t xml:space="preserve">, </w:t>
      </w:r>
      <w:proofErr w:type="spellStart"/>
      <w:r w:rsidRPr="00D36F91">
        <w:rPr>
          <w:rFonts w:ascii="Garamond" w:hAnsi="Garamond"/>
          <w:sz w:val="20"/>
          <w:szCs w:val="20"/>
        </w:rPr>
        <w:t>Raunio</w:t>
      </w:r>
      <w:proofErr w:type="spellEnd"/>
      <w:r w:rsidRPr="00D36F91">
        <w:rPr>
          <w:rFonts w:ascii="Garamond" w:hAnsi="Garamond"/>
          <w:sz w:val="20"/>
          <w:szCs w:val="20"/>
        </w:rPr>
        <w:t xml:space="preserve"> ( a cura di) </w:t>
      </w:r>
      <w:r w:rsidRPr="00D36F91">
        <w:rPr>
          <w:rFonts w:ascii="Garamond" w:hAnsi="Garamond"/>
          <w:i/>
          <w:iCs/>
          <w:sz w:val="20"/>
          <w:szCs w:val="20"/>
        </w:rPr>
        <w:t xml:space="preserve">National </w:t>
      </w:r>
      <w:proofErr w:type="spellStart"/>
      <w:r w:rsidRPr="00D36F91">
        <w:rPr>
          <w:rFonts w:ascii="Garamond" w:hAnsi="Garamond"/>
          <w:i/>
          <w:iCs/>
          <w:sz w:val="20"/>
          <w:szCs w:val="20"/>
        </w:rPr>
        <w:t>parliaments</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within</w:t>
      </w:r>
      <w:proofErr w:type="spellEnd"/>
      <w:r w:rsidRPr="00D36F91">
        <w:rPr>
          <w:rFonts w:ascii="Garamond" w:hAnsi="Garamond"/>
          <w:i/>
          <w:iCs/>
          <w:sz w:val="20"/>
          <w:szCs w:val="20"/>
        </w:rPr>
        <w:t xml:space="preserve"> the </w:t>
      </w:r>
      <w:proofErr w:type="spellStart"/>
      <w:r w:rsidRPr="00D36F91">
        <w:rPr>
          <w:rFonts w:ascii="Garamond" w:hAnsi="Garamond"/>
          <w:i/>
          <w:iCs/>
          <w:sz w:val="20"/>
          <w:szCs w:val="20"/>
        </w:rPr>
        <w:t>enlarged</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European</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Union</w:t>
      </w:r>
      <w:proofErr w:type="spellEnd"/>
      <w:r w:rsidRPr="00D36F91">
        <w:rPr>
          <w:rFonts w:ascii="Garamond" w:hAnsi="Garamond"/>
          <w:sz w:val="20"/>
          <w:szCs w:val="20"/>
        </w:rPr>
        <w:t xml:space="preserve"> , </w:t>
      </w:r>
      <w:proofErr w:type="spellStart"/>
      <w:r w:rsidRPr="00D36F91">
        <w:rPr>
          <w:rFonts w:ascii="Garamond" w:hAnsi="Garamond"/>
          <w:sz w:val="20"/>
          <w:szCs w:val="20"/>
        </w:rPr>
        <w:t>Routledge</w:t>
      </w:r>
      <w:proofErr w:type="spellEnd"/>
      <w:r w:rsidRPr="00D36F91">
        <w:rPr>
          <w:rFonts w:ascii="Garamond" w:hAnsi="Garamond"/>
          <w:sz w:val="20"/>
          <w:szCs w:val="20"/>
        </w:rPr>
        <w:t>, London, 2006, p.46 e ss;</w:t>
      </w:r>
    </w:p>
  </w:footnote>
  <w:footnote w:id="49">
    <w:p w:rsidR="0005296D" w:rsidRPr="00D36F91" w:rsidRDefault="0005296D" w:rsidP="002B28BE">
      <w:pPr>
        <w:autoSpaceDE w:val="0"/>
        <w:autoSpaceDN w:val="0"/>
        <w:adjustRightInd w:val="0"/>
        <w:spacing w:after="0"/>
        <w:jc w:val="both"/>
        <w:rPr>
          <w:rFonts w:ascii="Garamond" w:hAnsi="Garamond"/>
          <w:sz w:val="20"/>
          <w:szCs w:val="20"/>
          <w:lang w:val="en-US"/>
        </w:rPr>
      </w:pPr>
      <w:r w:rsidRPr="00D36F91">
        <w:rPr>
          <w:rStyle w:val="Rimandonotaapidipagina"/>
          <w:rFonts w:ascii="Garamond" w:hAnsi="Garamond"/>
          <w:sz w:val="20"/>
          <w:szCs w:val="20"/>
        </w:rPr>
        <w:footnoteRef/>
      </w:r>
      <w:r w:rsidRPr="00D36F91">
        <w:rPr>
          <w:rFonts w:ascii="Garamond" w:hAnsi="Garamond"/>
          <w:sz w:val="20"/>
          <w:szCs w:val="20"/>
        </w:rPr>
        <w:t xml:space="preserve"> Per questi aspetti si veda</w:t>
      </w:r>
      <w:r w:rsidRPr="00D36F91">
        <w:rPr>
          <w:rFonts w:ascii="Garamond" w:hAnsi="Garamond" w:cs="TimesNewRomanPSMT"/>
          <w:sz w:val="20"/>
          <w:szCs w:val="20"/>
        </w:rPr>
        <w:t xml:space="preserve"> J. </w:t>
      </w:r>
      <w:proofErr w:type="spellStart"/>
      <w:r w:rsidRPr="00D36F91">
        <w:rPr>
          <w:rFonts w:ascii="Garamond" w:hAnsi="Garamond" w:cs="TimesNewRomanPSMT"/>
          <w:sz w:val="20"/>
          <w:szCs w:val="20"/>
        </w:rPr>
        <w:t>Neyer</w:t>
      </w:r>
      <w:proofErr w:type="spellEnd"/>
      <w:r w:rsidRPr="00D36F91">
        <w:rPr>
          <w:rFonts w:ascii="Garamond" w:hAnsi="Garamond" w:cs="TimesNewRomanPSMT"/>
          <w:sz w:val="20"/>
          <w:szCs w:val="20"/>
        </w:rPr>
        <w:t xml:space="preserve">, </w:t>
      </w:r>
      <w:proofErr w:type="spellStart"/>
      <w:r w:rsidRPr="00D36F91">
        <w:rPr>
          <w:rFonts w:ascii="Garamond" w:hAnsi="Garamond" w:cs="TimesNewRomanPS-ItalicMT"/>
          <w:i/>
          <w:iCs/>
          <w:sz w:val="20"/>
          <w:szCs w:val="20"/>
        </w:rPr>
        <w:t>What</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Role</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for</w:t>
      </w:r>
      <w:proofErr w:type="spellEnd"/>
      <w:r w:rsidRPr="00D36F91">
        <w:rPr>
          <w:rFonts w:ascii="Garamond" w:hAnsi="Garamond" w:cs="TimesNewRomanPS-ItalicMT"/>
          <w:i/>
          <w:iCs/>
          <w:sz w:val="20"/>
          <w:szCs w:val="20"/>
        </w:rPr>
        <w:t xml:space="preserve"> National </w:t>
      </w:r>
      <w:proofErr w:type="spellStart"/>
      <w:r w:rsidRPr="00D36F91">
        <w:rPr>
          <w:rFonts w:ascii="Garamond" w:hAnsi="Garamond" w:cs="TimesNewRomanPS-ItalicMT"/>
          <w:i/>
          <w:iCs/>
          <w:sz w:val="20"/>
          <w:szCs w:val="20"/>
        </w:rPr>
        <w:t>Parliaments</w:t>
      </w:r>
      <w:proofErr w:type="spellEnd"/>
      <w:r w:rsidRPr="00D36F91">
        <w:rPr>
          <w:rFonts w:ascii="Garamond" w:hAnsi="Garamond" w:cs="TimesNewRomanPS-ItalicMT"/>
          <w:i/>
          <w:iCs/>
          <w:sz w:val="20"/>
          <w:szCs w:val="20"/>
        </w:rPr>
        <w:t xml:space="preserve">? </w:t>
      </w:r>
      <w:r w:rsidRPr="00D36F91">
        <w:rPr>
          <w:rFonts w:ascii="Garamond" w:hAnsi="Garamond" w:cs="TimesNewRomanPS-ItalicMT"/>
          <w:i/>
          <w:iCs/>
          <w:sz w:val="20"/>
          <w:szCs w:val="20"/>
          <w:lang w:val="en-US"/>
        </w:rPr>
        <w:t>European Integration and the Prospects of Parliamentary Democracy</w:t>
      </w:r>
      <w:r w:rsidRPr="00D36F91">
        <w:rPr>
          <w:rFonts w:ascii="Garamond" w:hAnsi="Garamond" w:cs="TimesNewRomanPSMT"/>
          <w:sz w:val="20"/>
          <w:szCs w:val="20"/>
          <w:lang w:val="en-US"/>
        </w:rPr>
        <w:t xml:space="preserve">, in K. </w:t>
      </w:r>
      <w:proofErr w:type="spellStart"/>
      <w:r w:rsidRPr="00D36F91">
        <w:rPr>
          <w:rFonts w:ascii="Garamond" w:hAnsi="Garamond" w:cs="TimesNewRomanPSMT"/>
          <w:sz w:val="20"/>
          <w:szCs w:val="20"/>
          <w:lang w:val="en-US"/>
        </w:rPr>
        <w:t>Auel</w:t>
      </w:r>
      <w:proofErr w:type="spellEnd"/>
      <w:r w:rsidRPr="00D36F91">
        <w:rPr>
          <w:rFonts w:ascii="Garamond" w:hAnsi="Garamond" w:cs="TimesNewRomanPSMT"/>
          <w:sz w:val="20"/>
          <w:szCs w:val="20"/>
          <w:lang w:val="en-US"/>
        </w:rPr>
        <w:t xml:space="preserve">, T. </w:t>
      </w:r>
      <w:proofErr w:type="spellStart"/>
      <w:r w:rsidRPr="00D36F91">
        <w:rPr>
          <w:rFonts w:ascii="Garamond" w:hAnsi="Garamond" w:cs="TimesNewRomanPSMT"/>
          <w:sz w:val="20"/>
          <w:szCs w:val="20"/>
          <w:lang w:val="en-US"/>
        </w:rPr>
        <w:t>Raunio</w:t>
      </w:r>
      <w:proofErr w:type="spellEnd"/>
      <w:r w:rsidRPr="00D36F91">
        <w:rPr>
          <w:rFonts w:ascii="Garamond" w:hAnsi="Garamond" w:cs="TimesNewRomanPSMT"/>
          <w:sz w:val="20"/>
          <w:szCs w:val="20"/>
          <w:lang w:val="en-US"/>
        </w:rPr>
        <w:t xml:space="preserve"> (edited by) </w:t>
      </w:r>
      <w:r w:rsidRPr="00D36F91">
        <w:rPr>
          <w:rFonts w:ascii="Garamond" w:hAnsi="Garamond" w:cs="TimesNewRomanPS-ItalicMT"/>
          <w:i/>
          <w:iCs/>
          <w:sz w:val="20"/>
          <w:szCs w:val="20"/>
          <w:lang w:val="en-US"/>
        </w:rPr>
        <w:t>National Parliaments, Electorates and EU affairs</w:t>
      </w:r>
      <w:r w:rsidRPr="00D36F91">
        <w:rPr>
          <w:rFonts w:ascii="Garamond" w:hAnsi="Garamond" w:cs="TimesNewRomanPSMT"/>
          <w:sz w:val="20"/>
          <w:szCs w:val="20"/>
          <w:lang w:val="en-US"/>
        </w:rPr>
        <w:t xml:space="preserve">, Institution for Advanced Studies, Vienna, 2012, p. 43 e </w:t>
      </w:r>
      <w:proofErr w:type="spellStart"/>
      <w:r w:rsidRPr="00D36F91">
        <w:rPr>
          <w:rFonts w:ascii="Garamond" w:hAnsi="Garamond" w:cs="TimesNewRomanPSMT"/>
          <w:sz w:val="20"/>
          <w:szCs w:val="20"/>
          <w:lang w:val="en-US"/>
        </w:rPr>
        <w:t>ss</w:t>
      </w:r>
      <w:proofErr w:type="spellEnd"/>
      <w:r w:rsidRPr="00D36F91">
        <w:rPr>
          <w:rFonts w:ascii="Garamond" w:hAnsi="Garamond" w:cs="TimesNewRomanPSMT"/>
          <w:sz w:val="20"/>
          <w:szCs w:val="20"/>
          <w:lang w:val="en-US"/>
        </w:rPr>
        <w:t xml:space="preserve">; V. Schmidt, </w:t>
      </w:r>
      <w:r w:rsidRPr="00D36F91">
        <w:rPr>
          <w:rFonts w:ascii="Garamond" w:hAnsi="Garamond" w:cs="TimesNewRomanPS-ItalicMT"/>
          <w:i/>
          <w:iCs/>
          <w:sz w:val="20"/>
          <w:szCs w:val="20"/>
          <w:lang w:val="en-US"/>
        </w:rPr>
        <w:t>Dealing with Europe's other deficit</w:t>
      </w:r>
      <w:r w:rsidRPr="00D36F91">
        <w:rPr>
          <w:rFonts w:ascii="Garamond" w:hAnsi="Garamond" w:cs="TimesNewRomanPSMT"/>
          <w:sz w:val="20"/>
          <w:szCs w:val="20"/>
          <w:lang w:val="en-US"/>
        </w:rPr>
        <w:t xml:space="preserve">, in </w:t>
      </w:r>
      <w:r w:rsidRPr="00D36F91">
        <w:rPr>
          <w:rFonts w:ascii="Garamond" w:hAnsi="Garamond" w:cs="TimesNewRomanPS-ItalicMT"/>
          <w:i/>
          <w:iCs/>
          <w:sz w:val="20"/>
          <w:szCs w:val="20"/>
          <w:lang w:val="en-US"/>
        </w:rPr>
        <w:t>Public Policy Research</w:t>
      </w:r>
      <w:r w:rsidRPr="00D36F91">
        <w:rPr>
          <w:rFonts w:ascii="Garamond" w:hAnsi="Garamond" w:cs="TimesNewRomanPSMT"/>
          <w:sz w:val="20"/>
          <w:szCs w:val="20"/>
          <w:lang w:val="en-US"/>
        </w:rPr>
        <w:t xml:space="preserve">, vol. 19, 2/2012, p. 107 </w:t>
      </w:r>
      <w:proofErr w:type="spellStart"/>
      <w:r w:rsidRPr="00D36F91">
        <w:rPr>
          <w:rFonts w:ascii="Garamond" w:hAnsi="Garamond" w:cs="TimesNewRomanPSMT"/>
          <w:sz w:val="20"/>
          <w:szCs w:val="20"/>
          <w:lang w:val="en-US"/>
        </w:rPr>
        <w:t>ss</w:t>
      </w:r>
      <w:proofErr w:type="spellEnd"/>
      <w:r w:rsidRPr="00D36F91">
        <w:rPr>
          <w:rFonts w:ascii="Garamond" w:hAnsi="Garamond" w:cs="TimesNewRomanPSMT"/>
          <w:sz w:val="20"/>
          <w:szCs w:val="20"/>
          <w:lang w:val="en-US"/>
        </w:rPr>
        <w:t>;</w:t>
      </w:r>
    </w:p>
  </w:footnote>
  <w:footnote w:id="50">
    <w:p w:rsidR="0005296D" w:rsidRPr="00D36F91" w:rsidRDefault="0005296D" w:rsidP="002B28BE">
      <w:pPr>
        <w:pStyle w:val="Testonotaapidipagina"/>
        <w:spacing w:after="0"/>
        <w:jc w:val="both"/>
        <w:rPr>
          <w:rFonts w:ascii="Garamond" w:hAnsi="Garamond"/>
          <w:lang w:val="en-US"/>
        </w:rPr>
      </w:pPr>
      <w:r w:rsidRPr="00D36F91">
        <w:rPr>
          <w:rStyle w:val="Rimandonotaapidipagina"/>
          <w:rFonts w:ascii="Garamond" w:hAnsi="Garamond"/>
        </w:rPr>
        <w:footnoteRef/>
      </w:r>
      <w:r w:rsidRPr="00D36F91">
        <w:rPr>
          <w:rFonts w:ascii="Garamond" w:hAnsi="Garamond"/>
          <w:lang w:val="en-US"/>
        </w:rPr>
        <w:t xml:space="preserve"> </w:t>
      </w:r>
      <w:proofErr w:type="spellStart"/>
      <w:r w:rsidRPr="00D36F91">
        <w:rPr>
          <w:rFonts w:ascii="Garamond" w:hAnsi="Garamond"/>
          <w:lang w:val="en-US"/>
        </w:rPr>
        <w:t>Così</w:t>
      </w:r>
      <w:proofErr w:type="spellEnd"/>
      <w:r w:rsidRPr="00D36F91">
        <w:rPr>
          <w:rFonts w:ascii="Garamond" w:hAnsi="Garamond"/>
          <w:lang w:val="en-US"/>
        </w:rPr>
        <w:t xml:space="preserve"> </w:t>
      </w:r>
      <w:proofErr w:type="spellStart"/>
      <w:r w:rsidRPr="00D36F91">
        <w:rPr>
          <w:rFonts w:ascii="Garamond" w:hAnsi="Garamond"/>
          <w:lang w:val="en-US"/>
        </w:rPr>
        <w:t>I.Pernice</w:t>
      </w:r>
      <w:proofErr w:type="spellEnd"/>
      <w:r w:rsidRPr="00D36F91">
        <w:rPr>
          <w:rFonts w:ascii="Garamond" w:hAnsi="Garamond"/>
          <w:lang w:val="en-US"/>
        </w:rPr>
        <w:t xml:space="preserve">, S. </w:t>
      </w:r>
      <w:proofErr w:type="spellStart"/>
      <w:r w:rsidRPr="00D36F91">
        <w:rPr>
          <w:rFonts w:ascii="Garamond" w:hAnsi="Garamond"/>
          <w:lang w:val="en-US"/>
        </w:rPr>
        <w:t>Hindelang</w:t>
      </w:r>
      <w:proofErr w:type="spellEnd"/>
      <w:r w:rsidRPr="00D36F91">
        <w:rPr>
          <w:rFonts w:ascii="Garamond" w:hAnsi="Garamond"/>
          <w:lang w:val="en-US"/>
        </w:rPr>
        <w:t xml:space="preserve">, </w:t>
      </w:r>
      <w:proofErr w:type="spellStart"/>
      <w:r w:rsidRPr="00D36F91">
        <w:rPr>
          <w:rFonts w:ascii="Garamond" w:hAnsi="Garamond"/>
          <w:i/>
          <w:iCs/>
          <w:lang w:val="en-US"/>
        </w:rPr>
        <w:t>Potenziale</w:t>
      </w:r>
      <w:proofErr w:type="spellEnd"/>
      <w:r w:rsidRPr="00D36F91">
        <w:rPr>
          <w:rFonts w:ascii="Garamond" w:hAnsi="Garamond"/>
          <w:i/>
          <w:iCs/>
          <w:lang w:val="en-US"/>
        </w:rPr>
        <w:t xml:space="preserve"> </w:t>
      </w:r>
      <w:proofErr w:type="spellStart"/>
      <w:r w:rsidRPr="00D36F91">
        <w:rPr>
          <w:rFonts w:ascii="Garamond" w:hAnsi="Garamond"/>
          <w:i/>
          <w:iCs/>
          <w:lang w:val="en-US"/>
        </w:rPr>
        <w:t>europäischer</w:t>
      </w:r>
      <w:proofErr w:type="spellEnd"/>
      <w:r w:rsidRPr="00D36F91">
        <w:rPr>
          <w:rFonts w:ascii="Garamond" w:hAnsi="Garamond"/>
          <w:i/>
          <w:iCs/>
          <w:lang w:val="en-US"/>
        </w:rPr>
        <w:t xml:space="preserve"> </w:t>
      </w:r>
      <w:proofErr w:type="spellStart"/>
      <w:r w:rsidRPr="00D36F91">
        <w:rPr>
          <w:rFonts w:ascii="Garamond" w:hAnsi="Garamond"/>
          <w:i/>
          <w:iCs/>
          <w:lang w:val="en-US"/>
        </w:rPr>
        <w:t>Politik</w:t>
      </w:r>
      <w:proofErr w:type="spellEnd"/>
      <w:r w:rsidRPr="00D36F91">
        <w:rPr>
          <w:rFonts w:ascii="Garamond" w:hAnsi="Garamond"/>
          <w:i/>
          <w:iCs/>
          <w:lang w:val="en-US"/>
        </w:rPr>
        <w:t xml:space="preserve"> </w:t>
      </w:r>
      <w:proofErr w:type="spellStart"/>
      <w:r w:rsidRPr="00D36F91">
        <w:rPr>
          <w:rFonts w:ascii="Garamond" w:hAnsi="Garamond"/>
          <w:i/>
          <w:iCs/>
          <w:lang w:val="en-US"/>
        </w:rPr>
        <w:t>nach</w:t>
      </w:r>
      <w:proofErr w:type="spellEnd"/>
      <w:r w:rsidRPr="00D36F91">
        <w:rPr>
          <w:rFonts w:ascii="Garamond" w:hAnsi="Garamond"/>
          <w:i/>
          <w:iCs/>
          <w:lang w:val="en-US"/>
        </w:rPr>
        <w:t xml:space="preserve"> </w:t>
      </w:r>
      <w:proofErr w:type="spellStart"/>
      <w:r w:rsidRPr="00D36F91">
        <w:rPr>
          <w:rFonts w:ascii="Garamond" w:hAnsi="Garamond"/>
          <w:i/>
          <w:iCs/>
          <w:lang w:val="en-US"/>
        </w:rPr>
        <w:t>lissabon</w:t>
      </w:r>
      <w:proofErr w:type="spellEnd"/>
      <w:r w:rsidRPr="00D36F91">
        <w:rPr>
          <w:rFonts w:ascii="Garamond" w:hAnsi="Garamond"/>
          <w:i/>
          <w:iCs/>
          <w:lang w:val="en-US"/>
        </w:rPr>
        <w:t xml:space="preserve">- </w:t>
      </w:r>
      <w:proofErr w:type="spellStart"/>
      <w:r w:rsidRPr="00D36F91">
        <w:rPr>
          <w:rFonts w:ascii="Garamond" w:hAnsi="Garamond"/>
          <w:i/>
          <w:iCs/>
          <w:lang w:val="en-US"/>
        </w:rPr>
        <w:t>Europapolitische</w:t>
      </w:r>
      <w:proofErr w:type="spellEnd"/>
      <w:r w:rsidRPr="00D36F91">
        <w:rPr>
          <w:rFonts w:ascii="Garamond" w:hAnsi="Garamond"/>
          <w:i/>
          <w:iCs/>
          <w:lang w:val="en-US"/>
        </w:rPr>
        <w:t xml:space="preserve"> </w:t>
      </w:r>
      <w:proofErr w:type="spellStart"/>
      <w:r w:rsidRPr="00D36F91">
        <w:rPr>
          <w:rFonts w:ascii="Garamond" w:hAnsi="Garamond"/>
          <w:i/>
          <w:iCs/>
          <w:lang w:val="en-US"/>
        </w:rPr>
        <w:t>Perspektiven</w:t>
      </w:r>
      <w:proofErr w:type="spellEnd"/>
      <w:r w:rsidRPr="00D36F91">
        <w:rPr>
          <w:rFonts w:ascii="Garamond" w:hAnsi="Garamond"/>
          <w:i/>
          <w:iCs/>
          <w:lang w:val="en-US"/>
        </w:rPr>
        <w:t xml:space="preserve"> </w:t>
      </w:r>
      <w:proofErr w:type="spellStart"/>
      <w:r w:rsidRPr="00D36F91">
        <w:rPr>
          <w:rFonts w:ascii="Garamond" w:hAnsi="Garamond"/>
          <w:i/>
          <w:iCs/>
          <w:lang w:val="en-US"/>
        </w:rPr>
        <w:t>für</w:t>
      </w:r>
      <w:proofErr w:type="spellEnd"/>
      <w:r w:rsidRPr="00D36F91">
        <w:rPr>
          <w:rFonts w:ascii="Garamond" w:hAnsi="Garamond"/>
          <w:i/>
          <w:iCs/>
          <w:lang w:val="en-US"/>
        </w:rPr>
        <w:t xml:space="preserve"> Deutschland, seine </w:t>
      </w:r>
      <w:proofErr w:type="spellStart"/>
      <w:r w:rsidRPr="00D36F91">
        <w:rPr>
          <w:rFonts w:ascii="Garamond" w:hAnsi="Garamond"/>
          <w:i/>
          <w:iCs/>
          <w:lang w:val="en-US"/>
        </w:rPr>
        <w:t>Institutione</w:t>
      </w:r>
      <w:proofErr w:type="spellEnd"/>
      <w:r w:rsidRPr="00D36F91">
        <w:rPr>
          <w:rFonts w:ascii="Garamond" w:hAnsi="Garamond"/>
          <w:i/>
          <w:iCs/>
          <w:lang w:val="en-US"/>
        </w:rPr>
        <w:t xml:space="preserve">, seine </w:t>
      </w:r>
      <w:proofErr w:type="spellStart"/>
      <w:r w:rsidRPr="00D36F91">
        <w:rPr>
          <w:rFonts w:ascii="Garamond" w:hAnsi="Garamond"/>
          <w:i/>
          <w:iCs/>
          <w:lang w:val="en-US"/>
        </w:rPr>
        <w:t>Wirtschaft</w:t>
      </w:r>
      <w:proofErr w:type="spellEnd"/>
      <w:r w:rsidRPr="00D36F91">
        <w:rPr>
          <w:rFonts w:ascii="Garamond" w:hAnsi="Garamond"/>
          <w:i/>
          <w:iCs/>
          <w:lang w:val="en-US"/>
        </w:rPr>
        <w:t xml:space="preserve"> und seine </w:t>
      </w:r>
      <w:proofErr w:type="spellStart"/>
      <w:r w:rsidRPr="00D36F91">
        <w:rPr>
          <w:rFonts w:ascii="Garamond" w:hAnsi="Garamond"/>
          <w:i/>
          <w:iCs/>
          <w:lang w:val="en-US"/>
        </w:rPr>
        <w:t>Bürger</w:t>
      </w:r>
      <w:proofErr w:type="spellEnd"/>
      <w:r w:rsidRPr="00D36F91">
        <w:rPr>
          <w:rFonts w:ascii="Garamond" w:hAnsi="Garamond"/>
          <w:i/>
          <w:iCs/>
          <w:lang w:val="en-US"/>
        </w:rPr>
        <w:t xml:space="preserve">, </w:t>
      </w:r>
      <w:proofErr w:type="spellStart"/>
      <w:r w:rsidRPr="00D36F91">
        <w:rPr>
          <w:rFonts w:ascii="Garamond" w:hAnsi="Garamond"/>
          <w:i/>
          <w:iCs/>
          <w:lang w:val="en-US"/>
        </w:rPr>
        <w:t>Europäische</w:t>
      </w:r>
      <w:proofErr w:type="spellEnd"/>
      <w:r w:rsidRPr="00D36F91">
        <w:rPr>
          <w:rFonts w:ascii="Garamond" w:hAnsi="Garamond"/>
          <w:i/>
          <w:iCs/>
          <w:lang w:val="en-US"/>
        </w:rPr>
        <w:t xml:space="preserve"> </w:t>
      </w:r>
      <w:proofErr w:type="spellStart"/>
      <w:r w:rsidRPr="00D36F91">
        <w:rPr>
          <w:rFonts w:ascii="Garamond" w:hAnsi="Garamond"/>
          <w:i/>
          <w:iCs/>
          <w:lang w:val="en-US"/>
        </w:rPr>
        <w:t>Zeitschrift</w:t>
      </w:r>
      <w:proofErr w:type="spellEnd"/>
      <w:r w:rsidRPr="00D36F91">
        <w:rPr>
          <w:rFonts w:ascii="Garamond" w:hAnsi="Garamond"/>
          <w:i/>
          <w:iCs/>
          <w:lang w:val="en-US"/>
        </w:rPr>
        <w:t xml:space="preserve"> </w:t>
      </w:r>
      <w:proofErr w:type="spellStart"/>
      <w:r w:rsidRPr="00D36F91">
        <w:rPr>
          <w:rFonts w:ascii="Garamond" w:hAnsi="Garamond"/>
          <w:i/>
          <w:iCs/>
          <w:lang w:val="en-US"/>
        </w:rPr>
        <w:t>für</w:t>
      </w:r>
      <w:proofErr w:type="spellEnd"/>
      <w:r w:rsidRPr="00D36F91">
        <w:rPr>
          <w:rFonts w:ascii="Garamond" w:hAnsi="Garamond"/>
          <w:i/>
          <w:iCs/>
          <w:lang w:val="en-US"/>
        </w:rPr>
        <w:t xml:space="preserve"> </w:t>
      </w:r>
      <w:proofErr w:type="spellStart"/>
      <w:r w:rsidRPr="00D36F91">
        <w:rPr>
          <w:rFonts w:ascii="Garamond" w:hAnsi="Garamond"/>
          <w:i/>
          <w:iCs/>
          <w:lang w:val="en-US"/>
        </w:rPr>
        <w:t>Wirtschaftsrecht</w:t>
      </w:r>
      <w:proofErr w:type="spellEnd"/>
      <w:r w:rsidRPr="00D36F91">
        <w:rPr>
          <w:rFonts w:ascii="Garamond" w:hAnsi="Garamond"/>
          <w:i/>
          <w:iCs/>
          <w:lang w:val="en-US"/>
        </w:rPr>
        <w:t>, 2010</w:t>
      </w:r>
      <w:r w:rsidRPr="00D36F91">
        <w:rPr>
          <w:rFonts w:ascii="Garamond" w:hAnsi="Garamond"/>
          <w:lang w:val="en-US"/>
        </w:rPr>
        <w:t xml:space="preserve">, 11, p.409, </w:t>
      </w:r>
      <w:proofErr w:type="spellStart"/>
      <w:r w:rsidRPr="00D36F91">
        <w:rPr>
          <w:rFonts w:ascii="Garamond" w:hAnsi="Garamond"/>
          <w:lang w:val="en-US"/>
        </w:rPr>
        <w:t>riportato</w:t>
      </w:r>
      <w:proofErr w:type="spellEnd"/>
      <w:r w:rsidRPr="00D36F91">
        <w:rPr>
          <w:rFonts w:ascii="Garamond" w:hAnsi="Garamond"/>
          <w:lang w:val="en-US"/>
        </w:rPr>
        <w:t xml:space="preserve"> </w:t>
      </w:r>
      <w:proofErr w:type="spellStart"/>
      <w:r w:rsidRPr="00D36F91">
        <w:rPr>
          <w:rFonts w:ascii="Garamond" w:hAnsi="Garamond"/>
          <w:lang w:val="en-US"/>
        </w:rPr>
        <w:t>da</w:t>
      </w:r>
      <w:proofErr w:type="spellEnd"/>
      <w:r w:rsidRPr="00D36F91">
        <w:rPr>
          <w:rFonts w:ascii="Garamond" w:hAnsi="Garamond"/>
          <w:lang w:val="en-US"/>
        </w:rPr>
        <w:t xml:space="preserve"> </w:t>
      </w:r>
      <w:proofErr w:type="spellStart"/>
      <w:r w:rsidRPr="00D36F91">
        <w:rPr>
          <w:rFonts w:ascii="Garamond" w:hAnsi="Garamond"/>
          <w:lang w:val="en-US"/>
        </w:rPr>
        <w:t>M.Olivetti</w:t>
      </w:r>
      <w:proofErr w:type="spellEnd"/>
      <w:r w:rsidRPr="00D36F91">
        <w:rPr>
          <w:rFonts w:ascii="Garamond" w:hAnsi="Garamond"/>
          <w:lang w:val="en-US"/>
        </w:rPr>
        <w:t xml:space="preserve">, </w:t>
      </w:r>
      <w:proofErr w:type="spellStart"/>
      <w:r w:rsidRPr="00D36F91">
        <w:rPr>
          <w:rFonts w:ascii="Garamond" w:hAnsi="Garamond"/>
          <w:i/>
          <w:iCs/>
          <w:lang w:val="en-US"/>
        </w:rPr>
        <w:t>Parlamenti</w:t>
      </w:r>
      <w:proofErr w:type="spellEnd"/>
      <w:r w:rsidRPr="00D36F91">
        <w:rPr>
          <w:rFonts w:ascii="Garamond" w:hAnsi="Garamond"/>
          <w:i/>
          <w:iCs/>
          <w:lang w:val="en-US"/>
        </w:rPr>
        <w:t xml:space="preserve"> </w:t>
      </w:r>
      <w:proofErr w:type="spellStart"/>
      <w:r w:rsidRPr="00D36F91">
        <w:rPr>
          <w:rFonts w:ascii="Garamond" w:hAnsi="Garamond"/>
          <w:i/>
          <w:iCs/>
          <w:lang w:val="en-US"/>
        </w:rPr>
        <w:t>nazionali</w:t>
      </w:r>
      <w:proofErr w:type="spellEnd"/>
      <w:r w:rsidRPr="00D36F91">
        <w:rPr>
          <w:rFonts w:ascii="Garamond" w:hAnsi="Garamond"/>
          <w:lang w:val="en-US"/>
        </w:rPr>
        <w:t xml:space="preserve">, cit, p.568 </w:t>
      </w:r>
      <w:proofErr w:type="spellStart"/>
      <w:r w:rsidRPr="00D36F91">
        <w:rPr>
          <w:rFonts w:ascii="Garamond" w:hAnsi="Garamond"/>
          <w:lang w:val="en-US"/>
        </w:rPr>
        <w:t>che</w:t>
      </w:r>
      <w:proofErr w:type="spellEnd"/>
      <w:r w:rsidRPr="00D36F91">
        <w:rPr>
          <w:rFonts w:ascii="Garamond" w:hAnsi="Garamond"/>
          <w:lang w:val="en-US"/>
        </w:rPr>
        <w:t xml:space="preserve"> </w:t>
      </w:r>
      <w:proofErr w:type="spellStart"/>
      <w:r w:rsidRPr="00D36F91">
        <w:rPr>
          <w:rFonts w:ascii="Garamond" w:hAnsi="Garamond"/>
          <w:lang w:val="en-US"/>
        </w:rPr>
        <w:t>ricorda</w:t>
      </w:r>
      <w:proofErr w:type="spellEnd"/>
      <w:r w:rsidRPr="00D36F91">
        <w:rPr>
          <w:rFonts w:ascii="Garamond" w:hAnsi="Garamond"/>
          <w:lang w:val="en-US"/>
        </w:rPr>
        <w:t xml:space="preserve"> </w:t>
      </w:r>
      <w:proofErr w:type="spellStart"/>
      <w:r w:rsidRPr="00D36F91">
        <w:rPr>
          <w:rFonts w:ascii="Garamond" w:hAnsi="Garamond"/>
          <w:lang w:val="en-US"/>
        </w:rPr>
        <w:t>peraltro</w:t>
      </w:r>
      <w:proofErr w:type="spellEnd"/>
      <w:r w:rsidRPr="00D36F91">
        <w:rPr>
          <w:rFonts w:ascii="Garamond" w:hAnsi="Garamond"/>
          <w:lang w:val="en-US"/>
        </w:rPr>
        <w:t xml:space="preserve"> come “la </w:t>
      </w:r>
      <w:proofErr w:type="spellStart"/>
      <w:r w:rsidRPr="00D36F91">
        <w:rPr>
          <w:rFonts w:ascii="Garamond" w:hAnsi="Garamond"/>
          <w:lang w:val="en-US"/>
        </w:rPr>
        <w:t>funzione</w:t>
      </w:r>
      <w:proofErr w:type="spellEnd"/>
      <w:r w:rsidRPr="00D36F91">
        <w:rPr>
          <w:rFonts w:ascii="Garamond" w:hAnsi="Garamond"/>
          <w:lang w:val="en-US"/>
        </w:rPr>
        <w:t xml:space="preserve"> </w:t>
      </w:r>
      <w:proofErr w:type="spellStart"/>
      <w:r w:rsidRPr="00D36F91">
        <w:rPr>
          <w:rFonts w:ascii="Garamond" w:hAnsi="Garamond"/>
          <w:lang w:val="en-US"/>
        </w:rPr>
        <w:t>socializzante</w:t>
      </w:r>
      <w:proofErr w:type="spellEnd"/>
      <w:r w:rsidRPr="00D36F91">
        <w:rPr>
          <w:rFonts w:ascii="Garamond" w:hAnsi="Garamond"/>
          <w:lang w:val="en-US"/>
        </w:rPr>
        <w:t xml:space="preserve"> </w:t>
      </w:r>
      <w:proofErr w:type="spellStart"/>
      <w:r w:rsidRPr="00D36F91">
        <w:rPr>
          <w:rFonts w:ascii="Garamond" w:hAnsi="Garamond"/>
          <w:lang w:val="en-US"/>
        </w:rPr>
        <w:t>della</w:t>
      </w:r>
      <w:proofErr w:type="spellEnd"/>
      <w:r w:rsidRPr="00D36F91">
        <w:rPr>
          <w:rFonts w:ascii="Garamond" w:hAnsi="Garamond"/>
          <w:lang w:val="en-US"/>
        </w:rPr>
        <w:t xml:space="preserve"> </w:t>
      </w:r>
      <w:proofErr w:type="spellStart"/>
      <w:r w:rsidRPr="00D36F91">
        <w:rPr>
          <w:rFonts w:ascii="Garamond" w:hAnsi="Garamond"/>
          <w:lang w:val="en-US"/>
        </w:rPr>
        <w:t>cooperazione</w:t>
      </w:r>
      <w:proofErr w:type="spellEnd"/>
      <w:r w:rsidRPr="00D36F91">
        <w:rPr>
          <w:rFonts w:ascii="Garamond" w:hAnsi="Garamond"/>
          <w:lang w:val="en-US"/>
        </w:rPr>
        <w:t xml:space="preserve"> </w:t>
      </w:r>
      <w:proofErr w:type="spellStart"/>
      <w:r w:rsidRPr="00D36F91">
        <w:rPr>
          <w:rFonts w:ascii="Garamond" w:hAnsi="Garamond"/>
          <w:lang w:val="en-US"/>
        </w:rPr>
        <w:t>interparlamentare</w:t>
      </w:r>
      <w:proofErr w:type="spellEnd"/>
      <w:r w:rsidRPr="00D36F91">
        <w:rPr>
          <w:rFonts w:ascii="Garamond" w:hAnsi="Garamond"/>
          <w:lang w:val="en-US"/>
        </w:rPr>
        <w:t xml:space="preserve">” non </w:t>
      </w:r>
      <w:proofErr w:type="spellStart"/>
      <w:r w:rsidRPr="00D36F91">
        <w:rPr>
          <w:rFonts w:ascii="Garamond" w:hAnsi="Garamond"/>
          <w:lang w:val="en-US"/>
        </w:rPr>
        <w:t>sia</w:t>
      </w:r>
      <w:proofErr w:type="spellEnd"/>
      <w:r w:rsidRPr="00D36F91">
        <w:rPr>
          <w:rFonts w:ascii="Garamond" w:hAnsi="Garamond"/>
          <w:lang w:val="en-US"/>
        </w:rPr>
        <w:t xml:space="preserve"> </w:t>
      </w:r>
      <w:proofErr w:type="spellStart"/>
      <w:r w:rsidRPr="00D36F91">
        <w:rPr>
          <w:rFonts w:ascii="Garamond" w:hAnsi="Garamond"/>
          <w:lang w:val="en-US"/>
        </w:rPr>
        <w:t>recente</w:t>
      </w:r>
      <w:proofErr w:type="spellEnd"/>
      <w:r w:rsidRPr="00D36F91">
        <w:rPr>
          <w:rFonts w:ascii="Garamond" w:hAnsi="Garamond"/>
          <w:lang w:val="en-US"/>
        </w:rPr>
        <w:t xml:space="preserve"> ma se ne </w:t>
      </w:r>
      <w:proofErr w:type="spellStart"/>
      <w:r w:rsidRPr="00D36F91">
        <w:rPr>
          <w:rFonts w:ascii="Garamond" w:hAnsi="Garamond"/>
          <w:lang w:val="en-US"/>
        </w:rPr>
        <w:t>trova</w:t>
      </w:r>
      <w:proofErr w:type="spellEnd"/>
      <w:r w:rsidRPr="00D36F91">
        <w:rPr>
          <w:rFonts w:ascii="Garamond" w:hAnsi="Garamond"/>
          <w:lang w:val="en-US"/>
        </w:rPr>
        <w:t xml:space="preserve"> </w:t>
      </w:r>
      <w:proofErr w:type="spellStart"/>
      <w:r w:rsidRPr="00D36F91">
        <w:rPr>
          <w:rFonts w:ascii="Garamond" w:hAnsi="Garamond"/>
          <w:lang w:val="en-US"/>
        </w:rPr>
        <w:t>traccia</w:t>
      </w:r>
      <w:proofErr w:type="spellEnd"/>
      <w:r w:rsidRPr="00D36F91">
        <w:rPr>
          <w:rFonts w:ascii="Garamond" w:hAnsi="Garamond"/>
          <w:lang w:val="en-US"/>
        </w:rPr>
        <w:t xml:space="preserve"> </w:t>
      </w:r>
      <w:proofErr w:type="spellStart"/>
      <w:r w:rsidRPr="00D36F91">
        <w:rPr>
          <w:rFonts w:ascii="Garamond" w:hAnsi="Garamond"/>
          <w:lang w:val="en-US"/>
        </w:rPr>
        <w:t>già</w:t>
      </w:r>
      <w:proofErr w:type="spellEnd"/>
      <w:r w:rsidRPr="00D36F91">
        <w:rPr>
          <w:rFonts w:ascii="Garamond" w:hAnsi="Garamond"/>
          <w:lang w:val="en-US"/>
        </w:rPr>
        <w:t xml:space="preserve"> </w:t>
      </w:r>
      <w:proofErr w:type="spellStart"/>
      <w:r w:rsidRPr="00D36F91">
        <w:rPr>
          <w:rFonts w:ascii="Garamond" w:hAnsi="Garamond"/>
          <w:lang w:val="en-US"/>
        </w:rPr>
        <w:t>nel</w:t>
      </w:r>
      <w:proofErr w:type="spellEnd"/>
      <w:r w:rsidRPr="00D36F91">
        <w:rPr>
          <w:rFonts w:ascii="Garamond" w:hAnsi="Garamond"/>
          <w:lang w:val="en-US"/>
        </w:rPr>
        <w:t xml:space="preserve"> </w:t>
      </w:r>
      <w:proofErr w:type="spellStart"/>
      <w:r w:rsidRPr="00D36F91">
        <w:rPr>
          <w:rFonts w:ascii="Garamond" w:hAnsi="Garamond"/>
          <w:lang w:val="en-US"/>
        </w:rPr>
        <w:t>Rapporto</w:t>
      </w:r>
      <w:proofErr w:type="spellEnd"/>
      <w:r w:rsidRPr="00D36F91">
        <w:rPr>
          <w:rFonts w:ascii="Garamond" w:hAnsi="Garamond"/>
          <w:lang w:val="en-US"/>
        </w:rPr>
        <w:t xml:space="preserve"> </w:t>
      </w:r>
      <w:proofErr w:type="spellStart"/>
      <w:r w:rsidRPr="00D36F91">
        <w:rPr>
          <w:rFonts w:ascii="Garamond" w:hAnsi="Garamond"/>
          <w:lang w:val="en-US"/>
        </w:rPr>
        <w:t>Vedel</w:t>
      </w:r>
      <w:proofErr w:type="spellEnd"/>
      <w:r w:rsidRPr="00D36F91">
        <w:rPr>
          <w:rFonts w:ascii="Garamond" w:hAnsi="Garamond"/>
          <w:lang w:val="en-US"/>
        </w:rPr>
        <w:t xml:space="preserve"> del 1972</w:t>
      </w:r>
    </w:p>
  </w:footnote>
  <w:footnote w:id="51">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In ambito europeo in vari Stati membri sono state adottate misure volte a garantire la partecipazione del Parlamento nei procedimenti relativi alle decisioni di coordinamento delle politiche economiche e di finanza pubblica e al rafforzamento dell’informazione e della consultazione del Parlamento; si veda il </w:t>
      </w:r>
      <w:r w:rsidRPr="00D36F91">
        <w:rPr>
          <w:rFonts w:ascii="Garamond" w:hAnsi="Garamond" w:cs="Times#20New#20Roman"/>
          <w:sz w:val="20"/>
          <w:szCs w:val="20"/>
        </w:rPr>
        <w:t>XVIII Rapporto semestrale del Segretariato della COSAC “</w:t>
      </w:r>
      <w:proofErr w:type="spellStart"/>
      <w:r w:rsidRPr="00D36F91">
        <w:rPr>
          <w:rFonts w:ascii="Garamond" w:hAnsi="Garamond" w:cs="TimesNewRomanPS-ItalicMT"/>
          <w:i/>
          <w:iCs/>
          <w:sz w:val="20"/>
          <w:szCs w:val="20"/>
        </w:rPr>
        <w:t>Developments</w:t>
      </w:r>
      <w:proofErr w:type="spellEnd"/>
      <w:r w:rsidRPr="00D36F91">
        <w:rPr>
          <w:rFonts w:ascii="Garamond" w:hAnsi="Garamond" w:cs="TimesNewRomanPS-ItalicMT"/>
          <w:i/>
          <w:iCs/>
          <w:sz w:val="20"/>
          <w:szCs w:val="20"/>
        </w:rPr>
        <w:t xml:space="preserve"> in </w:t>
      </w:r>
      <w:proofErr w:type="spellStart"/>
      <w:r w:rsidRPr="00D36F91">
        <w:rPr>
          <w:rFonts w:ascii="Garamond" w:hAnsi="Garamond" w:cs="TimesNewRomanPS-ItalicMT"/>
          <w:i/>
          <w:iCs/>
          <w:sz w:val="20"/>
          <w:szCs w:val="20"/>
        </w:rPr>
        <w:t>European</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Union</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Procedures</w:t>
      </w:r>
      <w:proofErr w:type="spellEnd"/>
      <w:r w:rsidRPr="00D36F91">
        <w:rPr>
          <w:rFonts w:ascii="Garamond" w:hAnsi="Garamond" w:cs="TimesNewRomanPS-ItalicMT"/>
          <w:i/>
          <w:iCs/>
          <w:sz w:val="20"/>
          <w:szCs w:val="20"/>
        </w:rPr>
        <w:t xml:space="preserve"> and </w:t>
      </w:r>
      <w:proofErr w:type="spellStart"/>
      <w:r w:rsidRPr="00D36F91">
        <w:rPr>
          <w:rFonts w:ascii="Garamond" w:hAnsi="Garamond" w:cs="TimesNewRomanPS-ItalicMT"/>
          <w:i/>
          <w:iCs/>
          <w:sz w:val="20"/>
          <w:szCs w:val="20"/>
        </w:rPr>
        <w:t>Practices</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Relevant</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to</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Parliamentary</w:t>
      </w:r>
      <w:proofErr w:type="spellEnd"/>
      <w:r w:rsidRPr="00D36F91">
        <w:rPr>
          <w:rFonts w:ascii="Garamond" w:hAnsi="Garamond" w:cs="TimesNewRomanPS-ItalicMT"/>
          <w:i/>
          <w:iCs/>
          <w:sz w:val="20"/>
          <w:szCs w:val="20"/>
        </w:rPr>
        <w:t xml:space="preserve"> </w:t>
      </w:r>
      <w:proofErr w:type="spellStart"/>
      <w:r w:rsidRPr="00D36F91">
        <w:rPr>
          <w:rFonts w:ascii="Garamond" w:hAnsi="Garamond" w:cs="TimesNewRomanPS-ItalicMT"/>
          <w:i/>
          <w:iCs/>
          <w:sz w:val="20"/>
          <w:szCs w:val="20"/>
        </w:rPr>
        <w:t>Scrutiny</w:t>
      </w:r>
      <w:proofErr w:type="spellEnd"/>
      <w:r w:rsidRPr="00D36F91">
        <w:rPr>
          <w:rFonts w:ascii="Garamond" w:hAnsi="Garamond" w:cs="Times#20New#20Roman"/>
          <w:sz w:val="20"/>
          <w:szCs w:val="20"/>
        </w:rPr>
        <w:t>”, pubblicato nel settembre 2012,</w:t>
      </w:r>
      <w:r w:rsidRPr="00D36F91">
        <w:rPr>
          <w:rFonts w:ascii="Garamond" w:hAnsi="Garamond" w:cs="TimesNewRomanPSMT"/>
          <w:sz w:val="20"/>
          <w:szCs w:val="20"/>
        </w:rPr>
        <w:t xml:space="preserve">reperibile nel sito </w:t>
      </w:r>
      <w:hyperlink r:id="rId9" w:history="1">
        <w:r w:rsidRPr="00D36F91">
          <w:rPr>
            <w:rStyle w:val="Collegamentoipertestuale"/>
            <w:rFonts w:ascii="Garamond" w:hAnsi="Garamond" w:cs="TimesNewRomanPSMT"/>
            <w:sz w:val="20"/>
            <w:szCs w:val="20"/>
          </w:rPr>
          <w:t>www.cosac.eu</w:t>
        </w:r>
      </w:hyperlink>
      <w:r w:rsidRPr="00D36F91">
        <w:rPr>
          <w:rFonts w:ascii="Garamond" w:hAnsi="Garamond" w:cs="TimesNewRomanPSMT"/>
          <w:sz w:val="20"/>
          <w:szCs w:val="20"/>
        </w:rPr>
        <w:t xml:space="preserve">; </w:t>
      </w:r>
    </w:p>
  </w:footnote>
  <w:footnote w:id="52">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Per un’analisi delle innovazioni</w:t>
      </w:r>
      <w:r w:rsidRPr="00D36F91">
        <w:rPr>
          <w:rFonts w:ascii="Garamond" w:hAnsi="Garamond" w:cs="AdvP2A67"/>
        </w:rPr>
        <w:t xml:space="preserve"> introdotte dalla legge n. 234 del 2012 sulla partecipazione del Parlamento nazionale ai processi decisionali dell’Unione europea, </w:t>
      </w:r>
      <w:r w:rsidRPr="00D36F91">
        <w:rPr>
          <w:rFonts w:ascii="Garamond" w:hAnsi="Garamond"/>
        </w:rPr>
        <w:t xml:space="preserve"> veda </w:t>
      </w:r>
      <w:proofErr w:type="spellStart"/>
      <w:r w:rsidRPr="00D36F91">
        <w:rPr>
          <w:rFonts w:ascii="Garamond" w:hAnsi="Garamond"/>
        </w:rPr>
        <w:t>G.Rivosecchi</w:t>
      </w:r>
      <w:proofErr w:type="spellEnd"/>
      <w:r w:rsidRPr="00D36F91">
        <w:rPr>
          <w:rFonts w:ascii="Garamond" w:hAnsi="Garamond"/>
        </w:rPr>
        <w:t xml:space="preserve">, </w:t>
      </w:r>
      <w:r w:rsidRPr="00D36F91">
        <w:rPr>
          <w:rFonts w:ascii="Garamond" w:hAnsi="Garamond" w:cs="AdvP2AA1"/>
          <w:i/>
          <w:iCs/>
        </w:rPr>
        <w:t>Il ruolo del Parlamento,</w:t>
      </w:r>
      <w:r w:rsidRPr="00D36F91">
        <w:rPr>
          <w:rFonts w:ascii="Garamond" w:hAnsi="Garamond" w:cs="AdvP2AA1"/>
        </w:rPr>
        <w:t xml:space="preserve"> in </w:t>
      </w:r>
      <w:proofErr w:type="spellStart"/>
      <w:r w:rsidRPr="00D36F91">
        <w:rPr>
          <w:rFonts w:ascii="Garamond" w:hAnsi="Garamond" w:cs="AdvP2AA1"/>
          <w:i/>
          <w:iCs/>
        </w:rPr>
        <w:t>Gior</w:t>
      </w:r>
      <w:proofErr w:type="spellEnd"/>
      <w:r w:rsidRPr="00D36F91">
        <w:rPr>
          <w:rFonts w:ascii="Garamond" w:hAnsi="Garamond" w:cs="AdvP2AA1"/>
          <w:i/>
          <w:iCs/>
        </w:rPr>
        <w:t>. Dir. Amm. n.5/2013</w:t>
      </w:r>
      <w:r w:rsidRPr="00D36F91">
        <w:rPr>
          <w:rFonts w:ascii="Garamond" w:hAnsi="Garamond" w:cs="AdvP2AA1"/>
        </w:rPr>
        <w:t xml:space="preserve">, p.463; </w:t>
      </w:r>
      <w:r w:rsidRPr="00D36F91">
        <w:rPr>
          <w:rFonts w:ascii="Garamond" w:hAnsi="Garamond"/>
        </w:rPr>
        <w:t xml:space="preserve">G. </w:t>
      </w:r>
      <w:proofErr w:type="spellStart"/>
      <w:r w:rsidRPr="00D36F91">
        <w:rPr>
          <w:rFonts w:ascii="Garamond" w:hAnsi="Garamond"/>
        </w:rPr>
        <w:t>Piccirilli</w:t>
      </w:r>
      <w:proofErr w:type="spellEnd"/>
      <w:r w:rsidRPr="00D36F91">
        <w:rPr>
          <w:rFonts w:ascii="Garamond" w:hAnsi="Garamond"/>
        </w:rPr>
        <w:t xml:space="preserve">, </w:t>
      </w:r>
      <w:r w:rsidRPr="00D36F91">
        <w:rPr>
          <w:rFonts w:ascii="Garamond" w:hAnsi="Garamond"/>
          <w:i/>
          <w:iCs/>
        </w:rPr>
        <w:t>I</w:t>
      </w:r>
      <w:r w:rsidRPr="00D36F91">
        <w:rPr>
          <w:rFonts w:ascii="Garamond" w:hAnsi="Garamond" w:cs="TimesNewRomanPS-BoldMT"/>
          <w:i/>
          <w:iCs/>
        </w:rPr>
        <w:t>l ricorso alla legge per l’esercizio dei poteri “europei” da parte del Parlamento italiano. spunti per una lettura costituzionalmente orientata,</w:t>
      </w:r>
      <w:r w:rsidRPr="00D36F91">
        <w:rPr>
          <w:rFonts w:ascii="Garamond" w:hAnsi="Garamond" w:cs="TimesNewRomanPS-BoldMT"/>
        </w:rPr>
        <w:t xml:space="preserve"> in</w:t>
      </w:r>
      <w:r w:rsidRPr="00D36F91">
        <w:rPr>
          <w:rFonts w:ascii="Garamond" w:hAnsi="Garamond" w:cs="TimesNewRomanPS-BoldMT"/>
          <w:b/>
          <w:bCs/>
        </w:rPr>
        <w:t xml:space="preserve"> </w:t>
      </w:r>
      <w:proofErr w:type="spellStart"/>
      <w:r w:rsidRPr="00D36F91">
        <w:rPr>
          <w:rFonts w:ascii="Garamond" w:hAnsi="Garamond" w:cs="TimesNewRomanPS-ItalicMT"/>
          <w:i/>
          <w:iCs/>
        </w:rPr>
        <w:t>Osservatoriosullefonti.it</w:t>
      </w:r>
      <w:proofErr w:type="spellEnd"/>
      <w:r w:rsidRPr="00D36F91">
        <w:rPr>
          <w:rFonts w:ascii="Garamond" w:hAnsi="Garamond" w:cs="TimesNewRomanPSMT"/>
        </w:rPr>
        <w:t xml:space="preserve">, fasc. 2/2013, specie p.8 e ss; A. ESPOSITO, </w:t>
      </w:r>
      <w:r w:rsidRPr="00D36F91">
        <w:rPr>
          <w:rFonts w:ascii="Garamond" w:hAnsi="Garamond" w:cs="TimesNewRomanPS-ItalicMT"/>
          <w:i/>
          <w:iCs/>
        </w:rPr>
        <w:t>La legge 24 dicembre 2012, n. 234, sulla partecipazione dell’Italia alla formazione e all’attuazione della normativa e delle politiche dell’Unione europea. Parte I – Prime riflessioni sul ruolo delle Camere</w:t>
      </w:r>
      <w:r w:rsidRPr="00D36F91">
        <w:rPr>
          <w:rFonts w:ascii="Garamond" w:hAnsi="Garamond" w:cs="TimesNewRomanPSMT"/>
        </w:rPr>
        <w:t xml:space="preserve">, in </w:t>
      </w:r>
      <w:r w:rsidRPr="00D36F91">
        <w:rPr>
          <w:rFonts w:ascii="Garamond" w:hAnsi="Garamond" w:cs="TimesNewRomanPS-ItalicMT"/>
          <w:i/>
          <w:iCs/>
        </w:rPr>
        <w:t>www.federalismi.it</w:t>
      </w:r>
      <w:r w:rsidRPr="00D36F91">
        <w:rPr>
          <w:rFonts w:ascii="Garamond" w:hAnsi="Garamond" w:cs="TimesNewRomanPSMT"/>
        </w:rPr>
        <w:t xml:space="preserve">, 23 gennaio 2013; per un’analisi della precedente normativa relativa alla partecipazione alla fase ascendente e discendente si veda, tra gli altri, </w:t>
      </w:r>
      <w:proofErr w:type="spellStart"/>
      <w:r w:rsidRPr="00D36F91">
        <w:rPr>
          <w:rFonts w:ascii="Garamond" w:hAnsi="Garamond"/>
        </w:rPr>
        <w:t>G.Tiberi</w:t>
      </w:r>
      <w:proofErr w:type="spellEnd"/>
      <w:r w:rsidRPr="00D36F91">
        <w:rPr>
          <w:rFonts w:ascii="Garamond" w:hAnsi="Garamond"/>
        </w:rPr>
        <w:t xml:space="preserve">, </w:t>
      </w:r>
      <w:r w:rsidRPr="00D36F91">
        <w:rPr>
          <w:rFonts w:ascii="Garamond" w:hAnsi="Garamond"/>
          <w:i/>
        </w:rPr>
        <w:t>La riforma della legge “</w:t>
      </w:r>
      <w:smartTag w:uri="urn:schemas-microsoft-com:office:smarttags" w:element="PersonName">
        <w:smartTagPr>
          <w:attr w:name="ProductID" w:val="La Pergola"/>
        </w:smartTagPr>
        <w:r w:rsidRPr="00D36F91">
          <w:rPr>
            <w:rFonts w:ascii="Garamond" w:hAnsi="Garamond"/>
            <w:i/>
          </w:rPr>
          <w:t>La Pergola</w:t>
        </w:r>
      </w:smartTag>
      <w:r w:rsidRPr="00D36F91">
        <w:rPr>
          <w:rFonts w:ascii="Garamond" w:hAnsi="Garamond"/>
        </w:rPr>
        <w:t xml:space="preserve">, in </w:t>
      </w:r>
      <w:proofErr w:type="spellStart"/>
      <w:r w:rsidRPr="00D36F91">
        <w:rPr>
          <w:rFonts w:ascii="Garamond" w:hAnsi="Garamond"/>
        </w:rPr>
        <w:t>Quad.Cost.</w:t>
      </w:r>
      <w:proofErr w:type="spellEnd"/>
      <w:r w:rsidRPr="00D36F91">
        <w:rPr>
          <w:rFonts w:ascii="Garamond" w:hAnsi="Garamond"/>
        </w:rPr>
        <w:t xml:space="preserve"> 2005; M. </w:t>
      </w:r>
      <w:proofErr w:type="spellStart"/>
      <w:r w:rsidRPr="00D36F91">
        <w:rPr>
          <w:rFonts w:ascii="Garamond" w:hAnsi="Garamond"/>
        </w:rPr>
        <w:t>Cartabia</w:t>
      </w:r>
      <w:proofErr w:type="spellEnd"/>
      <w:r w:rsidRPr="00D36F91">
        <w:rPr>
          <w:rFonts w:ascii="Garamond" w:hAnsi="Garamond"/>
        </w:rPr>
        <w:t xml:space="preserve"> e </w:t>
      </w:r>
      <w:proofErr w:type="spellStart"/>
      <w:r w:rsidRPr="00D36F91">
        <w:rPr>
          <w:rFonts w:ascii="Garamond" w:hAnsi="Garamond"/>
        </w:rPr>
        <w:t>L.Violini</w:t>
      </w:r>
      <w:proofErr w:type="spellEnd"/>
      <w:r w:rsidRPr="00D36F91">
        <w:rPr>
          <w:rFonts w:ascii="Garamond" w:hAnsi="Garamond"/>
        </w:rPr>
        <w:t>,</w:t>
      </w:r>
      <w:r w:rsidRPr="00D36F91">
        <w:rPr>
          <w:rFonts w:ascii="Garamond" w:hAnsi="Garamond"/>
          <w:i/>
        </w:rPr>
        <w:t xml:space="preserve"> Le norme generali sulla partecipazione dell’Italia al processo normativo dell’Unione europea e sulle procedure di esecuzione degli obblighi comunitari. Commento alla legge 4 febbraio 2005 n.11, </w:t>
      </w:r>
      <w:r w:rsidRPr="00D36F91">
        <w:rPr>
          <w:rFonts w:ascii="Garamond" w:hAnsi="Garamond"/>
        </w:rPr>
        <w:t xml:space="preserve">in </w:t>
      </w:r>
      <w:r w:rsidRPr="00D36F91">
        <w:rPr>
          <w:rFonts w:ascii="Garamond" w:hAnsi="Garamond"/>
          <w:i/>
        </w:rPr>
        <w:t>Le Regioni</w:t>
      </w:r>
      <w:r w:rsidRPr="00D36F91">
        <w:rPr>
          <w:rFonts w:ascii="Garamond" w:hAnsi="Garamond"/>
        </w:rPr>
        <w:t>, n.4/2005 p.476 e ss;</w:t>
      </w:r>
    </w:p>
  </w:footnote>
  <w:footnote w:id="53">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Tutti i parlamenti nazionali dell’Unione europea, tranne Malta e Slovacchia, dispongono di un proprio rappresentante residente a Bruxelles, con un ufficio presso il Parlamento europeo;cfr.Linee Guida sulla cooperazione interparlamentare, approvate dalla Conferenza dei Presidenti dei Parlamenti dell’Unione europea all’Aia nel 2004, poi sostituite nel 2008, reperibile al sito </w:t>
      </w:r>
      <w:r w:rsidRPr="00D36F91">
        <w:rPr>
          <w:rFonts w:ascii="Garamond" w:hAnsi="Garamond" w:cs="TimesNewRomanPSMT"/>
        </w:rPr>
        <w:t>http://www.ipex.eu/IPEXL-WEB/euspeakers/getspeakers.do</w:t>
      </w:r>
    </w:p>
  </w:footnote>
  <w:footnote w:id="54">
    <w:p w:rsidR="0005296D" w:rsidRPr="00D36F91" w:rsidRDefault="0005296D" w:rsidP="002B28BE">
      <w:pPr>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Cfr. </w:t>
      </w:r>
      <w:r w:rsidRPr="00D36F91">
        <w:rPr>
          <w:rFonts w:ascii="Garamond" w:hAnsi="Garamond" w:cs="TimesNewRomanPSMT"/>
          <w:sz w:val="20"/>
          <w:szCs w:val="20"/>
        </w:rPr>
        <w:t xml:space="preserve">A. ESPOSITO, </w:t>
      </w:r>
      <w:r w:rsidRPr="00D36F91">
        <w:rPr>
          <w:rFonts w:ascii="Garamond" w:hAnsi="Garamond" w:cs="TimesNewRomanPS-ItalicMT"/>
          <w:i/>
          <w:iCs/>
          <w:sz w:val="20"/>
          <w:szCs w:val="20"/>
        </w:rPr>
        <w:t>La legge 24 dicembre 2012, n. 234, cit.</w:t>
      </w:r>
      <w:r w:rsidRPr="00D36F91">
        <w:rPr>
          <w:rFonts w:ascii="Garamond" w:hAnsi="Garamond" w:cs="TimesNewRomanPSMT"/>
          <w:sz w:val="20"/>
          <w:szCs w:val="20"/>
        </w:rPr>
        <w:t xml:space="preserve"> p.35 e ss che rileva il “difetto di coordinamento del comma 4 in esame, per quanto attiene ai progetti di normativi e agli altri atti e documenti tipici delle Istituzioni, con gli obblighi </w:t>
      </w:r>
      <w:r w:rsidRPr="00D36F91">
        <w:rPr>
          <w:rFonts w:ascii="Garamond" w:hAnsi="Garamond" w:cs="Times#20New#20Roman"/>
          <w:sz w:val="20"/>
          <w:szCs w:val="20"/>
        </w:rPr>
        <w:t>informativi generali di cui all’art. 4, e, per quanto attiene agli accordi o “ipotesi” di accordi con la specifica disciplina di cui all’art. 5.</w:t>
      </w:r>
    </w:p>
  </w:footnote>
  <w:footnote w:id="55">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w:t>
      </w:r>
      <w:proofErr w:type="spellStart"/>
      <w:r w:rsidRPr="00D36F91">
        <w:rPr>
          <w:rFonts w:ascii="Garamond" w:hAnsi="Garamond"/>
        </w:rPr>
        <w:t>Cfr.A.</w:t>
      </w:r>
      <w:proofErr w:type="spellEnd"/>
      <w:r w:rsidRPr="00D36F91">
        <w:rPr>
          <w:rFonts w:ascii="Garamond" w:hAnsi="Garamond"/>
        </w:rPr>
        <w:t xml:space="preserve"> Esposito,</w:t>
      </w:r>
      <w:r w:rsidRPr="00D36F91">
        <w:rPr>
          <w:rFonts w:ascii="Garamond" w:hAnsi="Garamond"/>
          <w:i/>
          <w:iCs/>
        </w:rPr>
        <w:t xml:space="preserve"> La legge 24 dicembre 2013,</w:t>
      </w:r>
      <w:r w:rsidRPr="00D36F91">
        <w:rPr>
          <w:rFonts w:ascii="Garamond" w:hAnsi="Garamond"/>
        </w:rPr>
        <w:t xml:space="preserve"> cit. p.36; </w:t>
      </w:r>
      <w:proofErr w:type="spellStart"/>
      <w:r w:rsidRPr="00D36F91">
        <w:rPr>
          <w:rFonts w:ascii="Garamond" w:hAnsi="Garamond"/>
        </w:rPr>
        <w:t>G.Rivosecchi</w:t>
      </w:r>
      <w:proofErr w:type="spellEnd"/>
      <w:r w:rsidRPr="00D36F91">
        <w:rPr>
          <w:rFonts w:ascii="Garamond" w:hAnsi="Garamond"/>
        </w:rPr>
        <w:t xml:space="preserve">, </w:t>
      </w:r>
      <w:r w:rsidRPr="00D36F91">
        <w:rPr>
          <w:rFonts w:ascii="Garamond" w:hAnsi="Garamond"/>
          <w:i/>
          <w:iCs/>
        </w:rPr>
        <w:t>Il ruolo del Parlamento</w:t>
      </w:r>
      <w:r w:rsidRPr="00D36F91">
        <w:rPr>
          <w:rFonts w:ascii="Garamond" w:hAnsi="Garamond"/>
        </w:rPr>
        <w:t>, cit. p.468</w:t>
      </w:r>
    </w:p>
  </w:footnote>
  <w:footnote w:id="56">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w:t>
      </w:r>
      <w:r w:rsidRPr="00D36F91">
        <w:rPr>
          <w:rFonts w:ascii="Garamond" w:hAnsi="Garamond" w:cs="Times#20New#20Roman"/>
          <w:sz w:val="20"/>
          <w:szCs w:val="20"/>
        </w:rPr>
        <w:t>Il modello del “mandato negoziale è adottato con formule diverse, dal Parlamento danese, austriaco,</w:t>
      </w:r>
      <w:r w:rsidRPr="00D36F91">
        <w:rPr>
          <w:rFonts w:ascii="Garamond" w:hAnsi="Garamond" w:cs="TimesNewRomanPSMT"/>
          <w:sz w:val="20"/>
          <w:szCs w:val="20"/>
        </w:rPr>
        <w:t xml:space="preserve"> finlandese, lettone, slovacco, svedese, polacco e sloveno. Il sistema prevede, in linea di massima, che prima delle riunioni del Consiglio il governo presenti al Parlamento la propria posizione. Il Parlamento ha in questo modo la possibilità di intervenire ancora prima che sulla proposta di iniziativa legislativa e può esprimere la propria posizione tramite un mandato che il governo è tenuto a rispettare nell’ambito del negoziato in sede europea. Cfr. la documentazione reperibile all’indirizzo http://www.cosac.eu/countryspecific-information).</w:t>
      </w:r>
    </w:p>
  </w:footnote>
  <w:footnote w:id="57">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In Danimarca, laddove il negoziato abbia indotto il governo a pensare di discostarsi dagli indirizzi del Parlamento, si prevede una nuova consultazione della Commissione per gli affari europei; in altri ordinamenti, quali Finlandia, Polonia ed Ungheria, il Governo è tenuto a fornire motivazioni in caso intenda discostarsi, analogamente a quanto previsto ora nel nostro ordinamento; si veda la documentazione reperibile  all’indirizzo </w:t>
      </w:r>
      <w:r w:rsidRPr="00D36F91">
        <w:rPr>
          <w:rFonts w:ascii="Garamond" w:hAnsi="Garamond" w:cs="TimesNewRomanPSMT"/>
          <w:sz w:val="20"/>
          <w:szCs w:val="20"/>
        </w:rPr>
        <w:t xml:space="preserve">http://www.cosac.eu/countryspecific-information); </w:t>
      </w:r>
    </w:p>
  </w:footnote>
  <w:footnote w:id="58">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w:t>
      </w:r>
      <w:proofErr w:type="spellStart"/>
      <w:r w:rsidRPr="00D36F91">
        <w:rPr>
          <w:rFonts w:ascii="Garamond" w:hAnsi="Garamond"/>
        </w:rPr>
        <w:t>Cfr.N.Lupo</w:t>
      </w:r>
      <w:proofErr w:type="spellEnd"/>
      <w:r w:rsidRPr="00D36F91">
        <w:rPr>
          <w:rFonts w:ascii="Garamond" w:hAnsi="Garamond"/>
        </w:rPr>
        <w:t xml:space="preserve">, </w:t>
      </w:r>
      <w:r w:rsidRPr="00D36F91">
        <w:rPr>
          <w:rFonts w:ascii="Garamond" w:hAnsi="Garamond"/>
          <w:i/>
          <w:iCs/>
        </w:rPr>
        <w:t xml:space="preserve">Il ruolo delle burocrazie parlamentari alla luce dei principi generali e dei mutamenti dell’assetto istituzionale, nazionale,sopranazionale, </w:t>
      </w:r>
      <w:r w:rsidRPr="00D36F91">
        <w:rPr>
          <w:rFonts w:ascii="Garamond" w:hAnsi="Garamond"/>
        </w:rPr>
        <w:t xml:space="preserve">in </w:t>
      </w:r>
      <w:proofErr w:type="spellStart"/>
      <w:r w:rsidRPr="00D36F91">
        <w:rPr>
          <w:rFonts w:ascii="Garamond" w:hAnsi="Garamond"/>
        </w:rPr>
        <w:t>Rass</w:t>
      </w:r>
      <w:proofErr w:type="spellEnd"/>
      <w:r w:rsidRPr="00D36F91">
        <w:rPr>
          <w:rFonts w:ascii="Garamond" w:hAnsi="Garamond"/>
        </w:rPr>
        <w:t xml:space="preserve">. </w:t>
      </w:r>
      <w:proofErr w:type="spellStart"/>
      <w:r w:rsidRPr="00D36F91">
        <w:rPr>
          <w:rFonts w:ascii="Garamond" w:hAnsi="Garamond"/>
        </w:rPr>
        <w:t>Parl.n</w:t>
      </w:r>
      <w:proofErr w:type="spellEnd"/>
      <w:r w:rsidRPr="00D36F91">
        <w:rPr>
          <w:rFonts w:ascii="Garamond" w:hAnsi="Garamond"/>
        </w:rPr>
        <w:t>.1/2012 p.51 e ss, specie p.85 e ss</w:t>
      </w:r>
    </w:p>
  </w:footnote>
  <w:footnote w:id="59">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Il tema degli organismi indipendenti in materia di finanza pubblica è da tempo oggetto di studio da parte dell’Organizzazione per la cooperazione e lo sviluppo economico (OCSE), nel cui ambito si è andato progressivamente concretizzandosi lo strumento dei fiscal </w:t>
      </w:r>
      <w:proofErr w:type="spellStart"/>
      <w:r w:rsidRPr="00D36F91">
        <w:rPr>
          <w:rFonts w:ascii="Garamond" w:hAnsi="Garamond"/>
        </w:rPr>
        <w:t>council</w:t>
      </w:r>
      <w:proofErr w:type="spellEnd"/>
      <w:r w:rsidRPr="00D36F91">
        <w:rPr>
          <w:rFonts w:ascii="Garamond" w:hAnsi="Garamond"/>
        </w:rPr>
        <w:t xml:space="preserve">. Si veda OCSE, </w:t>
      </w:r>
      <w:proofErr w:type="spellStart"/>
      <w:r w:rsidRPr="00D36F91">
        <w:rPr>
          <w:rFonts w:ascii="Garamond" w:hAnsi="Garamond"/>
          <w:i/>
          <w:iCs/>
        </w:rPr>
        <w:t>Draft</w:t>
      </w:r>
      <w:proofErr w:type="spellEnd"/>
      <w:r w:rsidRPr="00D36F91">
        <w:rPr>
          <w:rFonts w:ascii="Garamond" w:hAnsi="Garamond"/>
          <w:i/>
          <w:iCs/>
        </w:rPr>
        <w:t xml:space="preserve"> </w:t>
      </w:r>
      <w:proofErr w:type="spellStart"/>
      <w:r w:rsidRPr="00D36F91">
        <w:rPr>
          <w:rFonts w:ascii="Garamond" w:hAnsi="Garamond"/>
          <w:i/>
          <w:iCs/>
        </w:rPr>
        <w:t>principles</w:t>
      </w:r>
      <w:proofErr w:type="spellEnd"/>
      <w:r w:rsidRPr="00D36F91">
        <w:rPr>
          <w:rFonts w:ascii="Garamond" w:hAnsi="Garamond"/>
          <w:i/>
          <w:iCs/>
        </w:rPr>
        <w:t xml:space="preserve"> </w:t>
      </w:r>
      <w:proofErr w:type="spellStart"/>
      <w:r w:rsidRPr="00D36F91">
        <w:rPr>
          <w:rFonts w:ascii="Garamond" w:hAnsi="Garamond"/>
          <w:i/>
          <w:iCs/>
        </w:rPr>
        <w:t>for</w:t>
      </w:r>
      <w:proofErr w:type="spellEnd"/>
      <w:r w:rsidRPr="00D36F91">
        <w:rPr>
          <w:rFonts w:ascii="Garamond" w:hAnsi="Garamond"/>
          <w:i/>
          <w:iCs/>
        </w:rPr>
        <w:t xml:space="preserve"> </w:t>
      </w:r>
      <w:proofErr w:type="spellStart"/>
      <w:r w:rsidRPr="00D36F91">
        <w:rPr>
          <w:rFonts w:ascii="Garamond" w:hAnsi="Garamond"/>
          <w:i/>
          <w:iCs/>
        </w:rPr>
        <w:t>indipendent</w:t>
      </w:r>
      <w:proofErr w:type="spellEnd"/>
      <w:r w:rsidRPr="00D36F91">
        <w:rPr>
          <w:rFonts w:ascii="Garamond" w:hAnsi="Garamond"/>
          <w:i/>
          <w:iCs/>
        </w:rPr>
        <w:t xml:space="preserve"> fiscal </w:t>
      </w:r>
      <w:proofErr w:type="spellStart"/>
      <w:r w:rsidRPr="00D36F91">
        <w:rPr>
          <w:rFonts w:ascii="Garamond" w:hAnsi="Garamond"/>
          <w:i/>
          <w:iCs/>
        </w:rPr>
        <w:t>institutions</w:t>
      </w:r>
      <w:proofErr w:type="spellEnd"/>
      <w:r w:rsidRPr="00D36F91">
        <w:rPr>
          <w:rFonts w:ascii="Garamond" w:hAnsi="Garamond"/>
        </w:rPr>
        <w:t xml:space="preserve">, Background </w:t>
      </w:r>
      <w:proofErr w:type="spellStart"/>
      <w:r w:rsidRPr="00D36F91">
        <w:rPr>
          <w:rFonts w:ascii="Garamond" w:hAnsi="Garamond"/>
        </w:rPr>
        <w:t>Document</w:t>
      </w:r>
      <w:proofErr w:type="spellEnd"/>
      <w:r w:rsidRPr="00D36F91">
        <w:rPr>
          <w:rFonts w:ascii="Garamond" w:hAnsi="Garamond"/>
        </w:rPr>
        <w:t xml:space="preserve"> n.3, Quarto Convegno annuale, Parigi, 23-24 febbraio 2012; in argomento anche </w:t>
      </w:r>
      <w:proofErr w:type="spellStart"/>
      <w:r w:rsidRPr="00D36F91">
        <w:rPr>
          <w:rFonts w:ascii="Garamond" w:hAnsi="Garamond"/>
        </w:rPr>
        <w:t>R.Hagemann</w:t>
      </w:r>
      <w:proofErr w:type="spellEnd"/>
      <w:r w:rsidRPr="00D36F91">
        <w:rPr>
          <w:rFonts w:ascii="Garamond" w:hAnsi="Garamond"/>
        </w:rPr>
        <w:t xml:space="preserve">, </w:t>
      </w:r>
      <w:proofErr w:type="spellStart"/>
      <w:r w:rsidRPr="00D36F91">
        <w:rPr>
          <w:rFonts w:ascii="Garamond" w:hAnsi="Garamond"/>
          <w:i/>
          <w:iCs/>
        </w:rPr>
        <w:t>How</w:t>
      </w:r>
      <w:proofErr w:type="spellEnd"/>
      <w:r w:rsidRPr="00D36F91">
        <w:rPr>
          <w:rFonts w:ascii="Garamond" w:hAnsi="Garamond"/>
          <w:i/>
          <w:iCs/>
        </w:rPr>
        <w:t xml:space="preserve"> can fiscal </w:t>
      </w:r>
      <w:proofErr w:type="spellStart"/>
      <w:r w:rsidRPr="00D36F91">
        <w:rPr>
          <w:rFonts w:ascii="Garamond" w:hAnsi="Garamond"/>
          <w:i/>
          <w:iCs/>
        </w:rPr>
        <w:t>councils</w:t>
      </w:r>
      <w:proofErr w:type="spellEnd"/>
      <w:r w:rsidRPr="00D36F91">
        <w:rPr>
          <w:rFonts w:ascii="Garamond" w:hAnsi="Garamond"/>
          <w:i/>
          <w:iCs/>
        </w:rPr>
        <w:t xml:space="preserve"> </w:t>
      </w:r>
      <w:proofErr w:type="spellStart"/>
      <w:r w:rsidRPr="00D36F91">
        <w:rPr>
          <w:rFonts w:ascii="Garamond" w:hAnsi="Garamond"/>
          <w:i/>
          <w:iCs/>
        </w:rPr>
        <w:t>strengthen</w:t>
      </w:r>
      <w:proofErr w:type="spellEnd"/>
      <w:r w:rsidRPr="00D36F91">
        <w:rPr>
          <w:rFonts w:ascii="Garamond" w:hAnsi="Garamond"/>
          <w:i/>
          <w:iCs/>
        </w:rPr>
        <w:t xml:space="preserve"> fiscal performance?,</w:t>
      </w:r>
      <w:r w:rsidRPr="00D36F91">
        <w:rPr>
          <w:rFonts w:ascii="Garamond" w:hAnsi="Garamond"/>
        </w:rPr>
        <w:t xml:space="preserve"> in OECD Journal :</w:t>
      </w:r>
      <w:proofErr w:type="spellStart"/>
      <w:r w:rsidRPr="00D36F91">
        <w:rPr>
          <w:rFonts w:ascii="Garamond" w:hAnsi="Garamond"/>
        </w:rPr>
        <w:t>Economic</w:t>
      </w:r>
      <w:proofErr w:type="spellEnd"/>
      <w:r w:rsidRPr="00D36F91">
        <w:rPr>
          <w:rFonts w:ascii="Garamond" w:hAnsi="Garamond"/>
        </w:rPr>
        <w:t xml:space="preserve"> </w:t>
      </w:r>
      <w:proofErr w:type="spellStart"/>
      <w:r w:rsidRPr="00D36F91">
        <w:rPr>
          <w:rFonts w:ascii="Garamond" w:hAnsi="Garamond"/>
        </w:rPr>
        <w:t>Studies</w:t>
      </w:r>
      <w:proofErr w:type="spellEnd"/>
      <w:r w:rsidRPr="00D36F91">
        <w:rPr>
          <w:rFonts w:ascii="Garamond" w:hAnsi="Garamond"/>
        </w:rPr>
        <w:t xml:space="preserve">, vol.1, disponibile all’indirizzo </w:t>
      </w:r>
      <w:hyperlink r:id="rId10" w:history="1">
        <w:r w:rsidRPr="00D36F91">
          <w:rPr>
            <w:rStyle w:val="Collegamentoipertestuale"/>
            <w:rFonts w:ascii="Garamond" w:hAnsi="Garamond"/>
          </w:rPr>
          <w:t>http://dx.doi.org/10.1787/eco_studies-2011-5kg2d3gx4d5</w:t>
        </w:r>
      </w:hyperlink>
      <w:r w:rsidRPr="00D36F91">
        <w:rPr>
          <w:rFonts w:ascii="Garamond" w:hAnsi="Garamond"/>
        </w:rPr>
        <w:t xml:space="preserve">; </w:t>
      </w:r>
    </w:p>
  </w:footnote>
  <w:footnote w:id="60">
    <w:p w:rsidR="0005296D" w:rsidRPr="00D36F91" w:rsidRDefault="0005296D" w:rsidP="002B28BE">
      <w:pPr>
        <w:pStyle w:val="Default"/>
        <w:jc w:val="both"/>
        <w:rPr>
          <w:rFonts w:ascii="Garamond" w:hAnsi="Garamond"/>
          <w:color w:val="auto"/>
          <w:sz w:val="20"/>
          <w:szCs w:val="20"/>
        </w:rPr>
      </w:pPr>
      <w:r w:rsidRPr="00D36F91">
        <w:rPr>
          <w:rStyle w:val="Rimandonotaapidipagina"/>
          <w:rFonts w:ascii="Garamond" w:hAnsi="Garamond"/>
          <w:color w:val="auto"/>
          <w:sz w:val="20"/>
          <w:szCs w:val="20"/>
        </w:rPr>
        <w:footnoteRef/>
      </w:r>
      <w:r w:rsidRPr="00D36F91">
        <w:rPr>
          <w:rFonts w:ascii="Garamond" w:hAnsi="Garamond"/>
          <w:color w:val="auto"/>
          <w:sz w:val="20"/>
          <w:szCs w:val="20"/>
        </w:rPr>
        <w:t xml:space="preserve">  Risulta evidente la maggiore convenienza per la classe politica ad eludere le regole europee rispetto al minor consenso elettorale che potrebbe derivare dal rispetto delle suddette regole. In questo senso si veda </w:t>
      </w:r>
      <w:proofErr w:type="spellStart"/>
      <w:r w:rsidRPr="00D36F91">
        <w:rPr>
          <w:rFonts w:ascii="Garamond" w:hAnsi="Garamond"/>
          <w:color w:val="auto"/>
          <w:sz w:val="20"/>
          <w:szCs w:val="20"/>
        </w:rPr>
        <w:t>Hagemann</w:t>
      </w:r>
      <w:proofErr w:type="spellEnd"/>
      <w:r w:rsidRPr="00D36F91">
        <w:rPr>
          <w:rFonts w:ascii="Garamond" w:hAnsi="Garamond"/>
          <w:color w:val="auto"/>
          <w:sz w:val="20"/>
          <w:szCs w:val="20"/>
        </w:rPr>
        <w:t xml:space="preserve"> R</w:t>
      </w:r>
      <w:r w:rsidRPr="00D36F91">
        <w:rPr>
          <w:rFonts w:ascii="Garamond" w:hAnsi="Garamond"/>
          <w:i/>
          <w:iCs/>
          <w:color w:val="auto"/>
          <w:sz w:val="20"/>
          <w:szCs w:val="20"/>
        </w:rPr>
        <w:t>.,</w:t>
      </w:r>
      <w:proofErr w:type="spellStart"/>
      <w:r w:rsidRPr="00D36F91">
        <w:rPr>
          <w:rFonts w:ascii="Garamond" w:hAnsi="Garamond"/>
          <w:i/>
          <w:iCs/>
          <w:color w:val="auto"/>
          <w:sz w:val="20"/>
          <w:szCs w:val="20"/>
        </w:rPr>
        <w:t>Improving</w:t>
      </w:r>
      <w:proofErr w:type="spellEnd"/>
      <w:r w:rsidRPr="00D36F91">
        <w:rPr>
          <w:rFonts w:ascii="Garamond" w:hAnsi="Garamond"/>
          <w:i/>
          <w:iCs/>
          <w:color w:val="auto"/>
          <w:sz w:val="20"/>
          <w:szCs w:val="20"/>
        </w:rPr>
        <w:t xml:space="preserve"> Fiscal Performance </w:t>
      </w:r>
      <w:proofErr w:type="spellStart"/>
      <w:r w:rsidRPr="00D36F91">
        <w:rPr>
          <w:rFonts w:ascii="Garamond" w:hAnsi="Garamond"/>
          <w:i/>
          <w:iCs/>
          <w:color w:val="auto"/>
          <w:sz w:val="20"/>
          <w:szCs w:val="20"/>
        </w:rPr>
        <w:t>Trough</w:t>
      </w:r>
      <w:proofErr w:type="spellEnd"/>
      <w:r w:rsidRPr="00D36F91">
        <w:rPr>
          <w:rFonts w:ascii="Garamond" w:hAnsi="Garamond"/>
          <w:i/>
          <w:iCs/>
          <w:color w:val="auto"/>
          <w:sz w:val="20"/>
          <w:szCs w:val="20"/>
        </w:rPr>
        <w:t xml:space="preserve"> Fiscal </w:t>
      </w:r>
      <w:proofErr w:type="spellStart"/>
      <w:r w:rsidRPr="00D36F91">
        <w:rPr>
          <w:rFonts w:ascii="Garamond" w:hAnsi="Garamond"/>
          <w:i/>
          <w:iCs/>
          <w:color w:val="auto"/>
          <w:sz w:val="20"/>
          <w:szCs w:val="20"/>
        </w:rPr>
        <w:t>Councils</w:t>
      </w:r>
      <w:proofErr w:type="spellEnd"/>
      <w:r w:rsidRPr="00D36F91">
        <w:rPr>
          <w:rFonts w:ascii="Garamond" w:hAnsi="Garamond"/>
          <w:i/>
          <w:iCs/>
          <w:color w:val="auto"/>
          <w:sz w:val="20"/>
          <w:szCs w:val="20"/>
        </w:rPr>
        <w:t xml:space="preserve">, </w:t>
      </w:r>
      <w:r w:rsidRPr="00D36F91">
        <w:rPr>
          <w:rFonts w:ascii="Garamond" w:hAnsi="Garamond"/>
          <w:color w:val="auto"/>
          <w:sz w:val="20"/>
          <w:szCs w:val="20"/>
        </w:rPr>
        <w:t xml:space="preserve">OECD </w:t>
      </w:r>
      <w:proofErr w:type="spellStart"/>
      <w:r w:rsidRPr="00D36F91">
        <w:rPr>
          <w:rFonts w:ascii="Garamond" w:hAnsi="Garamond"/>
          <w:color w:val="auto"/>
          <w:sz w:val="20"/>
          <w:szCs w:val="20"/>
        </w:rPr>
        <w:t>Economic</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Department</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Working</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Papers</w:t>
      </w:r>
      <w:proofErr w:type="spellEnd"/>
      <w:r w:rsidRPr="00D36F91">
        <w:rPr>
          <w:rFonts w:ascii="Garamond" w:hAnsi="Garamond"/>
          <w:color w:val="auto"/>
          <w:sz w:val="20"/>
          <w:szCs w:val="20"/>
        </w:rPr>
        <w:t xml:space="preserve">, No. 829, 2010, p. 10 e ss; relativamente al fenomeno del ciclo elettorale della spesa pubblica che induce le classi politiche, ad utilizzare le risorse pubbliche per aumentare il loro consenso e dunque la possibilità di essere rieletti si veda,  </w:t>
      </w:r>
      <w:proofErr w:type="spellStart"/>
      <w:r w:rsidRPr="00D36F91">
        <w:rPr>
          <w:rFonts w:ascii="Garamond" w:hAnsi="Garamond"/>
          <w:color w:val="auto"/>
          <w:sz w:val="20"/>
          <w:szCs w:val="20"/>
        </w:rPr>
        <w:t>A.Brender</w:t>
      </w:r>
      <w:proofErr w:type="spellEnd"/>
      <w:r w:rsidRPr="00D36F91">
        <w:rPr>
          <w:rFonts w:ascii="Garamond" w:hAnsi="Garamond"/>
          <w:color w:val="auto"/>
          <w:sz w:val="20"/>
          <w:szCs w:val="20"/>
        </w:rPr>
        <w:t xml:space="preserve">, </w:t>
      </w:r>
      <w:r w:rsidRPr="00D36F91">
        <w:rPr>
          <w:rFonts w:ascii="Garamond" w:hAnsi="Garamond" w:cs="CMR10"/>
          <w:color w:val="auto"/>
          <w:sz w:val="20"/>
          <w:szCs w:val="20"/>
        </w:rPr>
        <w:t xml:space="preserve"> A. </w:t>
      </w:r>
      <w:proofErr w:type="spellStart"/>
      <w:r w:rsidRPr="00D36F91">
        <w:rPr>
          <w:rFonts w:ascii="Garamond" w:hAnsi="Garamond" w:cs="CMR10"/>
          <w:color w:val="auto"/>
          <w:sz w:val="20"/>
          <w:szCs w:val="20"/>
        </w:rPr>
        <w:t>Drazen</w:t>
      </w:r>
      <w:proofErr w:type="spellEnd"/>
      <w:r w:rsidRPr="00D36F91">
        <w:rPr>
          <w:rFonts w:ascii="Garamond" w:hAnsi="Garamond" w:cs="CMR10"/>
          <w:color w:val="auto"/>
          <w:sz w:val="20"/>
          <w:szCs w:val="20"/>
        </w:rPr>
        <w:t xml:space="preserve">, </w:t>
      </w:r>
      <w:proofErr w:type="spellStart"/>
      <w:r w:rsidRPr="00D36F91">
        <w:rPr>
          <w:rFonts w:ascii="Garamond" w:hAnsi="Garamond" w:cs="CMTI10"/>
          <w:color w:val="auto"/>
          <w:sz w:val="20"/>
          <w:szCs w:val="20"/>
        </w:rPr>
        <w:t>How</w:t>
      </w:r>
      <w:proofErr w:type="spellEnd"/>
      <w:r w:rsidRPr="00D36F91">
        <w:rPr>
          <w:rFonts w:ascii="Garamond" w:hAnsi="Garamond" w:cs="CMTI10"/>
          <w:color w:val="auto"/>
          <w:sz w:val="20"/>
          <w:szCs w:val="20"/>
        </w:rPr>
        <w:t xml:space="preserve"> </w:t>
      </w:r>
      <w:r w:rsidRPr="00D36F91">
        <w:rPr>
          <w:rFonts w:ascii="Garamond" w:hAnsi="Garamond" w:cs="CMTI10"/>
          <w:i/>
          <w:iCs/>
          <w:color w:val="auto"/>
          <w:sz w:val="20"/>
          <w:szCs w:val="20"/>
        </w:rPr>
        <w:t xml:space="preserve">Do Budget </w:t>
      </w:r>
      <w:proofErr w:type="spellStart"/>
      <w:r w:rsidRPr="00D36F91">
        <w:rPr>
          <w:rFonts w:ascii="Garamond" w:hAnsi="Garamond" w:cs="CMTI10"/>
          <w:i/>
          <w:iCs/>
          <w:color w:val="auto"/>
          <w:sz w:val="20"/>
          <w:szCs w:val="20"/>
        </w:rPr>
        <w:t>Deficits</w:t>
      </w:r>
      <w:proofErr w:type="spellEnd"/>
      <w:r w:rsidRPr="00D36F91">
        <w:rPr>
          <w:rFonts w:ascii="Garamond" w:hAnsi="Garamond" w:cs="CMTI10"/>
          <w:i/>
          <w:iCs/>
          <w:color w:val="auto"/>
          <w:sz w:val="20"/>
          <w:szCs w:val="20"/>
        </w:rPr>
        <w:t xml:space="preserve"> and </w:t>
      </w:r>
      <w:proofErr w:type="spellStart"/>
      <w:r w:rsidRPr="00D36F91">
        <w:rPr>
          <w:rFonts w:ascii="Garamond" w:hAnsi="Garamond" w:cs="CMTI10"/>
          <w:i/>
          <w:iCs/>
          <w:color w:val="auto"/>
          <w:sz w:val="20"/>
          <w:szCs w:val="20"/>
        </w:rPr>
        <w:t>Economic</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Growth</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Affect</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Reelection</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Prospects</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Evidence</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from</w:t>
      </w:r>
      <w:proofErr w:type="spellEnd"/>
      <w:r w:rsidRPr="00D36F91">
        <w:rPr>
          <w:rFonts w:ascii="Garamond" w:hAnsi="Garamond" w:cs="CMTI10"/>
          <w:i/>
          <w:iCs/>
          <w:color w:val="auto"/>
          <w:sz w:val="20"/>
          <w:szCs w:val="20"/>
        </w:rPr>
        <w:t xml:space="preserve"> a </w:t>
      </w:r>
      <w:proofErr w:type="spellStart"/>
      <w:r w:rsidRPr="00D36F91">
        <w:rPr>
          <w:rFonts w:ascii="Garamond" w:hAnsi="Garamond" w:cs="CMTI10"/>
          <w:i/>
          <w:iCs/>
          <w:color w:val="auto"/>
          <w:sz w:val="20"/>
          <w:szCs w:val="20"/>
        </w:rPr>
        <w:t>Large</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Panel</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of</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Countries</w:t>
      </w:r>
      <w:proofErr w:type="spellEnd"/>
      <w:r w:rsidRPr="00D36F91">
        <w:rPr>
          <w:rFonts w:ascii="Garamond" w:hAnsi="Garamond" w:cs="CMR10"/>
          <w:color w:val="auto"/>
          <w:sz w:val="20"/>
          <w:szCs w:val="20"/>
        </w:rPr>
        <w:t xml:space="preserve">, in </w:t>
      </w:r>
      <w:proofErr w:type="spellStart"/>
      <w:r w:rsidRPr="00D36F91">
        <w:rPr>
          <w:rFonts w:ascii="Garamond" w:hAnsi="Garamond" w:cs="CMR10"/>
          <w:i/>
          <w:iCs/>
          <w:color w:val="auto"/>
          <w:sz w:val="20"/>
          <w:szCs w:val="20"/>
        </w:rPr>
        <w:t>AmericanEconomic</w:t>
      </w:r>
      <w:proofErr w:type="spellEnd"/>
      <w:r w:rsidRPr="00D36F91">
        <w:rPr>
          <w:rFonts w:ascii="Garamond" w:hAnsi="Garamond" w:cs="CMR10"/>
          <w:i/>
          <w:iCs/>
          <w:color w:val="auto"/>
          <w:sz w:val="20"/>
          <w:szCs w:val="20"/>
        </w:rPr>
        <w:t xml:space="preserve"> </w:t>
      </w:r>
      <w:proofErr w:type="spellStart"/>
      <w:r w:rsidRPr="00D36F91">
        <w:rPr>
          <w:rFonts w:ascii="Garamond" w:hAnsi="Garamond" w:cs="CMR10"/>
          <w:i/>
          <w:iCs/>
          <w:color w:val="auto"/>
          <w:sz w:val="20"/>
          <w:szCs w:val="20"/>
        </w:rPr>
        <w:t>Review</w:t>
      </w:r>
      <w:proofErr w:type="spellEnd"/>
      <w:r w:rsidRPr="00D36F91">
        <w:rPr>
          <w:rFonts w:ascii="Garamond" w:hAnsi="Garamond" w:cs="CMR10"/>
          <w:color w:val="auto"/>
          <w:sz w:val="20"/>
          <w:szCs w:val="20"/>
        </w:rPr>
        <w:t xml:space="preserve">, vol. 98/2008, pp. 2203-2220; in argomento A. </w:t>
      </w:r>
      <w:proofErr w:type="spellStart"/>
      <w:r w:rsidRPr="00D36F91">
        <w:rPr>
          <w:rFonts w:ascii="Garamond" w:hAnsi="Garamond" w:cs="CMR10"/>
          <w:color w:val="auto"/>
          <w:sz w:val="20"/>
          <w:szCs w:val="20"/>
        </w:rPr>
        <w:t>Alesina</w:t>
      </w:r>
      <w:proofErr w:type="spellEnd"/>
      <w:r w:rsidRPr="00D36F91">
        <w:rPr>
          <w:rFonts w:ascii="Garamond" w:hAnsi="Garamond" w:cs="CMR10"/>
          <w:color w:val="auto"/>
          <w:sz w:val="20"/>
          <w:szCs w:val="20"/>
        </w:rPr>
        <w:t xml:space="preserve">, D. </w:t>
      </w:r>
      <w:proofErr w:type="spellStart"/>
      <w:r w:rsidRPr="00D36F91">
        <w:rPr>
          <w:rFonts w:ascii="Garamond" w:hAnsi="Garamond" w:cs="CMR10"/>
          <w:color w:val="auto"/>
          <w:sz w:val="20"/>
          <w:szCs w:val="20"/>
        </w:rPr>
        <w:t>Carloni</w:t>
      </w:r>
      <w:proofErr w:type="spellEnd"/>
      <w:r w:rsidRPr="00D36F91">
        <w:rPr>
          <w:rFonts w:ascii="Garamond" w:hAnsi="Garamond" w:cs="CMR10"/>
          <w:color w:val="auto"/>
          <w:sz w:val="20"/>
          <w:szCs w:val="20"/>
        </w:rPr>
        <w:t xml:space="preserve">, G. Lecce, </w:t>
      </w:r>
      <w:r w:rsidRPr="00D36F91">
        <w:rPr>
          <w:rFonts w:ascii="Garamond" w:hAnsi="Garamond" w:cs="CMTI10"/>
          <w:i/>
          <w:iCs/>
          <w:color w:val="auto"/>
          <w:sz w:val="20"/>
          <w:szCs w:val="20"/>
        </w:rPr>
        <w:t xml:space="preserve">The </w:t>
      </w:r>
      <w:proofErr w:type="spellStart"/>
      <w:r w:rsidRPr="00D36F91">
        <w:rPr>
          <w:rFonts w:ascii="Garamond" w:hAnsi="Garamond" w:cs="CMTI10"/>
          <w:i/>
          <w:iCs/>
          <w:color w:val="auto"/>
          <w:sz w:val="20"/>
          <w:szCs w:val="20"/>
        </w:rPr>
        <w:t>Electoral</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Consequences</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of</w:t>
      </w:r>
      <w:proofErr w:type="spellEnd"/>
      <w:r w:rsidRPr="00D36F91">
        <w:rPr>
          <w:rFonts w:ascii="Garamond" w:hAnsi="Garamond" w:cs="CMTI10"/>
          <w:i/>
          <w:iCs/>
          <w:color w:val="auto"/>
          <w:sz w:val="20"/>
          <w:szCs w:val="20"/>
        </w:rPr>
        <w:t xml:space="preserve"> </w:t>
      </w:r>
      <w:proofErr w:type="spellStart"/>
      <w:r w:rsidRPr="00D36F91">
        <w:rPr>
          <w:rFonts w:ascii="Garamond" w:hAnsi="Garamond" w:cs="CMTI10"/>
          <w:i/>
          <w:iCs/>
          <w:color w:val="auto"/>
          <w:sz w:val="20"/>
          <w:szCs w:val="20"/>
        </w:rPr>
        <w:t>Large</w:t>
      </w:r>
      <w:proofErr w:type="spellEnd"/>
      <w:r w:rsidRPr="00D36F91">
        <w:rPr>
          <w:rFonts w:ascii="Garamond" w:hAnsi="Garamond" w:cs="CMTI10"/>
          <w:i/>
          <w:iCs/>
          <w:color w:val="auto"/>
          <w:sz w:val="20"/>
          <w:szCs w:val="20"/>
        </w:rPr>
        <w:t xml:space="preserve"> Fiscal </w:t>
      </w:r>
      <w:proofErr w:type="spellStart"/>
      <w:r w:rsidRPr="00D36F91">
        <w:rPr>
          <w:rFonts w:ascii="Garamond" w:hAnsi="Garamond" w:cs="CMTI10"/>
          <w:i/>
          <w:iCs/>
          <w:color w:val="auto"/>
          <w:sz w:val="20"/>
          <w:szCs w:val="20"/>
        </w:rPr>
        <w:t>Adjustments</w:t>
      </w:r>
      <w:proofErr w:type="spellEnd"/>
      <w:r w:rsidRPr="00D36F91">
        <w:rPr>
          <w:rFonts w:ascii="Garamond" w:hAnsi="Garamond" w:cs="CMR10"/>
          <w:i/>
          <w:iCs/>
          <w:color w:val="auto"/>
          <w:sz w:val="20"/>
          <w:szCs w:val="20"/>
        </w:rPr>
        <w:t>,</w:t>
      </w:r>
      <w:r w:rsidRPr="00D36F91">
        <w:rPr>
          <w:rFonts w:ascii="Garamond" w:hAnsi="Garamond" w:cs="CMR10"/>
          <w:color w:val="auto"/>
          <w:sz w:val="20"/>
          <w:szCs w:val="20"/>
        </w:rPr>
        <w:t xml:space="preserve"> Harvard </w:t>
      </w:r>
      <w:proofErr w:type="spellStart"/>
      <w:r w:rsidRPr="00D36F91">
        <w:rPr>
          <w:rFonts w:ascii="Garamond" w:hAnsi="Garamond" w:cs="CMR10"/>
          <w:color w:val="auto"/>
          <w:sz w:val="20"/>
          <w:szCs w:val="20"/>
        </w:rPr>
        <w:t>University</w:t>
      </w:r>
      <w:proofErr w:type="spellEnd"/>
      <w:r w:rsidRPr="00D36F91">
        <w:rPr>
          <w:rFonts w:ascii="Garamond" w:hAnsi="Garamond" w:cs="CMR10"/>
          <w:color w:val="auto"/>
          <w:sz w:val="20"/>
          <w:szCs w:val="20"/>
        </w:rPr>
        <w:t xml:space="preserve">, </w:t>
      </w:r>
      <w:proofErr w:type="spellStart"/>
      <w:r w:rsidRPr="00D36F91">
        <w:rPr>
          <w:rFonts w:ascii="Garamond" w:hAnsi="Garamond" w:cs="CMR10"/>
          <w:color w:val="auto"/>
          <w:sz w:val="20"/>
          <w:szCs w:val="20"/>
        </w:rPr>
        <w:t>mimeo</w:t>
      </w:r>
      <w:proofErr w:type="spellEnd"/>
      <w:r w:rsidRPr="00D36F91">
        <w:rPr>
          <w:rFonts w:ascii="Garamond" w:hAnsi="Garamond" w:cs="CMR10"/>
          <w:color w:val="auto"/>
          <w:sz w:val="20"/>
          <w:szCs w:val="20"/>
        </w:rPr>
        <w:t xml:space="preserve">, 2010; relativamente al caso italiano ed in particolare alle modalità in cui tale fenomeno si esplica a livello locale si veda, </w:t>
      </w:r>
      <w:proofErr w:type="spellStart"/>
      <w:r w:rsidRPr="00D36F91">
        <w:rPr>
          <w:rFonts w:ascii="Garamond" w:hAnsi="Garamond" w:cs="CMR10"/>
          <w:color w:val="auto"/>
          <w:sz w:val="20"/>
          <w:szCs w:val="20"/>
        </w:rPr>
        <w:t>M.</w:t>
      </w:r>
      <w:r w:rsidRPr="00D36F91">
        <w:rPr>
          <w:rFonts w:ascii="Garamond" w:hAnsi="Garamond"/>
          <w:color w:val="auto"/>
          <w:sz w:val="20"/>
          <w:szCs w:val="20"/>
        </w:rPr>
        <w:t>Cioffi</w:t>
      </w:r>
      <w:proofErr w:type="spellEnd"/>
      <w:r w:rsidRPr="00D36F91">
        <w:rPr>
          <w:rFonts w:ascii="Garamond" w:hAnsi="Garamond"/>
          <w:color w:val="auto"/>
          <w:sz w:val="20"/>
          <w:szCs w:val="20"/>
        </w:rPr>
        <w:t xml:space="preserve">, G. Messina, P. </w:t>
      </w:r>
      <w:proofErr w:type="spellStart"/>
      <w:r w:rsidRPr="00D36F91">
        <w:rPr>
          <w:rFonts w:ascii="Garamond" w:hAnsi="Garamond"/>
          <w:color w:val="auto"/>
          <w:sz w:val="20"/>
          <w:szCs w:val="20"/>
        </w:rPr>
        <w:t>Tommasino</w:t>
      </w:r>
      <w:proofErr w:type="spellEnd"/>
      <w:r w:rsidRPr="00D36F91">
        <w:rPr>
          <w:rFonts w:ascii="Garamond" w:hAnsi="Garamond"/>
          <w:color w:val="auto"/>
          <w:sz w:val="20"/>
          <w:szCs w:val="20"/>
        </w:rPr>
        <w:t xml:space="preserve">, </w:t>
      </w:r>
      <w:proofErr w:type="spellStart"/>
      <w:r w:rsidRPr="00D36F91">
        <w:rPr>
          <w:rFonts w:ascii="Garamond" w:hAnsi="Garamond"/>
          <w:i/>
          <w:iCs/>
          <w:color w:val="auto"/>
          <w:sz w:val="20"/>
          <w:szCs w:val="20"/>
        </w:rPr>
        <w:t>Parties</w:t>
      </w:r>
      <w:proofErr w:type="spellEnd"/>
      <w:r w:rsidRPr="00D36F91">
        <w:rPr>
          <w:rFonts w:ascii="Garamond" w:hAnsi="Garamond"/>
          <w:i/>
          <w:iCs/>
          <w:color w:val="auto"/>
          <w:sz w:val="20"/>
          <w:szCs w:val="20"/>
        </w:rPr>
        <w:t xml:space="preserve">, </w:t>
      </w:r>
      <w:proofErr w:type="spellStart"/>
      <w:r w:rsidRPr="00D36F91">
        <w:rPr>
          <w:rFonts w:ascii="Garamond" w:hAnsi="Garamond"/>
          <w:i/>
          <w:iCs/>
          <w:color w:val="auto"/>
          <w:sz w:val="20"/>
          <w:szCs w:val="20"/>
        </w:rPr>
        <w:t>Institutions</w:t>
      </w:r>
      <w:proofErr w:type="spellEnd"/>
      <w:r w:rsidRPr="00D36F91">
        <w:rPr>
          <w:rFonts w:ascii="Garamond" w:hAnsi="Garamond"/>
          <w:i/>
          <w:iCs/>
          <w:color w:val="auto"/>
          <w:sz w:val="20"/>
          <w:szCs w:val="20"/>
        </w:rPr>
        <w:t xml:space="preserve"> And </w:t>
      </w:r>
      <w:proofErr w:type="spellStart"/>
      <w:r w:rsidRPr="00D36F91">
        <w:rPr>
          <w:rFonts w:ascii="Garamond" w:hAnsi="Garamond"/>
          <w:i/>
          <w:iCs/>
          <w:color w:val="auto"/>
          <w:sz w:val="20"/>
          <w:szCs w:val="20"/>
        </w:rPr>
        <w:t>Political</w:t>
      </w:r>
      <w:proofErr w:type="spellEnd"/>
      <w:r w:rsidRPr="00D36F91">
        <w:rPr>
          <w:rFonts w:ascii="Garamond" w:hAnsi="Garamond"/>
          <w:i/>
          <w:iCs/>
          <w:color w:val="auto"/>
          <w:sz w:val="20"/>
          <w:szCs w:val="20"/>
        </w:rPr>
        <w:t xml:space="preserve"> Budget </w:t>
      </w:r>
      <w:proofErr w:type="spellStart"/>
      <w:r w:rsidRPr="00D36F91">
        <w:rPr>
          <w:rFonts w:ascii="Garamond" w:hAnsi="Garamond"/>
          <w:i/>
          <w:iCs/>
          <w:color w:val="auto"/>
          <w:sz w:val="20"/>
          <w:szCs w:val="20"/>
        </w:rPr>
        <w:t>Cycles</w:t>
      </w:r>
      <w:proofErr w:type="spellEnd"/>
      <w:r w:rsidRPr="00D36F91">
        <w:rPr>
          <w:rFonts w:ascii="Garamond" w:hAnsi="Garamond"/>
          <w:i/>
          <w:iCs/>
          <w:color w:val="auto"/>
          <w:sz w:val="20"/>
          <w:szCs w:val="20"/>
        </w:rPr>
        <w:t xml:space="preserve"> At The </w:t>
      </w:r>
      <w:proofErr w:type="spellStart"/>
      <w:r w:rsidRPr="00D36F91">
        <w:rPr>
          <w:rFonts w:ascii="Garamond" w:hAnsi="Garamond"/>
          <w:i/>
          <w:iCs/>
          <w:color w:val="auto"/>
          <w:sz w:val="20"/>
          <w:szCs w:val="20"/>
        </w:rPr>
        <w:t>Municipal</w:t>
      </w:r>
      <w:proofErr w:type="spellEnd"/>
      <w:r w:rsidRPr="00D36F91">
        <w:rPr>
          <w:rFonts w:ascii="Garamond" w:hAnsi="Garamond"/>
          <w:i/>
          <w:iCs/>
          <w:color w:val="auto"/>
          <w:sz w:val="20"/>
          <w:szCs w:val="20"/>
        </w:rPr>
        <w:t xml:space="preserve"> </w:t>
      </w:r>
      <w:proofErr w:type="spellStart"/>
      <w:r w:rsidRPr="00D36F91">
        <w:rPr>
          <w:rFonts w:ascii="Garamond" w:hAnsi="Garamond"/>
          <w:i/>
          <w:iCs/>
          <w:color w:val="auto"/>
          <w:sz w:val="20"/>
          <w:szCs w:val="20"/>
        </w:rPr>
        <w:t>Level</w:t>
      </w:r>
      <w:proofErr w:type="spellEnd"/>
      <w:r w:rsidRPr="00D36F91">
        <w:rPr>
          <w:rFonts w:ascii="Garamond" w:hAnsi="Garamond"/>
          <w:i/>
          <w:iCs/>
          <w:color w:val="auto"/>
          <w:sz w:val="20"/>
          <w:szCs w:val="20"/>
        </w:rPr>
        <w:t>,</w:t>
      </w:r>
      <w:r w:rsidRPr="00D36F91">
        <w:rPr>
          <w:rFonts w:ascii="Garamond" w:hAnsi="Garamond"/>
          <w:color w:val="auto"/>
          <w:sz w:val="20"/>
          <w:szCs w:val="20"/>
        </w:rPr>
        <w:t xml:space="preserve"> Temi di discussione n.885/2012, Banca d’Italia;  </w:t>
      </w:r>
      <w:proofErr w:type="spellStart"/>
      <w:r w:rsidRPr="00D36F91">
        <w:rPr>
          <w:rFonts w:ascii="Garamond" w:hAnsi="Garamond"/>
          <w:color w:val="auto"/>
          <w:sz w:val="20"/>
          <w:szCs w:val="20"/>
        </w:rPr>
        <w:t>Calmfors</w:t>
      </w:r>
      <w:proofErr w:type="spellEnd"/>
      <w:r w:rsidRPr="00D36F91">
        <w:rPr>
          <w:rFonts w:ascii="Garamond" w:hAnsi="Garamond"/>
          <w:color w:val="auto"/>
          <w:sz w:val="20"/>
          <w:szCs w:val="20"/>
        </w:rPr>
        <w:t xml:space="preserve"> L., </w:t>
      </w:r>
      <w:proofErr w:type="spellStart"/>
      <w:r w:rsidRPr="00D36F91">
        <w:rPr>
          <w:rFonts w:ascii="Garamond" w:hAnsi="Garamond"/>
          <w:color w:val="auto"/>
          <w:sz w:val="20"/>
          <w:szCs w:val="20"/>
        </w:rPr>
        <w:t>Wren-Lewis</w:t>
      </w:r>
      <w:proofErr w:type="spellEnd"/>
      <w:r w:rsidRPr="00D36F91">
        <w:rPr>
          <w:rFonts w:ascii="Garamond" w:hAnsi="Garamond"/>
          <w:color w:val="auto"/>
          <w:sz w:val="20"/>
          <w:szCs w:val="20"/>
        </w:rPr>
        <w:t xml:space="preserve"> S., </w:t>
      </w:r>
      <w:proofErr w:type="spellStart"/>
      <w:r w:rsidRPr="00D36F91">
        <w:rPr>
          <w:rFonts w:ascii="Garamond" w:hAnsi="Garamond"/>
          <w:i/>
          <w:iCs/>
          <w:color w:val="auto"/>
          <w:sz w:val="20"/>
          <w:szCs w:val="20"/>
        </w:rPr>
        <w:t>What</w:t>
      </w:r>
      <w:proofErr w:type="spellEnd"/>
      <w:r w:rsidRPr="00D36F91">
        <w:rPr>
          <w:rFonts w:ascii="Garamond" w:hAnsi="Garamond"/>
          <w:i/>
          <w:iCs/>
          <w:color w:val="auto"/>
          <w:sz w:val="20"/>
          <w:szCs w:val="20"/>
        </w:rPr>
        <w:t xml:space="preserve"> </w:t>
      </w:r>
      <w:proofErr w:type="spellStart"/>
      <w:r w:rsidRPr="00D36F91">
        <w:rPr>
          <w:rFonts w:ascii="Garamond" w:hAnsi="Garamond"/>
          <w:i/>
          <w:iCs/>
          <w:color w:val="auto"/>
          <w:sz w:val="20"/>
          <w:szCs w:val="20"/>
        </w:rPr>
        <w:t>should</w:t>
      </w:r>
      <w:proofErr w:type="spellEnd"/>
      <w:r w:rsidRPr="00D36F91">
        <w:rPr>
          <w:rFonts w:ascii="Garamond" w:hAnsi="Garamond"/>
          <w:i/>
          <w:iCs/>
          <w:color w:val="auto"/>
          <w:sz w:val="20"/>
          <w:szCs w:val="20"/>
        </w:rPr>
        <w:t xml:space="preserve"> fiscal </w:t>
      </w:r>
      <w:proofErr w:type="spellStart"/>
      <w:r w:rsidRPr="00D36F91">
        <w:rPr>
          <w:rFonts w:ascii="Garamond" w:hAnsi="Garamond"/>
          <w:i/>
          <w:iCs/>
          <w:color w:val="auto"/>
          <w:sz w:val="20"/>
          <w:szCs w:val="20"/>
        </w:rPr>
        <w:t>councils</w:t>
      </w:r>
      <w:proofErr w:type="spellEnd"/>
      <w:r w:rsidRPr="00D36F91">
        <w:rPr>
          <w:rFonts w:ascii="Garamond" w:hAnsi="Garamond"/>
          <w:i/>
          <w:iCs/>
          <w:color w:val="auto"/>
          <w:sz w:val="20"/>
          <w:szCs w:val="20"/>
        </w:rPr>
        <w:t xml:space="preserve"> do? </w:t>
      </w:r>
      <w:proofErr w:type="spellStart"/>
      <w:r w:rsidRPr="00D36F91">
        <w:rPr>
          <w:rFonts w:ascii="Garamond" w:hAnsi="Garamond"/>
          <w:color w:val="auto"/>
          <w:sz w:val="20"/>
          <w:szCs w:val="20"/>
        </w:rPr>
        <w:t>Discussion</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paper</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Department</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of</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Economics</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University</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of</w:t>
      </w:r>
      <w:proofErr w:type="spellEnd"/>
      <w:r w:rsidRPr="00D36F91">
        <w:rPr>
          <w:rFonts w:ascii="Garamond" w:hAnsi="Garamond"/>
          <w:color w:val="auto"/>
          <w:sz w:val="20"/>
          <w:szCs w:val="20"/>
        </w:rPr>
        <w:t xml:space="preserve"> Oxford, 2010, p.11  </w:t>
      </w:r>
    </w:p>
  </w:footnote>
  <w:footnote w:id="61">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Così </w:t>
      </w:r>
      <w:proofErr w:type="spellStart"/>
      <w:r w:rsidRPr="00D36F91">
        <w:rPr>
          <w:rFonts w:ascii="Garamond" w:hAnsi="Garamond"/>
          <w:sz w:val="20"/>
          <w:szCs w:val="20"/>
        </w:rPr>
        <w:t>D.Cabras</w:t>
      </w:r>
      <w:proofErr w:type="spellEnd"/>
      <w:r w:rsidRPr="00D36F91">
        <w:rPr>
          <w:rFonts w:ascii="Garamond" w:hAnsi="Garamond"/>
          <w:sz w:val="20"/>
          <w:szCs w:val="20"/>
        </w:rPr>
        <w:t>,</w:t>
      </w:r>
      <w:r w:rsidRPr="00D36F91">
        <w:rPr>
          <w:rFonts w:ascii="Garamond" w:hAnsi="Garamond" w:cs="TimesNewRomanPS-ItalicMT"/>
          <w:i/>
          <w:iCs/>
          <w:sz w:val="20"/>
          <w:szCs w:val="20"/>
        </w:rPr>
        <w:t xml:space="preserve"> Un Fiscal </w:t>
      </w:r>
      <w:proofErr w:type="spellStart"/>
      <w:r w:rsidRPr="00D36F91">
        <w:rPr>
          <w:rFonts w:ascii="Garamond" w:hAnsi="Garamond" w:cs="TimesNewRomanPS-ItalicMT"/>
          <w:i/>
          <w:iCs/>
          <w:sz w:val="20"/>
          <w:szCs w:val="20"/>
        </w:rPr>
        <w:t>Council</w:t>
      </w:r>
      <w:proofErr w:type="spellEnd"/>
      <w:r w:rsidRPr="00D36F91">
        <w:rPr>
          <w:rFonts w:ascii="Garamond" w:hAnsi="Garamond" w:cs="TimesNewRomanPS-ItalicMT"/>
          <w:i/>
          <w:iCs/>
          <w:sz w:val="20"/>
          <w:szCs w:val="20"/>
        </w:rPr>
        <w:t xml:space="preserve"> in Parlamento</w:t>
      </w:r>
      <w:r w:rsidRPr="00D36F91">
        <w:rPr>
          <w:rFonts w:ascii="Garamond" w:hAnsi="Garamond" w:cs="TimesNewRomanPSMT"/>
          <w:sz w:val="20"/>
          <w:szCs w:val="20"/>
        </w:rPr>
        <w:t xml:space="preserve">, in </w:t>
      </w:r>
      <w:r w:rsidRPr="00D36F91">
        <w:rPr>
          <w:rFonts w:ascii="Garamond" w:hAnsi="Garamond" w:cs="TimesNewRomanPS-ItalicMT"/>
          <w:i/>
          <w:iCs/>
          <w:sz w:val="20"/>
          <w:szCs w:val="20"/>
        </w:rPr>
        <w:t>www.federalismi.it</w:t>
      </w:r>
      <w:r w:rsidRPr="00D36F91">
        <w:rPr>
          <w:rFonts w:ascii="Garamond" w:hAnsi="Garamond" w:cs="TimesNewRomanPSMT"/>
          <w:sz w:val="20"/>
          <w:szCs w:val="20"/>
        </w:rPr>
        <w:t>, 17 ottobre 2012;</w:t>
      </w:r>
      <w:r w:rsidRPr="00D36F91">
        <w:rPr>
          <w:rFonts w:ascii="Garamond" w:hAnsi="Garamond"/>
          <w:sz w:val="20"/>
          <w:szCs w:val="20"/>
        </w:rPr>
        <w:t xml:space="preserve"> p.11.Oltre al noto </w:t>
      </w:r>
      <w:proofErr w:type="spellStart"/>
      <w:r w:rsidRPr="00D36F91">
        <w:rPr>
          <w:rFonts w:ascii="Garamond" w:hAnsi="Garamond"/>
          <w:i/>
          <w:iCs/>
          <w:sz w:val="20"/>
          <w:szCs w:val="20"/>
        </w:rPr>
        <w:t>Congressional</w:t>
      </w:r>
      <w:proofErr w:type="spellEnd"/>
      <w:r w:rsidRPr="00D36F91">
        <w:rPr>
          <w:rFonts w:ascii="Garamond" w:hAnsi="Garamond"/>
          <w:i/>
          <w:iCs/>
          <w:sz w:val="20"/>
          <w:szCs w:val="20"/>
        </w:rPr>
        <w:t xml:space="preserve"> Budget Office </w:t>
      </w:r>
      <w:r w:rsidRPr="00D36F91">
        <w:rPr>
          <w:rFonts w:ascii="Garamond" w:hAnsi="Garamond"/>
          <w:sz w:val="20"/>
          <w:szCs w:val="20"/>
        </w:rPr>
        <w:t xml:space="preserve">(CBO),istituito il 12 luglio 1974 con la promulgazione del </w:t>
      </w:r>
      <w:proofErr w:type="spellStart"/>
      <w:r w:rsidRPr="00D36F91">
        <w:rPr>
          <w:rFonts w:ascii="Garamond" w:hAnsi="Garamond"/>
          <w:i/>
          <w:iCs/>
          <w:sz w:val="20"/>
          <w:szCs w:val="20"/>
        </w:rPr>
        <w:t>Congressional</w:t>
      </w:r>
      <w:proofErr w:type="spellEnd"/>
      <w:r w:rsidRPr="00D36F91">
        <w:rPr>
          <w:rFonts w:ascii="Garamond" w:hAnsi="Garamond"/>
          <w:i/>
          <w:iCs/>
          <w:sz w:val="20"/>
          <w:szCs w:val="20"/>
        </w:rPr>
        <w:t xml:space="preserve"> Budget and </w:t>
      </w:r>
      <w:proofErr w:type="spellStart"/>
      <w:r w:rsidRPr="00D36F91">
        <w:rPr>
          <w:rFonts w:ascii="Garamond" w:hAnsi="Garamond"/>
          <w:i/>
          <w:iCs/>
          <w:sz w:val="20"/>
          <w:szCs w:val="20"/>
        </w:rPr>
        <w:t>Impoundment</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Control</w:t>
      </w:r>
      <w:proofErr w:type="spellEnd"/>
      <w:r w:rsidRPr="00D36F91">
        <w:rPr>
          <w:rFonts w:ascii="Garamond" w:hAnsi="Garamond"/>
          <w:i/>
          <w:iCs/>
          <w:sz w:val="20"/>
          <w:szCs w:val="20"/>
        </w:rPr>
        <w:t xml:space="preserve"> </w:t>
      </w:r>
      <w:proofErr w:type="spellStart"/>
      <w:r w:rsidRPr="00D36F91">
        <w:rPr>
          <w:rFonts w:ascii="Garamond" w:hAnsi="Garamond"/>
          <w:i/>
          <w:iCs/>
          <w:sz w:val="20"/>
          <w:szCs w:val="20"/>
        </w:rPr>
        <w:t>Act</w:t>
      </w:r>
      <w:proofErr w:type="spellEnd"/>
      <w:r w:rsidRPr="00D36F91">
        <w:rPr>
          <w:rFonts w:ascii="Garamond" w:hAnsi="Garamond"/>
          <w:i/>
          <w:iCs/>
          <w:sz w:val="20"/>
          <w:szCs w:val="20"/>
        </w:rPr>
        <w:t xml:space="preserve">, si rilevano numerosissimi fiscal </w:t>
      </w:r>
      <w:proofErr w:type="spellStart"/>
      <w:r w:rsidRPr="00D36F91">
        <w:rPr>
          <w:rFonts w:ascii="Garamond" w:hAnsi="Garamond"/>
          <w:i/>
          <w:iCs/>
          <w:sz w:val="20"/>
          <w:szCs w:val="20"/>
        </w:rPr>
        <w:t>council</w:t>
      </w:r>
      <w:proofErr w:type="spellEnd"/>
      <w:r w:rsidRPr="00D36F91">
        <w:rPr>
          <w:rFonts w:ascii="Garamond" w:hAnsi="Garamond"/>
          <w:i/>
          <w:iCs/>
          <w:sz w:val="20"/>
          <w:szCs w:val="20"/>
        </w:rPr>
        <w:t xml:space="preserve"> proliferati soprattutto all’insorgere della crisi finanziaria. Ad esempio,</w:t>
      </w:r>
      <w:r w:rsidRPr="00D36F91">
        <w:rPr>
          <w:rFonts w:ascii="Garamond" w:hAnsi="Garamond" w:cs="Century"/>
          <w:sz w:val="20"/>
          <w:szCs w:val="20"/>
        </w:rPr>
        <w:t xml:space="preserve"> in Canada nel 2008 con il </w:t>
      </w:r>
      <w:proofErr w:type="spellStart"/>
      <w:r w:rsidRPr="00D36F91">
        <w:rPr>
          <w:rFonts w:ascii="Garamond" w:hAnsi="Garamond" w:cs="Century"/>
          <w:sz w:val="20"/>
          <w:szCs w:val="20"/>
        </w:rPr>
        <w:t>Federal</w:t>
      </w:r>
      <w:proofErr w:type="spellEnd"/>
      <w:r w:rsidRPr="00D36F91">
        <w:rPr>
          <w:rFonts w:ascii="Garamond" w:hAnsi="Garamond" w:cs="Century"/>
          <w:sz w:val="20"/>
          <w:szCs w:val="20"/>
        </w:rPr>
        <w:t xml:space="preserve"> </w:t>
      </w:r>
      <w:proofErr w:type="spellStart"/>
      <w:r w:rsidRPr="00D36F91">
        <w:rPr>
          <w:rFonts w:ascii="Garamond" w:hAnsi="Garamond" w:cs="Century"/>
          <w:sz w:val="20"/>
          <w:szCs w:val="20"/>
        </w:rPr>
        <w:t>Accountability</w:t>
      </w:r>
      <w:proofErr w:type="spellEnd"/>
      <w:r w:rsidRPr="00D36F91">
        <w:rPr>
          <w:rFonts w:ascii="Garamond" w:hAnsi="Garamond" w:cs="Century"/>
          <w:sz w:val="20"/>
          <w:szCs w:val="20"/>
        </w:rPr>
        <w:t xml:space="preserve"> </w:t>
      </w:r>
      <w:proofErr w:type="spellStart"/>
      <w:r w:rsidRPr="00D36F91">
        <w:rPr>
          <w:rFonts w:ascii="Garamond" w:hAnsi="Garamond" w:cs="Century"/>
          <w:sz w:val="20"/>
          <w:szCs w:val="20"/>
        </w:rPr>
        <w:t>Act</w:t>
      </w:r>
      <w:proofErr w:type="spellEnd"/>
      <w:r w:rsidRPr="00D36F91">
        <w:rPr>
          <w:rFonts w:ascii="Garamond" w:hAnsi="Garamond" w:cs="Century"/>
          <w:sz w:val="20"/>
          <w:szCs w:val="20"/>
        </w:rPr>
        <w:t xml:space="preserve"> si crea il </w:t>
      </w:r>
      <w:proofErr w:type="spellStart"/>
      <w:r w:rsidRPr="00D36F91">
        <w:rPr>
          <w:rFonts w:ascii="Garamond" w:hAnsi="Garamond" w:cs="Century"/>
          <w:sz w:val="20"/>
          <w:szCs w:val="20"/>
        </w:rPr>
        <w:t>Parliamentary</w:t>
      </w:r>
      <w:proofErr w:type="spellEnd"/>
      <w:r w:rsidRPr="00D36F91">
        <w:rPr>
          <w:rFonts w:ascii="Garamond" w:hAnsi="Garamond" w:cs="Century"/>
          <w:sz w:val="20"/>
          <w:szCs w:val="20"/>
        </w:rPr>
        <w:t xml:space="preserve"> Budget Office (PBO). Anche i</w:t>
      </w:r>
      <w:r w:rsidRPr="00D36F91">
        <w:rPr>
          <w:rFonts w:ascii="Garamond" w:hAnsi="Garamond"/>
          <w:sz w:val="20"/>
          <w:szCs w:val="20"/>
        </w:rPr>
        <w:t xml:space="preserve">n ambito europeo è ampiamente diffuso il modello del fiscal </w:t>
      </w:r>
      <w:proofErr w:type="spellStart"/>
      <w:r w:rsidRPr="00D36F91">
        <w:rPr>
          <w:rFonts w:ascii="Garamond" w:hAnsi="Garamond"/>
          <w:sz w:val="20"/>
          <w:szCs w:val="20"/>
        </w:rPr>
        <w:t>Council</w:t>
      </w:r>
      <w:proofErr w:type="spellEnd"/>
      <w:r w:rsidRPr="00D36F91">
        <w:rPr>
          <w:rFonts w:ascii="Garamond" w:hAnsi="Garamond"/>
          <w:sz w:val="20"/>
          <w:szCs w:val="20"/>
        </w:rPr>
        <w:t xml:space="preserve">. In alcuni stati, quali ad esempio,Belgio, Austria e Germania, ve ne è più di uno. In Europa i primi </w:t>
      </w:r>
      <w:r w:rsidRPr="00D36F91">
        <w:rPr>
          <w:rFonts w:ascii="Garamond" w:hAnsi="Garamond"/>
          <w:i/>
          <w:iCs/>
          <w:sz w:val="20"/>
          <w:szCs w:val="20"/>
        </w:rPr>
        <w:t xml:space="preserve">fiscal </w:t>
      </w:r>
      <w:proofErr w:type="spellStart"/>
      <w:r w:rsidRPr="00D36F91">
        <w:rPr>
          <w:rFonts w:ascii="Garamond" w:hAnsi="Garamond"/>
          <w:i/>
          <w:iCs/>
          <w:sz w:val="20"/>
          <w:szCs w:val="20"/>
        </w:rPr>
        <w:t>council</w:t>
      </w:r>
      <w:proofErr w:type="spellEnd"/>
      <w:r w:rsidRPr="00D36F91">
        <w:rPr>
          <w:rFonts w:ascii="Garamond" w:hAnsi="Garamond"/>
          <w:i/>
          <w:iCs/>
          <w:sz w:val="20"/>
          <w:szCs w:val="20"/>
        </w:rPr>
        <w:t xml:space="preserve">  nascono negli anni 40 e 50, come ad esempio </w:t>
      </w:r>
      <w:r w:rsidRPr="00D36F91">
        <w:rPr>
          <w:rFonts w:ascii="Garamond" w:hAnsi="Garamond"/>
          <w:sz w:val="20"/>
          <w:szCs w:val="20"/>
        </w:rPr>
        <w:t xml:space="preserve">il CPB in Olanda, nel 1947, e il </w:t>
      </w:r>
      <w:proofErr w:type="spellStart"/>
      <w:r w:rsidRPr="00D36F91">
        <w:rPr>
          <w:rFonts w:ascii="Garamond" w:hAnsi="Garamond"/>
          <w:sz w:val="20"/>
          <w:szCs w:val="20"/>
        </w:rPr>
        <w:t>Working</w:t>
      </w:r>
      <w:proofErr w:type="spellEnd"/>
      <w:r w:rsidRPr="00D36F91">
        <w:rPr>
          <w:rFonts w:ascii="Garamond" w:hAnsi="Garamond"/>
          <w:sz w:val="20"/>
          <w:szCs w:val="20"/>
        </w:rPr>
        <w:t xml:space="preserve"> Party on </w:t>
      </w:r>
      <w:proofErr w:type="spellStart"/>
      <w:r w:rsidRPr="00D36F91">
        <w:rPr>
          <w:rFonts w:ascii="Garamond" w:hAnsi="Garamond"/>
          <w:sz w:val="20"/>
          <w:szCs w:val="20"/>
        </w:rPr>
        <w:t>Tax</w:t>
      </w:r>
      <w:proofErr w:type="spellEnd"/>
      <w:r w:rsidRPr="00D36F91">
        <w:rPr>
          <w:rFonts w:ascii="Garamond" w:hAnsi="Garamond"/>
          <w:sz w:val="20"/>
          <w:szCs w:val="20"/>
        </w:rPr>
        <w:t xml:space="preserve"> </w:t>
      </w:r>
      <w:proofErr w:type="spellStart"/>
      <w:r w:rsidRPr="00D36F91">
        <w:rPr>
          <w:rFonts w:ascii="Garamond" w:hAnsi="Garamond"/>
          <w:sz w:val="20"/>
          <w:szCs w:val="20"/>
        </w:rPr>
        <w:t>Revenue</w:t>
      </w:r>
      <w:proofErr w:type="spellEnd"/>
      <w:r w:rsidRPr="00D36F91">
        <w:rPr>
          <w:rFonts w:ascii="Garamond" w:hAnsi="Garamond"/>
          <w:sz w:val="20"/>
          <w:szCs w:val="20"/>
        </w:rPr>
        <w:t xml:space="preserve"> </w:t>
      </w:r>
      <w:proofErr w:type="spellStart"/>
      <w:r w:rsidRPr="00D36F91">
        <w:rPr>
          <w:rFonts w:ascii="Garamond" w:hAnsi="Garamond"/>
          <w:sz w:val="20"/>
          <w:szCs w:val="20"/>
        </w:rPr>
        <w:t>Forecasting</w:t>
      </w:r>
      <w:proofErr w:type="spellEnd"/>
      <w:r w:rsidRPr="00D36F91">
        <w:rPr>
          <w:rFonts w:ascii="Garamond" w:hAnsi="Garamond"/>
          <w:sz w:val="20"/>
          <w:szCs w:val="20"/>
        </w:rPr>
        <w:t>, in Germania nel 1955. In particolare in seguito alla crisi si è intensificato il ricorso a tali organismi indipendenti: la Svezia nel 2007, l’Ungheria nel 2009, la Slovenia nel 2010, il Regno Unito nel 2010-2011, il Portogallo e l’Irlanda nel 2011.</w:t>
      </w:r>
      <w:r w:rsidRPr="00D36F91">
        <w:rPr>
          <w:rFonts w:ascii="Garamond" w:hAnsi="Garamond" w:cs="Century"/>
          <w:sz w:val="20"/>
          <w:szCs w:val="20"/>
        </w:rPr>
        <w:t xml:space="preserve"> Si veda </w:t>
      </w:r>
      <w:proofErr w:type="spellStart"/>
      <w:r w:rsidRPr="00D36F91">
        <w:rPr>
          <w:rFonts w:ascii="Garamond" w:hAnsi="Garamond" w:cs="Century"/>
          <w:sz w:val="20"/>
          <w:szCs w:val="20"/>
        </w:rPr>
        <w:t>L.Landi</w:t>
      </w:r>
      <w:proofErr w:type="spellEnd"/>
      <w:r w:rsidRPr="00D36F91">
        <w:rPr>
          <w:rFonts w:ascii="Garamond" w:hAnsi="Garamond" w:cs="Century"/>
          <w:sz w:val="20"/>
          <w:szCs w:val="20"/>
        </w:rPr>
        <w:t xml:space="preserve">, </w:t>
      </w:r>
      <w:r w:rsidRPr="00D36F91">
        <w:rPr>
          <w:rFonts w:ascii="Garamond" w:hAnsi="Garamond" w:cs="Century"/>
          <w:i/>
          <w:iCs/>
          <w:sz w:val="20"/>
          <w:szCs w:val="20"/>
        </w:rPr>
        <w:t xml:space="preserve">Fiscal </w:t>
      </w:r>
      <w:proofErr w:type="spellStart"/>
      <w:r w:rsidRPr="00D36F91">
        <w:rPr>
          <w:rFonts w:ascii="Garamond" w:hAnsi="Garamond" w:cs="Century"/>
          <w:i/>
          <w:iCs/>
          <w:sz w:val="20"/>
          <w:szCs w:val="20"/>
        </w:rPr>
        <w:t>council</w:t>
      </w:r>
      <w:proofErr w:type="spellEnd"/>
      <w:r w:rsidRPr="00D36F91">
        <w:rPr>
          <w:rFonts w:ascii="Garamond" w:hAnsi="Garamond" w:cs="Century"/>
          <w:i/>
          <w:iCs/>
          <w:sz w:val="20"/>
          <w:szCs w:val="20"/>
        </w:rPr>
        <w:t xml:space="preserve">, </w:t>
      </w:r>
      <w:r w:rsidRPr="00D36F91">
        <w:rPr>
          <w:rFonts w:ascii="Garamond" w:hAnsi="Garamond" w:cs="Century"/>
          <w:sz w:val="20"/>
          <w:szCs w:val="20"/>
        </w:rPr>
        <w:t>cit., p. 4 e ss</w:t>
      </w:r>
    </w:p>
  </w:footnote>
  <w:footnote w:id="62">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In particolare l'art. 4, comma 5, della Direttiva 2011/85/UE dell' 8 novembre 2011 e il Regolamento del Parlamento europeo e del Consiglio COM(2011) 821, nell’ambito delle disposizioni comuni per il monitoraggio e la valutazione dei documenti programmatici di bilancio e per la correzione dei disavanzi eccessivi, evidenziano la necessità di istituire un'autorità indipendente per la vigilanza ex ante ed ex post sugli andamenti di finanza pubblica</w:t>
      </w:r>
    </w:p>
  </w:footnote>
  <w:footnote w:id="63">
    <w:p w:rsidR="0005296D" w:rsidRPr="00D36F91" w:rsidRDefault="0005296D" w:rsidP="002B28BE">
      <w:pPr>
        <w:pStyle w:val="Default"/>
        <w:jc w:val="both"/>
        <w:rPr>
          <w:rFonts w:ascii="Garamond" w:hAnsi="Garamond"/>
          <w:color w:val="auto"/>
          <w:sz w:val="20"/>
          <w:szCs w:val="20"/>
        </w:rPr>
      </w:pPr>
      <w:r w:rsidRPr="00D36F91">
        <w:rPr>
          <w:rStyle w:val="Rimandonotaapidipagina"/>
          <w:rFonts w:ascii="Garamond" w:hAnsi="Garamond"/>
          <w:color w:val="auto"/>
          <w:sz w:val="20"/>
          <w:szCs w:val="20"/>
        </w:rPr>
        <w:footnoteRef/>
      </w:r>
      <w:r w:rsidRPr="00D36F91">
        <w:rPr>
          <w:rFonts w:ascii="Garamond" w:hAnsi="Garamond"/>
          <w:color w:val="auto"/>
          <w:sz w:val="20"/>
          <w:szCs w:val="20"/>
        </w:rPr>
        <w:t xml:space="preserve"> I Common </w:t>
      </w:r>
      <w:proofErr w:type="spellStart"/>
      <w:r w:rsidRPr="00D36F91">
        <w:rPr>
          <w:rFonts w:ascii="Garamond" w:hAnsi="Garamond"/>
          <w:color w:val="auto"/>
          <w:sz w:val="20"/>
          <w:szCs w:val="20"/>
        </w:rPr>
        <w:t>Principles</w:t>
      </w:r>
      <w:proofErr w:type="spellEnd"/>
      <w:r w:rsidRPr="00D36F91">
        <w:rPr>
          <w:rFonts w:ascii="Garamond" w:hAnsi="Garamond"/>
          <w:color w:val="auto"/>
          <w:sz w:val="20"/>
          <w:szCs w:val="20"/>
        </w:rPr>
        <w:t xml:space="preserve">, proposti dalla Commissione europea stati adottati dall’ECOFIN il 22 giugno 2012. Si tratta dei requisiti relativi all’ indipendenza, al personale, alle funzioni,alle risorse finanziarie, alla pubblicità delle analisi svolte. Cfr. COM (2012) 342 </w:t>
      </w:r>
      <w:proofErr w:type="spellStart"/>
      <w:r w:rsidRPr="00D36F91">
        <w:rPr>
          <w:rFonts w:ascii="Garamond" w:hAnsi="Garamond"/>
          <w:color w:val="auto"/>
          <w:sz w:val="20"/>
          <w:szCs w:val="20"/>
        </w:rPr>
        <w:t>final</w:t>
      </w:r>
      <w:proofErr w:type="spellEnd"/>
      <w:r w:rsidRPr="00D36F91">
        <w:rPr>
          <w:rFonts w:ascii="Garamond" w:hAnsi="Garamond"/>
          <w:color w:val="auto"/>
          <w:sz w:val="20"/>
          <w:szCs w:val="20"/>
        </w:rPr>
        <w:t xml:space="preserve">: "Common </w:t>
      </w:r>
      <w:proofErr w:type="spellStart"/>
      <w:r w:rsidRPr="00D36F91">
        <w:rPr>
          <w:rFonts w:ascii="Garamond" w:hAnsi="Garamond"/>
          <w:color w:val="auto"/>
          <w:sz w:val="20"/>
          <w:szCs w:val="20"/>
        </w:rPr>
        <w:t>principles</w:t>
      </w:r>
      <w:proofErr w:type="spellEnd"/>
      <w:r w:rsidRPr="00D36F91">
        <w:rPr>
          <w:rFonts w:ascii="Garamond" w:hAnsi="Garamond"/>
          <w:color w:val="auto"/>
          <w:sz w:val="20"/>
          <w:szCs w:val="20"/>
        </w:rPr>
        <w:t xml:space="preserve"> on </w:t>
      </w:r>
      <w:proofErr w:type="spellStart"/>
      <w:r w:rsidRPr="00D36F91">
        <w:rPr>
          <w:rFonts w:ascii="Garamond" w:hAnsi="Garamond"/>
          <w:color w:val="auto"/>
          <w:sz w:val="20"/>
          <w:szCs w:val="20"/>
        </w:rPr>
        <w:t>national</w:t>
      </w:r>
      <w:proofErr w:type="spellEnd"/>
      <w:r w:rsidRPr="00D36F91">
        <w:rPr>
          <w:rFonts w:ascii="Garamond" w:hAnsi="Garamond"/>
          <w:color w:val="auto"/>
          <w:sz w:val="20"/>
          <w:szCs w:val="20"/>
        </w:rPr>
        <w:t xml:space="preserve"> fiscal </w:t>
      </w:r>
      <w:proofErr w:type="spellStart"/>
      <w:r w:rsidRPr="00D36F91">
        <w:rPr>
          <w:rFonts w:ascii="Garamond" w:hAnsi="Garamond"/>
          <w:color w:val="auto"/>
          <w:sz w:val="20"/>
          <w:szCs w:val="20"/>
        </w:rPr>
        <w:t>correction</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mechanisms</w:t>
      </w:r>
      <w:proofErr w:type="spellEnd"/>
      <w:r w:rsidRPr="00D36F91">
        <w:rPr>
          <w:rFonts w:ascii="Garamond" w:hAnsi="Garamond"/>
          <w:color w:val="auto"/>
          <w:sz w:val="20"/>
          <w:szCs w:val="20"/>
        </w:rPr>
        <w:t xml:space="preserve">", </w:t>
      </w:r>
      <w:hyperlink r:id="rId11" w:history="1">
        <w:r w:rsidRPr="00D36F91">
          <w:rPr>
            <w:rStyle w:val="Collegamentoipertestuale"/>
            <w:rFonts w:ascii="Garamond" w:hAnsi="Garamond"/>
            <w:color w:val="auto"/>
            <w:sz w:val="20"/>
            <w:szCs w:val="20"/>
          </w:rPr>
          <w:t>http://eur-lex.europa.eu/LexUriServ/LexUriServ.do?uri=COM:2012:0342:FIN:EN:PDF</w:t>
        </w:r>
      </w:hyperlink>
      <w:r w:rsidRPr="00D36F91">
        <w:rPr>
          <w:rFonts w:ascii="Garamond" w:hAnsi="Garamond"/>
          <w:color w:val="auto"/>
          <w:sz w:val="20"/>
          <w:szCs w:val="20"/>
        </w:rPr>
        <w:t xml:space="preserve">; Regolamento (UE) n. 473/2013 del Parlamento europeo e del Consiglio del 21 maggio 2013 sulle disposizioni comuni per il monitoraggio e la valutazione dei documenti programmatici di bilancio e per la correzione dei disavanzi eccessivi negli stati membri della zona euro, in GUUE l 140 del 27 maggio 2013; per una disamina delle caratteristiche del Fiscal </w:t>
      </w:r>
      <w:proofErr w:type="spellStart"/>
      <w:r w:rsidRPr="00D36F91">
        <w:rPr>
          <w:rFonts w:ascii="Garamond" w:hAnsi="Garamond"/>
          <w:color w:val="auto"/>
          <w:sz w:val="20"/>
          <w:szCs w:val="20"/>
        </w:rPr>
        <w:t>council</w:t>
      </w:r>
      <w:proofErr w:type="spellEnd"/>
      <w:r w:rsidRPr="00D36F91">
        <w:rPr>
          <w:rFonts w:ascii="Garamond" w:hAnsi="Garamond"/>
          <w:color w:val="auto"/>
          <w:sz w:val="20"/>
          <w:szCs w:val="20"/>
        </w:rPr>
        <w:t xml:space="preserve">, in ambito internazionale ed europeo , oltre che nel nostro ordinamento si veda </w:t>
      </w:r>
      <w:proofErr w:type="spellStart"/>
      <w:r w:rsidRPr="00D36F91">
        <w:rPr>
          <w:rFonts w:ascii="Garamond" w:hAnsi="Garamond"/>
          <w:color w:val="auto"/>
          <w:sz w:val="20"/>
          <w:szCs w:val="20"/>
        </w:rPr>
        <w:t>R.Loiero</w:t>
      </w:r>
      <w:proofErr w:type="spellEnd"/>
      <w:r w:rsidRPr="00D36F91">
        <w:rPr>
          <w:rFonts w:ascii="Garamond" w:hAnsi="Garamond"/>
          <w:color w:val="auto"/>
          <w:sz w:val="20"/>
          <w:szCs w:val="20"/>
        </w:rPr>
        <w:t xml:space="preserve">, </w:t>
      </w:r>
      <w:r w:rsidRPr="00D36F91">
        <w:rPr>
          <w:rFonts w:ascii="Garamond" w:hAnsi="Garamond"/>
          <w:i/>
          <w:iCs/>
          <w:color w:val="auto"/>
          <w:sz w:val="20"/>
          <w:szCs w:val="20"/>
        </w:rPr>
        <w:t xml:space="preserve">La nuova </w:t>
      </w:r>
      <w:proofErr w:type="spellStart"/>
      <w:r w:rsidRPr="00D36F91">
        <w:rPr>
          <w:rFonts w:ascii="Garamond" w:hAnsi="Garamond"/>
          <w:i/>
          <w:iCs/>
          <w:color w:val="auto"/>
          <w:sz w:val="20"/>
          <w:szCs w:val="20"/>
        </w:rPr>
        <w:t>governance</w:t>
      </w:r>
      <w:proofErr w:type="spellEnd"/>
      <w:r w:rsidRPr="00D36F91">
        <w:rPr>
          <w:rFonts w:ascii="Garamond" w:hAnsi="Garamond"/>
          <w:i/>
          <w:iCs/>
          <w:color w:val="auto"/>
          <w:sz w:val="20"/>
          <w:szCs w:val="20"/>
        </w:rPr>
        <w:t xml:space="preserve"> europea di finanza pubblica e il ruolo dell'ufficio parlamentare di bilancio</w:t>
      </w:r>
      <w:r w:rsidRPr="00D36F91">
        <w:rPr>
          <w:rFonts w:ascii="Garamond" w:hAnsi="Garamond"/>
          <w:color w:val="auto"/>
          <w:sz w:val="20"/>
          <w:szCs w:val="20"/>
        </w:rPr>
        <w:t xml:space="preserve">, in </w:t>
      </w:r>
      <w:hyperlink r:id="rId12" w:history="1">
        <w:r w:rsidRPr="00D36F91">
          <w:rPr>
            <w:rStyle w:val="Collegamentoipertestuale"/>
            <w:rFonts w:ascii="Garamond" w:hAnsi="Garamond"/>
            <w:color w:val="auto"/>
            <w:sz w:val="20"/>
            <w:szCs w:val="20"/>
          </w:rPr>
          <w:t>www.federalismi.it,31luglio</w:t>
        </w:r>
      </w:hyperlink>
      <w:r w:rsidRPr="00D36F91">
        <w:rPr>
          <w:rFonts w:ascii="Garamond" w:hAnsi="Garamond"/>
          <w:color w:val="auto"/>
          <w:sz w:val="20"/>
          <w:szCs w:val="20"/>
        </w:rPr>
        <w:t xml:space="preserve"> 2013 </w:t>
      </w:r>
      <w:r w:rsidRPr="00D36F91">
        <w:rPr>
          <w:rFonts w:ascii="Garamond" w:hAnsi="Garamond" w:cs="TimesNewRomanPSMT"/>
          <w:color w:val="auto"/>
          <w:sz w:val="20"/>
          <w:szCs w:val="20"/>
        </w:rPr>
        <w:t xml:space="preserve"> ;D. CABRAS, </w:t>
      </w:r>
      <w:r w:rsidRPr="00D36F91">
        <w:rPr>
          <w:rFonts w:ascii="Garamond" w:hAnsi="Garamond" w:cs="TimesNewRomanPS-ItalicMT"/>
          <w:i/>
          <w:iCs/>
          <w:color w:val="auto"/>
          <w:sz w:val="20"/>
          <w:szCs w:val="20"/>
        </w:rPr>
        <w:t xml:space="preserve">Un Fiscal </w:t>
      </w:r>
      <w:proofErr w:type="spellStart"/>
      <w:r w:rsidRPr="00D36F91">
        <w:rPr>
          <w:rFonts w:ascii="Garamond" w:hAnsi="Garamond" w:cs="TimesNewRomanPS-ItalicMT"/>
          <w:i/>
          <w:iCs/>
          <w:color w:val="auto"/>
          <w:sz w:val="20"/>
          <w:szCs w:val="20"/>
        </w:rPr>
        <w:t>Council</w:t>
      </w:r>
      <w:proofErr w:type="spellEnd"/>
      <w:r w:rsidRPr="00D36F91">
        <w:rPr>
          <w:rFonts w:ascii="Garamond" w:hAnsi="Garamond" w:cs="TimesNewRomanPS-ItalicMT"/>
          <w:i/>
          <w:iCs/>
          <w:color w:val="auto"/>
          <w:sz w:val="20"/>
          <w:szCs w:val="20"/>
        </w:rPr>
        <w:t xml:space="preserve"> in Parlamento</w:t>
      </w:r>
      <w:r w:rsidRPr="00D36F91">
        <w:rPr>
          <w:rFonts w:ascii="Garamond" w:hAnsi="Garamond" w:cs="TimesNewRomanPSMT"/>
          <w:color w:val="auto"/>
          <w:sz w:val="20"/>
          <w:szCs w:val="20"/>
        </w:rPr>
        <w:t xml:space="preserve">, in </w:t>
      </w:r>
      <w:r w:rsidRPr="00D36F91">
        <w:rPr>
          <w:rFonts w:ascii="Garamond" w:hAnsi="Garamond" w:cs="TimesNewRomanPS-ItalicMT"/>
          <w:i/>
          <w:iCs/>
          <w:color w:val="auto"/>
          <w:sz w:val="20"/>
          <w:szCs w:val="20"/>
        </w:rPr>
        <w:t>www.federalismi.it</w:t>
      </w:r>
      <w:r w:rsidRPr="00D36F91">
        <w:rPr>
          <w:rFonts w:ascii="Garamond" w:hAnsi="Garamond" w:cs="TimesNewRomanPSMT"/>
          <w:color w:val="auto"/>
          <w:sz w:val="20"/>
          <w:szCs w:val="20"/>
        </w:rPr>
        <w:t>, 17 ottobre 2012;</w:t>
      </w:r>
      <w:r w:rsidRPr="00D36F91">
        <w:rPr>
          <w:rFonts w:ascii="Garamond" w:hAnsi="Garamond"/>
          <w:color w:val="auto"/>
          <w:sz w:val="20"/>
          <w:szCs w:val="20"/>
        </w:rPr>
        <w:t xml:space="preserve"> Senato della Repubblica, Servizio del bilancio, </w:t>
      </w:r>
      <w:r w:rsidRPr="00D36F91">
        <w:rPr>
          <w:rFonts w:ascii="Garamond" w:hAnsi="Garamond"/>
          <w:i/>
          <w:iCs/>
          <w:color w:val="auto"/>
          <w:sz w:val="20"/>
          <w:szCs w:val="20"/>
        </w:rPr>
        <w:t>L'istituzione dell'Ufficio parlamentare di bilancio</w:t>
      </w:r>
      <w:r w:rsidRPr="00D36F91">
        <w:rPr>
          <w:rFonts w:ascii="Garamond" w:hAnsi="Garamond"/>
          <w:color w:val="auto"/>
          <w:sz w:val="20"/>
          <w:szCs w:val="20"/>
        </w:rPr>
        <w:t xml:space="preserve">, XVII legislatura, Nota breve n. 2, Aprile 2013 </w:t>
      </w:r>
    </w:p>
  </w:footnote>
  <w:footnote w:id="64">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L’elevata maggioranza e l’attribuzione alle Commissioni competenti per materia del compito di indicare i candidati, è finalizzata ad una convergenza su scelte basate sulla competenza dei candidati più che su ragioni di natura politica. Ciononostante non è da escludere il rischio di adottare scelte di tipo “bipartisan” in luogo di quelle auspicabili “non </w:t>
      </w:r>
      <w:proofErr w:type="spellStart"/>
      <w:r w:rsidRPr="00D36F91">
        <w:rPr>
          <w:rFonts w:ascii="Garamond" w:hAnsi="Garamond"/>
          <w:sz w:val="20"/>
          <w:szCs w:val="20"/>
        </w:rPr>
        <w:t>partisan</w:t>
      </w:r>
      <w:proofErr w:type="spellEnd"/>
      <w:r w:rsidRPr="00D36F91">
        <w:rPr>
          <w:rFonts w:ascii="Garamond" w:hAnsi="Garamond"/>
          <w:sz w:val="20"/>
          <w:szCs w:val="20"/>
        </w:rPr>
        <w:t xml:space="preserve">”, rischio che non pare poter essere scongiurato dalla circostanza che il Consiglio una volta eletto rimanga in carica per sei anni, dunque oltre l’attuale legislatura. In questo senso, </w:t>
      </w:r>
      <w:proofErr w:type="spellStart"/>
      <w:r w:rsidRPr="00D36F91">
        <w:rPr>
          <w:rFonts w:ascii="Garamond" w:hAnsi="Garamond"/>
          <w:sz w:val="20"/>
          <w:szCs w:val="20"/>
        </w:rPr>
        <w:t>M.Nardini</w:t>
      </w:r>
      <w:proofErr w:type="spellEnd"/>
      <w:r w:rsidRPr="00D36F91">
        <w:rPr>
          <w:rFonts w:ascii="Garamond" w:hAnsi="Garamond"/>
          <w:sz w:val="20"/>
          <w:szCs w:val="20"/>
        </w:rPr>
        <w:t>,</w:t>
      </w:r>
      <w:r w:rsidRPr="00D36F91">
        <w:rPr>
          <w:rFonts w:ascii="Garamond" w:hAnsi="Garamond" w:cs="TimesNewRomanPS-BoldMT"/>
          <w:sz w:val="20"/>
          <w:szCs w:val="20"/>
        </w:rPr>
        <w:t xml:space="preserve"> La legge n. 243/2012 e l’adeguamento dell’ordinamento nazionale alle regole europee di bilancio, in </w:t>
      </w:r>
      <w:proofErr w:type="spellStart"/>
      <w:r w:rsidRPr="00D36F91">
        <w:rPr>
          <w:rFonts w:ascii="Garamond" w:hAnsi="Garamond" w:cs="TimesNewRomanPS-BoldMT"/>
          <w:i/>
          <w:iCs/>
          <w:sz w:val="20"/>
          <w:szCs w:val="20"/>
        </w:rPr>
        <w:t>Osservatoriosullefonti</w:t>
      </w:r>
      <w:proofErr w:type="spellEnd"/>
      <w:r w:rsidRPr="00D36F91">
        <w:rPr>
          <w:rFonts w:ascii="Garamond" w:hAnsi="Garamond" w:cs="TimesNewRomanPS-BoldMT"/>
          <w:sz w:val="20"/>
          <w:szCs w:val="20"/>
        </w:rPr>
        <w:t>, fasc.1/2013, p.19; più ampiamente s</w:t>
      </w:r>
      <w:r w:rsidRPr="00D36F91">
        <w:rPr>
          <w:rFonts w:ascii="Garamond" w:hAnsi="Garamond"/>
          <w:sz w:val="20"/>
          <w:szCs w:val="20"/>
        </w:rPr>
        <w:t xml:space="preserve">i veda </w:t>
      </w:r>
      <w:proofErr w:type="spellStart"/>
      <w:r w:rsidRPr="00D36F91">
        <w:rPr>
          <w:rFonts w:ascii="Garamond" w:hAnsi="Garamond"/>
          <w:sz w:val="20"/>
          <w:szCs w:val="20"/>
        </w:rPr>
        <w:t>R.Hagemann</w:t>
      </w:r>
      <w:proofErr w:type="spellEnd"/>
      <w:r w:rsidRPr="00D36F91">
        <w:rPr>
          <w:rFonts w:ascii="Garamond" w:hAnsi="Garamond"/>
          <w:i/>
          <w:iCs/>
          <w:sz w:val="20"/>
          <w:szCs w:val="20"/>
        </w:rPr>
        <w:t>,</w:t>
      </w:r>
      <w:proofErr w:type="spellStart"/>
      <w:r w:rsidRPr="00D36F91">
        <w:rPr>
          <w:rFonts w:ascii="Garamond" w:hAnsi="Garamond"/>
          <w:i/>
          <w:iCs/>
          <w:sz w:val="20"/>
          <w:szCs w:val="20"/>
        </w:rPr>
        <w:t>Improving</w:t>
      </w:r>
      <w:proofErr w:type="spellEnd"/>
      <w:r w:rsidRPr="00D36F91">
        <w:rPr>
          <w:rFonts w:ascii="Garamond" w:hAnsi="Garamond"/>
          <w:i/>
          <w:iCs/>
          <w:sz w:val="20"/>
          <w:szCs w:val="20"/>
        </w:rPr>
        <w:t xml:space="preserve"> Fiscal Performance </w:t>
      </w:r>
      <w:proofErr w:type="spellStart"/>
      <w:r w:rsidRPr="00D36F91">
        <w:rPr>
          <w:rFonts w:ascii="Garamond" w:hAnsi="Garamond"/>
          <w:i/>
          <w:iCs/>
          <w:sz w:val="20"/>
          <w:szCs w:val="20"/>
        </w:rPr>
        <w:t>Trough</w:t>
      </w:r>
      <w:proofErr w:type="spellEnd"/>
      <w:r w:rsidRPr="00D36F91">
        <w:rPr>
          <w:rFonts w:ascii="Garamond" w:hAnsi="Garamond"/>
          <w:i/>
          <w:iCs/>
          <w:sz w:val="20"/>
          <w:szCs w:val="20"/>
        </w:rPr>
        <w:t xml:space="preserve"> Fiscal </w:t>
      </w:r>
      <w:proofErr w:type="spellStart"/>
      <w:r w:rsidRPr="00D36F91">
        <w:rPr>
          <w:rFonts w:ascii="Garamond" w:hAnsi="Garamond"/>
          <w:i/>
          <w:iCs/>
          <w:sz w:val="20"/>
          <w:szCs w:val="20"/>
        </w:rPr>
        <w:t>Councils</w:t>
      </w:r>
      <w:proofErr w:type="spellEnd"/>
      <w:r w:rsidRPr="00D36F91">
        <w:rPr>
          <w:rFonts w:ascii="Garamond" w:hAnsi="Garamond"/>
          <w:i/>
          <w:iCs/>
          <w:sz w:val="20"/>
          <w:szCs w:val="20"/>
        </w:rPr>
        <w:t xml:space="preserve">, </w:t>
      </w:r>
      <w:r w:rsidRPr="00D36F91">
        <w:rPr>
          <w:rFonts w:ascii="Garamond" w:hAnsi="Garamond"/>
          <w:sz w:val="20"/>
          <w:szCs w:val="20"/>
        </w:rPr>
        <w:t xml:space="preserve">OECD </w:t>
      </w:r>
      <w:proofErr w:type="spellStart"/>
      <w:r w:rsidRPr="00D36F91">
        <w:rPr>
          <w:rFonts w:ascii="Garamond" w:hAnsi="Garamond"/>
          <w:sz w:val="20"/>
          <w:szCs w:val="20"/>
        </w:rPr>
        <w:t>Economic</w:t>
      </w:r>
      <w:proofErr w:type="spellEnd"/>
      <w:r w:rsidRPr="00D36F91">
        <w:rPr>
          <w:rFonts w:ascii="Garamond" w:hAnsi="Garamond"/>
          <w:sz w:val="20"/>
          <w:szCs w:val="20"/>
        </w:rPr>
        <w:t xml:space="preserve"> </w:t>
      </w:r>
      <w:proofErr w:type="spellStart"/>
      <w:r w:rsidRPr="00D36F91">
        <w:rPr>
          <w:rFonts w:ascii="Garamond" w:hAnsi="Garamond"/>
          <w:sz w:val="20"/>
          <w:szCs w:val="20"/>
        </w:rPr>
        <w:t>Department</w:t>
      </w:r>
      <w:proofErr w:type="spellEnd"/>
      <w:r w:rsidRPr="00D36F91">
        <w:rPr>
          <w:rFonts w:ascii="Garamond" w:hAnsi="Garamond"/>
          <w:sz w:val="20"/>
          <w:szCs w:val="20"/>
        </w:rPr>
        <w:t xml:space="preserve"> </w:t>
      </w:r>
      <w:proofErr w:type="spellStart"/>
      <w:r w:rsidRPr="00D36F91">
        <w:rPr>
          <w:rFonts w:ascii="Garamond" w:hAnsi="Garamond"/>
          <w:sz w:val="20"/>
          <w:szCs w:val="20"/>
        </w:rPr>
        <w:t>Working</w:t>
      </w:r>
      <w:proofErr w:type="spellEnd"/>
      <w:r w:rsidRPr="00D36F91">
        <w:rPr>
          <w:rFonts w:ascii="Garamond" w:hAnsi="Garamond"/>
          <w:sz w:val="20"/>
          <w:szCs w:val="20"/>
        </w:rPr>
        <w:t xml:space="preserve"> </w:t>
      </w:r>
      <w:proofErr w:type="spellStart"/>
      <w:r w:rsidRPr="00D36F91">
        <w:rPr>
          <w:rFonts w:ascii="Garamond" w:hAnsi="Garamond"/>
          <w:sz w:val="20"/>
          <w:szCs w:val="20"/>
        </w:rPr>
        <w:t>Papers</w:t>
      </w:r>
      <w:proofErr w:type="spellEnd"/>
      <w:r w:rsidRPr="00D36F91">
        <w:rPr>
          <w:rFonts w:ascii="Garamond" w:hAnsi="Garamond"/>
          <w:sz w:val="20"/>
          <w:szCs w:val="20"/>
        </w:rPr>
        <w:t xml:space="preserve">, n. 829/ 2010, p. 5 </w:t>
      </w:r>
      <w:proofErr w:type="spellStart"/>
      <w:r w:rsidRPr="00D36F91">
        <w:rPr>
          <w:rFonts w:ascii="Garamond" w:hAnsi="Garamond"/>
          <w:sz w:val="20"/>
          <w:szCs w:val="20"/>
        </w:rPr>
        <w:t>ess</w:t>
      </w:r>
      <w:proofErr w:type="spellEnd"/>
      <w:r w:rsidRPr="00D36F91">
        <w:rPr>
          <w:rFonts w:ascii="Garamond" w:hAnsi="Garamond"/>
          <w:sz w:val="20"/>
          <w:szCs w:val="20"/>
        </w:rPr>
        <w:t xml:space="preserve">  </w:t>
      </w:r>
    </w:p>
  </w:footnote>
  <w:footnote w:id="65">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w:t>
      </w:r>
      <w:proofErr w:type="spellStart"/>
      <w:r w:rsidRPr="00D36F91">
        <w:rPr>
          <w:rFonts w:ascii="Garamond" w:hAnsi="Garamond"/>
        </w:rPr>
        <w:t>Cfr.M.P.Chiti</w:t>
      </w:r>
      <w:proofErr w:type="spellEnd"/>
      <w:r w:rsidRPr="00D36F91">
        <w:rPr>
          <w:rFonts w:ascii="Garamond" w:hAnsi="Garamond"/>
        </w:rPr>
        <w:t xml:space="preserve">, </w:t>
      </w:r>
      <w:r w:rsidRPr="00D36F91">
        <w:rPr>
          <w:rFonts w:ascii="Garamond" w:hAnsi="Garamond"/>
          <w:i/>
          <w:iCs/>
        </w:rPr>
        <w:t xml:space="preserve">L’Ufficio parlamentare di bilancio e la nuova </w:t>
      </w:r>
      <w:proofErr w:type="spellStart"/>
      <w:r w:rsidRPr="00D36F91">
        <w:rPr>
          <w:rFonts w:ascii="Garamond" w:hAnsi="Garamond"/>
          <w:i/>
          <w:iCs/>
        </w:rPr>
        <w:t>governance</w:t>
      </w:r>
      <w:proofErr w:type="spellEnd"/>
      <w:r w:rsidRPr="00D36F91">
        <w:rPr>
          <w:rFonts w:ascii="Garamond" w:hAnsi="Garamond"/>
          <w:i/>
          <w:iCs/>
        </w:rPr>
        <w:t xml:space="preserve"> della finanza pubblica</w:t>
      </w:r>
      <w:r w:rsidRPr="00D36F91">
        <w:rPr>
          <w:rFonts w:ascii="Garamond" w:hAnsi="Garamond"/>
        </w:rPr>
        <w:t>, ASTRID RASSEGNA - N.1/2014, p.8</w:t>
      </w:r>
    </w:p>
  </w:footnote>
  <w:footnote w:id="66">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Così </w:t>
      </w:r>
      <w:proofErr w:type="spellStart"/>
      <w:r w:rsidRPr="00D36F91">
        <w:rPr>
          <w:rFonts w:ascii="Garamond" w:hAnsi="Garamond"/>
        </w:rPr>
        <w:t>M.P.Chiti</w:t>
      </w:r>
      <w:proofErr w:type="spellEnd"/>
      <w:r w:rsidRPr="00D36F91">
        <w:rPr>
          <w:rFonts w:ascii="Garamond" w:hAnsi="Garamond"/>
        </w:rPr>
        <w:t xml:space="preserve">, </w:t>
      </w:r>
      <w:r w:rsidRPr="00D36F91">
        <w:rPr>
          <w:rFonts w:ascii="Garamond" w:hAnsi="Garamond"/>
          <w:i/>
          <w:iCs/>
        </w:rPr>
        <w:t>L’Ufficio parlamentare di bilancio</w:t>
      </w:r>
      <w:r w:rsidRPr="00D36F91">
        <w:rPr>
          <w:rFonts w:ascii="Garamond" w:hAnsi="Garamond"/>
        </w:rPr>
        <w:t xml:space="preserve">, </w:t>
      </w:r>
      <w:proofErr w:type="spellStart"/>
      <w:r w:rsidRPr="00D36F91">
        <w:rPr>
          <w:rFonts w:ascii="Garamond" w:hAnsi="Garamond"/>
        </w:rPr>
        <w:t>cit.p</w:t>
      </w:r>
      <w:proofErr w:type="spellEnd"/>
      <w:r w:rsidRPr="00D36F91">
        <w:rPr>
          <w:rFonts w:ascii="Garamond" w:hAnsi="Garamond"/>
        </w:rPr>
        <w:t>.8</w:t>
      </w:r>
    </w:p>
  </w:footnote>
  <w:footnote w:id="67">
    <w:p w:rsidR="0005296D" w:rsidRPr="00D36F91" w:rsidRDefault="0005296D" w:rsidP="002B28BE">
      <w:pPr>
        <w:pStyle w:val="Default"/>
        <w:jc w:val="both"/>
        <w:rPr>
          <w:rFonts w:ascii="Garamond" w:hAnsi="Garamond"/>
          <w:color w:val="auto"/>
          <w:sz w:val="20"/>
          <w:szCs w:val="20"/>
        </w:rPr>
      </w:pPr>
      <w:r w:rsidRPr="00D36F91">
        <w:rPr>
          <w:rStyle w:val="Rimandonotaapidipagina"/>
          <w:rFonts w:ascii="Garamond" w:hAnsi="Garamond"/>
          <w:color w:val="auto"/>
          <w:sz w:val="20"/>
          <w:szCs w:val="20"/>
        </w:rPr>
        <w:footnoteRef/>
      </w:r>
      <w:proofErr w:type="spellStart"/>
      <w:r w:rsidRPr="00D36F91">
        <w:rPr>
          <w:rFonts w:ascii="Garamond" w:hAnsi="Garamond"/>
          <w:color w:val="auto"/>
          <w:sz w:val="20"/>
          <w:szCs w:val="20"/>
        </w:rPr>
        <w:t>Cfr.M.P.Chiti</w:t>
      </w:r>
      <w:proofErr w:type="spellEnd"/>
      <w:r w:rsidRPr="00D36F91">
        <w:rPr>
          <w:rFonts w:ascii="Garamond" w:hAnsi="Garamond"/>
          <w:color w:val="auto"/>
          <w:sz w:val="20"/>
          <w:szCs w:val="20"/>
        </w:rPr>
        <w:t xml:space="preserve">, </w:t>
      </w:r>
      <w:r w:rsidRPr="00D36F91">
        <w:rPr>
          <w:rFonts w:ascii="Garamond" w:hAnsi="Garamond"/>
          <w:i/>
          <w:iCs/>
          <w:color w:val="auto"/>
          <w:sz w:val="20"/>
          <w:szCs w:val="20"/>
        </w:rPr>
        <w:t>L’Ufficio parlamentare di bilancio</w:t>
      </w:r>
      <w:r w:rsidRPr="00D36F91">
        <w:rPr>
          <w:rFonts w:ascii="Garamond" w:hAnsi="Garamond"/>
          <w:color w:val="auto"/>
          <w:sz w:val="20"/>
          <w:szCs w:val="20"/>
        </w:rPr>
        <w:t>, cit. p.10, europea. Dall’altro, ad un’inaccettabile delegittimazione politica del Parlamento a fronte di un’autorità tecnica e volutamente indipendente dalla politica. Neanche è stato seguito il modello “agenzia esecutiva”, che pur con quale forma di autonomia funzionale o strumentale rimane strumentale rispetto al Governo e/o al Parlamento. Il modello agenzia funziona egregiamente in alcun ordinamenti, come nel Regno Unito l’</w:t>
      </w:r>
      <w:r w:rsidRPr="00D36F91">
        <w:rPr>
          <w:rFonts w:ascii="Garamond" w:hAnsi="Garamond"/>
          <w:i/>
          <w:iCs/>
          <w:color w:val="auto"/>
          <w:sz w:val="20"/>
          <w:szCs w:val="20"/>
        </w:rPr>
        <w:t xml:space="preserve">Office </w:t>
      </w:r>
      <w:proofErr w:type="spellStart"/>
      <w:r w:rsidRPr="00D36F91">
        <w:rPr>
          <w:rFonts w:ascii="Garamond" w:hAnsi="Garamond"/>
          <w:i/>
          <w:iCs/>
          <w:color w:val="auto"/>
          <w:sz w:val="20"/>
          <w:szCs w:val="20"/>
        </w:rPr>
        <w:t>of</w:t>
      </w:r>
      <w:proofErr w:type="spellEnd"/>
      <w:r w:rsidRPr="00D36F91">
        <w:rPr>
          <w:rFonts w:ascii="Garamond" w:hAnsi="Garamond"/>
          <w:i/>
          <w:iCs/>
          <w:color w:val="auto"/>
          <w:sz w:val="20"/>
          <w:szCs w:val="20"/>
        </w:rPr>
        <w:t xml:space="preserve"> Budget </w:t>
      </w:r>
      <w:proofErr w:type="spellStart"/>
      <w:r w:rsidRPr="00D36F91">
        <w:rPr>
          <w:rFonts w:ascii="Garamond" w:hAnsi="Garamond"/>
          <w:i/>
          <w:iCs/>
          <w:color w:val="auto"/>
          <w:sz w:val="20"/>
          <w:szCs w:val="20"/>
        </w:rPr>
        <w:t>Responsability</w:t>
      </w:r>
      <w:proofErr w:type="spellEnd"/>
      <w:r w:rsidRPr="00D36F91">
        <w:rPr>
          <w:rFonts w:ascii="Garamond" w:hAnsi="Garamond"/>
          <w:i/>
          <w:iCs/>
          <w:color w:val="auto"/>
          <w:sz w:val="20"/>
          <w:szCs w:val="20"/>
        </w:rPr>
        <w:t xml:space="preserve"> </w:t>
      </w:r>
      <w:r w:rsidRPr="00D36F91">
        <w:rPr>
          <w:rFonts w:ascii="Garamond" w:hAnsi="Garamond"/>
          <w:color w:val="auto"/>
          <w:sz w:val="20"/>
          <w:szCs w:val="20"/>
        </w:rPr>
        <w:t xml:space="preserve">costituito nel 2010; ma appare non conciliabile con le previsioni del regolamento n. 473/2013 in tema di </w:t>
      </w:r>
      <w:r w:rsidRPr="00D36F91">
        <w:rPr>
          <w:rFonts w:ascii="Garamond" w:hAnsi="Garamond"/>
          <w:i/>
          <w:iCs/>
          <w:color w:val="auto"/>
          <w:sz w:val="20"/>
          <w:szCs w:val="20"/>
        </w:rPr>
        <w:t xml:space="preserve">fiscal </w:t>
      </w:r>
      <w:proofErr w:type="spellStart"/>
      <w:r w:rsidRPr="00D36F91">
        <w:rPr>
          <w:rFonts w:ascii="Garamond" w:hAnsi="Garamond"/>
          <w:i/>
          <w:iCs/>
          <w:color w:val="auto"/>
          <w:sz w:val="20"/>
          <w:szCs w:val="20"/>
        </w:rPr>
        <w:t>councils</w:t>
      </w:r>
      <w:proofErr w:type="spellEnd"/>
      <w:r w:rsidRPr="00D36F91">
        <w:rPr>
          <w:rFonts w:ascii="Garamond" w:hAnsi="Garamond"/>
          <w:color w:val="auto"/>
          <w:sz w:val="20"/>
          <w:szCs w:val="20"/>
        </w:rPr>
        <w:t xml:space="preserve">”. D’altra parte anche le modalità di finanziamento pubblico, sono diverse da quelle previste per le Autorità indipendenti, che si avvalgono anche di fonti di finanziamento tra i soggetti cui sono preposte; diversamente G. Lo Conte, L’organismo indipendente di monitoraggio della finanza pubblica, in </w:t>
      </w:r>
      <w:proofErr w:type="spellStart"/>
      <w:r w:rsidRPr="00D36F91">
        <w:rPr>
          <w:rFonts w:ascii="Garamond" w:hAnsi="Garamond"/>
          <w:color w:val="auto"/>
          <w:sz w:val="20"/>
          <w:szCs w:val="20"/>
        </w:rPr>
        <w:t>Gior</w:t>
      </w:r>
      <w:proofErr w:type="spellEnd"/>
      <w:r w:rsidRPr="00D36F91">
        <w:rPr>
          <w:rFonts w:ascii="Garamond" w:hAnsi="Garamond"/>
          <w:color w:val="auto"/>
          <w:sz w:val="20"/>
          <w:szCs w:val="20"/>
        </w:rPr>
        <w:t xml:space="preserve"> dir. Amm. n.10/2012, p.938,specie p.940, riconduce l’Ufficio di bilancio al modello proprio delle autorità indipendenti, anche sulla scorta del contributo del giudice amministrativo che ha individuato alcuni indici tra i quali il tenore letterale delle norme istitutive, la natura delle funzioni, “l’assenza di poteri di direttiva o di indirizzo in capo al Governo, l’autonomia organizzativa e di bilancio, i requisiti richiesti ai componenti, sul relativo sistema di nomina nonché sulla disciplina delle incompatibilità”; si veda anche </w:t>
      </w:r>
      <w:proofErr w:type="spellStart"/>
      <w:r w:rsidRPr="00D36F91">
        <w:rPr>
          <w:rFonts w:ascii="Garamond" w:hAnsi="Garamond"/>
          <w:color w:val="auto"/>
          <w:sz w:val="20"/>
          <w:szCs w:val="20"/>
        </w:rPr>
        <w:t>Cons.Stato</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Ad.gen</w:t>
      </w:r>
      <w:proofErr w:type="spellEnd"/>
      <w:r w:rsidRPr="00D36F91">
        <w:rPr>
          <w:rFonts w:ascii="Garamond" w:hAnsi="Garamond"/>
          <w:color w:val="auto"/>
          <w:sz w:val="20"/>
          <w:szCs w:val="20"/>
        </w:rPr>
        <w:t xml:space="preserve">., parere 6 maggio 2011, n.1721 e </w:t>
      </w:r>
      <w:proofErr w:type="spellStart"/>
      <w:r w:rsidRPr="00D36F91">
        <w:rPr>
          <w:rFonts w:ascii="Garamond" w:hAnsi="Garamond"/>
          <w:color w:val="auto"/>
          <w:sz w:val="20"/>
          <w:szCs w:val="20"/>
        </w:rPr>
        <w:t>Cons.Stato</w:t>
      </w:r>
      <w:proofErr w:type="spellEnd"/>
      <w:r w:rsidRPr="00D36F91">
        <w:rPr>
          <w:rFonts w:ascii="Garamond" w:hAnsi="Garamond"/>
          <w:color w:val="auto"/>
          <w:sz w:val="20"/>
          <w:szCs w:val="20"/>
        </w:rPr>
        <w:t xml:space="preserve">, </w:t>
      </w:r>
      <w:proofErr w:type="spellStart"/>
      <w:r w:rsidRPr="00D36F91">
        <w:rPr>
          <w:rFonts w:ascii="Garamond" w:hAnsi="Garamond"/>
          <w:color w:val="auto"/>
          <w:sz w:val="20"/>
          <w:szCs w:val="20"/>
        </w:rPr>
        <w:t>sez.I</w:t>
      </w:r>
      <w:proofErr w:type="spellEnd"/>
      <w:r w:rsidRPr="00D36F91">
        <w:rPr>
          <w:rFonts w:ascii="Garamond" w:hAnsi="Garamond"/>
          <w:color w:val="auto"/>
          <w:sz w:val="20"/>
          <w:szCs w:val="20"/>
        </w:rPr>
        <w:t>, parere 10 marzo 2010, n.870, ivi richiamati.</w:t>
      </w:r>
    </w:p>
  </w:footnote>
  <w:footnote w:id="68">
    <w:p w:rsidR="0005296D" w:rsidRPr="00D36F91" w:rsidRDefault="0005296D" w:rsidP="002B28BE">
      <w:pPr>
        <w:pStyle w:val="Nessunaspaziatura"/>
        <w:ind w:right="-24"/>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Così </w:t>
      </w:r>
      <w:proofErr w:type="spellStart"/>
      <w:r w:rsidRPr="00D36F91">
        <w:rPr>
          <w:rFonts w:ascii="Garamond" w:hAnsi="Garamond"/>
          <w:sz w:val="20"/>
          <w:szCs w:val="20"/>
        </w:rPr>
        <w:t>D.Cabras</w:t>
      </w:r>
      <w:proofErr w:type="spellEnd"/>
      <w:r w:rsidRPr="00D36F91">
        <w:rPr>
          <w:rFonts w:ascii="Garamond" w:hAnsi="Garamond"/>
          <w:sz w:val="20"/>
          <w:szCs w:val="20"/>
        </w:rPr>
        <w:t>, cit., p.23 il quale evidenzia che sebbene anche per le burocrazie parlamentari siano previste garanzie di indipendenza, anche per garantirne l’imparzialità, in ragione degli specifici compiti dell’Ufficio parlamentare di bilancio appare necessario introdurre modifiche ai regolamenti parlamentari tali da “assicurare che gli organismi di vertice possano adempiere al proprio mandato in piena autonomia, senza sottostare ad influenze politiche di sorta.”. Circa l’opportunità di istituire un Organismo indipendente presso il Parlamento di veda N. Lupo,</w:t>
      </w:r>
      <w:r w:rsidRPr="00D36F91">
        <w:rPr>
          <w:rFonts w:ascii="Garamond" w:hAnsi="Garamond" w:cs="TimesNewRomanPSMT"/>
          <w:sz w:val="20"/>
          <w:szCs w:val="20"/>
        </w:rPr>
        <w:t xml:space="preserve"> dell’audizione alla Camera presso le Commissioni riunione I (Affari costituzionali, della presidenza del consiglio e interni) e V (Bilancio, tesoro e programmazione) in data 17ottobre 2011,</w:t>
      </w:r>
      <w:r w:rsidRPr="00D36F91">
        <w:rPr>
          <w:rFonts w:ascii="Garamond" w:hAnsi="Garamond" w:cs="TimesNewRomanPS-ItalicMT"/>
          <w:sz w:val="20"/>
          <w:szCs w:val="20"/>
        </w:rPr>
        <w:t xml:space="preserve"> che aveva osservato come la creazione di una struttura comune tra Camera e Senato, con funzioni analoghe al  </w:t>
      </w:r>
      <w:proofErr w:type="spellStart"/>
      <w:r w:rsidRPr="00D36F91">
        <w:rPr>
          <w:rFonts w:ascii="Garamond" w:hAnsi="Garamond" w:cs="TimesNewRomanPS-ItalicMT"/>
          <w:sz w:val="20"/>
          <w:szCs w:val="20"/>
        </w:rPr>
        <w:t>Congressional</w:t>
      </w:r>
      <w:proofErr w:type="spellEnd"/>
      <w:r w:rsidRPr="00D36F91">
        <w:rPr>
          <w:rFonts w:ascii="Garamond" w:hAnsi="Garamond" w:cs="TimesNewRomanPS-ItalicMT"/>
          <w:sz w:val="20"/>
          <w:szCs w:val="20"/>
        </w:rPr>
        <w:t xml:space="preserve"> budget office statunitense,  avrebbe potuto indurre ad una riorganizzazione delle strutture parlamentari in una logica di razionalizzazione del bicameralismo; perplessità circa l’</w:t>
      </w:r>
      <w:proofErr w:type="spellStart"/>
      <w:r w:rsidRPr="00D36F91">
        <w:rPr>
          <w:rFonts w:ascii="Garamond" w:hAnsi="Garamond" w:cs="TimesNewRomanPS-ItalicMT"/>
          <w:sz w:val="20"/>
          <w:szCs w:val="20"/>
        </w:rPr>
        <w:t>incardinamento</w:t>
      </w:r>
      <w:proofErr w:type="spellEnd"/>
      <w:r w:rsidRPr="00D36F91">
        <w:rPr>
          <w:rFonts w:ascii="Garamond" w:hAnsi="Garamond" w:cs="TimesNewRomanPS-ItalicMT"/>
          <w:sz w:val="20"/>
          <w:szCs w:val="20"/>
        </w:rPr>
        <w:t xml:space="preserve"> di tale organismo presso il parlamento sono espresse da </w:t>
      </w:r>
      <w:r w:rsidRPr="00D36F91">
        <w:rPr>
          <w:rFonts w:ascii="Garamond" w:hAnsi="Garamond"/>
          <w:sz w:val="20"/>
          <w:szCs w:val="20"/>
        </w:rPr>
        <w:t>N. D’AMICO</w:t>
      </w:r>
      <w:r w:rsidRPr="00D36F91">
        <w:rPr>
          <w:rFonts w:ascii="Garamond" w:hAnsi="Garamond"/>
          <w:i/>
          <w:iCs/>
          <w:sz w:val="20"/>
          <w:szCs w:val="20"/>
        </w:rPr>
        <w:t>, Oplà: il pareggio di bilancio non c’è più</w:t>
      </w:r>
      <w:r w:rsidRPr="00D36F91">
        <w:rPr>
          <w:rFonts w:ascii="Garamond" w:hAnsi="Garamond"/>
          <w:sz w:val="20"/>
          <w:szCs w:val="20"/>
        </w:rPr>
        <w:t xml:space="preserve">, in www.brunoleoni.it, 12 dicembre 2011, p. 4;  in linea  </w:t>
      </w:r>
      <w:proofErr w:type="spellStart"/>
      <w:r w:rsidRPr="00D36F91">
        <w:rPr>
          <w:rFonts w:ascii="Garamond" w:hAnsi="Garamond"/>
          <w:sz w:val="20"/>
          <w:szCs w:val="20"/>
        </w:rPr>
        <w:t>G.M.Salerno</w:t>
      </w:r>
      <w:proofErr w:type="spellEnd"/>
      <w:r w:rsidRPr="00D36F91">
        <w:rPr>
          <w:rFonts w:ascii="Garamond" w:hAnsi="Garamond"/>
          <w:sz w:val="20"/>
          <w:szCs w:val="20"/>
        </w:rPr>
        <w:t xml:space="preserve"> G.M., </w:t>
      </w:r>
      <w:r w:rsidRPr="00D36F91">
        <w:rPr>
          <w:rFonts w:ascii="Garamond" w:hAnsi="Garamond"/>
          <w:i/>
          <w:iCs/>
          <w:sz w:val="20"/>
          <w:szCs w:val="20"/>
        </w:rPr>
        <w:t xml:space="preserve">Alla prova del nove la via europea e sovranazionale per la </w:t>
      </w:r>
      <w:proofErr w:type="spellStart"/>
      <w:r w:rsidRPr="00D36F91">
        <w:rPr>
          <w:rFonts w:ascii="Garamond" w:hAnsi="Garamond"/>
          <w:i/>
          <w:iCs/>
          <w:sz w:val="20"/>
          <w:szCs w:val="20"/>
        </w:rPr>
        <w:t>costituzionalizzazione</w:t>
      </w:r>
      <w:proofErr w:type="spellEnd"/>
      <w:r w:rsidRPr="00D36F91">
        <w:rPr>
          <w:rFonts w:ascii="Garamond" w:hAnsi="Garamond"/>
          <w:i/>
          <w:iCs/>
          <w:sz w:val="20"/>
          <w:szCs w:val="20"/>
        </w:rPr>
        <w:t xml:space="preserve"> del pareggio di bilancio</w:t>
      </w:r>
      <w:r w:rsidRPr="00D36F91">
        <w:rPr>
          <w:rFonts w:ascii="Garamond" w:hAnsi="Garamond"/>
          <w:sz w:val="20"/>
          <w:szCs w:val="20"/>
        </w:rPr>
        <w:t xml:space="preserve">, in </w:t>
      </w:r>
      <w:r w:rsidRPr="00D36F91">
        <w:rPr>
          <w:rFonts w:ascii="Garamond" w:hAnsi="Garamond"/>
          <w:i/>
          <w:iCs/>
          <w:sz w:val="20"/>
          <w:szCs w:val="20"/>
        </w:rPr>
        <w:t>Guida al diritto</w:t>
      </w:r>
      <w:r w:rsidRPr="00D36F91">
        <w:rPr>
          <w:rFonts w:ascii="Garamond" w:hAnsi="Garamond"/>
          <w:sz w:val="20"/>
          <w:szCs w:val="20"/>
        </w:rPr>
        <w:t>, n. 4, 21 gennaio 2012, pp. 6-8.</w:t>
      </w:r>
    </w:p>
  </w:footnote>
  <w:footnote w:id="69">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w:t>
      </w:r>
      <w:proofErr w:type="spellStart"/>
      <w:r w:rsidRPr="00D36F91">
        <w:rPr>
          <w:rFonts w:ascii="Garamond" w:hAnsi="Garamond"/>
        </w:rPr>
        <w:t>M.P.Chiti</w:t>
      </w:r>
      <w:proofErr w:type="spellEnd"/>
      <w:r w:rsidRPr="00D36F91">
        <w:rPr>
          <w:rFonts w:ascii="Garamond" w:hAnsi="Garamond"/>
        </w:rPr>
        <w:t>, L’ufficio parlamentare, cit. p.12</w:t>
      </w:r>
    </w:p>
  </w:footnote>
  <w:footnote w:id="70">
    <w:p w:rsidR="0005296D" w:rsidRPr="00D36F91" w:rsidRDefault="0005296D" w:rsidP="002B28BE">
      <w:pPr>
        <w:autoSpaceDE w:val="0"/>
        <w:autoSpaceDN w:val="0"/>
        <w:adjustRightInd w:val="0"/>
        <w:spacing w:after="0"/>
        <w:jc w:val="both"/>
        <w:rPr>
          <w:rFonts w:ascii="Garamond" w:hAnsi="Garamond"/>
          <w:sz w:val="20"/>
          <w:szCs w:val="20"/>
          <w:lang w:val="en-US"/>
        </w:rPr>
      </w:pPr>
      <w:r w:rsidRPr="00D36F91">
        <w:rPr>
          <w:rStyle w:val="Rimandonotaapidipagina"/>
          <w:rFonts w:ascii="Garamond" w:hAnsi="Garamond"/>
          <w:sz w:val="20"/>
          <w:szCs w:val="20"/>
        </w:rPr>
        <w:footnoteRef/>
      </w:r>
      <w:r w:rsidRPr="00D36F91">
        <w:rPr>
          <w:rFonts w:ascii="Garamond" w:hAnsi="Garamond"/>
          <w:sz w:val="20"/>
          <w:szCs w:val="20"/>
          <w:lang w:val="en-US"/>
        </w:rPr>
        <w:t xml:space="preserve"> </w:t>
      </w:r>
      <w:proofErr w:type="spellStart"/>
      <w:r w:rsidRPr="00D36F91">
        <w:rPr>
          <w:rFonts w:ascii="Garamond" w:hAnsi="Garamond"/>
          <w:sz w:val="20"/>
          <w:szCs w:val="20"/>
          <w:lang w:val="en-US"/>
        </w:rPr>
        <w:t>Sul</w:t>
      </w:r>
      <w:proofErr w:type="spellEnd"/>
      <w:r w:rsidRPr="00D36F91">
        <w:rPr>
          <w:rFonts w:ascii="Garamond" w:hAnsi="Garamond"/>
          <w:sz w:val="20"/>
          <w:szCs w:val="20"/>
          <w:lang w:val="en-US"/>
        </w:rPr>
        <w:t xml:space="preserve"> </w:t>
      </w:r>
      <w:proofErr w:type="spellStart"/>
      <w:r w:rsidRPr="00D36F91">
        <w:rPr>
          <w:rFonts w:ascii="Garamond" w:hAnsi="Garamond"/>
          <w:sz w:val="20"/>
          <w:szCs w:val="20"/>
          <w:lang w:val="en-US"/>
        </w:rPr>
        <w:t>punto</w:t>
      </w:r>
      <w:proofErr w:type="spellEnd"/>
      <w:r w:rsidRPr="00D36F91">
        <w:rPr>
          <w:rFonts w:ascii="Garamond" w:hAnsi="Garamond"/>
          <w:sz w:val="20"/>
          <w:szCs w:val="20"/>
          <w:lang w:val="en-US"/>
        </w:rPr>
        <w:t xml:space="preserve"> </w:t>
      </w:r>
      <w:proofErr w:type="spellStart"/>
      <w:r w:rsidRPr="00D36F91">
        <w:rPr>
          <w:rFonts w:ascii="Garamond" w:hAnsi="Garamond"/>
          <w:sz w:val="20"/>
          <w:szCs w:val="20"/>
          <w:lang w:val="en-US"/>
        </w:rPr>
        <w:t>cfr</w:t>
      </w:r>
      <w:proofErr w:type="spellEnd"/>
      <w:r w:rsidRPr="00D36F91">
        <w:rPr>
          <w:rFonts w:ascii="Garamond" w:hAnsi="Garamond"/>
          <w:sz w:val="20"/>
          <w:szCs w:val="20"/>
          <w:lang w:val="en-US"/>
        </w:rPr>
        <w:t xml:space="preserve">. </w:t>
      </w:r>
      <w:r w:rsidRPr="00D36F91">
        <w:rPr>
          <w:rFonts w:ascii="Garamond" w:hAnsi="Garamond" w:cs="TimesNewRomanPSMT"/>
          <w:sz w:val="20"/>
          <w:szCs w:val="20"/>
          <w:lang w:val="en-US"/>
        </w:rPr>
        <w:t xml:space="preserve">C. FASONE, E. GRIGLIO, </w:t>
      </w:r>
      <w:r w:rsidRPr="00D36F91">
        <w:rPr>
          <w:rFonts w:ascii="Garamond" w:hAnsi="Garamond" w:cs="TimesNewRomanPS-ItalicMT"/>
          <w:i/>
          <w:iCs/>
          <w:sz w:val="20"/>
          <w:szCs w:val="20"/>
          <w:lang w:val="en-US"/>
        </w:rPr>
        <w:t>Can Fiscal Councils Enhance the Role of National Parliaments in the European Union? A Comparative Analysis</w:t>
      </w:r>
      <w:r w:rsidRPr="00D36F91">
        <w:rPr>
          <w:rFonts w:ascii="Garamond" w:hAnsi="Garamond" w:cs="TimesNewRomanPSMT"/>
          <w:sz w:val="20"/>
          <w:szCs w:val="20"/>
          <w:lang w:val="en-US"/>
        </w:rPr>
        <w:t>, in B. DE WITTE, A. HÉRITIER, A.H. TRECHSEL (edited by), T</w:t>
      </w:r>
      <w:r w:rsidRPr="00D36F91">
        <w:rPr>
          <w:rFonts w:ascii="Garamond" w:hAnsi="Garamond" w:cs="TimesNewRomanPS-ItalicMT"/>
          <w:i/>
          <w:iCs/>
          <w:sz w:val="20"/>
          <w:szCs w:val="20"/>
          <w:lang w:val="en-US"/>
        </w:rPr>
        <w:t xml:space="preserve">he Euro crisis and the state of European democracy, Fiesole, EUI, RSCAS and EUDO, 2013, p.264 e </w:t>
      </w:r>
      <w:proofErr w:type="spellStart"/>
      <w:r w:rsidRPr="00D36F91">
        <w:rPr>
          <w:rFonts w:ascii="Garamond" w:hAnsi="Garamond" w:cs="TimesNewRomanPS-ItalicMT"/>
          <w:i/>
          <w:iCs/>
          <w:sz w:val="20"/>
          <w:szCs w:val="20"/>
          <w:lang w:val="en-US"/>
        </w:rPr>
        <w:t>ss</w:t>
      </w:r>
      <w:proofErr w:type="spellEnd"/>
    </w:p>
  </w:footnote>
  <w:footnote w:id="71">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Una parziale analogia si può cogliere nel caso del Belgio, Olanda e Austria, in cui il governo adotta le previsioni del fiscal </w:t>
      </w:r>
      <w:proofErr w:type="spellStart"/>
      <w:r w:rsidRPr="00D36F91">
        <w:rPr>
          <w:rFonts w:ascii="Garamond" w:hAnsi="Garamond"/>
        </w:rPr>
        <w:t>council</w:t>
      </w:r>
      <w:proofErr w:type="spellEnd"/>
      <w:r w:rsidRPr="00D36F91">
        <w:rPr>
          <w:rFonts w:ascii="Garamond" w:hAnsi="Garamond"/>
        </w:rPr>
        <w:t xml:space="preserve"> pur non essendovi alcun obbligo previsto dalla legge in tal senso. Sul punto si veda I </w:t>
      </w:r>
      <w:proofErr w:type="spellStart"/>
      <w:r w:rsidRPr="00D36F91">
        <w:rPr>
          <w:rFonts w:ascii="Garamond" w:hAnsi="Garamond"/>
        </w:rPr>
        <w:t>Lebrun</w:t>
      </w:r>
      <w:proofErr w:type="spellEnd"/>
      <w:r w:rsidRPr="00D36F91">
        <w:rPr>
          <w:rFonts w:ascii="Garamond" w:hAnsi="Garamond"/>
        </w:rPr>
        <w:t xml:space="preserve"> I., </w:t>
      </w:r>
      <w:r w:rsidRPr="00D36F91">
        <w:rPr>
          <w:rFonts w:ascii="Garamond" w:hAnsi="Garamond"/>
          <w:i/>
          <w:iCs/>
        </w:rPr>
        <w:t xml:space="preserve">Fiscal </w:t>
      </w:r>
      <w:proofErr w:type="spellStart"/>
      <w:r w:rsidRPr="00D36F91">
        <w:rPr>
          <w:rFonts w:ascii="Garamond" w:hAnsi="Garamond"/>
          <w:i/>
          <w:iCs/>
        </w:rPr>
        <w:t>Councils</w:t>
      </w:r>
      <w:proofErr w:type="spellEnd"/>
      <w:r w:rsidRPr="00D36F91">
        <w:rPr>
          <w:rFonts w:ascii="Garamond" w:hAnsi="Garamond"/>
          <w:i/>
          <w:iCs/>
        </w:rPr>
        <w:t xml:space="preserve">, </w:t>
      </w:r>
      <w:proofErr w:type="spellStart"/>
      <w:r w:rsidRPr="00D36F91">
        <w:rPr>
          <w:rFonts w:ascii="Garamond" w:hAnsi="Garamond"/>
          <w:i/>
          <w:iCs/>
        </w:rPr>
        <w:t>Independent</w:t>
      </w:r>
      <w:proofErr w:type="spellEnd"/>
      <w:r w:rsidRPr="00D36F91">
        <w:rPr>
          <w:rFonts w:ascii="Garamond" w:hAnsi="Garamond"/>
          <w:i/>
          <w:iCs/>
        </w:rPr>
        <w:t xml:space="preserve"> </w:t>
      </w:r>
      <w:proofErr w:type="spellStart"/>
      <w:r w:rsidRPr="00D36F91">
        <w:rPr>
          <w:rFonts w:ascii="Garamond" w:hAnsi="Garamond"/>
          <w:i/>
          <w:iCs/>
        </w:rPr>
        <w:t>Forecasts</w:t>
      </w:r>
      <w:proofErr w:type="spellEnd"/>
      <w:r w:rsidRPr="00D36F91">
        <w:rPr>
          <w:rFonts w:ascii="Garamond" w:hAnsi="Garamond"/>
          <w:i/>
          <w:iCs/>
        </w:rPr>
        <w:t xml:space="preserve">, and the </w:t>
      </w:r>
      <w:proofErr w:type="spellStart"/>
      <w:r w:rsidRPr="00D36F91">
        <w:rPr>
          <w:rFonts w:ascii="Garamond" w:hAnsi="Garamond"/>
          <w:i/>
          <w:iCs/>
        </w:rPr>
        <w:t>Budgetary</w:t>
      </w:r>
      <w:proofErr w:type="spellEnd"/>
      <w:r w:rsidRPr="00D36F91">
        <w:rPr>
          <w:rFonts w:ascii="Garamond" w:hAnsi="Garamond"/>
          <w:i/>
          <w:iCs/>
        </w:rPr>
        <w:t xml:space="preserve"> </w:t>
      </w:r>
      <w:proofErr w:type="spellStart"/>
      <w:r w:rsidRPr="00D36F91">
        <w:rPr>
          <w:rFonts w:ascii="Garamond" w:hAnsi="Garamond"/>
          <w:i/>
          <w:iCs/>
        </w:rPr>
        <w:t>Process</w:t>
      </w:r>
      <w:proofErr w:type="spellEnd"/>
      <w:r w:rsidRPr="00D36F91">
        <w:rPr>
          <w:rFonts w:ascii="Garamond" w:hAnsi="Garamond"/>
          <w:i/>
          <w:iCs/>
        </w:rPr>
        <w:t xml:space="preserve">: </w:t>
      </w:r>
      <w:proofErr w:type="spellStart"/>
      <w:r w:rsidRPr="00D36F91">
        <w:rPr>
          <w:rFonts w:ascii="Garamond" w:hAnsi="Garamond"/>
          <w:i/>
          <w:iCs/>
        </w:rPr>
        <w:t>Lessons</w:t>
      </w:r>
      <w:proofErr w:type="spellEnd"/>
      <w:r w:rsidRPr="00D36F91">
        <w:rPr>
          <w:rFonts w:ascii="Garamond" w:hAnsi="Garamond"/>
          <w:i/>
          <w:iCs/>
        </w:rPr>
        <w:t xml:space="preserve"> </w:t>
      </w:r>
      <w:proofErr w:type="spellStart"/>
      <w:r w:rsidRPr="00D36F91">
        <w:rPr>
          <w:rFonts w:ascii="Garamond" w:hAnsi="Garamond"/>
          <w:i/>
          <w:iCs/>
        </w:rPr>
        <w:t>from</w:t>
      </w:r>
      <w:proofErr w:type="spellEnd"/>
      <w:r w:rsidRPr="00D36F91">
        <w:rPr>
          <w:rFonts w:ascii="Garamond" w:hAnsi="Garamond"/>
          <w:i/>
          <w:iCs/>
        </w:rPr>
        <w:t xml:space="preserve"> the </w:t>
      </w:r>
      <w:proofErr w:type="spellStart"/>
      <w:r w:rsidRPr="00D36F91">
        <w:rPr>
          <w:rFonts w:ascii="Garamond" w:hAnsi="Garamond"/>
          <w:i/>
          <w:iCs/>
        </w:rPr>
        <w:t>Belgian</w:t>
      </w:r>
      <w:proofErr w:type="spellEnd"/>
      <w:r w:rsidRPr="00D36F91">
        <w:rPr>
          <w:rFonts w:ascii="Garamond" w:hAnsi="Garamond"/>
          <w:i/>
          <w:iCs/>
        </w:rPr>
        <w:t xml:space="preserve"> Case</w:t>
      </w:r>
      <w:r w:rsidRPr="00D36F91">
        <w:rPr>
          <w:rFonts w:ascii="Garamond" w:hAnsi="Garamond"/>
        </w:rPr>
        <w:t xml:space="preserve">, </w:t>
      </w:r>
      <w:proofErr w:type="spellStart"/>
      <w:r w:rsidRPr="00D36F91">
        <w:rPr>
          <w:rFonts w:ascii="Garamond" w:hAnsi="Garamond"/>
        </w:rPr>
        <w:t>Chapter</w:t>
      </w:r>
      <w:proofErr w:type="spellEnd"/>
      <w:r w:rsidRPr="00D36F91">
        <w:rPr>
          <w:rFonts w:ascii="Garamond" w:hAnsi="Garamond"/>
        </w:rPr>
        <w:t xml:space="preserve"> 15 in </w:t>
      </w:r>
      <w:proofErr w:type="spellStart"/>
      <w:r w:rsidRPr="00D36F91">
        <w:rPr>
          <w:rFonts w:ascii="Garamond" w:hAnsi="Garamond"/>
        </w:rPr>
        <w:t>Ayuso-i-Casals</w:t>
      </w:r>
      <w:proofErr w:type="spellEnd"/>
      <w:r w:rsidRPr="00D36F91">
        <w:rPr>
          <w:rFonts w:ascii="Garamond" w:hAnsi="Garamond"/>
        </w:rPr>
        <w:t xml:space="preserve">, </w:t>
      </w:r>
      <w:proofErr w:type="spellStart"/>
      <w:r w:rsidRPr="00D36F91">
        <w:rPr>
          <w:rFonts w:ascii="Garamond" w:hAnsi="Garamond"/>
        </w:rPr>
        <w:t>Joaquim</w:t>
      </w:r>
      <w:proofErr w:type="spellEnd"/>
      <w:r w:rsidRPr="00D36F91">
        <w:rPr>
          <w:rFonts w:ascii="Garamond" w:hAnsi="Garamond"/>
        </w:rPr>
        <w:t xml:space="preserve"> and </w:t>
      </w:r>
      <w:proofErr w:type="spellStart"/>
      <w:r w:rsidRPr="00D36F91">
        <w:rPr>
          <w:rFonts w:ascii="Garamond" w:hAnsi="Garamond"/>
        </w:rPr>
        <w:t>Others</w:t>
      </w:r>
      <w:proofErr w:type="spellEnd"/>
      <w:r w:rsidRPr="00D36F91">
        <w:rPr>
          <w:rFonts w:ascii="Garamond" w:hAnsi="Garamond"/>
        </w:rPr>
        <w:t xml:space="preserve"> (</w:t>
      </w:r>
      <w:proofErr w:type="spellStart"/>
      <w:r w:rsidRPr="00D36F91">
        <w:rPr>
          <w:rFonts w:ascii="Garamond" w:hAnsi="Garamond"/>
        </w:rPr>
        <w:t>eds</w:t>
      </w:r>
      <w:proofErr w:type="spellEnd"/>
      <w:r w:rsidRPr="00D36F91">
        <w:rPr>
          <w:rFonts w:ascii="Garamond" w:hAnsi="Garamond"/>
        </w:rPr>
        <w:t xml:space="preserve">.), </w:t>
      </w:r>
      <w:r w:rsidRPr="00D36F91">
        <w:rPr>
          <w:rFonts w:ascii="Garamond" w:hAnsi="Garamond"/>
          <w:i/>
          <w:iCs/>
        </w:rPr>
        <w:t xml:space="preserve">Policy </w:t>
      </w:r>
      <w:proofErr w:type="spellStart"/>
      <w:r w:rsidRPr="00D36F91">
        <w:rPr>
          <w:rFonts w:ascii="Garamond" w:hAnsi="Garamond"/>
          <w:i/>
          <w:iCs/>
        </w:rPr>
        <w:t>Instruments</w:t>
      </w:r>
      <w:proofErr w:type="spellEnd"/>
      <w:r w:rsidRPr="00D36F91">
        <w:rPr>
          <w:rFonts w:ascii="Garamond" w:hAnsi="Garamond"/>
          <w:i/>
          <w:iCs/>
        </w:rPr>
        <w:t xml:space="preserve"> </w:t>
      </w:r>
      <w:proofErr w:type="spellStart"/>
      <w:r w:rsidRPr="00D36F91">
        <w:rPr>
          <w:rFonts w:ascii="Garamond" w:hAnsi="Garamond"/>
          <w:i/>
          <w:iCs/>
        </w:rPr>
        <w:t>for</w:t>
      </w:r>
      <w:proofErr w:type="spellEnd"/>
      <w:r w:rsidRPr="00D36F91">
        <w:rPr>
          <w:rFonts w:ascii="Garamond" w:hAnsi="Garamond"/>
          <w:i/>
          <w:iCs/>
        </w:rPr>
        <w:t xml:space="preserve"> Sound Fiscal </w:t>
      </w:r>
      <w:proofErr w:type="spellStart"/>
      <w:r w:rsidRPr="00D36F91">
        <w:rPr>
          <w:rFonts w:ascii="Garamond" w:hAnsi="Garamond"/>
          <w:i/>
          <w:iCs/>
        </w:rPr>
        <w:t>Policies</w:t>
      </w:r>
      <w:proofErr w:type="spellEnd"/>
      <w:r w:rsidRPr="00D36F91">
        <w:rPr>
          <w:rFonts w:ascii="Garamond" w:hAnsi="Garamond"/>
        </w:rPr>
        <w:t xml:space="preserve">, </w:t>
      </w:r>
      <w:proofErr w:type="spellStart"/>
      <w:r w:rsidRPr="00D36F91">
        <w:rPr>
          <w:rFonts w:ascii="Garamond" w:hAnsi="Garamond"/>
        </w:rPr>
        <w:t>Palgrave</w:t>
      </w:r>
      <w:proofErr w:type="spellEnd"/>
      <w:r w:rsidRPr="00D36F91">
        <w:rPr>
          <w:rFonts w:ascii="Garamond" w:hAnsi="Garamond"/>
        </w:rPr>
        <w:t xml:space="preserve"> </w:t>
      </w:r>
      <w:proofErr w:type="spellStart"/>
      <w:r w:rsidRPr="00D36F91">
        <w:rPr>
          <w:rFonts w:ascii="Garamond" w:hAnsi="Garamond"/>
        </w:rPr>
        <w:t>McMillan</w:t>
      </w:r>
      <w:proofErr w:type="spellEnd"/>
      <w:r w:rsidRPr="00D36F91">
        <w:rPr>
          <w:rFonts w:ascii="Garamond" w:hAnsi="Garamond"/>
        </w:rPr>
        <w:t xml:space="preserve">, 2009; </w:t>
      </w:r>
      <w:proofErr w:type="spellStart"/>
      <w:r w:rsidRPr="00D36F91">
        <w:rPr>
          <w:rFonts w:ascii="Garamond" w:hAnsi="Garamond"/>
        </w:rPr>
        <w:t>Id</w:t>
      </w:r>
      <w:proofErr w:type="spellEnd"/>
      <w:r w:rsidRPr="00D36F91">
        <w:rPr>
          <w:rFonts w:ascii="Garamond" w:hAnsi="Garamond"/>
        </w:rPr>
        <w:t xml:space="preserve">  Sul punto L. </w:t>
      </w:r>
      <w:proofErr w:type="spellStart"/>
      <w:r w:rsidRPr="00D36F91">
        <w:rPr>
          <w:rFonts w:ascii="Garamond" w:hAnsi="Garamond"/>
        </w:rPr>
        <w:t>Landi</w:t>
      </w:r>
      <w:proofErr w:type="spellEnd"/>
      <w:r w:rsidRPr="00D36F91">
        <w:rPr>
          <w:rFonts w:ascii="Garamond" w:hAnsi="Garamond"/>
        </w:rPr>
        <w:t>,</w:t>
      </w:r>
      <w:r w:rsidRPr="00D36F91">
        <w:rPr>
          <w:rFonts w:ascii="Garamond" w:hAnsi="Garamond" w:cs="Garamond"/>
          <w:i/>
          <w:iCs/>
        </w:rPr>
        <w:t xml:space="preserve"> Fiscal </w:t>
      </w:r>
      <w:proofErr w:type="spellStart"/>
      <w:r w:rsidRPr="00D36F91">
        <w:rPr>
          <w:rFonts w:ascii="Garamond" w:hAnsi="Garamond" w:cs="Garamond"/>
          <w:i/>
          <w:iCs/>
        </w:rPr>
        <w:t>council</w:t>
      </w:r>
      <w:proofErr w:type="spellEnd"/>
      <w:r w:rsidRPr="00D36F91">
        <w:rPr>
          <w:rFonts w:ascii="Garamond" w:hAnsi="Garamond" w:cs="Garamond"/>
          <w:i/>
          <w:iCs/>
        </w:rPr>
        <w:t>: una comparazione internazionale e il caso italiano</w:t>
      </w:r>
      <w:r w:rsidRPr="00D36F91">
        <w:rPr>
          <w:rFonts w:ascii="Garamond" w:hAnsi="Garamond" w:cs="Garamond"/>
        </w:rPr>
        <w:t xml:space="preserve">, in Atti del Seminario La nuova </w:t>
      </w:r>
      <w:proofErr w:type="spellStart"/>
      <w:r w:rsidRPr="00D36F91">
        <w:rPr>
          <w:rFonts w:ascii="Garamond" w:hAnsi="Garamond" w:cs="Garamond"/>
        </w:rPr>
        <w:t>governance</w:t>
      </w:r>
      <w:proofErr w:type="spellEnd"/>
      <w:r w:rsidRPr="00D36F91">
        <w:rPr>
          <w:rFonts w:ascii="Garamond" w:hAnsi="Garamond" w:cs="Garamond"/>
        </w:rPr>
        <w:t xml:space="preserve"> fiscale europea. Fiscal </w:t>
      </w:r>
      <w:proofErr w:type="spellStart"/>
      <w:r w:rsidRPr="00D36F91">
        <w:rPr>
          <w:rFonts w:ascii="Garamond" w:hAnsi="Garamond" w:cs="Garamond"/>
        </w:rPr>
        <w:t>Pact</w:t>
      </w:r>
      <w:proofErr w:type="spellEnd"/>
      <w:r w:rsidRPr="00D36F91">
        <w:rPr>
          <w:rFonts w:ascii="Garamond" w:hAnsi="Garamond" w:cs="Garamond"/>
        </w:rPr>
        <w:t xml:space="preserve">, cornice europea e modifiche costituzionali in Italia: problemi aperti e prospettive, </w:t>
      </w:r>
      <w:proofErr w:type="spellStart"/>
      <w:r w:rsidRPr="00D36F91">
        <w:rPr>
          <w:rFonts w:ascii="Garamond" w:hAnsi="Garamond" w:cs="Garamond"/>
        </w:rPr>
        <w:t>Luiss</w:t>
      </w:r>
      <w:proofErr w:type="spellEnd"/>
      <w:r w:rsidRPr="00D36F91">
        <w:rPr>
          <w:rFonts w:ascii="Garamond" w:hAnsi="Garamond" w:cs="Garamond"/>
        </w:rPr>
        <w:t xml:space="preserve"> Guido </w:t>
      </w:r>
      <w:proofErr w:type="spellStart"/>
      <w:r w:rsidRPr="00D36F91">
        <w:rPr>
          <w:rFonts w:ascii="Garamond" w:hAnsi="Garamond" w:cs="Garamond"/>
        </w:rPr>
        <w:t>Carli</w:t>
      </w:r>
      <w:proofErr w:type="spellEnd"/>
      <w:r w:rsidRPr="00D36F91">
        <w:rPr>
          <w:rFonts w:ascii="Garamond" w:hAnsi="Garamond" w:cs="Garamond"/>
        </w:rPr>
        <w:t>, 9 novembre 2012,</w:t>
      </w:r>
      <w:r w:rsidRPr="00D36F91">
        <w:rPr>
          <w:rFonts w:ascii="Garamond" w:hAnsi="Garamond"/>
        </w:rPr>
        <w:t xml:space="preserve"> cit. p.15</w:t>
      </w:r>
    </w:p>
  </w:footnote>
  <w:footnote w:id="72">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cs="TimesNewRomanPSMT"/>
          <w:sz w:val="20"/>
          <w:szCs w:val="20"/>
        </w:rPr>
        <w:t xml:space="preserve">R. PERNA, </w:t>
      </w:r>
      <w:proofErr w:type="spellStart"/>
      <w:r w:rsidRPr="00D36F91">
        <w:rPr>
          <w:rFonts w:ascii="Garamond" w:hAnsi="Garamond" w:cs="TimesNewRomanPS-ItalicMT"/>
          <w:i/>
          <w:iCs/>
          <w:sz w:val="20"/>
          <w:szCs w:val="20"/>
        </w:rPr>
        <w:t>Costituzionalizzazione</w:t>
      </w:r>
      <w:proofErr w:type="spellEnd"/>
      <w:r w:rsidRPr="00D36F91">
        <w:rPr>
          <w:rFonts w:ascii="Garamond" w:hAnsi="Garamond" w:cs="TimesNewRomanPS-ItalicMT"/>
          <w:i/>
          <w:iCs/>
          <w:sz w:val="20"/>
          <w:szCs w:val="20"/>
        </w:rPr>
        <w:t xml:space="preserve"> del pareggio di bilancio ed evoluzione della forma di governo italiana, </w:t>
      </w:r>
      <w:r w:rsidRPr="00D36F91">
        <w:rPr>
          <w:rFonts w:ascii="Garamond" w:hAnsi="Garamond" w:cs="TimesNewRomanPSMT"/>
          <w:sz w:val="20"/>
          <w:szCs w:val="20"/>
        </w:rPr>
        <w:t>cit., specie p. 43 ribadisce la valenza neutrale della funzione di controllo svolta dall’Ufficio parlamentare di bilancio; in ar</w:t>
      </w:r>
      <w:r w:rsidRPr="00D36F91">
        <w:rPr>
          <w:rFonts w:ascii="Garamond" w:hAnsi="Garamond"/>
          <w:sz w:val="20"/>
          <w:szCs w:val="20"/>
        </w:rPr>
        <w:t xml:space="preserve">gomento </w:t>
      </w:r>
      <w:proofErr w:type="spellStart"/>
      <w:r w:rsidRPr="00D36F91">
        <w:rPr>
          <w:rFonts w:ascii="Garamond" w:hAnsi="Garamond"/>
          <w:sz w:val="20"/>
          <w:szCs w:val="20"/>
        </w:rPr>
        <w:t>Goretti</w:t>
      </w:r>
      <w:proofErr w:type="spellEnd"/>
      <w:r w:rsidRPr="00D36F91">
        <w:rPr>
          <w:rFonts w:ascii="Garamond" w:hAnsi="Garamond"/>
          <w:sz w:val="20"/>
          <w:szCs w:val="20"/>
        </w:rPr>
        <w:t xml:space="preserve"> C., </w:t>
      </w:r>
      <w:r w:rsidRPr="00D36F91">
        <w:rPr>
          <w:rFonts w:ascii="Garamond" w:hAnsi="Garamond"/>
          <w:i/>
          <w:iCs/>
          <w:sz w:val="20"/>
          <w:szCs w:val="20"/>
        </w:rPr>
        <w:t xml:space="preserve">Pareggio di bilancio e credibilità della politica fiscale: il ruolo del fiscal </w:t>
      </w:r>
      <w:proofErr w:type="spellStart"/>
      <w:r w:rsidRPr="00D36F91">
        <w:rPr>
          <w:rFonts w:ascii="Garamond" w:hAnsi="Garamond"/>
          <w:i/>
          <w:iCs/>
          <w:sz w:val="20"/>
          <w:szCs w:val="20"/>
        </w:rPr>
        <w:t>councils</w:t>
      </w:r>
      <w:proofErr w:type="spellEnd"/>
      <w:r w:rsidRPr="00D36F91">
        <w:rPr>
          <w:rFonts w:ascii="Garamond" w:hAnsi="Garamond"/>
          <w:i/>
          <w:iCs/>
          <w:sz w:val="20"/>
          <w:szCs w:val="20"/>
        </w:rPr>
        <w:t xml:space="preserve"> nella riforma costituzionale italiana</w:t>
      </w:r>
      <w:r w:rsidRPr="00D36F91">
        <w:rPr>
          <w:rFonts w:ascii="Garamond" w:hAnsi="Garamond"/>
          <w:sz w:val="20"/>
          <w:szCs w:val="20"/>
        </w:rPr>
        <w:t>, Intervento nell’ambito della Giornata di studio organizzata dalla Assemblea Regionale Siciliana. Il ruolo degli apparati serventi delle assemblee legislative tra tradizione e linee di sviluppo, Palermo, 20 gennaio 2012, pubblicato in www.astrid.it. ;</w:t>
      </w:r>
      <w:r w:rsidRPr="00D36F91">
        <w:rPr>
          <w:rFonts w:ascii="Garamond" w:hAnsi="Garamond" w:cs="NewAsterLTStd"/>
          <w:sz w:val="20"/>
          <w:szCs w:val="20"/>
        </w:rPr>
        <w:t xml:space="preserve"> in un’ottica comparata si veda X. </w:t>
      </w:r>
      <w:proofErr w:type="spellStart"/>
      <w:r w:rsidRPr="00D36F91">
        <w:rPr>
          <w:rFonts w:ascii="Garamond" w:hAnsi="Garamond" w:cs="NewAsterLTStd"/>
          <w:sz w:val="20"/>
          <w:szCs w:val="20"/>
        </w:rPr>
        <w:t>Debrun</w:t>
      </w:r>
      <w:proofErr w:type="spellEnd"/>
      <w:r w:rsidRPr="00D36F91">
        <w:rPr>
          <w:rFonts w:ascii="Garamond" w:hAnsi="Garamond" w:cs="NewAsterLTStd"/>
          <w:sz w:val="20"/>
          <w:szCs w:val="20"/>
        </w:rPr>
        <w:t xml:space="preserve"> - M.S. </w:t>
      </w:r>
      <w:proofErr w:type="spellStart"/>
      <w:r w:rsidRPr="00D36F91">
        <w:rPr>
          <w:rFonts w:ascii="Garamond" w:hAnsi="Garamond" w:cs="NewAsterLTStd"/>
          <w:sz w:val="20"/>
          <w:szCs w:val="20"/>
        </w:rPr>
        <w:t>Kumar</w:t>
      </w:r>
      <w:proofErr w:type="spellEnd"/>
      <w:r w:rsidRPr="00D36F91">
        <w:rPr>
          <w:rFonts w:ascii="Garamond" w:hAnsi="Garamond" w:cs="NewAsterLTStd"/>
          <w:sz w:val="20"/>
          <w:szCs w:val="20"/>
        </w:rPr>
        <w:t xml:space="preserve">, </w:t>
      </w:r>
      <w:r w:rsidRPr="00D36F91">
        <w:rPr>
          <w:rFonts w:ascii="Garamond" w:hAnsi="Garamond" w:cs="NewAsterLTStd-It"/>
          <w:i/>
          <w:iCs/>
          <w:sz w:val="20"/>
          <w:szCs w:val="20"/>
        </w:rPr>
        <w:t xml:space="preserve">Fiscal </w:t>
      </w:r>
      <w:proofErr w:type="spellStart"/>
      <w:r w:rsidRPr="00D36F91">
        <w:rPr>
          <w:rFonts w:ascii="Garamond" w:hAnsi="Garamond" w:cs="NewAsterLTStd-It"/>
          <w:i/>
          <w:iCs/>
          <w:sz w:val="20"/>
          <w:szCs w:val="20"/>
        </w:rPr>
        <w:t>rules</w:t>
      </w:r>
      <w:proofErr w:type="spellEnd"/>
      <w:r w:rsidRPr="00D36F91">
        <w:rPr>
          <w:rFonts w:ascii="Garamond" w:hAnsi="Garamond" w:cs="NewAsterLTStd-It"/>
          <w:i/>
          <w:iCs/>
          <w:sz w:val="20"/>
          <w:szCs w:val="20"/>
        </w:rPr>
        <w:t xml:space="preserve">, fiscal </w:t>
      </w:r>
      <w:proofErr w:type="spellStart"/>
      <w:r w:rsidRPr="00D36F91">
        <w:rPr>
          <w:rFonts w:ascii="Garamond" w:hAnsi="Garamond" w:cs="NewAsterLTStd-It"/>
          <w:i/>
          <w:iCs/>
          <w:sz w:val="20"/>
          <w:szCs w:val="20"/>
        </w:rPr>
        <w:t>councils</w:t>
      </w:r>
      <w:proofErr w:type="spellEnd"/>
      <w:r w:rsidRPr="00D36F91">
        <w:rPr>
          <w:rFonts w:ascii="Garamond" w:hAnsi="Garamond" w:cs="NewAsterLTStd-It"/>
          <w:i/>
          <w:iCs/>
          <w:sz w:val="20"/>
          <w:szCs w:val="20"/>
        </w:rPr>
        <w:t xml:space="preserve"> and </w:t>
      </w:r>
      <w:proofErr w:type="spellStart"/>
      <w:r w:rsidRPr="00D36F91">
        <w:rPr>
          <w:rFonts w:ascii="Garamond" w:hAnsi="Garamond" w:cs="NewAsterLTStd-It"/>
          <w:i/>
          <w:iCs/>
          <w:sz w:val="20"/>
          <w:szCs w:val="20"/>
        </w:rPr>
        <w:t>all</w:t>
      </w:r>
      <w:proofErr w:type="spellEnd"/>
      <w:r w:rsidRPr="00D36F91">
        <w:rPr>
          <w:rFonts w:ascii="Garamond" w:hAnsi="Garamond" w:cs="NewAsterLTStd-It"/>
          <w:i/>
          <w:iCs/>
          <w:sz w:val="20"/>
          <w:szCs w:val="20"/>
        </w:rPr>
        <w:t xml:space="preserve"> </w:t>
      </w:r>
      <w:proofErr w:type="spellStart"/>
      <w:r w:rsidRPr="00D36F91">
        <w:rPr>
          <w:rFonts w:ascii="Garamond" w:hAnsi="Garamond" w:cs="NewAsterLTStd-It"/>
          <w:i/>
          <w:iCs/>
          <w:sz w:val="20"/>
          <w:szCs w:val="20"/>
        </w:rPr>
        <w:t>that</w:t>
      </w:r>
      <w:proofErr w:type="spellEnd"/>
      <w:r w:rsidRPr="00D36F91">
        <w:rPr>
          <w:rFonts w:ascii="Garamond" w:hAnsi="Garamond" w:cs="NewAsterLTStd-It"/>
          <w:i/>
          <w:iCs/>
          <w:sz w:val="20"/>
          <w:szCs w:val="20"/>
        </w:rPr>
        <w:t xml:space="preserve">: </w:t>
      </w:r>
      <w:proofErr w:type="spellStart"/>
      <w:r w:rsidRPr="00D36F91">
        <w:rPr>
          <w:rFonts w:ascii="Garamond" w:hAnsi="Garamond" w:cs="NewAsterLTStd-It"/>
          <w:i/>
          <w:iCs/>
          <w:sz w:val="20"/>
          <w:szCs w:val="20"/>
        </w:rPr>
        <w:t>commitment</w:t>
      </w:r>
      <w:proofErr w:type="spellEnd"/>
      <w:r w:rsidRPr="00D36F91">
        <w:rPr>
          <w:rFonts w:ascii="Garamond" w:hAnsi="Garamond" w:cs="NewAsterLTStd-It"/>
          <w:i/>
          <w:iCs/>
          <w:sz w:val="20"/>
          <w:szCs w:val="20"/>
        </w:rPr>
        <w:t xml:space="preserve"> </w:t>
      </w:r>
      <w:proofErr w:type="spellStart"/>
      <w:r w:rsidRPr="00D36F91">
        <w:rPr>
          <w:rFonts w:ascii="Garamond" w:hAnsi="Garamond" w:cs="NewAsterLTStd-It"/>
          <w:i/>
          <w:iCs/>
          <w:sz w:val="20"/>
          <w:szCs w:val="20"/>
        </w:rPr>
        <w:t>devices</w:t>
      </w:r>
      <w:proofErr w:type="spellEnd"/>
      <w:r w:rsidRPr="00D36F91">
        <w:rPr>
          <w:rFonts w:ascii="Garamond" w:hAnsi="Garamond" w:cs="NewAsterLTStd-It"/>
          <w:i/>
          <w:iCs/>
          <w:sz w:val="20"/>
          <w:szCs w:val="20"/>
        </w:rPr>
        <w:t xml:space="preserve">, </w:t>
      </w:r>
      <w:proofErr w:type="spellStart"/>
      <w:r w:rsidRPr="00D36F91">
        <w:rPr>
          <w:rFonts w:ascii="Garamond" w:hAnsi="Garamond" w:cs="NewAsterLTStd-It"/>
          <w:i/>
          <w:iCs/>
          <w:sz w:val="20"/>
          <w:szCs w:val="20"/>
        </w:rPr>
        <w:t>signaling</w:t>
      </w:r>
      <w:proofErr w:type="spellEnd"/>
      <w:r w:rsidRPr="00D36F91">
        <w:rPr>
          <w:rFonts w:ascii="Garamond" w:hAnsi="Garamond" w:cs="NewAsterLTStd-It"/>
          <w:i/>
          <w:iCs/>
          <w:sz w:val="20"/>
          <w:szCs w:val="20"/>
        </w:rPr>
        <w:t xml:space="preserve"> </w:t>
      </w:r>
      <w:proofErr w:type="spellStart"/>
      <w:r w:rsidRPr="00D36F91">
        <w:rPr>
          <w:rFonts w:ascii="Garamond" w:hAnsi="Garamond" w:cs="NewAsterLTStd-It"/>
          <w:i/>
          <w:iCs/>
          <w:sz w:val="20"/>
          <w:szCs w:val="20"/>
        </w:rPr>
        <w:t>tools</w:t>
      </w:r>
      <w:proofErr w:type="spellEnd"/>
      <w:r w:rsidRPr="00D36F91">
        <w:rPr>
          <w:rFonts w:ascii="Garamond" w:hAnsi="Garamond" w:cs="NewAsterLTStd-It"/>
          <w:i/>
          <w:iCs/>
          <w:sz w:val="20"/>
          <w:szCs w:val="20"/>
        </w:rPr>
        <w:t xml:space="preserve"> or </w:t>
      </w:r>
      <w:proofErr w:type="spellStart"/>
      <w:r w:rsidRPr="00D36F91">
        <w:rPr>
          <w:rFonts w:ascii="Garamond" w:hAnsi="Garamond" w:cs="NewAsterLTStd-It"/>
          <w:i/>
          <w:iCs/>
          <w:sz w:val="20"/>
          <w:szCs w:val="20"/>
        </w:rPr>
        <w:t>smokescreens</w:t>
      </w:r>
      <w:proofErr w:type="spellEnd"/>
      <w:r w:rsidRPr="00D36F91">
        <w:rPr>
          <w:rFonts w:ascii="Garamond" w:hAnsi="Garamond" w:cs="NewAsterLTStd"/>
          <w:sz w:val="20"/>
          <w:szCs w:val="20"/>
        </w:rPr>
        <w:t xml:space="preserve">?, </w:t>
      </w:r>
      <w:proofErr w:type="spellStart"/>
      <w:r w:rsidRPr="00D36F91">
        <w:rPr>
          <w:rFonts w:ascii="Garamond" w:hAnsi="Garamond" w:cs="NewAsterLTStd"/>
          <w:sz w:val="20"/>
          <w:szCs w:val="20"/>
        </w:rPr>
        <w:t>Paper</w:t>
      </w:r>
      <w:proofErr w:type="spellEnd"/>
      <w:r w:rsidRPr="00D36F91">
        <w:rPr>
          <w:rFonts w:ascii="Garamond" w:hAnsi="Garamond" w:cs="NewAsterLTStd"/>
          <w:sz w:val="20"/>
          <w:szCs w:val="20"/>
        </w:rPr>
        <w:t xml:space="preserve"> n. 1/2007, reperibile all’indirizzo: </w:t>
      </w:r>
      <w:hyperlink r:id="rId13" w:history="1">
        <w:r w:rsidRPr="00D36F91">
          <w:rPr>
            <w:rStyle w:val="Collegamentoipertestuale"/>
            <w:rFonts w:ascii="Garamond" w:hAnsi="Garamond" w:cs="NewAsterLTStd"/>
            <w:sz w:val="20"/>
            <w:szCs w:val="20"/>
          </w:rPr>
          <w:t>http://www.bancaditalia</w:t>
        </w:r>
      </w:hyperlink>
      <w:r w:rsidRPr="00D36F91">
        <w:rPr>
          <w:rFonts w:ascii="Garamond" w:hAnsi="Garamond" w:cs="NewAsterLTStd"/>
          <w:sz w:val="20"/>
          <w:szCs w:val="20"/>
        </w:rPr>
        <w:t xml:space="preserve">. </w:t>
      </w:r>
      <w:proofErr w:type="spellStart"/>
      <w:r w:rsidRPr="00D36F91">
        <w:rPr>
          <w:rFonts w:ascii="Garamond" w:hAnsi="Garamond" w:cs="NewAsterLTStd"/>
          <w:sz w:val="20"/>
          <w:szCs w:val="20"/>
        </w:rPr>
        <w:t>it</w:t>
      </w:r>
      <w:proofErr w:type="spellEnd"/>
      <w:r w:rsidRPr="00D36F91">
        <w:rPr>
          <w:rFonts w:ascii="Garamond" w:hAnsi="Garamond" w:cs="NewAsterLTStd"/>
          <w:sz w:val="20"/>
          <w:szCs w:val="20"/>
        </w:rPr>
        <w:t>/</w:t>
      </w:r>
      <w:proofErr w:type="spellStart"/>
      <w:r w:rsidRPr="00D36F91">
        <w:rPr>
          <w:rFonts w:ascii="Garamond" w:hAnsi="Garamond" w:cs="NewAsterLTStd"/>
          <w:sz w:val="20"/>
          <w:szCs w:val="20"/>
        </w:rPr>
        <w:t>studiricerche</w:t>
      </w:r>
      <w:proofErr w:type="spellEnd"/>
      <w:r w:rsidRPr="00D36F91">
        <w:rPr>
          <w:rFonts w:ascii="Garamond" w:hAnsi="Garamond" w:cs="NewAsterLTStd"/>
          <w:sz w:val="20"/>
          <w:szCs w:val="20"/>
        </w:rPr>
        <w:t>/convegni/atti/</w:t>
      </w:r>
      <w:proofErr w:type="spellStart"/>
      <w:r w:rsidRPr="00D36F91">
        <w:rPr>
          <w:rFonts w:ascii="Garamond" w:hAnsi="Garamond" w:cs="NewAsterLTStd"/>
          <w:sz w:val="20"/>
          <w:szCs w:val="20"/>
        </w:rPr>
        <w:t>fiscal.pdf</w:t>
      </w:r>
      <w:proofErr w:type="spellEnd"/>
    </w:p>
  </w:footnote>
  <w:footnote w:id="73">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Come è stato osservato da </w:t>
      </w:r>
      <w:proofErr w:type="spellStart"/>
      <w:r w:rsidRPr="00D36F91">
        <w:rPr>
          <w:rFonts w:ascii="Garamond" w:hAnsi="Garamond"/>
        </w:rPr>
        <w:t>D.Cabras</w:t>
      </w:r>
      <w:proofErr w:type="spellEnd"/>
      <w:r w:rsidRPr="00D36F91">
        <w:rPr>
          <w:rFonts w:ascii="Garamond" w:hAnsi="Garamond"/>
        </w:rPr>
        <w:t xml:space="preserve">, </w:t>
      </w:r>
      <w:r w:rsidRPr="00D36F91">
        <w:rPr>
          <w:rFonts w:ascii="Garamond" w:hAnsi="Garamond" w:cs="TimesNewRomanPS-ItalicMT"/>
          <w:i/>
          <w:iCs/>
        </w:rPr>
        <w:t xml:space="preserve">Un Fiscal </w:t>
      </w:r>
      <w:proofErr w:type="spellStart"/>
      <w:r w:rsidRPr="00D36F91">
        <w:rPr>
          <w:rFonts w:ascii="Garamond" w:hAnsi="Garamond" w:cs="TimesNewRomanPS-ItalicMT"/>
          <w:i/>
          <w:iCs/>
        </w:rPr>
        <w:t>Council</w:t>
      </w:r>
      <w:proofErr w:type="spellEnd"/>
      <w:r w:rsidRPr="00D36F91">
        <w:rPr>
          <w:rFonts w:ascii="Garamond" w:hAnsi="Garamond" w:cs="TimesNewRomanPS-ItalicMT"/>
          <w:i/>
          <w:iCs/>
        </w:rPr>
        <w:t xml:space="preserve"> in Parlamento</w:t>
      </w:r>
      <w:r w:rsidRPr="00D36F91">
        <w:rPr>
          <w:rFonts w:ascii="Garamond" w:hAnsi="Garamond" w:cs="TimesNewRomanPSMT"/>
        </w:rPr>
        <w:t>,</w:t>
      </w:r>
      <w:r w:rsidRPr="00D36F91">
        <w:rPr>
          <w:rFonts w:ascii="Garamond" w:hAnsi="Garamond"/>
        </w:rPr>
        <w:t xml:space="preserve">cit. p.10, in alcuni ordinamenti, Ungheria, Svezia e Canada, è stata riconosciuta ai fiscal </w:t>
      </w:r>
      <w:proofErr w:type="spellStart"/>
      <w:r w:rsidRPr="00D36F91">
        <w:rPr>
          <w:rFonts w:ascii="Garamond" w:hAnsi="Garamond"/>
        </w:rPr>
        <w:t>council</w:t>
      </w:r>
      <w:proofErr w:type="spellEnd"/>
      <w:r w:rsidRPr="00D36F91">
        <w:rPr>
          <w:rFonts w:ascii="Garamond" w:hAnsi="Garamond"/>
        </w:rPr>
        <w:t xml:space="preserve"> la possibilità di delineare decisioni di politica economica alternative a quelle proposte dai rispettivi governi, il che ha determinato tensioni ed inopportuni coinvolgimenti dell’organo tecnico nel confronto politico. L’inopportunità di attribuire all’organo tecnico la possibilità di offrire scelte alternative a quelle del governo, propria di un governo ombra, risiede nella loro stessa natura non politica e non rappresentativa,oltre che meramente tecnica. </w:t>
      </w:r>
    </w:p>
  </w:footnote>
  <w:footnote w:id="74">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Così </w:t>
      </w:r>
      <w:proofErr w:type="spellStart"/>
      <w:r w:rsidRPr="00D36F91">
        <w:rPr>
          <w:rFonts w:ascii="Garamond" w:hAnsi="Garamond"/>
        </w:rPr>
        <w:t>M.P.Chiti</w:t>
      </w:r>
      <w:proofErr w:type="spellEnd"/>
      <w:r w:rsidRPr="00D36F91">
        <w:rPr>
          <w:rFonts w:ascii="Garamond" w:hAnsi="Garamond"/>
        </w:rPr>
        <w:t xml:space="preserve">, </w:t>
      </w:r>
      <w:r w:rsidRPr="00D36F91">
        <w:rPr>
          <w:rFonts w:ascii="Garamond" w:hAnsi="Garamond"/>
          <w:i/>
          <w:iCs/>
        </w:rPr>
        <w:t>L’Ufficio parlamentare di bilancio</w:t>
      </w:r>
      <w:r w:rsidRPr="00D36F91">
        <w:rPr>
          <w:rFonts w:ascii="Garamond" w:hAnsi="Garamond"/>
        </w:rPr>
        <w:t>, cit., p.13</w:t>
      </w:r>
    </w:p>
  </w:footnote>
  <w:footnote w:id="75">
    <w:p w:rsidR="0005296D" w:rsidRPr="00D36F91" w:rsidRDefault="0005296D" w:rsidP="002B28BE">
      <w:pPr>
        <w:pStyle w:val="Default"/>
        <w:jc w:val="both"/>
        <w:rPr>
          <w:rFonts w:ascii="Garamond" w:hAnsi="Garamond"/>
          <w:color w:val="auto"/>
          <w:sz w:val="20"/>
          <w:szCs w:val="20"/>
        </w:rPr>
      </w:pPr>
      <w:r w:rsidRPr="00D36F91">
        <w:rPr>
          <w:rStyle w:val="Rimandonotaapidipagina"/>
          <w:rFonts w:ascii="Garamond" w:hAnsi="Garamond"/>
          <w:color w:val="auto"/>
          <w:sz w:val="20"/>
          <w:szCs w:val="20"/>
        </w:rPr>
        <w:footnoteRef/>
      </w:r>
      <w:r w:rsidRPr="00D36F91">
        <w:rPr>
          <w:rFonts w:ascii="Garamond" w:hAnsi="Garamond"/>
          <w:color w:val="auto"/>
          <w:sz w:val="20"/>
          <w:szCs w:val="20"/>
        </w:rPr>
        <w:t xml:space="preserve"> L</w:t>
      </w:r>
      <w:r w:rsidRPr="00D36F91">
        <w:rPr>
          <w:rFonts w:ascii="Garamond" w:hAnsi="Garamond" w:cs="Garamond"/>
          <w:color w:val="auto"/>
          <w:sz w:val="20"/>
          <w:szCs w:val="20"/>
        </w:rPr>
        <w:t xml:space="preserve">’effetto che le analisi dei fiscal </w:t>
      </w:r>
      <w:proofErr w:type="spellStart"/>
      <w:r w:rsidRPr="00D36F91">
        <w:rPr>
          <w:rFonts w:ascii="Garamond" w:hAnsi="Garamond" w:cs="Garamond"/>
          <w:color w:val="auto"/>
          <w:sz w:val="20"/>
          <w:szCs w:val="20"/>
        </w:rPr>
        <w:t>council</w:t>
      </w:r>
      <w:proofErr w:type="spellEnd"/>
      <w:r w:rsidRPr="00D36F91">
        <w:rPr>
          <w:rFonts w:ascii="Garamond" w:hAnsi="Garamond" w:cs="Garamond"/>
          <w:color w:val="auto"/>
          <w:sz w:val="20"/>
          <w:szCs w:val="20"/>
        </w:rPr>
        <w:t xml:space="preserve"> potranno dipende da quanto l’opinione pubblica sia in grado di coglierne il significato e di punire in termini di consenso la classe politica responsabile di decisioni “insane”. In tal senso L. </w:t>
      </w:r>
      <w:proofErr w:type="spellStart"/>
      <w:r w:rsidRPr="00D36F91">
        <w:rPr>
          <w:rFonts w:ascii="Garamond" w:hAnsi="Garamond" w:cs="Garamond"/>
          <w:color w:val="auto"/>
          <w:sz w:val="20"/>
          <w:szCs w:val="20"/>
        </w:rPr>
        <w:t>Landi</w:t>
      </w:r>
      <w:proofErr w:type="spellEnd"/>
      <w:r w:rsidRPr="00D36F91">
        <w:rPr>
          <w:rFonts w:ascii="Garamond" w:hAnsi="Garamond" w:cs="Garamond"/>
          <w:color w:val="auto"/>
          <w:sz w:val="20"/>
          <w:szCs w:val="20"/>
        </w:rPr>
        <w:t xml:space="preserve">, </w:t>
      </w:r>
      <w:r w:rsidRPr="00D36F91">
        <w:rPr>
          <w:rFonts w:ascii="Garamond" w:hAnsi="Garamond" w:cs="Garamond"/>
          <w:i/>
          <w:iCs/>
          <w:color w:val="auto"/>
          <w:sz w:val="20"/>
          <w:szCs w:val="20"/>
        </w:rPr>
        <w:t xml:space="preserve">Fiscal </w:t>
      </w:r>
      <w:proofErr w:type="spellStart"/>
      <w:r w:rsidRPr="00D36F91">
        <w:rPr>
          <w:rFonts w:ascii="Garamond" w:hAnsi="Garamond" w:cs="Garamond"/>
          <w:i/>
          <w:iCs/>
          <w:color w:val="auto"/>
          <w:sz w:val="20"/>
          <w:szCs w:val="20"/>
        </w:rPr>
        <w:t>council</w:t>
      </w:r>
      <w:proofErr w:type="spellEnd"/>
      <w:r w:rsidRPr="00D36F91">
        <w:rPr>
          <w:rFonts w:ascii="Garamond" w:hAnsi="Garamond" w:cs="Garamond"/>
          <w:i/>
          <w:iCs/>
          <w:color w:val="auto"/>
          <w:sz w:val="20"/>
          <w:szCs w:val="20"/>
        </w:rPr>
        <w:t>: una comparazione internazionale e il caso italiano</w:t>
      </w:r>
      <w:r w:rsidRPr="00D36F91">
        <w:rPr>
          <w:rFonts w:ascii="Garamond" w:hAnsi="Garamond" w:cs="Garamond"/>
          <w:color w:val="auto"/>
          <w:sz w:val="20"/>
          <w:szCs w:val="20"/>
        </w:rPr>
        <w:t xml:space="preserve">, in Atti del Seminario La nuova </w:t>
      </w:r>
      <w:proofErr w:type="spellStart"/>
      <w:r w:rsidRPr="00D36F91">
        <w:rPr>
          <w:rFonts w:ascii="Garamond" w:hAnsi="Garamond" w:cs="Garamond"/>
          <w:color w:val="auto"/>
          <w:sz w:val="20"/>
          <w:szCs w:val="20"/>
        </w:rPr>
        <w:t>governance</w:t>
      </w:r>
      <w:proofErr w:type="spellEnd"/>
      <w:r w:rsidRPr="00D36F91">
        <w:rPr>
          <w:rFonts w:ascii="Garamond" w:hAnsi="Garamond" w:cs="Garamond"/>
          <w:color w:val="auto"/>
          <w:sz w:val="20"/>
          <w:szCs w:val="20"/>
        </w:rPr>
        <w:t xml:space="preserve"> fiscale europea. Fiscal </w:t>
      </w:r>
      <w:proofErr w:type="spellStart"/>
      <w:r w:rsidRPr="00D36F91">
        <w:rPr>
          <w:rFonts w:ascii="Garamond" w:hAnsi="Garamond" w:cs="Garamond"/>
          <w:color w:val="auto"/>
          <w:sz w:val="20"/>
          <w:szCs w:val="20"/>
        </w:rPr>
        <w:t>Pact</w:t>
      </w:r>
      <w:proofErr w:type="spellEnd"/>
      <w:r w:rsidRPr="00D36F91">
        <w:rPr>
          <w:rFonts w:ascii="Garamond" w:hAnsi="Garamond" w:cs="Garamond"/>
          <w:color w:val="auto"/>
          <w:sz w:val="20"/>
          <w:szCs w:val="20"/>
        </w:rPr>
        <w:t xml:space="preserve">, cornice europea e modifiche costituzionali in Italia: problemi aperti e prospettive, </w:t>
      </w:r>
      <w:proofErr w:type="spellStart"/>
      <w:r w:rsidRPr="00D36F91">
        <w:rPr>
          <w:rFonts w:ascii="Garamond" w:hAnsi="Garamond" w:cs="Garamond"/>
          <w:color w:val="auto"/>
          <w:sz w:val="20"/>
          <w:szCs w:val="20"/>
        </w:rPr>
        <w:t>Luiss</w:t>
      </w:r>
      <w:proofErr w:type="spellEnd"/>
      <w:r w:rsidRPr="00D36F91">
        <w:rPr>
          <w:rFonts w:ascii="Garamond" w:hAnsi="Garamond" w:cs="Garamond"/>
          <w:color w:val="auto"/>
          <w:sz w:val="20"/>
          <w:szCs w:val="20"/>
        </w:rPr>
        <w:t xml:space="preserve"> Guido </w:t>
      </w:r>
      <w:proofErr w:type="spellStart"/>
      <w:r w:rsidRPr="00D36F91">
        <w:rPr>
          <w:rFonts w:ascii="Garamond" w:hAnsi="Garamond" w:cs="Garamond"/>
          <w:color w:val="auto"/>
          <w:sz w:val="20"/>
          <w:szCs w:val="20"/>
        </w:rPr>
        <w:t>Carli</w:t>
      </w:r>
      <w:proofErr w:type="spellEnd"/>
      <w:r w:rsidRPr="00D36F91">
        <w:rPr>
          <w:rFonts w:ascii="Garamond" w:hAnsi="Garamond" w:cs="Garamond"/>
          <w:color w:val="auto"/>
          <w:sz w:val="20"/>
          <w:szCs w:val="20"/>
        </w:rPr>
        <w:t xml:space="preserve">, 9 novembre 2012, p.9; </w:t>
      </w:r>
    </w:p>
  </w:footnote>
  <w:footnote w:id="76">
    <w:p w:rsidR="0005296D" w:rsidRPr="00D36F91" w:rsidRDefault="0005296D" w:rsidP="002B28BE">
      <w:pPr>
        <w:pStyle w:val="Default"/>
        <w:jc w:val="both"/>
        <w:rPr>
          <w:rFonts w:ascii="Garamond" w:hAnsi="Garamond"/>
          <w:color w:val="auto"/>
          <w:sz w:val="20"/>
          <w:szCs w:val="20"/>
        </w:rPr>
      </w:pPr>
      <w:r w:rsidRPr="00D36F91">
        <w:rPr>
          <w:rStyle w:val="Rimandonotaapidipagina"/>
          <w:rFonts w:ascii="Garamond" w:hAnsi="Garamond"/>
          <w:color w:val="auto"/>
          <w:sz w:val="20"/>
          <w:szCs w:val="20"/>
        </w:rPr>
        <w:footnoteRef/>
      </w:r>
      <w:r w:rsidRPr="00D36F91">
        <w:rPr>
          <w:rFonts w:ascii="Garamond" w:hAnsi="Garamond"/>
          <w:color w:val="auto"/>
          <w:sz w:val="20"/>
          <w:szCs w:val="20"/>
        </w:rPr>
        <w:t xml:space="preserve"> L’art.18, comma 1 della legge 243/2013 stabilisce che l</w:t>
      </w:r>
      <w:r w:rsidRPr="00D36F91">
        <w:rPr>
          <w:rFonts w:ascii="Garamond" w:hAnsi="Garamond" w:cs="Verdana"/>
          <w:color w:val="auto"/>
          <w:sz w:val="20"/>
          <w:szCs w:val="20"/>
        </w:rPr>
        <w:t>'Ufficio, anche attraverso l'elaborazione di proprie stime, effettua analisi, verifiche e valutazioni in merito a:a) le previsioni macroeconomiche e di finanza pubblica; b) l'impatto macroeconomico dei provvedimenti legislativi di maggiore rilievo; c) gli andamenti di finanza pubblica, anche per sottosettore, e l'osservanza delle regole di bilancio;d) la sostenibilità della finanza pubblica nel lungo periodo; e) l'attivazione e l'utilizzo del meccanismo correttivo e gli scostamenti dagli obiettivi derivanti dal verificarsi degli eventi eccezionali; f) ulteriori temi di economia e finanza pubblica rilevanti ai fini delle analisi, delle verifiche e delle valutazioni di cui al presente comma”</w:t>
      </w:r>
    </w:p>
  </w:footnote>
  <w:footnote w:id="77">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Così Corte dei conti, sez. riunite in sede consultiva, Parere in ordine al disegno di legge costituzionale A.S.3047,13 dicembre 2011, Documento n. 3/2011/CONS. p.52; sul punto si veda </w:t>
      </w:r>
      <w:proofErr w:type="spellStart"/>
      <w:r w:rsidRPr="00D36F91">
        <w:rPr>
          <w:rFonts w:ascii="Garamond" w:hAnsi="Garamond"/>
        </w:rPr>
        <w:t>G.D’Auria</w:t>
      </w:r>
      <w:proofErr w:type="spellEnd"/>
      <w:r w:rsidRPr="00D36F91">
        <w:rPr>
          <w:rFonts w:ascii="Garamond" w:hAnsi="Garamond"/>
        </w:rPr>
        <w:t xml:space="preserve">, Sull’ingresso in Costituzione del principio del “pareggio di bilancio”(a proposito di un recente parere delle sezioni riunite della Corte dei conti) in Foro </w:t>
      </w:r>
      <w:proofErr w:type="spellStart"/>
      <w:r w:rsidRPr="00D36F91">
        <w:rPr>
          <w:rFonts w:ascii="Garamond" w:hAnsi="Garamond"/>
        </w:rPr>
        <w:t>it</w:t>
      </w:r>
      <w:proofErr w:type="spellEnd"/>
      <w:r w:rsidRPr="00D36F91">
        <w:rPr>
          <w:rFonts w:ascii="Garamond" w:hAnsi="Garamond"/>
        </w:rPr>
        <w:t>.,2012, V, 48</w:t>
      </w:r>
    </w:p>
  </w:footnote>
  <w:footnote w:id="78">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La definizione è di </w:t>
      </w:r>
      <w:proofErr w:type="spellStart"/>
      <w:r w:rsidRPr="00D36F91">
        <w:rPr>
          <w:rFonts w:ascii="Garamond" w:hAnsi="Garamond"/>
        </w:rPr>
        <w:t>G.D’Auria</w:t>
      </w:r>
      <w:proofErr w:type="spellEnd"/>
      <w:r w:rsidRPr="00D36F91">
        <w:rPr>
          <w:rFonts w:ascii="Garamond" w:hAnsi="Garamond"/>
        </w:rPr>
        <w:t xml:space="preserve">, </w:t>
      </w:r>
      <w:r w:rsidRPr="00D36F91">
        <w:rPr>
          <w:rFonts w:ascii="Garamond" w:hAnsi="Garamond"/>
          <w:i/>
          <w:iCs/>
        </w:rPr>
        <w:t>I controlli</w:t>
      </w:r>
      <w:r w:rsidRPr="00D36F91">
        <w:rPr>
          <w:rFonts w:ascii="Garamond" w:hAnsi="Garamond"/>
        </w:rPr>
        <w:t xml:space="preserve">, in S. </w:t>
      </w:r>
      <w:proofErr w:type="spellStart"/>
      <w:r w:rsidRPr="00D36F91">
        <w:rPr>
          <w:rFonts w:ascii="Garamond" w:hAnsi="Garamond"/>
        </w:rPr>
        <w:t>Cassese</w:t>
      </w:r>
      <w:proofErr w:type="spellEnd"/>
      <w:r w:rsidRPr="00D36F91">
        <w:rPr>
          <w:rFonts w:ascii="Garamond" w:hAnsi="Garamond"/>
        </w:rPr>
        <w:t xml:space="preserve"> ( a cura di) Trattato di diritto amministrativo, 2003, Milano,</w:t>
      </w:r>
      <w:proofErr w:type="spellStart"/>
      <w:r w:rsidRPr="00D36F91">
        <w:rPr>
          <w:rFonts w:ascii="Garamond" w:hAnsi="Garamond"/>
        </w:rPr>
        <w:t>II</w:t>
      </w:r>
      <w:proofErr w:type="spellEnd"/>
      <w:r w:rsidRPr="00D36F91">
        <w:rPr>
          <w:rFonts w:ascii="Garamond" w:hAnsi="Garamond"/>
        </w:rPr>
        <w:t>, p.1397 e ss:</w:t>
      </w:r>
    </w:p>
  </w:footnote>
  <w:footnote w:id="79">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Di diverso avviso Pelino S., </w:t>
      </w:r>
      <w:r w:rsidRPr="00D36F91">
        <w:rPr>
          <w:rFonts w:ascii="Garamond" w:hAnsi="Garamond"/>
          <w:i/>
          <w:iCs/>
        </w:rPr>
        <w:t xml:space="preserve">La </w:t>
      </w:r>
      <w:proofErr w:type="spellStart"/>
      <w:r w:rsidRPr="00D36F91">
        <w:rPr>
          <w:rFonts w:ascii="Garamond" w:hAnsi="Garamond"/>
          <w:i/>
          <w:iCs/>
        </w:rPr>
        <w:t>costituzionalizzazione</w:t>
      </w:r>
      <w:proofErr w:type="spellEnd"/>
      <w:r w:rsidRPr="00D36F91">
        <w:rPr>
          <w:rFonts w:ascii="Garamond" w:hAnsi="Garamond"/>
          <w:i/>
          <w:iCs/>
        </w:rPr>
        <w:t xml:space="preserve"> </w:t>
      </w:r>
      <w:proofErr w:type="spellStart"/>
      <w:r w:rsidRPr="00D36F91">
        <w:rPr>
          <w:rFonts w:ascii="Garamond" w:hAnsi="Garamond"/>
          <w:i/>
          <w:iCs/>
        </w:rPr>
        <w:t>eteronoma</w:t>
      </w:r>
      <w:proofErr w:type="spellEnd"/>
      <w:r w:rsidRPr="00D36F91">
        <w:rPr>
          <w:rFonts w:ascii="Garamond" w:hAnsi="Garamond"/>
          <w:i/>
          <w:iCs/>
        </w:rPr>
        <w:t xml:space="preserve"> del pareggio del bilancio</w:t>
      </w:r>
      <w:r w:rsidRPr="00D36F91">
        <w:rPr>
          <w:rFonts w:ascii="Garamond" w:hAnsi="Garamond"/>
        </w:rPr>
        <w:t xml:space="preserve">, in </w:t>
      </w:r>
      <w:r w:rsidRPr="00D36F91">
        <w:rPr>
          <w:rFonts w:ascii="Garamond" w:hAnsi="Garamond"/>
          <w:i/>
          <w:iCs/>
        </w:rPr>
        <w:t xml:space="preserve">Giustizia amministrativa, Rivista di diritto pubblico, </w:t>
      </w:r>
      <w:r w:rsidRPr="00D36F91">
        <w:rPr>
          <w:rFonts w:ascii="Garamond" w:hAnsi="Garamond"/>
        </w:rPr>
        <w:t xml:space="preserve">n. 5 del 10 maggio 2012, pag. 5, in www.giustamm.it/  </w:t>
      </w:r>
    </w:p>
  </w:footnote>
  <w:footnote w:id="80">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Sul ruolo dei poteri neutrali come “contrappesi” al potere politico, si veda </w:t>
      </w:r>
      <w:proofErr w:type="spellStart"/>
      <w:r w:rsidRPr="00D36F91">
        <w:rPr>
          <w:rFonts w:ascii="Garamond" w:hAnsi="Garamond"/>
        </w:rPr>
        <w:t>G.della</w:t>
      </w:r>
      <w:proofErr w:type="spellEnd"/>
      <w:r w:rsidRPr="00D36F91">
        <w:rPr>
          <w:rFonts w:ascii="Garamond" w:hAnsi="Garamond"/>
        </w:rPr>
        <w:t xml:space="preserve"> Cananea, </w:t>
      </w:r>
      <w:r w:rsidRPr="00D36F91">
        <w:rPr>
          <w:rFonts w:ascii="Garamond" w:hAnsi="Garamond"/>
          <w:i/>
          <w:iCs/>
        </w:rPr>
        <w:t>Indirizzo e controllo</w:t>
      </w:r>
      <w:r w:rsidRPr="00D36F91">
        <w:rPr>
          <w:rFonts w:ascii="Garamond" w:hAnsi="Garamond"/>
        </w:rPr>
        <w:t xml:space="preserve">, </w:t>
      </w:r>
      <w:proofErr w:type="spellStart"/>
      <w:r w:rsidRPr="00D36F91">
        <w:rPr>
          <w:rFonts w:ascii="Garamond" w:hAnsi="Garamond"/>
        </w:rPr>
        <w:t>cit</w:t>
      </w:r>
      <w:proofErr w:type="spellEnd"/>
      <w:r w:rsidRPr="00D36F91">
        <w:rPr>
          <w:rFonts w:ascii="Garamond" w:hAnsi="Garamond"/>
        </w:rPr>
        <w:t xml:space="preserve">, p.344-346, anche per la bibliografia citata; evidenzia come l’azione dei poteri neutrali completa il ruolo del Parlamento in quanto consente che “gli interessi del pubblico siano presi in considerazione e tutelati anche, eventualmente, al di là di quanto ritenga opportuno la maggioranza parlamentare”; in generale sulla nozione di neutralità e sui poteri neutrali si veda </w:t>
      </w:r>
      <w:proofErr w:type="spellStart"/>
      <w:r w:rsidRPr="00D36F91">
        <w:rPr>
          <w:rFonts w:ascii="Garamond" w:hAnsi="Garamond"/>
        </w:rPr>
        <w:t>A.M.Sandulli</w:t>
      </w:r>
      <w:proofErr w:type="spellEnd"/>
      <w:r w:rsidRPr="00D36F91">
        <w:rPr>
          <w:rFonts w:ascii="Garamond" w:hAnsi="Garamond"/>
        </w:rPr>
        <w:t xml:space="preserve">, Funzioni pubbliche neutrali, in Studi in onore di </w:t>
      </w:r>
      <w:proofErr w:type="spellStart"/>
      <w:r w:rsidRPr="00D36F91">
        <w:rPr>
          <w:rFonts w:ascii="Garamond" w:hAnsi="Garamond"/>
        </w:rPr>
        <w:t>A.Segni</w:t>
      </w:r>
      <w:proofErr w:type="spellEnd"/>
      <w:r w:rsidRPr="00D36F91">
        <w:rPr>
          <w:rFonts w:ascii="Garamond" w:hAnsi="Garamond"/>
        </w:rPr>
        <w:t xml:space="preserve">, vol. IV Milano, 1967, p.257 e ss; </w:t>
      </w:r>
      <w:proofErr w:type="spellStart"/>
      <w:r w:rsidRPr="00D36F91">
        <w:rPr>
          <w:rFonts w:ascii="Garamond" w:hAnsi="Garamond"/>
        </w:rPr>
        <w:t>M.Manetti</w:t>
      </w:r>
      <w:proofErr w:type="spellEnd"/>
      <w:r w:rsidRPr="00D36F91">
        <w:rPr>
          <w:rFonts w:ascii="Garamond" w:hAnsi="Garamond"/>
        </w:rPr>
        <w:t xml:space="preserve">, Poteri neutrali e Costituzione, Milano, </w:t>
      </w:r>
      <w:proofErr w:type="spellStart"/>
      <w:r w:rsidRPr="00D36F91">
        <w:rPr>
          <w:rFonts w:ascii="Garamond" w:hAnsi="Garamond"/>
        </w:rPr>
        <w:t>Giuffrè</w:t>
      </w:r>
      <w:proofErr w:type="spellEnd"/>
      <w:r w:rsidRPr="00D36F91">
        <w:rPr>
          <w:rFonts w:ascii="Garamond" w:hAnsi="Garamond"/>
        </w:rPr>
        <w:t>, 1994</w:t>
      </w:r>
    </w:p>
  </w:footnote>
  <w:footnote w:id="81">
    <w:p w:rsidR="0005296D" w:rsidRPr="00BD21C6" w:rsidRDefault="0005296D" w:rsidP="00BD21C6">
      <w:pPr>
        <w:pStyle w:val="Default"/>
        <w:jc w:val="both"/>
        <w:rPr>
          <w:rFonts w:ascii="Garamond" w:hAnsi="Garamond"/>
          <w:color w:val="auto"/>
          <w:sz w:val="20"/>
          <w:szCs w:val="20"/>
          <w:lang w:val="en-US"/>
        </w:rPr>
      </w:pPr>
      <w:r w:rsidRPr="00D36F91">
        <w:rPr>
          <w:rStyle w:val="Rimandonotaapidipagina"/>
          <w:rFonts w:ascii="Garamond" w:hAnsi="Garamond"/>
          <w:color w:val="auto"/>
          <w:sz w:val="20"/>
          <w:szCs w:val="20"/>
        </w:rPr>
        <w:footnoteRef/>
      </w:r>
      <w:r w:rsidRPr="00BD21C6">
        <w:rPr>
          <w:rFonts w:ascii="Garamond" w:hAnsi="Garamond"/>
          <w:color w:val="auto"/>
          <w:sz w:val="20"/>
          <w:szCs w:val="20"/>
          <w:lang w:val="en-US"/>
        </w:rPr>
        <w:t xml:space="preserve"> In </w:t>
      </w:r>
      <w:proofErr w:type="spellStart"/>
      <w:r w:rsidRPr="00BD21C6">
        <w:rPr>
          <w:rFonts w:ascii="Garamond" w:hAnsi="Garamond"/>
          <w:color w:val="auto"/>
          <w:sz w:val="20"/>
          <w:szCs w:val="20"/>
          <w:lang w:val="en-US"/>
        </w:rPr>
        <w:t>que</w:t>
      </w:r>
      <w:r>
        <w:rPr>
          <w:rFonts w:ascii="Garamond" w:hAnsi="Garamond"/>
          <w:color w:val="auto"/>
          <w:sz w:val="20"/>
          <w:szCs w:val="20"/>
          <w:lang w:val="en-US"/>
        </w:rPr>
        <w:t>sto</w:t>
      </w:r>
      <w:proofErr w:type="spellEnd"/>
      <w:r>
        <w:rPr>
          <w:rFonts w:ascii="Garamond" w:hAnsi="Garamond"/>
          <w:color w:val="auto"/>
          <w:sz w:val="20"/>
          <w:szCs w:val="20"/>
          <w:lang w:val="en-US"/>
        </w:rPr>
        <w:t xml:space="preserve"> </w:t>
      </w:r>
      <w:proofErr w:type="spellStart"/>
      <w:r>
        <w:rPr>
          <w:rFonts w:ascii="Garamond" w:hAnsi="Garamond"/>
          <w:color w:val="auto"/>
          <w:sz w:val="20"/>
          <w:szCs w:val="20"/>
          <w:lang w:val="en-US"/>
        </w:rPr>
        <w:t>senso</w:t>
      </w:r>
      <w:proofErr w:type="spellEnd"/>
      <w:r w:rsidRPr="00BD21C6">
        <w:rPr>
          <w:rFonts w:ascii="Garamond" w:hAnsi="Garamond"/>
          <w:color w:val="auto"/>
          <w:sz w:val="20"/>
          <w:szCs w:val="20"/>
          <w:lang w:val="en-US"/>
        </w:rPr>
        <w:t xml:space="preserve">, </w:t>
      </w:r>
      <w:proofErr w:type="spellStart"/>
      <w:r w:rsidRPr="00BD21C6">
        <w:rPr>
          <w:rFonts w:ascii="Garamond" w:hAnsi="Garamond"/>
          <w:color w:val="auto"/>
          <w:sz w:val="20"/>
          <w:szCs w:val="20"/>
          <w:lang w:val="en-US"/>
        </w:rPr>
        <w:t>G.</w:t>
      </w:r>
      <w:r w:rsidRPr="00BD21C6">
        <w:rPr>
          <w:rFonts w:ascii="Garamond" w:hAnsi="Garamond" w:cs="Garamond"/>
          <w:color w:val="auto"/>
          <w:sz w:val="20"/>
          <w:szCs w:val="20"/>
          <w:lang w:val="en-US"/>
        </w:rPr>
        <w:t>Kopits</w:t>
      </w:r>
      <w:proofErr w:type="spellEnd"/>
      <w:r w:rsidRPr="00BD21C6">
        <w:rPr>
          <w:rFonts w:ascii="Garamond" w:hAnsi="Garamond" w:cs="Garamond"/>
          <w:color w:val="auto"/>
          <w:sz w:val="20"/>
          <w:szCs w:val="20"/>
          <w:lang w:val="en-US"/>
        </w:rPr>
        <w:t xml:space="preserve">, “The Role of independent Watchdogs in Good Fiscal Governance”, </w:t>
      </w:r>
      <w:proofErr w:type="spellStart"/>
      <w:r w:rsidRPr="00BD21C6">
        <w:rPr>
          <w:rFonts w:ascii="Garamond" w:hAnsi="Garamond" w:cs="Garamond"/>
          <w:color w:val="auto"/>
          <w:sz w:val="20"/>
          <w:szCs w:val="20"/>
          <w:lang w:val="en-US"/>
        </w:rPr>
        <w:t>seminario</w:t>
      </w:r>
      <w:proofErr w:type="spellEnd"/>
      <w:r w:rsidRPr="00BD21C6">
        <w:rPr>
          <w:rFonts w:ascii="Garamond" w:hAnsi="Garamond" w:cs="Garamond"/>
          <w:color w:val="auto"/>
          <w:sz w:val="20"/>
          <w:szCs w:val="20"/>
          <w:lang w:val="en-US"/>
        </w:rPr>
        <w:t xml:space="preserve"> </w:t>
      </w:r>
      <w:proofErr w:type="spellStart"/>
      <w:r w:rsidRPr="00BD21C6">
        <w:rPr>
          <w:rFonts w:ascii="Garamond" w:hAnsi="Garamond" w:cs="Garamond"/>
          <w:color w:val="auto"/>
          <w:sz w:val="20"/>
          <w:szCs w:val="20"/>
          <w:lang w:val="en-US"/>
        </w:rPr>
        <w:t>alla</w:t>
      </w:r>
      <w:proofErr w:type="spellEnd"/>
      <w:r w:rsidRPr="00BD21C6">
        <w:rPr>
          <w:rFonts w:ascii="Garamond" w:hAnsi="Garamond" w:cs="Garamond"/>
          <w:color w:val="auto"/>
          <w:sz w:val="20"/>
          <w:szCs w:val="20"/>
          <w:lang w:val="en-US"/>
        </w:rPr>
        <w:t xml:space="preserve"> Camera </w:t>
      </w:r>
      <w:proofErr w:type="spellStart"/>
      <w:r w:rsidRPr="00BD21C6">
        <w:rPr>
          <w:rFonts w:ascii="Garamond" w:hAnsi="Garamond" w:cs="Garamond"/>
          <w:color w:val="auto"/>
          <w:sz w:val="20"/>
          <w:szCs w:val="20"/>
          <w:lang w:val="en-US"/>
        </w:rPr>
        <w:t>dei</w:t>
      </w:r>
      <w:proofErr w:type="spellEnd"/>
      <w:r w:rsidRPr="00BD21C6">
        <w:rPr>
          <w:rFonts w:ascii="Garamond" w:hAnsi="Garamond" w:cs="Garamond"/>
          <w:color w:val="auto"/>
          <w:sz w:val="20"/>
          <w:szCs w:val="20"/>
          <w:lang w:val="en-US"/>
        </w:rPr>
        <w:t xml:space="preserve"> </w:t>
      </w:r>
      <w:proofErr w:type="spellStart"/>
      <w:r w:rsidRPr="00BD21C6">
        <w:rPr>
          <w:rFonts w:ascii="Garamond" w:hAnsi="Garamond" w:cs="Garamond"/>
          <w:color w:val="auto"/>
          <w:sz w:val="20"/>
          <w:szCs w:val="20"/>
          <w:lang w:val="en-US"/>
        </w:rPr>
        <w:t>Deputati</w:t>
      </w:r>
      <w:proofErr w:type="spellEnd"/>
      <w:r w:rsidRPr="00BD21C6">
        <w:rPr>
          <w:rFonts w:ascii="Garamond" w:hAnsi="Garamond" w:cs="Garamond"/>
          <w:color w:val="auto"/>
          <w:sz w:val="20"/>
          <w:szCs w:val="20"/>
          <w:lang w:val="en-US"/>
        </w:rPr>
        <w:t xml:space="preserve">, Roma, 8 </w:t>
      </w:r>
      <w:proofErr w:type="spellStart"/>
      <w:r w:rsidRPr="00BD21C6">
        <w:rPr>
          <w:rFonts w:ascii="Garamond" w:hAnsi="Garamond" w:cs="Garamond"/>
          <w:color w:val="auto"/>
          <w:sz w:val="20"/>
          <w:szCs w:val="20"/>
          <w:lang w:val="en-US"/>
        </w:rPr>
        <w:t>giugno</w:t>
      </w:r>
      <w:proofErr w:type="spellEnd"/>
      <w:r w:rsidRPr="00BD21C6">
        <w:rPr>
          <w:rFonts w:ascii="Garamond" w:hAnsi="Garamond" w:cs="Garamond"/>
          <w:color w:val="auto"/>
          <w:sz w:val="20"/>
          <w:szCs w:val="20"/>
          <w:lang w:val="en-US"/>
        </w:rPr>
        <w:t xml:space="preserve"> 2011; Id., “Independent Fiscal Institutions: Developing Good Practices”, Paper for the 3rd Annual Meeting of OECD Parliamentary Budget Officials;</w:t>
      </w:r>
    </w:p>
  </w:footnote>
  <w:footnote w:id="82">
    <w:p w:rsidR="0005296D" w:rsidRPr="00D36F91" w:rsidRDefault="0005296D" w:rsidP="002B28BE">
      <w:pPr>
        <w:pStyle w:val="Nessunaspaziatura"/>
        <w:ind w:right="-24"/>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w:t>
      </w:r>
      <w:r w:rsidRPr="00D36F91">
        <w:rPr>
          <w:rFonts w:ascii="Garamond" w:hAnsi="Garamond" w:cs="TimesNewRomanPS-ItalicMT"/>
          <w:i/>
          <w:iCs/>
          <w:sz w:val="20"/>
          <w:szCs w:val="20"/>
        </w:rPr>
        <w:t>Sull’opportunità di</w:t>
      </w:r>
      <w:r w:rsidRPr="00D36F91">
        <w:rPr>
          <w:rFonts w:ascii="Garamond" w:hAnsi="Garamond" w:cs="NewAsterLTStd"/>
          <w:sz w:val="20"/>
          <w:szCs w:val="20"/>
        </w:rPr>
        <w:t xml:space="preserve"> un rafforzamento delle strutture e delle procedure già esistenti si veda </w:t>
      </w:r>
      <w:proofErr w:type="spellStart"/>
      <w:r w:rsidRPr="00D36F91">
        <w:rPr>
          <w:rFonts w:ascii="Garamond" w:hAnsi="Garamond" w:cs="NewAsterLTStd"/>
          <w:sz w:val="20"/>
          <w:szCs w:val="20"/>
        </w:rPr>
        <w:t>G.Salvemini</w:t>
      </w:r>
      <w:proofErr w:type="spellEnd"/>
      <w:r w:rsidRPr="00D36F91">
        <w:rPr>
          <w:rFonts w:ascii="Garamond" w:hAnsi="Garamond" w:cs="NewAsterLTStd"/>
          <w:sz w:val="20"/>
          <w:szCs w:val="20"/>
        </w:rPr>
        <w:t xml:space="preserve">, </w:t>
      </w:r>
      <w:proofErr w:type="spellStart"/>
      <w:r w:rsidRPr="00D36F91">
        <w:rPr>
          <w:rFonts w:ascii="Garamond" w:hAnsi="Garamond" w:cs="NewAsterLTStd"/>
          <w:sz w:val="20"/>
          <w:szCs w:val="20"/>
        </w:rPr>
        <w:t>C.Virno</w:t>
      </w:r>
      <w:proofErr w:type="spellEnd"/>
      <w:r w:rsidRPr="00D36F91">
        <w:rPr>
          <w:rFonts w:ascii="Garamond" w:hAnsi="Garamond" w:cs="NewAsterLTStd"/>
          <w:sz w:val="20"/>
          <w:szCs w:val="20"/>
        </w:rPr>
        <w:t>, Un (nuovo) guardiano della trasparenza dei conti pubblici? Società italiana di economia pubblica, Università di Pavia, giugno 2006;</w:t>
      </w:r>
    </w:p>
  </w:footnote>
  <w:footnote w:id="83">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Così, Corte dei Conti, Relazione sul rendiconto generale dello Stato, 2010,</w:t>
      </w:r>
      <w:proofErr w:type="spellStart"/>
      <w:r w:rsidRPr="00D36F91">
        <w:rPr>
          <w:rFonts w:ascii="Garamond" w:hAnsi="Garamond"/>
        </w:rPr>
        <w:t>Vol.I</w:t>
      </w:r>
      <w:proofErr w:type="spellEnd"/>
      <w:r w:rsidRPr="00D36F91">
        <w:rPr>
          <w:rFonts w:ascii="Garamond" w:hAnsi="Garamond"/>
        </w:rPr>
        <w:t xml:space="preserve">, </w:t>
      </w:r>
      <w:proofErr w:type="spellStart"/>
      <w:r w:rsidRPr="00D36F91">
        <w:rPr>
          <w:rFonts w:ascii="Garamond" w:hAnsi="Garamond"/>
        </w:rPr>
        <w:t>Cap.IV</w:t>
      </w:r>
      <w:proofErr w:type="spellEnd"/>
      <w:r w:rsidRPr="00D36F91">
        <w:rPr>
          <w:rFonts w:ascii="Garamond" w:hAnsi="Garamond"/>
        </w:rPr>
        <w:t>, p.162</w:t>
      </w:r>
    </w:p>
  </w:footnote>
  <w:footnote w:id="84">
    <w:p w:rsidR="0005296D" w:rsidRPr="00D36F91" w:rsidRDefault="0005296D" w:rsidP="002B28BE">
      <w:pPr>
        <w:pStyle w:val="Nessunaspaziatura"/>
        <w:ind w:right="-24"/>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w:t>
      </w:r>
      <w:proofErr w:type="spellStart"/>
      <w:r w:rsidRPr="00D36F91">
        <w:rPr>
          <w:rFonts w:ascii="Garamond" w:hAnsi="Garamond"/>
          <w:sz w:val="20"/>
          <w:szCs w:val="20"/>
        </w:rPr>
        <w:t>Cfr</w:t>
      </w:r>
      <w:proofErr w:type="spellEnd"/>
      <w:r w:rsidRPr="00D36F91">
        <w:rPr>
          <w:rFonts w:ascii="Garamond" w:hAnsi="Garamond"/>
          <w:sz w:val="20"/>
          <w:szCs w:val="20"/>
        </w:rPr>
        <w:t xml:space="preserve"> </w:t>
      </w:r>
      <w:proofErr w:type="spellStart"/>
      <w:r w:rsidRPr="00D36F91">
        <w:rPr>
          <w:rFonts w:ascii="Garamond" w:hAnsi="Garamond"/>
          <w:sz w:val="20"/>
          <w:szCs w:val="20"/>
        </w:rPr>
        <w:t>M.P.Chiti</w:t>
      </w:r>
      <w:proofErr w:type="spellEnd"/>
      <w:r w:rsidRPr="00D36F91">
        <w:rPr>
          <w:rFonts w:ascii="Garamond" w:hAnsi="Garamond"/>
          <w:sz w:val="20"/>
          <w:szCs w:val="20"/>
        </w:rPr>
        <w:t>,</w:t>
      </w:r>
      <w:r w:rsidRPr="00D36F91">
        <w:rPr>
          <w:rFonts w:ascii="Garamond" w:hAnsi="Garamond"/>
          <w:i/>
          <w:iCs/>
          <w:sz w:val="20"/>
          <w:szCs w:val="20"/>
        </w:rPr>
        <w:t xml:space="preserve"> L’ufficio parlamentare</w:t>
      </w:r>
      <w:r w:rsidRPr="00D36F91">
        <w:rPr>
          <w:rFonts w:ascii="Garamond" w:hAnsi="Garamond"/>
          <w:sz w:val="20"/>
          <w:szCs w:val="20"/>
        </w:rPr>
        <w:t xml:space="preserve">, cit., p.14 osserva che “Pur essendo noto lo scetticismo delle istituzioni dell’Unione sulla qualità dell’amministrazione italiana, sarebbe stato possibile evidenziare la credibilità di alcuni dei nostri organismi, eventualmente adeguati alle nuove necessità. In particolare, nell’elaborazione della normativa sul </w:t>
      </w:r>
      <w:r w:rsidRPr="00D36F91">
        <w:rPr>
          <w:rFonts w:ascii="Garamond" w:hAnsi="Garamond"/>
          <w:i/>
          <w:iCs/>
          <w:sz w:val="20"/>
          <w:szCs w:val="20"/>
        </w:rPr>
        <w:t xml:space="preserve">fiscal </w:t>
      </w:r>
      <w:proofErr w:type="spellStart"/>
      <w:r w:rsidRPr="00D36F91">
        <w:rPr>
          <w:rFonts w:ascii="Garamond" w:hAnsi="Garamond"/>
          <w:i/>
          <w:iCs/>
          <w:sz w:val="20"/>
          <w:szCs w:val="20"/>
        </w:rPr>
        <w:t>council</w:t>
      </w:r>
      <w:proofErr w:type="spellEnd"/>
      <w:r w:rsidRPr="00D36F91">
        <w:rPr>
          <w:rFonts w:ascii="Garamond" w:hAnsi="Garamond"/>
          <w:i/>
          <w:iCs/>
          <w:sz w:val="20"/>
          <w:szCs w:val="20"/>
        </w:rPr>
        <w:t xml:space="preserve"> </w:t>
      </w:r>
      <w:r w:rsidRPr="00D36F91">
        <w:rPr>
          <w:rFonts w:ascii="Garamond" w:hAnsi="Garamond"/>
          <w:sz w:val="20"/>
          <w:szCs w:val="20"/>
        </w:rPr>
        <w:t>non è stata appropriatamente  considerata la possibilità di riorganizzare la Corte dei conti in funzione delle nuove competenze da assolvere per l’analisi, le verifiche e le valutazioni in tema di finanza pubblica;</w:t>
      </w:r>
      <w:r w:rsidRPr="00D36F91">
        <w:rPr>
          <w:rFonts w:ascii="Garamond" w:hAnsi="Garamond" w:cs="NewAsterLTStd"/>
          <w:sz w:val="20"/>
          <w:szCs w:val="20"/>
        </w:rPr>
        <w:t xml:space="preserve"> in tal senso,volendo, </w:t>
      </w:r>
      <w:proofErr w:type="spellStart"/>
      <w:r w:rsidRPr="00D36F91">
        <w:rPr>
          <w:rFonts w:ascii="Garamond" w:hAnsi="Garamond" w:cs="TimesNewRomanPS-ItalicMT"/>
          <w:i/>
          <w:iCs/>
          <w:sz w:val="20"/>
          <w:szCs w:val="20"/>
        </w:rPr>
        <w:t>F.Nugnes</w:t>
      </w:r>
      <w:proofErr w:type="spellEnd"/>
      <w:r w:rsidRPr="00D36F91">
        <w:rPr>
          <w:rFonts w:ascii="Garamond" w:hAnsi="Garamond" w:cs="TimesNewRomanPS-ItalicMT"/>
          <w:i/>
          <w:iCs/>
          <w:sz w:val="20"/>
          <w:szCs w:val="20"/>
        </w:rPr>
        <w:t xml:space="preserve">, </w:t>
      </w:r>
      <w:r w:rsidRPr="00D36F91">
        <w:rPr>
          <w:rFonts w:ascii="Garamond" w:hAnsi="Garamond" w:cs="Times New Roman"/>
          <w:i/>
          <w:iCs/>
          <w:sz w:val="20"/>
          <w:szCs w:val="20"/>
        </w:rPr>
        <w:t>Elementi di continuità nelle distorsioni della decisione di bilancio in Italia</w:t>
      </w:r>
      <w:r w:rsidRPr="00D36F91">
        <w:rPr>
          <w:rFonts w:ascii="Garamond" w:hAnsi="Garamond" w:cs="Times New Roman"/>
          <w:sz w:val="20"/>
          <w:szCs w:val="20"/>
        </w:rPr>
        <w:t xml:space="preserve">, in </w:t>
      </w:r>
      <w:r w:rsidRPr="00D36F91">
        <w:rPr>
          <w:rFonts w:ascii="Garamond" w:hAnsi="Garamond" w:cs="Times New Roman"/>
          <w:i/>
          <w:iCs/>
          <w:sz w:val="20"/>
          <w:szCs w:val="20"/>
        </w:rPr>
        <w:t>Rivista di diritto pubblico italiano e comunitario, n.6/2011</w:t>
      </w:r>
    </w:p>
  </w:footnote>
  <w:footnote w:id="85">
    <w:p w:rsidR="0005296D" w:rsidRPr="00D36F91" w:rsidRDefault="0005296D" w:rsidP="002B28BE">
      <w:pPr>
        <w:pStyle w:val="Default"/>
        <w:jc w:val="both"/>
        <w:rPr>
          <w:rFonts w:ascii="Garamond" w:hAnsi="Garamond" w:cs="NewAsterLTStd"/>
          <w:color w:val="auto"/>
          <w:sz w:val="20"/>
          <w:szCs w:val="20"/>
        </w:rPr>
      </w:pPr>
      <w:r w:rsidRPr="00D36F91">
        <w:rPr>
          <w:rStyle w:val="Rimandonotaapidipagina"/>
          <w:rFonts w:ascii="Garamond" w:hAnsi="Garamond"/>
          <w:color w:val="auto"/>
          <w:sz w:val="20"/>
          <w:szCs w:val="20"/>
        </w:rPr>
        <w:footnoteRef/>
      </w:r>
      <w:r w:rsidRPr="00D36F91">
        <w:rPr>
          <w:rFonts w:ascii="Garamond" w:hAnsi="Garamond"/>
          <w:color w:val="auto"/>
          <w:sz w:val="20"/>
          <w:szCs w:val="20"/>
        </w:rPr>
        <w:t xml:space="preserve">All’interno del dibattito che condusse alla creazione dei servizi di bilancio, si formarono tre posizioni differenti: per una parte si riteneva opportuno affidare questa funzione alla Corte dei conti; per altra parte si riteneva auspicabile seguire il modello del </w:t>
      </w:r>
      <w:proofErr w:type="spellStart"/>
      <w:r w:rsidRPr="00D36F91">
        <w:rPr>
          <w:rFonts w:ascii="Garamond" w:hAnsi="Garamond"/>
          <w:color w:val="auto"/>
          <w:sz w:val="20"/>
          <w:szCs w:val="20"/>
        </w:rPr>
        <w:t>Cbo</w:t>
      </w:r>
      <w:proofErr w:type="spellEnd"/>
      <w:r w:rsidRPr="00D36F91">
        <w:rPr>
          <w:rFonts w:ascii="Garamond" w:hAnsi="Garamond"/>
          <w:color w:val="auto"/>
          <w:sz w:val="20"/>
          <w:szCs w:val="20"/>
        </w:rPr>
        <w:t xml:space="preserve"> statunitense, creando una struttura bicamerale in grado di fare delle “contro quantificazioni”; infine per altra parte, si riteneva necessario creare due distinte strutture per la verifica della quantificazione degli oneri elaborata dal Governo. Si veda Camera dei deputati, Unità operativa interservizi per lo studio delle proposte relative alla istituzione dell’Ufficio del bilancio- Relazione conclusiva, aprile 1988; ulteriori </w:t>
      </w:r>
      <w:r w:rsidRPr="00D36F91">
        <w:rPr>
          <w:rFonts w:ascii="Garamond" w:hAnsi="Garamond" w:cs="NewAsterLTStd"/>
          <w:color w:val="auto"/>
          <w:sz w:val="20"/>
          <w:szCs w:val="20"/>
        </w:rPr>
        <w:t xml:space="preserve">tentativi in tal senso sono stati avanzati, nel 2009, anche nel corso dell’esame del disegno di legge di riforma di contabilità pubblica (A.S. 21397-A, art. 7) ma nella versione definitiva sono state eliminate le proposte relative all’istituzione di una Commissione parlamentare per la trasparenza dei conti pubblici e alla creazione di una struttura tecnica di supporto; Così </w:t>
      </w:r>
      <w:proofErr w:type="spellStart"/>
      <w:r w:rsidRPr="00D36F91">
        <w:rPr>
          <w:rFonts w:ascii="Garamond" w:hAnsi="Garamond" w:cs="NewAsterLTStd"/>
          <w:color w:val="auto"/>
          <w:sz w:val="20"/>
          <w:szCs w:val="20"/>
        </w:rPr>
        <w:t>M.Degni</w:t>
      </w:r>
      <w:proofErr w:type="spellEnd"/>
      <w:r w:rsidRPr="00D36F91">
        <w:rPr>
          <w:rFonts w:ascii="Garamond" w:hAnsi="Garamond" w:cs="NewAsterLTStd"/>
          <w:color w:val="auto"/>
          <w:sz w:val="20"/>
          <w:szCs w:val="20"/>
        </w:rPr>
        <w:t xml:space="preserve">, </w:t>
      </w:r>
      <w:r w:rsidRPr="00D36F91">
        <w:rPr>
          <w:rFonts w:ascii="Garamond" w:hAnsi="Garamond" w:cs="NewAsterLTStd"/>
          <w:i/>
          <w:iCs/>
          <w:color w:val="auto"/>
          <w:sz w:val="20"/>
          <w:szCs w:val="20"/>
        </w:rPr>
        <w:t>La decisione di bilancio nel sistema maggioritario</w:t>
      </w:r>
      <w:r w:rsidRPr="00D36F91">
        <w:rPr>
          <w:rFonts w:ascii="Garamond" w:hAnsi="Garamond" w:cs="NewAsterLTStd"/>
          <w:color w:val="auto"/>
          <w:sz w:val="20"/>
          <w:szCs w:val="20"/>
        </w:rPr>
        <w:t xml:space="preserve">, </w:t>
      </w:r>
      <w:proofErr w:type="spellStart"/>
      <w:r w:rsidRPr="00D36F91">
        <w:rPr>
          <w:rFonts w:ascii="Garamond" w:hAnsi="Garamond" w:cs="NewAsterLTStd"/>
          <w:color w:val="auto"/>
          <w:sz w:val="20"/>
          <w:szCs w:val="20"/>
        </w:rPr>
        <w:t>Ediesse</w:t>
      </w:r>
      <w:proofErr w:type="spellEnd"/>
      <w:r w:rsidRPr="00D36F91">
        <w:rPr>
          <w:rFonts w:ascii="Garamond" w:hAnsi="Garamond" w:cs="NewAsterLTStd"/>
          <w:color w:val="auto"/>
          <w:sz w:val="20"/>
          <w:szCs w:val="20"/>
        </w:rPr>
        <w:t>, 2004 p.220-221</w:t>
      </w:r>
    </w:p>
  </w:footnote>
  <w:footnote w:id="86">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Tale scelta era giustificata dalla cautela nell’introdurre “innovazioni troppo marcate in un’area di riserva costituzionale nella quale </w:t>
      </w:r>
      <w:r w:rsidRPr="00D36F91">
        <w:rPr>
          <w:rFonts w:ascii="Garamond" w:hAnsi="Garamond"/>
          <w:i/>
          <w:iCs/>
        </w:rPr>
        <w:t xml:space="preserve">era </w:t>
      </w:r>
      <w:r w:rsidRPr="00D36F91">
        <w:rPr>
          <w:rFonts w:ascii="Garamond" w:hAnsi="Garamond"/>
        </w:rPr>
        <w:t xml:space="preserve">discutibile se, e in che misura, sia possibile inserire una “consulenza specialistica” prodotta da organismi burocratici” Così </w:t>
      </w:r>
      <w:proofErr w:type="spellStart"/>
      <w:r w:rsidRPr="00D36F91">
        <w:rPr>
          <w:rFonts w:ascii="Garamond" w:hAnsi="Garamond"/>
        </w:rPr>
        <w:t>P.de</w:t>
      </w:r>
      <w:proofErr w:type="spellEnd"/>
      <w:r w:rsidRPr="00D36F91">
        <w:rPr>
          <w:rFonts w:ascii="Garamond" w:hAnsi="Garamond"/>
        </w:rPr>
        <w:t xml:space="preserve"> </w:t>
      </w:r>
      <w:proofErr w:type="spellStart"/>
      <w:r w:rsidRPr="00D36F91">
        <w:rPr>
          <w:rFonts w:ascii="Garamond" w:hAnsi="Garamond"/>
        </w:rPr>
        <w:t>Ioanna</w:t>
      </w:r>
      <w:proofErr w:type="spellEnd"/>
      <w:r w:rsidRPr="00D36F91">
        <w:rPr>
          <w:rFonts w:ascii="Garamond" w:hAnsi="Garamond"/>
        </w:rPr>
        <w:t xml:space="preserve">, </w:t>
      </w:r>
      <w:proofErr w:type="spellStart"/>
      <w:r w:rsidRPr="00D36F91">
        <w:rPr>
          <w:rFonts w:ascii="Garamond" w:hAnsi="Garamond"/>
        </w:rPr>
        <w:t>G.Fotia</w:t>
      </w:r>
      <w:proofErr w:type="spellEnd"/>
      <w:r w:rsidRPr="00D36F91">
        <w:rPr>
          <w:rFonts w:ascii="Garamond" w:hAnsi="Garamond"/>
        </w:rPr>
        <w:t xml:space="preserve">, Il bilancio dello Stato, </w:t>
      </w:r>
      <w:proofErr w:type="spellStart"/>
      <w:r w:rsidRPr="00D36F91">
        <w:rPr>
          <w:rFonts w:ascii="Garamond" w:hAnsi="Garamond"/>
        </w:rPr>
        <w:t>Nis</w:t>
      </w:r>
      <w:proofErr w:type="spellEnd"/>
      <w:r w:rsidRPr="00D36F91">
        <w:rPr>
          <w:rFonts w:ascii="Garamond" w:hAnsi="Garamond"/>
        </w:rPr>
        <w:t>, 1996, p.90-911</w:t>
      </w:r>
    </w:p>
  </w:footnote>
  <w:footnote w:id="87">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Sul punto si vedano le osservazioni contenute nei numerosi documenti di base del Servizio bilancio del Senato; </w:t>
      </w:r>
      <w:proofErr w:type="spellStart"/>
      <w:r w:rsidRPr="00D36F91">
        <w:rPr>
          <w:rFonts w:ascii="Garamond" w:hAnsi="Garamond"/>
          <w:sz w:val="20"/>
          <w:szCs w:val="20"/>
        </w:rPr>
        <w:t>cfr.tra</w:t>
      </w:r>
      <w:proofErr w:type="spellEnd"/>
      <w:r w:rsidRPr="00D36F91">
        <w:rPr>
          <w:rFonts w:ascii="Garamond" w:hAnsi="Garamond"/>
          <w:sz w:val="20"/>
          <w:szCs w:val="20"/>
        </w:rPr>
        <w:t xml:space="preserve"> gli altri Servizio bilancio del Senato,</w:t>
      </w:r>
      <w:r w:rsidRPr="00D36F91">
        <w:rPr>
          <w:rFonts w:ascii="Garamond" w:hAnsi="Garamond" w:cs="Century"/>
          <w:sz w:val="20"/>
          <w:szCs w:val="20"/>
        </w:rPr>
        <w:t>L'attività della Commissione bilancio. Aspetti metodologici della quantificazione e della copertura e sessione di bilancio, Elementi di documentazione, Aprile 2/2013;</w:t>
      </w:r>
    </w:p>
  </w:footnote>
  <w:footnote w:id="88">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Si veda</w:t>
      </w:r>
      <w:r w:rsidRPr="00D36F91">
        <w:rPr>
          <w:rFonts w:ascii="Garamond" w:hAnsi="Garamond" w:cs="Baskerville"/>
        </w:rPr>
        <w:t xml:space="preserve"> E. GRIGLIO, </w:t>
      </w:r>
      <w:r w:rsidRPr="00D36F91">
        <w:rPr>
          <w:rFonts w:ascii="Garamond" w:hAnsi="Garamond" w:cs="Baskerville-Italic"/>
          <w:i/>
          <w:iCs/>
        </w:rPr>
        <w:t>Il “nuovo” controllo parlamentare sulla finanza pubblica: una sfida per i “nuovi” regolamenti parlamentari</w:t>
      </w:r>
      <w:r w:rsidRPr="00D36F91">
        <w:rPr>
          <w:rFonts w:ascii="Garamond" w:hAnsi="Garamond" w:cs="Baskerville"/>
        </w:rPr>
        <w:t xml:space="preserve">, in </w:t>
      </w:r>
      <w:r w:rsidRPr="00D36F91">
        <w:rPr>
          <w:rFonts w:ascii="Garamond" w:hAnsi="Garamond" w:cs="Baskerville-Italic"/>
          <w:i/>
          <w:iCs/>
        </w:rPr>
        <w:t>Osservatorio sulle fonti</w:t>
      </w:r>
      <w:r w:rsidRPr="00D36F91">
        <w:rPr>
          <w:rFonts w:ascii="Garamond" w:hAnsi="Garamond" w:cs="Baskerville"/>
        </w:rPr>
        <w:t xml:space="preserve">,n. 1/2013, su </w:t>
      </w:r>
      <w:hyperlink r:id="rId14" w:history="1">
        <w:r w:rsidRPr="00D36F91">
          <w:rPr>
            <w:rStyle w:val="Collegamentoipertestuale"/>
            <w:rFonts w:ascii="Garamond" w:hAnsi="Garamond" w:cs="Baskerville"/>
          </w:rPr>
          <w:t>www.osservatoriosullefonti.it.-29</w:t>
        </w:r>
      </w:hyperlink>
      <w:r w:rsidRPr="00D36F91">
        <w:rPr>
          <w:rFonts w:ascii="Garamond" w:hAnsi="Garamond" w:cs="Baskerville"/>
        </w:rPr>
        <w:t xml:space="preserve"> ottobre 2013; Id.</w:t>
      </w:r>
      <w:r w:rsidRPr="00D36F91">
        <w:rPr>
          <w:rFonts w:ascii="Garamond" w:hAnsi="Garamond"/>
        </w:rPr>
        <w:t xml:space="preserve"> E., </w:t>
      </w:r>
      <w:r w:rsidRPr="00D36F91">
        <w:rPr>
          <w:rFonts w:ascii="Garamond" w:hAnsi="Garamond"/>
          <w:i/>
          <w:iCs/>
        </w:rPr>
        <w:t>La democrazia alla prova delle “nuove” forme di amministrazione. A margine dell'organismo indipendente di cui alla Legge cost. n. 1/2012</w:t>
      </w:r>
      <w:r w:rsidRPr="00D36F91">
        <w:rPr>
          <w:rFonts w:ascii="Garamond" w:hAnsi="Garamond"/>
        </w:rPr>
        <w:t xml:space="preserve">, in: Giornata di studio su “Amministrazione e democrazia”, in occasione del ventennale di attività del Centro di ricerca “V. Bachelet” (1992-2012); </w:t>
      </w:r>
    </w:p>
  </w:footnote>
  <w:footnote w:id="89">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Sul punto </w:t>
      </w:r>
      <w:proofErr w:type="spellStart"/>
      <w:r w:rsidRPr="00D36F91">
        <w:rPr>
          <w:rFonts w:ascii="Garamond" w:hAnsi="Garamond"/>
          <w:sz w:val="20"/>
          <w:szCs w:val="20"/>
        </w:rPr>
        <w:t>cfr.C.Goretti</w:t>
      </w:r>
      <w:proofErr w:type="spellEnd"/>
      <w:r w:rsidRPr="00D36F91">
        <w:rPr>
          <w:rFonts w:ascii="Garamond" w:hAnsi="Garamond"/>
          <w:sz w:val="20"/>
          <w:szCs w:val="20"/>
        </w:rPr>
        <w:t xml:space="preserve">, </w:t>
      </w:r>
      <w:proofErr w:type="spellStart"/>
      <w:r w:rsidRPr="00D36F91">
        <w:rPr>
          <w:rFonts w:ascii="Garamond" w:hAnsi="Garamond"/>
          <w:sz w:val="20"/>
          <w:szCs w:val="20"/>
        </w:rPr>
        <w:t>L.Rizzuto</w:t>
      </w:r>
      <w:proofErr w:type="spellEnd"/>
      <w:r w:rsidRPr="00D36F91">
        <w:rPr>
          <w:rFonts w:ascii="Garamond" w:hAnsi="Garamond"/>
          <w:sz w:val="20"/>
          <w:szCs w:val="20"/>
        </w:rPr>
        <w:t xml:space="preserve">, </w:t>
      </w:r>
      <w:r w:rsidRPr="00D36F91">
        <w:rPr>
          <w:rFonts w:ascii="Garamond" w:hAnsi="Garamond"/>
          <w:i/>
          <w:iCs/>
          <w:sz w:val="20"/>
          <w:szCs w:val="20"/>
        </w:rPr>
        <w:t>Il ruolo del Parlamento italiano nella decisione di bilancio</w:t>
      </w:r>
      <w:r w:rsidRPr="00D36F91">
        <w:rPr>
          <w:rFonts w:ascii="Garamond" w:hAnsi="Garamond"/>
          <w:sz w:val="20"/>
          <w:szCs w:val="20"/>
        </w:rPr>
        <w:t xml:space="preserve">, </w:t>
      </w:r>
      <w:proofErr w:type="spellStart"/>
      <w:r w:rsidRPr="00D36F91">
        <w:rPr>
          <w:rFonts w:ascii="Garamond" w:hAnsi="Garamond"/>
          <w:sz w:val="20"/>
          <w:szCs w:val="20"/>
        </w:rPr>
        <w:t>cit</w:t>
      </w:r>
      <w:proofErr w:type="spellEnd"/>
      <w:r w:rsidRPr="00D36F91">
        <w:rPr>
          <w:rFonts w:ascii="Garamond" w:hAnsi="Garamond"/>
          <w:sz w:val="20"/>
          <w:szCs w:val="20"/>
        </w:rPr>
        <w:t xml:space="preserve">, p.54 e ss; a partire dalla XV legislatura, le Camere hanno avviato, in via di prassi, intese volte al coordinamento delle attività delle rispettive Commissioni bilancio. Sono state formate due sottocommissioni per il monitoraggio della finanza pubblica che sebbene distinti, hanno svolto sedute congiunte condividendo lo stesso ordine del giorno. Tale prassi è stata interrotta con l’inizio della </w:t>
      </w:r>
      <w:r w:rsidRPr="00D36F91">
        <w:rPr>
          <w:rFonts w:ascii="Garamond" w:hAnsi="Garamond" w:cs="TimesNewRomanPSMT"/>
          <w:sz w:val="20"/>
          <w:szCs w:val="20"/>
        </w:rPr>
        <w:t>XV legislatura, nel maggio del 2008 ed è stata</w:t>
      </w:r>
      <w:r w:rsidRPr="00D36F91">
        <w:rPr>
          <w:rFonts w:ascii="Garamond" w:hAnsi="Garamond"/>
          <w:sz w:val="20"/>
          <w:szCs w:val="20"/>
        </w:rPr>
        <w:t xml:space="preserve"> poi recepita dalla legge 196/2009, art.4, comma 2. Tuttavia, come è stato osservato, tale previsione non rappresenta una rilevante innovazione rispetto alla precedente prassi di coordinamento delle attività delle due Commissioni bilancio, consolidatasi in relazione all’esame dei documenti di programmazione finanziaria, né tantomeno ha indotto elementi rafforzativi del controllo parlamentare di bilancio; cfr </w:t>
      </w:r>
      <w:r w:rsidRPr="00D36F91">
        <w:rPr>
          <w:rFonts w:ascii="Garamond" w:hAnsi="Garamond" w:cs="Baskerville"/>
          <w:sz w:val="20"/>
          <w:szCs w:val="20"/>
        </w:rPr>
        <w:t xml:space="preserve">E. GRIGLIO, </w:t>
      </w:r>
      <w:r w:rsidRPr="00D36F91">
        <w:rPr>
          <w:rFonts w:ascii="Garamond" w:hAnsi="Garamond" w:cs="Baskerville-Italic"/>
          <w:i/>
          <w:iCs/>
          <w:sz w:val="20"/>
          <w:szCs w:val="20"/>
        </w:rPr>
        <w:t>Il “nuovo” controllo parlamentare sulla finanza pubblica: una sfida per i “nuovi” regolamenti parlamentari</w:t>
      </w:r>
      <w:r w:rsidRPr="00D36F91">
        <w:rPr>
          <w:rFonts w:ascii="Garamond" w:hAnsi="Garamond" w:cs="Baskerville"/>
          <w:sz w:val="20"/>
          <w:szCs w:val="20"/>
        </w:rPr>
        <w:t>,cit., p.13</w:t>
      </w:r>
    </w:p>
  </w:footnote>
  <w:footnote w:id="90">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Sul punto si veda </w:t>
      </w:r>
      <w:proofErr w:type="spellStart"/>
      <w:r w:rsidRPr="00D36F91">
        <w:rPr>
          <w:rFonts w:ascii="Garamond" w:hAnsi="Garamond"/>
        </w:rPr>
        <w:t>N.Lupo</w:t>
      </w:r>
      <w:proofErr w:type="spellEnd"/>
      <w:r w:rsidRPr="00D36F91">
        <w:rPr>
          <w:rFonts w:ascii="Garamond" w:hAnsi="Garamond"/>
        </w:rPr>
        <w:t xml:space="preserve">, </w:t>
      </w:r>
      <w:r w:rsidRPr="00D36F91">
        <w:rPr>
          <w:rFonts w:ascii="Garamond" w:hAnsi="Garamond"/>
          <w:i/>
          <w:iCs/>
        </w:rPr>
        <w:t>Il pareggio di bilancio nel sistema d</w:t>
      </w:r>
      <w:r w:rsidRPr="00D36F91">
        <w:rPr>
          <w:rFonts w:ascii="Garamond" w:hAnsi="Garamond"/>
        </w:rPr>
        <w:t>elle fonti,cit. p.30, evidenzia che si tratta della”</w:t>
      </w:r>
      <w:r w:rsidRPr="00D36F91">
        <w:rPr>
          <w:rFonts w:ascii="Garamond" w:hAnsi="Garamond" w:cs="Calibri"/>
        </w:rPr>
        <w:t>prima esplicita emersione nel nostro ordinamento, almeno in una disposizione costituzionale, della “funzione di controllo parlamentare”, la cui esistenza veniva fatta discendere da parametri più indiretti: l’art. 94 Cost., sul rapporto fiduciario ; o l’art. 82 Cost., sulle commissioni di inchiesta, da leggersi assieme all’art. 1 Cost., sulla sovranità popolare ; o anche l’art. 81 Cost., laddove richiede l’approvazione parlamentare del rendiconto”.</w:t>
      </w:r>
    </w:p>
  </w:footnote>
  <w:footnote w:id="91">
    <w:p w:rsidR="0005296D" w:rsidRPr="00D36F91" w:rsidRDefault="0005296D" w:rsidP="002B28BE">
      <w:pPr>
        <w:autoSpaceDE w:val="0"/>
        <w:autoSpaceDN w:val="0"/>
        <w:adjustRightInd w:val="0"/>
        <w:spacing w:after="0"/>
        <w:jc w:val="both"/>
        <w:rPr>
          <w:rFonts w:ascii="Garamond" w:hAnsi="Garamond"/>
          <w:sz w:val="20"/>
          <w:szCs w:val="20"/>
        </w:rPr>
      </w:pPr>
      <w:r w:rsidRPr="00D36F91">
        <w:rPr>
          <w:rStyle w:val="Rimandonotaapidipagina"/>
          <w:rFonts w:ascii="Garamond" w:hAnsi="Garamond"/>
          <w:sz w:val="20"/>
          <w:szCs w:val="20"/>
        </w:rPr>
        <w:footnoteRef/>
      </w:r>
      <w:r w:rsidRPr="00D36F91">
        <w:rPr>
          <w:rFonts w:ascii="Garamond" w:hAnsi="Garamond"/>
          <w:sz w:val="20"/>
          <w:szCs w:val="20"/>
        </w:rPr>
        <w:t xml:space="preserve"> Sul punto </w:t>
      </w:r>
      <w:proofErr w:type="spellStart"/>
      <w:r w:rsidRPr="00D36F91">
        <w:rPr>
          <w:rFonts w:ascii="Garamond" w:hAnsi="Garamond"/>
          <w:sz w:val="20"/>
          <w:szCs w:val="20"/>
        </w:rPr>
        <w:t>S.Cassese</w:t>
      </w:r>
      <w:proofErr w:type="spellEnd"/>
      <w:r w:rsidRPr="00D36F91">
        <w:rPr>
          <w:rFonts w:ascii="Garamond" w:hAnsi="Garamond"/>
          <w:sz w:val="20"/>
          <w:szCs w:val="20"/>
        </w:rPr>
        <w:t xml:space="preserve">, </w:t>
      </w:r>
      <w:r w:rsidRPr="00D36F91">
        <w:rPr>
          <w:rFonts w:ascii="Garamond" w:hAnsi="Garamond"/>
          <w:i/>
          <w:iCs/>
          <w:sz w:val="20"/>
          <w:szCs w:val="20"/>
        </w:rPr>
        <w:t>La qualità delle politiche pubbliche, ovvero del metodo nel governare,</w:t>
      </w:r>
      <w:r w:rsidRPr="00D36F91">
        <w:rPr>
          <w:rFonts w:ascii="Garamond" w:hAnsi="Garamond"/>
          <w:sz w:val="20"/>
          <w:szCs w:val="20"/>
        </w:rPr>
        <w:t xml:space="preserve"> Lezione in occasione della presentazione del Rapporto 2012 – 2013 di “</w:t>
      </w:r>
      <w:proofErr w:type="spellStart"/>
      <w:r w:rsidRPr="00D36F91">
        <w:rPr>
          <w:rFonts w:ascii="Garamond" w:hAnsi="Garamond"/>
          <w:sz w:val="20"/>
          <w:szCs w:val="20"/>
        </w:rPr>
        <w:t>Italiadecide</w:t>
      </w:r>
      <w:proofErr w:type="spellEnd"/>
      <w:r w:rsidRPr="00D36F91">
        <w:rPr>
          <w:rFonts w:ascii="Garamond" w:hAnsi="Garamond"/>
          <w:sz w:val="20"/>
          <w:szCs w:val="20"/>
        </w:rPr>
        <w:t xml:space="preserve">”, Camera dei deputati, Sala della regina, 11 febbraio 2013, osserva che il difetto principale della qualità delle politiche pubbliche italiane risiede nella fase della decisione “ Qui viene il difetto principale, quello di </w:t>
      </w:r>
      <w:proofErr w:type="spellStart"/>
      <w:r w:rsidRPr="00D36F91">
        <w:rPr>
          <w:rFonts w:ascii="Garamond" w:hAnsi="Garamond"/>
          <w:sz w:val="20"/>
          <w:szCs w:val="20"/>
        </w:rPr>
        <w:t>legificare</w:t>
      </w:r>
      <w:proofErr w:type="spellEnd"/>
      <w:r w:rsidRPr="00D36F91">
        <w:rPr>
          <w:rFonts w:ascii="Garamond" w:hAnsi="Garamond"/>
          <w:sz w:val="20"/>
          <w:szCs w:val="20"/>
        </w:rPr>
        <w:t xml:space="preserve"> ogni specie di indirizzo. Tutte le politiche trovano posto in atti normativi primari, leggi o decreti legge,seguiti da uno sciame di decreti delegati. Sia chiaro: non tutte le disposizioni legislative contengono politiche. La maggior parte di esse sono meri atti amministrativi in forma legislativa, adottati o dalla burocrazia per accollare la responsabilità al Parlamento, o dal governo per imporre decisioni a una burocrazia recalcitrante. Sono strumenti, che un Parlamento meno disattento dovrebbe lasciare scegliere ai governi, anche per non caricarsi di oneri impropri”; </w:t>
      </w:r>
      <w:proofErr w:type="spellStart"/>
      <w:r w:rsidRPr="00D36F91">
        <w:rPr>
          <w:rFonts w:ascii="Garamond" w:hAnsi="Garamond"/>
          <w:sz w:val="20"/>
          <w:szCs w:val="20"/>
        </w:rPr>
        <w:t>cfr.A.La</w:t>
      </w:r>
      <w:proofErr w:type="spellEnd"/>
      <w:r w:rsidRPr="00D36F91">
        <w:rPr>
          <w:rFonts w:ascii="Garamond" w:hAnsi="Garamond"/>
          <w:sz w:val="20"/>
          <w:szCs w:val="20"/>
        </w:rPr>
        <w:t xml:space="preserve"> Spina, </w:t>
      </w:r>
      <w:proofErr w:type="spellStart"/>
      <w:r w:rsidRPr="00D36F91">
        <w:rPr>
          <w:rFonts w:ascii="Garamond" w:hAnsi="Garamond"/>
          <w:sz w:val="20"/>
          <w:szCs w:val="20"/>
        </w:rPr>
        <w:t>E.Espa</w:t>
      </w:r>
      <w:proofErr w:type="spellEnd"/>
      <w:r w:rsidRPr="00D36F91">
        <w:rPr>
          <w:rFonts w:ascii="Garamond" w:hAnsi="Garamond"/>
          <w:sz w:val="20"/>
          <w:szCs w:val="20"/>
        </w:rPr>
        <w:t xml:space="preserve">, </w:t>
      </w:r>
      <w:r w:rsidRPr="00D36F91">
        <w:rPr>
          <w:rFonts w:ascii="Garamond" w:hAnsi="Garamond"/>
          <w:i/>
          <w:iCs/>
          <w:sz w:val="20"/>
          <w:szCs w:val="20"/>
        </w:rPr>
        <w:t>Analisi e valutazione delle politiche pubbliche. Metodi e casi</w:t>
      </w:r>
      <w:r w:rsidRPr="00D36F91">
        <w:rPr>
          <w:rFonts w:ascii="Garamond" w:hAnsi="Garamond"/>
          <w:sz w:val="20"/>
          <w:szCs w:val="20"/>
        </w:rPr>
        <w:t xml:space="preserve">, Bologna, Il Mulino, 2011, </w:t>
      </w:r>
      <w:proofErr w:type="spellStart"/>
      <w:r w:rsidRPr="00D36F91">
        <w:rPr>
          <w:rFonts w:ascii="Garamond" w:hAnsi="Garamond"/>
          <w:sz w:val="20"/>
          <w:szCs w:val="20"/>
        </w:rPr>
        <w:t>passim</w:t>
      </w:r>
      <w:proofErr w:type="spellEnd"/>
    </w:p>
  </w:footnote>
  <w:footnote w:id="92">
    <w:p w:rsidR="0005296D" w:rsidRPr="00D36F91" w:rsidRDefault="0005296D" w:rsidP="002B28BE">
      <w:pPr>
        <w:pStyle w:val="Testonotaapidipagina"/>
        <w:spacing w:after="0"/>
        <w:jc w:val="both"/>
        <w:rPr>
          <w:rFonts w:ascii="Garamond" w:hAnsi="Garamond"/>
        </w:rPr>
      </w:pPr>
      <w:r w:rsidRPr="00D36F91">
        <w:rPr>
          <w:rStyle w:val="Rimandonotaapidipagina"/>
          <w:rFonts w:ascii="Garamond" w:hAnsi="Garamond"/>
        </w:rPr>
        <w:footnoteRef/>
      </w:r>
      <w:r w:rsidRPr="00D36F91">
        <w:rPr>
          <w:rFonts w:ascii="Garamond" w:hAnsi="Garamond"/>
        </w:rPr>
        <w:t xml:space="preserve"> Sul punto si veda </w:t>
      </w:r>
      <w:proofErr w:type="spellStart"/>
      <w:r w:rsidRPr="00D36F91">
        <w:rPr>
          <w:rFonts w:ascii="Garamond" w:hAnsi="Garamond"/>
        </w:rPr>
        <w:t>A.Manzella</w:t>
      </w:r>
      <w:proofErr w:type="spellEnd"/>
      <w:r w:rsidRPr="00D36F91">
        <w:rPr>
          <w:rFonts w:ascii="Garamond" w:hAnsi="Garamond"/>
        </w:rPr>
        <w:t xml:space="preserve">, </w:t>
      </w:r>
      <w:r w:rsidRPr="00D36F91">
        <w:rPr>
          <w:rFonts w:ascii="Garamond" w:hAnsi="Garamond"/>
          <w:i/>
          <w:iCs/>
        </w:rPr>
        <w:t>Il Parlamento</w:t>
      </w:r>
      <w:r w:rsidRPr="00D36F91">
        <w:rPr>
          <w:rFonts w:ascii="Garamond" w:hAnsi="Garamond"/>
        </w:rPr>
        <w:t xml:space="preserve">, cit., p.347 evidenzia lo speciale potere del governo in riferimento all’ordine di votazione delle risoluzioni che prevede la votazione per prima della risoluzione ““accettata” dal governo, con i naturali </w:t>
      </w:r>
      <w:proofErr w:type="spellStart"/>
      <w:r w:rsidRPr="00D36F91">
        <w:rPr>
          <w:rFonts w:ascii="Garamond" w:hAnsi="Garamond"/>
        </w:rPr>
        <w:t>effettid</w:t>
      </w:r>
      <w:proofErr w:type="spellEnd"/>
      <w:r w:rsidRPr="00D36F91">
        <w:rPr>
          <w:rFonts w:ascii="Garamond" w:hAnsi="Garamond"/>
        </w:rPr>
        <w:t xml:space="preserve"> precludere tutte le altre”. Da questa prospettiva si comprende perché la manovra di bilancio può essere definita non come “una decisione </w:t>
      </w:r>
      <w:proofErr w:type="spellStart"/>
      <w:r w:rsidRPr="00D36F91">
        <w:rPr>
          <w:rFonts w:ascii="Garamond" w:hAnsi="Garamond"/>
        </w:rPr>
        <w:t>assemblearistica</w:t>
      </w:r>
      <w:proofErr w:type="spellEnd"/>
      <w:r w:rsidRPr="00D36F91">
        <w:rPr>
          <w:rFonts w:ascii="Garamond" w:hAnsi="Garamond"/>
        </w:rPr>
        <w:t>: ma una decisione parlamentare, con normale preminenza dell’indirizzo politico del governo”.</w:t>
      </w:r>
    </w:p>
  </w:footnote>
  <w:footnote w:id="93">
    <w:p w:rsidR="0005296D" w:rsidRPr="00D36F91" w:rsidRDefault="0005296D" w:rsidP="002B28BE">
      <w:pPr>
        <w:pStyle w:val="Testonotaapidipagina"/>
        <w:spacing w:after="0"/>
        <w:rPr>
          <w:rFonts w:ascii="Garamond" w:hAnsi="Garamond"/>
        </w:rPr>
      </w:pPr>
      <w:r w:rsidRPr="00D36F91">
        <w:rPr>
          <w:rStyle w:val="Rimandonotaapidipagina"/>
          <w:rFonts w:ascii="Garamond" w:hAnsi="Garamond"/>
        </w:rPr>
        <w:footnoteRef/>
      </w:r>
      <w:r w:rsidRPr="00D36F91">
        <w:rPr>
          <w:rFonts w:ascii="Garamond" w:hAnsi="Garamond"/>
        </w:rPr>
        <w:t xml:space="preserve"> </w:t>
      </w:r>
      <w:proofErr w:type="spellStart"/>
      <w:r w:rsidRPr="00D36F91">
        <w:rPr>
          <w:rFonts w:ascii="Garamond" w:hAnsi="Garamond"/>
        </w:rPr>
        <w:t>Cfr.G.della</w:t>
      </w:r>
      <w:proofErr w:type="spellEnd"/>
      <w:r w:rsidRPr="00D36F91">
        <w:rPr>
          <w:rFonts w:ascii="Garamond" w:hAnsi="Garamond"/>
        </w:rPr>
        <w:t xml:space="preserve"> Cananea, </w:t>
      </w:r>
      <w:r w:rsidRPr="00D36F91">
        <w:rPr>
          <w:rFonts w:ascii="Garamond" w:hAnsi="Garamond"/>
          <w:i/>
          <w:iCs/>
        </w:rPr>
        <w:t xml:space="preserve">Indirizzo e </w:t>
      </w:r>
      <w:proofErr w:type="spellStart"/>
      <w:r w:rsidRPr="00D36F91">
        <w:rPr>
          <w:rFonts w:ascii="Garamond" w:hAnsi="Garamond"/>
          <w:i/>
          <w:iCs/>
        </w:rPr>
        <w:t>controlo</w:t>
      </w:r>
      <w:proofErr w:type="spellEnd"/>
      <w:r w:rsidRPr="00D36F91">
        <w:rPr>
          <w:rFonts w:ascii="Garamond" w:hAnsi="Garamond"/>
          <w:i/>
          <w:iCs/>
        </w:rPr>
        <w:t xml:space="preserve"> della finanza pubblica</w:t>
      </w:r>
      <w:r w:rsidRPr="00D36F91">
        <w:rPr>
          <w:rFonts w:ascii="Garamond" w:hAnsi="Garamond"/>
        </w:rPr>
        <w:t>, cit. p.156 e ss</w:t>
      </w:r>
    </w:p>
  </w:footnote>
  <w:footnote w:id="94">
    <w:p w:rsidR="0005296D" w:rsidRPr="00D36F91" w:rsidRDefault="0005296D" w:rsidP="00C62A6A">
      <w:pPr>
        <w:pStyle w:val="Testonotaapidipagina"/>
        <w:spacing w:after="0"/>
        <w:rPr>
          <w:rFonts w:ascii="Garamond" w:hAnsi="Garamond"/>
        </w:rPr>
      </w:pPr>
      <w:r w:rsidRPr="00D36F91">
        <w:rPr>
          <w:rStyle w:val="Rimandonotaapidipagina"/>
          <w:rFonts w:ascii="Garamond" w:hAnsi="Garamond"/>
        </w:rPr>
        <w:footnoteRef/>
      </w:r>
      <w:r w:rsidRPr="00D36F91">
        <w:rPr>
          <w:rFonts w:ascii="Garamond" w:hAnsi="Garamond"/>
        </w:rPr>
        <w:t xml:space="preserve">  </w:t>
      </w:r>
      <w:proofErr w:type="spellStart"/>
      <w:r w:rsidRPr="00D36F91">
        <w:rPr>
          <w:rFonts w:ascii="Garamond" w:hAnsi="Garamond"/>
        </w:rPr>
        <w:t>Cfr.N.Lupo</w:t>
      </w:r>
      <w:proofErr w:type="spellEnd"/>
      <w:r w:rsidRPr="00D36F91">
        <w:rPr>
          <w:rFonts w:ascii="Garamond" w:hAnsi="Garamond"/>
          <w:i/>
          <w:iCs/>
        </w:rPr>
        <w:t xml:space="preserve">, La Conferenza interparlamentare sulla </w:t>
      </w:r>
      <w:proofErr w:type="spellStart"/>
      <w:r w:rsidRPr="00D36F91">
        <w:rPr>
          <w:rFonts w:ascii="Garamond" w:hAnsi="Garamond"/>
          <w:i/>
          <w:iCs/>
        </w:rPr>
        <w:t>governance</w:t>
      </w:r>
      <w:proofErr w:type="spellEnd"/>
      <w:r w:rsidRPr="00D36F91">
        <w:rPr>
          <w:rFonts w:ascii="Garamond" w:hAnsi="Garamond"/>
          <w:i/>
          <w:iCs/>
        </w:rPr>
        <w:t xml:space="preserve"> economica e finanziaria: la deludente attuazione dell’art.13 del Fiscal Compact,</w:t>
      </w:r>
      <w:proofErr w:type="spellStart"/>
      <w:r w:rsidRPr="00D36F91">
        <w:rPr>
          <w:rFonts w:ascii="Garamond" w:hAnsi="Garamond"/>
          <w:i/>
          <w:iCs/>
        </w:rPr>
        <w:t>cit</w:t>
      </w:r>
      <w:proofErr w:type="spellEnd"/>
      <w:r w:rsidRPr="00D36F91">
        <w:rPr>
          <w:rFonts w:ascii="Garamond" w:hAnsi="Garamond"/>
          <w:i/>
          <w:iCs/>
        </w:rPr>
        <w:t>..</w:t>
      </w:r>
      <w:r w:rsidRPr="00D36F91">
        <w:rPr>
          <w:rFonts w:ascii="Garamond" w:hAnsi="Garamond"/>
        </w:rPr>
        <w:t>, p.113 e ss</w:t>
      </w:r>
    </w:p>
  </w:footnote>
  <w:footnote w:id="95">
    <w:p w:rsidR="0005296D" w:rsidRPr="00410D79" w:rsidRDefault="0005296D" w:rsidP="00C62A6A">
      <w:pPr>
        <w:autoSpaceDE w:val="0"/>
        <w:autoSpaceDN w:val="0"/>
        <w:adjustRightInd w:val="0"/>
        <w:spacing w:after="0" w:line="240" w:lineRule="auto"/>
        <w:jc w:val="both"/>
        <w:rPr>
          <w:rFonts w:ascii="Garamond" w:hAnsi="Garamond" w:cs="Times New Roman"/>
          <w:i/>
          <w:iCs/>
          <w:sz w:val="20"/>
          <w:szCs w:val="20"/>
          <w:lang w:val="en-US"/>
        </w:rPr>
      </w:pPr>
      <w:r w:rsidRPr="00410D79">
        <w:rPr>
          <w:rStyle w:val="Rimandonotaapidipagina"/>
          <w:rFonts w:ascii="Garamond" w:hAnsi="Garamond"/>
          <w:sz w:val="20"/>
          <w:szCs w:val="20"/>
        </w:rPr>
        <w:footnoteRef/>
      </w:r>
      <w:r w:rsidRPr="00410D79">
        <w:rPr>
          <w:rFonts w:ascii="Garamond" w:hAnsi="Garamond"/>
          <w:sz w:val="20"/>
          <w:szCs w:val="20"/>
          <w:lang w:val="en-US"/>
        </w:rPr>
        <w:t xml:space="preserve"> </w:t>
      </w:r>
      <w:proofErr w:type="spellStart"/>
      <w:r w:rsidRPr="00410D79">
        <w:rPr>
          <w:rFonts w:ascii="Garamond" w:hAnsi="Garamond"/>
          <w:sz w:val="20"/>
          <w:szCs w:val="20"/>
          <w:lang w:val="en-US"/>
        </w:rPr>
        <w:t>Cfr.F</w:t>
      </w:r>
      <w:proofErr w:type="spellEnd"/>
      <w:r w:rsidRPr="00410D79">
        <w:rPr>
          <w:rFonts w:ascii="Garamond" w:hAnsi="Garamond"/>
          <w:sz w:val="20"/>
          <w:szCs w:val="20"/>
          <w:lang w:val="en-US"/>
        </w:rPr>
        <w:t>.</w:t>
      </w:r>
      <w:r w:rsidRPr="00410D79">
        <w:rPr>
          <w:rFonts w:ascii="Garamond" w:hAnsi="Garamond" w:cs="Times New Roman"/>
          <w:sz w:val="20"/>
          <w:szCs w:val="20"/>
          <w:lang w:val="en-US"/>
        </w:rPr>
        <w:t xml:space="preserve"> </w:t>
      </w:r>
      <w:proofErr w:type="spellStart"/>
      <w:r w:rsidRPr="00410D79">
        <w:rPr>
          <w:rFonts w:ascii="Garamond" w:hAnsi="Garamond" w:cs="Times New Roman"/>
          <w:sz w:val="20"/>
          <w:szCs w:val="20"/>
          <w:lang w:val="en-US"/>
        </w:rPr>
        <w:t>Foret</w:t>
      </w:r>
      <w:proofErr w:type="spellEnd"/>
      <w:r w:rsidRPr="00410D79">
        <w:rPr>
          <w:rFonts w:ascii="Garamond" w:hAnsi="Garamond" w:cs="Times New Roman"/>
          <w:sz w:val="20"/>
          <w:szCs w:val="20"/>
          <w:lang w:val="en-US"/>
        </w:rPr>
        <w:t xml:space="preserve">, Y.-S. </w:t>
      </w:r>
      <w:proofErr w:type="spellStart"/>
      <w:r w:rsidRPr="00410D79">
        <w:rPr>
          <w:rFonts w:ascii="Garamond" w:hAnsi="Garamond" w:cs="Times New Roman"/>
          <w:sz w:val="20"/>
          <w:szCs w:val="20"/>
          <w:lang w:val="en-US"/>
        </w:rPr>
        <w:t>Rittelmeyer</w:t>
      </w:r>
      <w:proofErr w:type="spellEnd"/>
      <w:r w:rsidRPr="00410D79">
        <w:rPr>
          <w:rFonts w:ascii="Garamond" w:hAnsi="Garamond" w:cs="Times New Roman"/>
          <w:sz w:val="20"/>
          <w:szCs w:val="20"/>
          <w:lang w:val="en-US"/>
        </w:rPr>
        <w:t xml:space="preserve"> ( a </w:t>
      </w:r>
      <w:proofErr w:type="spellStart"/>
      <w:r w:rsidRPr="00410D79">
        <w:rPr>
          <w:rFonts w:ascii="Garamond" w:hAnsi="Garamond" w:cs="Times New Roman"/>
          <w:sz w:val="20"/>
          <w:szCs w:val="20"/>
          <w:lang w:val="en-US"/>
        </w:rPr>
        <w:t>cura</w:t>
      </w:r>
      <w:proofErr w:type="spellEnd"/>
      <w:r w:rsidRPr="00410D79">
        <w:rPr>
          <w:rFonts w:ascii="Garamond" w:hAnsi="Garamond" w:cs="Times New Roman"/>
          <w:sz w:val="20"/>
          <w:szCs w:val="20"/>
          <w:lang w:val="en-US"/>
        </w:rPr>
        <w:t xml:space="preserve"> </w:t>
      </w:r>
      <w:proofErr w:type="spellStart"/>
      <w:r w:rsidRPr="00410D79">
        <w:rPr>
          <w:rFonts w:ascii="Garamond" w:hAnsi="Garamond" w:cs="Times New Roman"/>
          <w:sz w:val="20"/>
          <w:szCs w:val="20"/>
          <w:lang w:val="en-US"/>
        </w:rPr>
        <w:t>di</w:t>
      </w:r>
      <w:proofErr w:type="spellEnd"/>
      <w:r w:rsidRPr="00410D79">
        <w:rPr>
          <w:rFonts w:ascii="Garamond" w:hAnsi="Garamond" w:cs="Times New Roman"/>
          <w:sz w:val="20"/>
          <w:szCs w:val="20"/>
          <w:lang w:val="en-US"/>
        </w:rPr>
        <w:t xml:space="preserve">), </w:t>
      </w:r>
      <w:r w:rsidRPr="00410D79">
        <w:rPr>
          <w:rFonts w:ascii="Garamond" w:hAnsi="Garamond" w:cs="Times New Roman"/>
          <w:i/>
          <w:iCs/>
          <w:sz w:val="20"/>
          <w:szCs w:val="20"/>
          <w:lang w:val="en-US"/>
        </w:rPr>
        <w:t>The European Council and European Governance: The</w:t>
      </w:r>
    </w:p>
    <w:p w:rsidR="0005296D" w:rsidRPr="00410D79" w:rsidRDefault="0005296D" w:rsidP="00340EC5">
      <w:pPr>
        <w:pStyle w:val="Testonotaapidipagina"/>
        <w:spacing w:after="0"/>
        <w:jc w:val="both"/>
        <w:rPr>
          <w:rFonts w:ascii="Garamond" w:hAnsi="Garamond"/>
          <w:lang w:val="en-US"/>
        </w:rPr>
      </w:pPr>
      <w:r w:rsidRPr="00410D79">
        <w:rPr>
          <w:rFonts w:ascii="Garamond" w:hAnsi="Garamond"/>
          <w:i/>
          <w:iCs/>
          <w:lang w:val="en-US"/>
        </w:rPr>
        <w:t xml:space="preserve">Commanding Heights of the EU, </w:t>
      </w:r>
      <w:r w:rsidRPr="00410D79">
        <w:rPr>
          <w:rFonts w:ascii="Garamond" w:hAnsi="Garamond"/>
          <w:lang w:val="en-US"/>
        </w:rPr>
        <w:t xml:space="preserve">London, </w:t>
      </w:r>
      <w:proofErr w:type="spellStart"/>
      <w:r w:rsidRPr="00410D79">
        <w:rPr>
          <w:rFonts w:ascii="Garamond" w:hAnsi="Garamond"/>
          <w:lang w:val="en-US"/>
        </w:rPr>
        <w:t>Routledge</w:t>
      </w:r>
      <w:proofErr w:type="spellEnd"/>
      <w:r w:rsidRPr="00410D79">
        <w:rPr>
          <w:rFonts w:ascii="Garamond" w:hAnsi="Garamond"/>
          <w:lang w:val="en-US"/>
        </w:rPr>
        <w:t xml:space="preserve">, 2014 , p.150 e </w:t>
      </w:r>
      <w:proofErr w:type="spellStart"/>
      <w:r w:rsidRPr="00410D79">
        <w:rPr>
          <w:rFonts w:ascii="Garamond" w:hAnsi="Garamond"/>
          <w:lang w:val="en-US"/>
        </w:rPr>
        <w:t>ss</w:t>
      </w:r>
      <w:proofErr w:type="spellEnd"/>
    </w:p>
  </w:footnote>
  <w:footnote w:id="96">
    <w:p w:rsidR="00C62A6A" w:rsidRPr="00410D79" w:rsidRDefault="00C62A6A" w:rsidP="00C62A6A">
      <w:pPr>
        <w:autoSpaceDE w:val="0"/>
        <w:autoSpaceDN w:val="0"/>
        <w:adjustRightInd w:val="0"/>
        <w:spacing w:after="0" w:line="240" w:lineRule="auto"/>
        <w:jc w:val="both"/>
        <w:rPr>
          <w:rFonts w:ascii="Garamond" w:hAnsi="Garamond"/>
          <w:sz w:val="20"/>
          <w:szCs w:val="20"/>
          <w:lang w:val="en-US"/>
        </w:rPr>
      </w:pPr>
      <w:r w:rsidRPr="00410D79">
        <w:rPr>
          <w:rStyle w:val="Rimandonotaapidipagina"/>
          <w:rFonts w:ascii="Garamond" w:hAnsi="Garamond"/>
          <w:sz w:val="20"/>
          <w:szCs w:val="20"/>
        </w:rPr>
        <w:footnoteRef/>
      </w:r>
      <w:r w:rsidRPr="00410D79">
        <w:rPr>
          <w:rFonts w:ascii="Garamond" w:hAnsi="Garamond"/>
          <w:sz w:val="20"/>
          <w:szCs w:val="20"/>
        </w:rPr>
        <w:t xml:space="preserve"> A riguardo si vedano le critiche al ruolo assunto dal Consiglio europeo e la necessità di rafforzare il ruolo del Parlamento esposte nello studio realizzato dallo </w:t>
      </w:r>
      <w:r w:rsidRPr="00410D79">
        <w:rPr>
          <w:rFonts w:ascii="Garamond" w:hAnsi="Garamond" w:cs="Times New Roman"/>
          <w:sz w:val="20"/>
          <w:szCs w:val="20"/>
        </w:rPr>
        <w:t xml:space="preserve">Spinelli Group and </w:t>
      </w:r>
      <w:proofErr w:type="spellStart"/>
      <w:r w:rsidRPr="00410D79">
        <w:rPr>
          <w:rFonts w:ascii="Garamond" w:hAnsi="Garamond" w:cs="Times New Roman"/>
          <w:sz w:val="20"/>
          <w:szCs w:val="20"/>
        </w:rPr>
        <w:t>Bertelsmann</w:t>
      </w:r>
      <w:proofErr w:type="spellEnd"/>
      <w:r w:rsidRPr="00410D79">
        <w:rPr>
          <w:rFonts w:ascii="Garamond" w:hAnsi="Garamond" w:cs="Times New Roman"/>
          <w:sz w:val="20"/>
          <w:szCs w:val="20"/>
        </w:rPr>
        <w:t xml:space="preserve"> </w:t>
      </w:r>
      <w:proofErr w:type="spellStart"/>
      <w:r w:rsidRPr="00410D79">
        <w:rPr>
          <w:rFonts w:ascii="Garamond" w:hAnsi="Garamond" w:cs="Times New Roman"/>
          <w:sz w:val="20"/>
          <w:szCs w:val="20"/>
        </w:rPr>
        <w:t>Stigtung</w:t>
      </w:r>
      <w:proofErr w:type="spellEnd"/>
      <w:r w:rsidRPr="00410D79">
        <w:rPr>
          <w:rFonts w:ascii="Garamond" w:hAnsi="Garamond" w:cs="Times New Roman"/>
          <w:sz w:val="20"/>
          <w:szCs w:val="20"/>
        </w:rPr>
        <w:t xml:space="preserve"> (2013). </w:t>
      </w:r>
      <w:r w:rsidRPr="00410D79">
        <w:rPr>
          <w:rFonts w:ascii="Garamond" w:hAnsi="Garamond" w:cs="Times New Roman"/>
          <w:i/>
          <w:iCs/>
          <w:sz w:val="20"/>
          <w:szCs w:val="20"/>
          <w:lang w:val="en-US"/>
        </w:rPr>
        <w:t xml:space="preserve">A Fundamental Law of the European Union, </w:t>
      </w:r>
      <w:r w:rsidRPr="00410D79">
        <w:rPr>
          <w:rFonts w:ascii="Garamond" w:hAnsi="Garamond" w:cs="Times New Roman"/>
          <w:sz w:val="20"/>
          <w:szCs w:val="20"/>
          <w:lang w:val="en-US"/>
        </w:rPr>
        <w:t xml:space="preserve">Bielefeld: </w:t>
      </w:r>
      <w:proofErr w:type="spellStart"/>
      <w:r w:rsidRPr="00410D79">
        <w:rPr>
          <w:rFonts w:ascii="Garamond" w:hAnsi="Garamond" w:cs="Times New Roman"/>
          <w:sz w:val="20"/>
          <w:szCs w:val="20"/>
          <w:lang w:val="en-US"/>
        </w:rPr>
        <w:t>Verlag</w:t>
      </w:r>
      <w:proofErr w:type="spellEnd"/>
      <w:r w:rsidRPr="00410D79">
        <w:rPr>
          <w:rFonts w:ascii="Garamond" w:hAnsi="Garamond" w:cs="Times New Roman"/>
          <w:sz w:val="20"/>
          <w:szCs w:val="20"/>
          <w:lang w:val="en-US"/>
        </w:rPr>
        <w:t xml:space="preserve"> Bertelsmann </w:t>
      </w:r>
      <w:proofErr w:type="spellStart"/>
      <w:r w:rsidRPr="00410D79">
        <w:rPr>
          <w:rFonts w:ascii="Garamond" w:hAnsi="Garamond" w:cs="Times New Roman"/>
          <w:sz w:val="20"/>
          <w:szCs w:val="20"/>
          <w:lang w:val="en-US"/>
        </w:rPr>
        <w:t>Stiftung</w:t>
      </w:r>
      <w:proofErr w:type="spellEnd"/>
    </w:p>
  </w:footnote>
  <w:footnote w:id="97">
    <w:p w:rsidR="00C62A6A" w:rsidRPr="00410D79" w:rsidRDefault="00C62A6A" w:rsidP="00C62A6A">
      <w:pPr>
        <w:autoSpaceDE w:val="0"/>
        <w:autoSpaceDN w:val="0"/>
        <w:adjustRightInd w:val="0"/>
        <w:spacing w:after="0" w:line="240" w:lineRule="auto"/>
        <w:jc w:val="both"/>
        <w:rPr>
          <w:rFonts w:ascii="Garamond" w:hAnsi="Garamond"/>
          <w:sz w:val="20"/>
          <w:szCs w:val="20"/>
          <w:lang w:val="en-US"/>
        </w:rPr>
      </w:pPr>
      <w:r w:rsidRPr="00410D79">
        <w:rPr>
          <w:rStyle w:val="Rimandonotaapidipagina"/>
          <w:rFonts w:ascii="Garamond" w:hAnsi="Garamond"/>
          <w:sz w:val="20"/>
          <w:szCs w:val="20"/>
        </w:rPr>
        <w:footnoteRef/>
      </w:r>
      <w:r w:rsidRPr="00410D79">
        <w:rPr>
          <w:rFonts w:ascii="Garamond" w:hAnsi="Garamond"/>
          <w:sz w:val="20"/>
          <w:szCs w:val="20"/>
          <w:lang w:val="en-US"/>
        </w:rPr>
        <w:t xml:space="preserve"> </w:t>
      </w:r>
      <w:proofErr w:type="spellStart"/>
      <w:r w:rsidRPr="00410D79">
        <w:rPr>
          <w:rFonts w:ascii="Garamond" w:hAnsi="Garamond"/>
          <w:sz w:val="20"/>
          <w:szCs w:val="20"/>
          <w:lang w:val="en-US"/>
        </w:rPr>
        <w:t>Cfr</w:t>
      </w:r>
      <w:proofErr w:type="spellEnd"/>
      <w:r w:rsidRPr="00410D79">
        <w:rPr>
          <w:rFonts w:ascii="Garamond" w:hAnsi="Garamond"/>
          <w:sz w:val="20"/>
          <w:szCs w:val="20"/>
          <w:lang w:val="en-US"/>
        </w:rPr>
        <w:t xml:space="preserve">. </w:t>
      </w:r>
      <w:proofErr w:type="spellStart"/>
      <w:r w:rsidRPr="00410D79">
        <w:rPr>
          <w:rFonts w:ascii="Garamond" w:hAnsi="Garamond"/>
          <w:sz w:val="20"/>
          <w:szCs w:val="20"/>
          <w:lang w:val="en-US"/>
        </w:rPr>
        <w:t>S.Fabbrini</w:t>
      </w:r>
      <w:proofErr w:type="spellEnd"/>
      <w:r w:rsidRPr="00410D79">
        <w:rPr>
          <w:rFonts w:ascii="Garamond" w:hAnsi="Garamond"/>
          <w:sz w:val="20"/>
          <w:szCs w:val="20"/>
          <w:lang w:val="en-US"/>
        </w:rPr>
        <w:t>,</w:t>
      </w:r>
      <w:r w:rsidRPr="00410D79">
        <w:rPr>
          <w:rFonts w:ascii="Garamond" w:hAnsi="Garamond" w:cs="Times New Roman"/>
          <w:b/>
          <w:bCs/>
          <w:i/>
          <w:iCs/>
          <w:sz w:val="20"/>
          <w:szCs w:val="20"/>
          <w:lang w:val="en-US"/>
        </w:rPr>
        <w:t xml:space="preserve"> </w:t>
      </w:r>
      <w:r w:rsidRPr="00410D79">
        <w:rPr>
          <w:rFonts w:ascii="Garamond" w:hAnsi="Garamond" w:cs="Times New Roman"/>
          <w:i/>
          <w:iCs/>
          <w:sz w:val="20"/>
          <w:szCs w:val="20"/>
          <w:lang w:val="en-US"/>
        </w:rPr>
        <w:t xml:space="preserve">Emerging from the Euro </w:t>
      </w:r>
      <w:proofErr w:type="spellStart"/>
      <w:r w:rsidRPr="00410D79">
        <w:rPr>
          <w:rFonts w:ascii="Garamond" w:hAnsi="Garamond" w:cs="Times New Roman"/>
          <w:i/>
          <w:iCs/>
          <w:sz w:val="20"/>
          <w:szCs w:val="20"/>
          <w:lang w:val="en-US"/>
        </w:rPr>
        <w:t>Crisis:The</w:t>
      </w:r>
      <w:proofErr w:type="spellEnd"/>
      <w:r w:rsidRPr="00410D79">
        <w:rPr>
          <w:rFonts w:ascii="Garamond" w:hAnsi="Garamond" w:cs="Times New Roman"/>
          <w:i/>
          <w:iCs/>
          <w:sz w:val="20"/>
          <w:szCs w:val="20"/>
          <w:lang w:val="en-US"/>
        </w:rPr>
        <w:t xml:space="preserve"> Institutional Dilemmas of a Political Union</w:t>
      </w:r>
      <w:r>
        <w:rPr>
          <w:rFonts w:ascii="Garamond" w:hAnsi="Garamond" w:cs="Times New Roman"/>
          <w:sz w:val="20"/>
          <w:szCs w:val="20"/>
          <w:lang w:val="en-US"/>
        </w:rPr>
        <w:t xml:space="preserve">, </w:t>
      </w:r>
      <w:r w:rsidRPr="00410D79">
        <w:rPr>
          <w:rFonts w:ascii="Garamond" w:hAnsi="Garamond" w:cs="Times New Roman"/>
          <w:sz w:val="20"/>
          <w:szCs w:val="20"/>
          <w:lang w:val="en-US"/>
        </w:rPr>
        <w:t xml:space="preserve">Paper submitted at the Conference on </w:t>
      </w:r>
      <w:r w:rsidRPr="00410D79">
        <w:rPr>
          <w:rFonts w:ascii="Garamond" w:hAnsi="Garamond" w:cs="Times New Roman"/>
          <w:i/>
          <w:iCs/>
          <w:sz w:val="20"/>
          <w:szCs w:val="20"/>
          <w:lang w:val="en-US"/>
        </w:rPr>
        <w:t xml:space="preserve">Governance Report 2015, </w:t>
      </w:r>
      <w:proofErr w:type="spellStart"/>
      <w:r w:rsidRPr="00410D79">
        <w:rPr>
          <w:rFonts w:ascii="Garamond" w:hAnsi="Garamond" w:cs="Times New Roman"/>
          <w:sz w:val="20"/>
          <w:szCs w:val="20"/>
          <w:lang w:val="en-US"/>
        </w:rPr>
        <w:t>Hertie</w:t>
      </w:r>
      <w:proofErr w:type="spellEnd"/>
      <w:r w:rsidRPr="00410D79">
        <w:rPr>
          <w:rFonts w:ascii="Garamond" w:hAnsi="Garamond" w:cs="Times New Roman"/>
          <w:sz w:val="20"/>
          <w:szCs w:val="20"/>
          <w:lang w:val="en-US"/>
        </w:rPr>
        <w:t xml:space="preserve"> School of Governance, Berlin, 26 May 2014, 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D" w:rsidRPr="00A86ED7" w:rsidRDefault="0005296D" w:rsidP="00A86ED7">
    <w:pPr>
      <w:pStyle w:val="Intestazione"/>
      <w:rPr>
        <w:i/>
        <w:iCs/>
      </w:rPr>
    </w:pPr>
    <w:r w:rsidRPr="00A86ED7">
      <w:rPr>
        <w:i/>
        <w:iCs/>
      </w:rPr>
      <w:t xml:space="preserve">Francesca </w:t>
    </w:r>
    <w:proofErr w:type="spellStart"/>
    <w:r w:rsidRPr="00A86ED7">
      <w:rPr>
        <w:i/>
        <w:iCs/>
      </w:rPr>
      <w:t>Nugnes</w:t>
    </w:r>
    <w:proofErr w:type="spellEnd"/>
  </w:p>
  <w:p w:rsidR="0005296D" w:rsidRDefault="0005296D">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EC5" w:rsidRDefault="00340EC5" w:rsidP="00340EC5">
    <w:pPr>
      <w:pStyle w:val="Intestazione"/>
    </w:pPr>
  </w:p>
  <w:p w:rsidR="0005296D" w:rsidRDefault="0005296D">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evenAndOddHeaders/>
  <w:drawingGridHorizontalSpacing w:val="110"/>
  <w:displayHorizontalDrawingGridEvery w:val="2"/>
  <w:characterSpacingControl w:val="doNotCompress"/>
  <w:hdrShapeDefaults>
    <o:shapedefaults v:ext="edit" spidmax="19458"/>
  </w:hdrShapeDefaults>
  <w:footnotePr>
    <w:footnote w:id="-1"/>
    <w:footnote w:id="0"/>
  </w:footnotePr>
  <w:endnotePr>
    <w:endnote w:id="-1"/>
    <w:endnote w:id="0"/>
  </w:endnotePr>
  <w:compat>
    <w:useFELayout/>
  </w:compat>
  <w:rsids>
    <w:rsidRoot w:val="009D14FA"/>
    <w:rsid w:val="0005296D"/>
    <w:rsid w:val="000A5F8B"/>
    <w:rsid w:val="00122783"/>
    <w:rsid w:val="00175D99"/>
    <w:rsid w:val="001A0B05"/>
    <w:rsid w:val="001A3997"/>
    <w:rsid w:val="001B2D65"/>
    <w:rsid w:val="001B63F9"/>
    <w:rsid w:val="001F7D00"/>
    <w:rsid w:val="00204918"/>
    <w:rsid w:val="00227D89"/>
    <w:rsid w:val="00281577"/>
    <w:rsid w:val="002961AD"/>
    <w:rsid w:val="002B28BE"/>
    <w:rsid w:val="002C4771"/>
    <w:rsid w:val="00340EC5"/>
    <w:rsid w:val="003B52D9"/>
    <w:rsid w:val="003E0B4F"/>
    <w:rsid w:val="004000A9"/>
    <w:rsid w:val="00453A93"/>
    <w:rsid w:val="00487310"/>
    <w:rsid w:val="00490A55"/>
    <w:rsid w:val="004B5493"/>
    <w:rsid w:val="0051704A"/>
    <w:rsid w:val="00526FCE"/>
    <w:rsid w:val="005E2545"/>
    <w:rsid w:val="0062229F"/>
    <w:rsid w:val="00645120"/>
    <w:rsid w:val="006B17AC"/>
    <w:rsid w:val="006B6609"/>
    <w:rsid w:val="00716735"/>
    <w:rsid w:val="007418BF"/>
    <w:rsid w:val="007D52DF"/>
    <w:rsid w:val="007D598F"/>
    <w:rsid w:val="007D7BF0"/>
    <w:rsid w:val="00807811"/>
    <w:rsid w:val="009D14FA"/>
    <w:rsid w:val="00A06AC6"/>
    <w:rsid w:val="00A15AD8"/>
    <w:rsid w:val="00A86ED7"/>
    <w:rsid w:val="00AB424F"/>
    <w:rsid w:val="00BD21C6"/>
    <w:rsid w:val="00BD5DC5"/>
    <w:rsid w:val="00BE4B60"/>
    <w:rsid w:val="00BF3FA0"/>
    <w:rsid w:val="00C44236"/>
    <w:rsid w:val="00C479CF"/>
    <w:rsid w:val="00C62A6A"/>
    <w:rsid w:val="00D107E0"/>
    <w:rsid w:val="00D54E4A"/>
    <w:rsid w:val="00D90C79"/>
    <w:rsid w:val="00D9135B"/>
    <w:rsid w:val="00DE4C81"/>
    <w:rsid w:val="00E22B19"/>
    <w:rsid w:val="00E6256B"/>
    <w:rsid w:val="00E91497"/>
    <w:rsid w:val="00EA38B9"/>
    <w:rsid w:val="00F50CEA"/>
    <w:rsid w:val="00F711B5"/>
    <w:rsid w:val="00F84A49"/>
    <w:rsid w:val="00F85DF5"/>
  </w:rsids>
  <m:mathPr>
    <m:mathFont m:val="Cambria Math"/>
    <m:brkBin m:val="before"/>
    <m:brkBinSub m:val="--"/>
    <m:smallFrac m:val="off"/>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107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711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11B5"/>
  </w:style>
  <w:style w:type="paragraph" w:styleId="Pidipagina">
    <w:name w:val="footer"/>
    <w:basedOn w:val="Normale"/>
    <w:link w:val="PidipaginaCarattere"/>
    <w:uiPriority w:val="99"/>
    <w:unhideWhenUsed/>
    <w:rsid w:val="00F711B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11B5"/>
  </w:style>
  <w:style w:type="paragraph" w:styleId="Testonotaapidipagina">
    <w:name w:val="footnote text"/>
    <w:basedOn w:val="Normale"/>
    <w:link w:val="TestonotaapidipaginaCarattere"/>
    <w:uiPriority w:val="99"/>
    <w:unhideWhenUsed/>
    <w:rsid w:val="007D52DF"/>
    <w:rPr>
      <w:rFonts w:ascii="Calibri" w:eastAsia="PMingLiU" w:hAnsi="Calibri" w:cs="Arial"/>
      <w:sz w:val="20"/>
      <w:szCs w:val="20"/>
    </w:rPr>
  </w:style>
  <w:style w:type="character" w:customStyle="1" w:styleId="TestonotaapidipaginaCarattere">
    <w:name w:val="Testo nota a piè di pagina Carattere"/>
    <w:basedOn w:val="Carpredefinitoparagrafo"/>
    <w:link w:val="Testonotaapidipagina"/>
    <w:uiPriority w:val="99"/>
    <w:rsid w:val="007D52DF"/>
    <w:rPr>
      <w:rFonts w:ascii="Calibri" w:eastAsia="PMingLiU" w:hAnsi="Calibri" w:cs="Arial"/>
      <w:sz w:val="20"/>
      <w:szCs w:val="20"/>
    </w:rPr>
  </w:style>
  <w:style w:type="character" w:styleId="Rimandonotaapidipagina">
    <w:name w:val="footnote reference"/>
    <w:basedOn w:val="Carpredefinitoparagrafo"/>
    <w:uiPriority w:val="99"/>
    <w:semiHidden/>
    <w:unhideWhenUsed/>
    <w:rsid w:val="007D52DF"/>
    <w:rPr>
      <w:vertAlign w:val="superscript"/>
    </w:rPr>
  </w:style>
  <w:style w:type="paragraph" w:customStyle="1" w:styleId="Default">
    <w:name w:val="Default"/>
    <w:rsid w:val="007D52DF"/>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Collegamentoipertestuale">
    <w:name w:val="Hyperlink"/>
    <w:basedOn w:val="Carpredefinitoparagrafo"/>
    <w:uiPriority w:val="99"/>
    <w:unhideWhenUsed/>
    <w:rsid w:val="007D52DF"/>
    <w:rPr>
      <w:color w:val="0000FF"/>
      <w:u w:val="single"/>
    </w:rPr>
  </w:style>
  <w:style w:type="paragraph" w:styleId="Nessunaspaziatura">
    <w:name w:val="No Spacing"/>
    <w:uiPriority w:val="1"/>
    <w:qFormat/>
    <w:rsid w:val="002B28BE"/>
    <w:pPr>
      <w:spacing w:after="0" w:line="240" w:lineRule="auto"/>
    </w:pPr>
    <w:rPr>
      <w:rFonts w:ascii="Calibri" w:eastAsia="PMingLiU" w:hAnsi="Calibri" w:cs="Arial"/>
    </w:rPr>
  </w:style>
  <w:style w:type="paragraph" w:customStyle="1" w:styleId="Pa7">
    <w:name w:val="Pa7"/>
    <w:basedOn w:val="Default"/>
    <w:next w:val="Default"/>
    <w:uiPriority w:val="99"/>
    <w:rsid w:val="002B28BE"/>
    <w:pPr>
      <w:spacing w:line="191" w:lineRule="atLeast"/>
    </w:pPr>
    <w:rPr>
      <w:rFonts w:ascii="DejaVu Serif Condensed" w:hAnsi="DejaVu Serif Condensed" w:cs="Arial"/>
      <w:color w:val="auto"/>
    </w:rPr>
  </w:style>
  <w:style w:type="paragraph" w:styleId="Testofumetto">
    <w:name w:val="Balloon Text"/>
    <w:basedOn w:val="Normale"/>
    <w:link w:val="TestofumettoCarattere"/>
    <w:uiPriority w:val="99"/>
    <w:semiHidden/>
    <w:unhideWhenUsed/>
    <w:rsid w:val="00A86ED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86E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bundesverfassungsgericht.de" TargetMode="External"/><Relationship Id="rId13" Type="http://schemas.openxmlformats.org/officeDocument/2006/relationships/hyperlink" Target="http://www.bancaditalia" TargetMode="External"/><Relationship Id="rId3" Type="http://schemas.openxmlformats.org/officeDocument/2006/relationships/hyperlink" Target="http://ssrn.com/abstract=2517434" TargetMode="External"/><Relationship Id="rId7" Type="http://schemas.openxmlformats.org/officeDocument/2006/relationships/hyperlink" Target="http://www.astridonline.it,22" TargetMode="External"/><Relationship Id="rId12" Type="http://schemas.openxmlformats.org/officeDocument/2006/relationships/hyperlink" Target="http://www.federalismi.it,31luglio" TargetMode="External"/><Relationship Id="rId2" Type="http://schemas.openxmlformats.org/officeDocument/2006/relationships/hyperlink" Target="http://ssrn.com/abstract=2517434" TargetMode="External"/><Relationship Id="rId1" Type="http://schemas.openxmlformats.org/officeDocument/2006/relationships/hyperlink" Target="http://ssrn.com/abstract=2441201" TargetMode="External"/><Relationship Id="rId6" Type="http://schemas.openxmlformats.org/officeDocument/2006/relationships/hyperlink" Target="http://www.cosac.eu" TargetMode="External"/><Relationship Id="rId11" Type="http://schemas.openxmlformats.org/officeDocument/2006/relationships/hyperlink" Target="http://eur-lex.europa.eu/LexUriServ/LexUriServ.do?uri=COM:2012:0342:FIN:EN:PDF" TargetMode="External"/><Relationship Id="rId5" Type="http://schemas.openxmlformats.org/officeDocument/2006/relationships/hyperlink" Target="http://www.sog.luiss.it" TargetMode="External"/><Relationship Id="rId10" Type="http://schemas.openxmlformats.org/officeDocument/2006/relationships/hyperlink" Target="http://dx.doi.org/10.1787/eco_studies-2011-5kg2d3gx4d5" TargetMode="External"/><Relationship Id="rId4" Type="http://schemas.openxmlformats.org/officeDocument/2006/relationships/hyperlink" Target="http://www.sog.luiss.it" TargetMode="External"/><Relationship Id="rId9" Type="http://schemas.openxmlformats.org/officeDocument/2006/relationships/hyperlink" Target="http://www.cosac.eu" TargetMode="External"/><Relationship Id="rId14" Type="http://schemas.openxmlformats.org/officeDocument/2006/relationships/hyperlink" Target="http://www.osservatoriosullefonti.it.-2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ejaVu Serif Condensed">
    <w:altName w:val="DejaVu Serif Condense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Italic">
    <w:panose1 w:val="00000000000000000000"/>
    <w:charset w:val="00"/>
    <w:family w:val="swiss"/>
    <w:notTrueType/>
    <w:pitch w:val="default"/>
    <w:sig w:usb0="00000003" w:usb1="00000000" w:usb2="00000000" w:usb3="00000000" w:csb0="00000001" w:csb1="00000000"/>
  </w:font>
  <w:font w:name="SimonciniGaramond">
    <w:altName w:val="MS PMincho"/>
    <w:charset w:val="00"/>
    <w:family w:val="roman"/>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SimonciniGaramond-Italic">
    <w:panose1 w:val="00000000000000000000"/>
    <w:charset w:val="00"/>
    <w:family w:val="roman"/>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AdvP2A67">
    <w:panose1 w:val="00000000000000000000"/>
    <w:charset w:val="00"/>
    <w:family w:val="swiss"/>
    <w:notTrueType/>
    <w:pitch w:val="default"/>
    <w:sig w:usb0="00000003" w:usb1="00000000" w:usb2="00000000" w:usb3="00000000" w:csb0="00000001" w:csb1="00000000"/>
  </w:font>
  <w:font w:name="AdvP2A71">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embo-Italic">
    <w:panose1 w:val="00000000000000000000"/>
    <w:charset w:val="00"/>
    <w:family w:val="roman"/>
    <w:notTrueType/>
    <w:pitch w:val="default"/>
    <w:sig w:usb0="00000003" w:usb1="00000000" w:usb2="00000000" w:usb3="00000000" w:csb0="00000001" w:csb1="00000000"/>
  </w:font>
  <w:font w:name="Times#20New#20Roman">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AdvP2AA1">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 w:name="CMTI10">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NewAsterLTStd">
    <w:panose1 w:val="00000000000000000000"/>
    <w:charset w:val="00"/>
    <w:family w:val="roman"/>
    <w:notTrueType/>
    <w:pitch w:val="default"/>
    <w:sig w:usb0="00000003" w:usb1="00000000" w:usb2="00000000" w:usb3="00000000" w:csb0="00000001" w:csb1="00000000"/>
  </w:font>
  <w:font w:name="NewAsterLTStd-I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00000000" w:usb1="00000000" w:usb2="00000000" w:usb3="00000000" w:csb0="000001FB" w:csb1="00000000"/>
  </w:font>
  <w:font w:name="Baskerville-Italic">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283"/>
  <w:characterSpacingControl w:val="doNotCompress"/>
  <w:compat>
    <w:useFELayout/>
  </w:compat>
  <w:rsids>
    <w:rsidRoot w:val="00920B2C"/>
    <w:rsid w:val="00000F31"/>
    <w:rsid w:val="00920B2C"/>
    <w:rsid w:val="00B8705F"/>
  </w:rsids>
  <m:mathPr>
    <m:mathFont m:val="Cambria Math"/>
    <m:brkBin m:val="before"/>
    <m:brkBinSub m:val="--"/>
    <m:smallFrac m:val="off"/>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00F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7CA6AD8400748388CC67C41AF49D208">
    <w:name w:val="C7CA6AD8400748388CC67C41AF49D208"/>
    <w:rsid w:val="00920B2C"/>
  </w:style>
  <w:style w:type="paragraph" w:customStyle="1" w:styleId="51CB197FE04747C9BFA13265969AD2DA">
    <w:name w:val="51CB197FE04747C9BFA13265969AD2DA"/>
    <w:rsid w:val="00920B2C"/>
  </w:style>
  <w:style w:type="paragraph" w:customStyle="1" w:styleId="679B634DB03F4F3BA4B63077AFF91EA0">
    <w:name w:val="679B634DB03F4F3BA4B63077AFF91EA0"/>
    <w:rsid w:val="00000F3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7939</Words>
  <Characters>48593</Characters>
  <Application>Microsoft Office Word</Application>
  <DocSecurity>0</DocSecurity>
  <Lines>622</Lines>
  <Paragraphs>166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dc:creator>
  <cp:lastModifiedBy>Francesca</cp:lastModifiedBy>
  <cp:revision>28</cp:revision>
  <cp:lastPrinted>2015-06-28T14:30:00Z</cp:lastPrinted>
  <dcterms:created xsi:type="dcterms:W3CDTF">2015-03-27T07:56:00Z</dcterms:created>
  <dcterms:modified xsi:type="dcterms:W3CDTF">2015-06-29T09:30:00Z</dcterms:modified>
</cp:coreProperties>
</file>