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55F78" w14:textId="3CB7468D" w:rsidR="00F740D2" w:rsidRPr="003F2DC7" w:rsidRDefault="00F65E4A" w:rsidP="00F740D2">
      <w:pPr>
        <w:autoSpaceDE w:val="0"/>
        <w:autoSpaceDN w:val="0"/>
        <w:adjustRightInd w:val="0"/>
        <w:spacing w:after="0" w:line="360" w:lineRule="auto"/>
        <w:jc w:val="both"/>
        <w:rPr>
          <w:rFonts w:ascii="Times New Roman" w:hAnsi="Times New Roman" w:cs="Times New Roman"/>
          <w:sz w:val="24"/>
          <w:szCs w:val="24"/>
        </w:rPr>
      </w:pPr>
      <w:r w:rsidRPr="003F2DC7">
        <w:rPr>
          <w:rFonts w:ascii="Times New Roman" w:hAnsi="Times New Roman" w:cs="Times New Roman"/>
          <w:bCs/>
          <w:sz w:val="24"/>
          <w:szCs w:val="24"/>
        </w:rPr>
        <w:t>Effect of repeated arthrocentesis on cytologic analysis of synovial f</w:t>
      </w:r>
      <w:r w:rsidR="00F740D2" w:rsidRPr="003F2DC7">
        <w:rPr>
          <w:rFonts w:ascii="Times New Roman" w:hAnsi="Times New Roman" w:cs="Times New Roman"/>
          <w:bCs/>
          <w:sz w:val="24"/>
          <w:szCs w:val="24"/>
        </w:rPr>
        <w:t xml:space="preserve">luid in healthy horses </w:t>
      </w:r>
    </w:p>
    <w:p w14:paraId="2ACD73AC" w14:textId="625BA1EB" w:rsidR="00F740D2" w:rsidRPr="003F2DC7" w:rsidRDefault="00F740D2" w:rsidP="008148B5">
      <w:pPr>
        <w:autoSpaceDE w:val="0"/>
        <w:autoSpaceDN w:val="0"/>
        <w:adjustRightInd w:val="0"/>
        <w:spacing w:after="0" w:line="360" w:lineRule="auto"/>
        <w:jc w:val="both"/>
        <w:rPr>
          <w:rFonts w:ascii="Times New Roman" w:hAnsi="Times New Roman" w:cs="Times New Roman"/>
          <w:sz w:val="24"/>
          <w:szCs w:val="24"/>
          <w:vertAlign w:val="superscript"/>
        </w:rPr>
      </w:pPr>
      <w:r w:rsidRPr="003F2DC7">
        <w:rPr>
          <w:rFonts w:ascii="Times New Roman" w:hAnsi="Times New Roman" w:cs="Times New Roman"/>
          <w:sz w:val="24"/>
          <w:szCs w:val="24"/>
        </w:rPr>
        <w:t>Sgorbini M</w:t>
      </w:r>
      <w:r w:rsidRPr="003F2DC7">
        <w:rPr>
          <w:rFonts w:ascii="Times New Roman" w:hAnsi="Times New Roman" w:cs="Times New Roman"/>
          <w:sz w:val="24"/>
          <w:szCs w:val="24"/>
          <w:vertAlign w:val="superscript"/>
        </w:rPr>
        <w:t>1</w:t>
      </w:r>
      <w:r w:rsidRPr="003F2DC7">
        <w:rPr>
          <w:rFonts w:ascii="Times New Roman" w:hAnsi="Times New Roman" w:cs="Times New Roman"/>
          <w:sz w:val="24"/>
          <w:szCs w:val="24"/>
        </w:rPr>
        <w:t xml:space="preserve">, </w:t>
      </w:r>
      <w:r w:rsidR="008148B5" w:rsidRPr="003F2DC7">
        <w:rPr>
          <w:rFonts w:ascii="Times New Roman" w:hAnsi="Times New Roman" w:cs="Times New Roman"/>
          <w:sz w:val="24"/>
          <w:szCs w:val="24"/>
        </w:rPr>
        <w:t>Bonelli F</w:t>
      </w:r>
      <w:r w:rsidRPr="003F2DC7">
        <w:rPr>
          <w:rFonts w:ascii="Times New Roman" w:hAnsi="Times New Roman" w:cs="Times New Roman"/>
          <w:sz w:val="24"/>
          <w:szCs w:val="24"/>
          <w:vertAlign w:val="superscript"/>
        </w:rPr>
        <w:t>1</w:t>
      </w:r>
      <w:r w:rsidR="008148B5" w:rsidRPr="003F2DC7">
        <w:rPr>
          <w:rFonts w:ascii="Times New Roman" w:hAnsi="Times New Roman" w:cs="Times New Roman"/>
          <w:sz w:val="24"/>
          <w:szCs w:val="24"/>
        </w:rPr>
        <w:t>, Gallo C</w:t>
      </w:r>
      <w:r w:rsidRPr="003F2DC7">
        <w:rPr>
          <w:rFonts w:ascii="Times New Roman" w:hAnsi="Times New Roman" w:cs="Times New Roman"/>
          <w:sz w:val="24"/>
          <w:szCs w:val="24"/>
          <w:vertAlign w:val="superscript"/>
        </w:rPr>
        <w:t>2</w:t>
      </w:r>
      <w:r w:rsidR="008148B5" w:rsidRPr="003F2DC7">
        <w:rPr>
          <w:rFonts w:ascii="Times New Roman" w:hAnsi="Times New Roman" w:cs="Times New Roman"/>
          <w:sz w:val="24"/>
          <w:szCs w:val="24"/>
        </w:rPr>
        <w:t>, Fusar Bas</w:t>
      </w:r>
      <w:r w:rsidRPr="003F2DC7">
        <w:rPr>
          <w:rFonts w:ascii="Times New Roman" w:hAnsi="Times New Roman" w:cs="Times New Roman"/>
          <w:sz w:val="24"/>
          <w:szCs w:val="24"/>
        </w:rPr>
        <w:t>sini R</w:t>
      </w:r>
      <w:r w:rsidRPr="003F2DC7">
        <w:rPr>
          <w:rFonts w:ascii="Times New Roman" w:hAnsi="Times New Roman" w:cs="Times New Roman"/>
          <w:sz w:val="24"/>
          <w:szCs w:val="24"/>
          <w:vertAlign w:val="superscript"/>
        </w:rPr>
        <w:t>1</w:t>
      </w:r>
      <w:r w:rsidRPr="003F2DC7">
        <w:rPr>
          <w:rFonts w:ascii="Times New Roman" w:hAnsi="Times New Roman" w:cs="Times New Roman"/>
          <w:sz w:val="24"/>
          <w:szCs w:val="24"/>
        </w:rPr>
        <w:t>, Marchetti V</w:t>
      </w:r>
      <w:r w:rsidRPr="003F2DC7">
        <w:rPr>
          <w:rFonts w:ascii="Times New Roman" w:hAnsi="Times New Roman" w:cs="Times New Roman"/>
          <w:sz w:val="24"/>
          <w:szCs w:val="24"/>
          <w:vertAlign w:val="superscript"/>
        </w:rPr>
        <w:t>1</w:t>
      </w:r>
      <w:r w:rsidRPr="003F2DC7">
        <w:rPr>
          <w:rFonts w:ascii="Times New Roman" w:hAnsi="Times New Roman" w:cs="Times New Roman"/>
          <w:sz w:val="24"/>
          <w:szCs w:val="24"/>
        </w:rPr>
        <w:t>, Corazza M</w:t>
      </w:r>
      <w:r w:rsidRPr="003F2DC7">
        <w:rPr>
          <w:rFonts w:ascii="Times New Roman" w:hAnsi="Times New Roman" w:cs="Times New Roman"/>
          <w:sz w:val="24"/>
          <w:szCs w:val="24"/>
          <w:vertAlign w:val="superscript"/>
        </w:rPr>
        <w:t>1</w:t>
      </w:r>
    </w:p>
    <w:p w14:paraId="4DF0169C" w14:textId="4B03CDE8" w:rsidR="008148B5" w:rsidRPr="003F2DC7" w:rsidRDefault="00D7645E" w:rsidP="008148B5">
      <w:pPr>
        <w:autoSpaceDE w:val="0"/>
        <w:autoSpaceDN w:val="0"/>
        <w:adjustRightInd w:val="0"/>
        <w:spacing w:after="0" w:line="360" w:lineRule="auto"/>
        <w:jc w:val="both"/>
        <w:rPr>
          <w:rFonts w:ascii="Times New Roman" w:hAnsi="Times New Roman" w:cs="Times New Roman"/>
          <w:sz w:val="24"/>
          <w:szCs w:val="24"/>
        </w:rPr>
      </w:pPr>
      <w:r w:rsidRPr="003F2DC7">
        <w:rPr>
          <w:rFonts w:ascii="Times New Roman" w:hAnsi="Times New Roman" w:cs="Times New Roman"/>
          <w:sz w:val="24"/>
          <w:szCs w:val="24"/>
          <w:vertAlign w:val="superscript"/>
        </w:rPr>
        <w:t>1</w:t>
      </w:r>
      <w:r w:rsidR="008148B5" w:rsidRPr="003F2DC7">
        <w:rPr>
          <w:rFonts w:ascii="Times New Roman" w:hAnsi="Times New Roman" w:cs="Times New Roman"/>
          <w:sz w:val="24"/>
          <w:szCs w:val="24"/>
        </w:rPr>
        <w:t>Dipartimento Scienze Veterinarie, via Livornese snc, San Pero a Grado, Pisa</w:t>
      </w:r>
      <w:r w:rsidRPr="003F2DC7">
        <w:rPr>
          <w:rFonts w:ascii="Times New Roman" w:hAnsi="Times New Roman" w:cs="Times New Roman"/>
          <w:sz w:val="24"/>
          <w:szCs w:val="24"/>
        </w:rPr>
        <w:t>.</w:t>
      </w:r>
    </w:p>
    <w:p w14:paraId="2A4598CE" w14:textId="14FDEB99" w:rsidR="00D7645E" w:rsidRPr="003F2DC7" w:rsidRDefault="00D7645E" w:rsidP="008148B5">
      <w:pPr>
        <w:autoSpaceDE w:val="0"/>
        <w:autoSpaceDN w:val="0"/>
        <w:adjustRightInd w:val="0"/>
        <w:spacing w:after="0" w:line="360" w:lineRule="auto"/>
        <w:jc w:val="both"/>
        <w:rPr>
          <w:rFonts w:ascii="Times New Roman" w:hAnsi="Times New Roman" w:cs="Times New Roman"/>
          <w:sz w:val="24"/>
          <w:szCs w:val="24"/>
        </w:rPr>
      </w:pPr>
      <w:r w:rsidRPr="003F2DC7">
        <w:rPr>
          <w:rFonts w:ascii="Times New Roman" w:hAnsi="Times New Roman" w:cs="Times New Roman"/>
          <w:sz w:val="24"/>
          <w:szCs w:val="24"/>
          <w:vertAlign w:val="superscript"/>
        </w:rPr>
        <w:t>2</w:t>
      </w:r>
      <w:r w:rsidRPr="003F2DC7">
        <w:rPr>
          <w:rFonts w:ascii="Times New Roman" w:hAnsi="Times New Roman" w:cs="Times New Roman"/>
          <w:sz w:val="24"/>
          <w:szCs w:val="24"/>
        </w:rPr>
        <w:t>Libero professionista, Napoli.</w:t>
      </w:r>
    </w:p>
    <w:p w14:paraId="347F416F" w14:textId="77777777" w:rsidR="002C638D" w:rsidRPr="003F2DC7" w:rsidRDefault="002C638D" w:rsidP="008148B5">
      <w:pPr>
        <w:autoSpaceDE w:val="0"/>
        <w:autoSpaceDN w:val="0"/>
        <w:adjustRightInd w:val="0"/>
        <w:spacing w:after="0" w:line="360" w:lineRule="auto"/>
        <w:jc w:val="both"/>
        <w:rPr>
          <w:rFonts w:ascii="Times New Roman" w:hAnsi="Times New Roman" w:cs="Times New Roman"/>
          <w:sz w:val="24"/>
          <w:szCs w:val="24"/>
        </w:rPr>
      </w:pPr>
    </w:p>
    <w:p w14:paraId="1DD7A70E" w14:textId="4C37E17C" w:rsidR="00F740D2" w:rsidRPr="003F2DC7" w:rsidRDefault="00F740D2" w:rsidP="00F740D2">
      <w:pPr>
        <w:spacing w:after="0" w:line="360" w:lineRule="auto"/>
        <w:jc w:val="both"/>
        <w:rPr>
          <w:rFonts w:ascii="Times New Roman" w:hAnsi="Times New Roman" w:cs="Times New Roman"/>
          <w:sz w:val="24"/>
          <w:szCs w:val="24"/>
        </w:rPr>
      </w:pPr>
      <w:r w:rsidRPr="003F2DC7">
        <w:rPr>
          <w:rFonts w:ascii="Times New Roman" w:hAnsi="Times New Roman" w:cs="Times New Roman"/>
          <w:sz w:val="24"/>
          <w:szCs w:val="24"/>
          <w:u w:val="single"/>
        </w:rPr>
        <w:t>Introduction.</w:t>
      </w:r>
      <w:r w:rsidRPr="003F2DC7">
        <w:rPr>
          <w:rFonts w:ascii="Times New Roman" w:hAnsi="Times New Roman" w:cs="Times New Roman"/>
          <w:sz w:val="24"/>
          <w:szCs w:val="24"/>
        </w:rPr>
        <w:t xml:space="preserve"> Arthrocentesis is a common practice used for the diagnosis and therapy of many articular pathologies. The aim of the present work was to evaluate the influence of repeated arthrocentesis on synovial fluid composition in healthy horses.  </w:t>
      </w:r>
    </w:p>
    <w:p w14:paraId="5CA10B88" w14:textId="7C305A7A" w:rsidR="00F740D2" w:rsidRPr="003F2DC7" w:rsidRDefault="00F740D2" w:rsidP="00E21428">
      <w:pPr>
        <w:spacing w:after="0" w:line="360" w:lineRule="auto"/>
        <w:jc w:val="both"/>
        <w:rPr>
          <w:rFonts w:ascii="Times New Roman" w:hAnsi="Times New Roman" w:cs="Times New Roman"/>
          <w:sz w:val="24"/>
          <w:szCs w:val="24"/>
        </w:rPr>
      </w:pPr>
      <w:r w:rsidRPr="003F2DC7">
        <w:rPr>
          <w:rFonts w:ascii="Times New Roman" w:hAnsi="Times New Roman" w:cs="Times New Roman"/>
          <w:sz w:val="24"/>
          <w:szCs w:val="24"/>
          <w:u w:val="single"/>
        </w:rPr>
        <w:t>Materials and methods</w:t>
      </w:r>
      <w:r w:rsidRPr="003F2DC7">
        <w:rPr>
          <w:rFonts w:ascii="Times New Roman" w:hAnsi="Times New Roman" w:cs="Times New Roman"/>
          <w:sz w:val="24"/>
          <w:szCs w:val="24"/>
        </w:rPr>
        <w:t>.</w:t>
      </w:r>
      <w:r w:rsidR="003F2DC7" w:rsidRPr="003F2DC7">
        <w:rPr>
          <w:rFonts w:ascii="Times New Roman" w:hAnsi="Times New Roman" w:cs="Times New Roman"/>
          <w:sz w:val="24"/>
          <w:szCs w:val="24"/>
        </w:rPr>
        <w:t xml:space="preserve"> </w:t>
      </w:r>
      <w:r w:rsidR="003F2DC7" w:rsidRPr="003F2DC7">
        <w:rPr>
          <w:rFonts w:ascii="Times New Roman" w:hAnsi="Times New Roman" w:cs="Times New Roman"/>
          <w:sz w:val="24"/>
          <w:szCs w:val="24"/>
          <w:lang w:val="en-GB"/>
        </w:rPr>
        <w:t xml:space="preserve">Approval to conduct this study was obtained from the Ethics Committee on Animal Experimentation of the </w:t>
      </w:r>
      <w:r w:rsidR="003F2DC7" w:rsidRPr="003F2DC7">
        <w:rPr>
          <w:rFonts w:ascii="Times New Roman" w:hAnsi="Times New Roman" w:cs="Times New Roman"/>
          <w:sz w:val="24"/>
          <w:szCs w:val="24"/>
          <w:lang w:val="en-GB"/>
        </w:rPr>
        <w:t>University of Pisa</w:t>
      </w:r>
      <w:r w:rsidR="00993494">
        <w:rPr>
          <w:rFonts w:ascii="Times New Roman" w:hAnsi="Times New Roman" w:cs="Times New Roman"/>
          <w:sz w:val="24"/>
          <w:szCs w:val="24"/>
          <w:lang w:val="en-GB"/>
        </w:rPr>
        <w:t xml:space="preserve"> n. 14875 – 20/11/12)</w:t>
      </w:r>
      <w:r w:rsidR="003F2DC7" w:rsidRPr="003F2DC7">
        <w:rPr>
          <w:rFonts w:ascii="Times New Roman" w:hAnsi="Times New Roman" w:cs="Times New Roman"/>
          <w:sz w:val="24"/>
          <w:szCs w:val="24"/>
          <w:lang w:val="en-GB"/>
        </w:rPr>
        <w:t xml:space="preserve">. </w:t>
      </w:r>
      <w:r w:rsidRPr="003F2DC7">
        <w:rPr>
          <w:rFonts w:ascii="Times New Roman" w:hAnsi="Times New Roman" w:cs="Times New Roman"/>
          <w:sz w:val="24"/>
          <w:szCs w:val="24"/>
        </w:rPr>
        <w:t xml:space="preserve">Four horses not affected by muscoloskeletal diseases were submitted to repeated arthrocentesis from both the intercarpal (IC) joints. In particular, the right IC joint was sampled </w:t>
      </w:r>
      <w:r w:rsidR="00945D65">
        <w:rPr>
          <w:rFonts w:ascii="Times New Roman" w:hAnsi="Times New Roman" w:cs="Times New Roman"/>
          <w:sz w:val="24"/>
          <w:szCs w:val="24"/>
        </w:rPr>
        <w:t xml:space="preserve">at </w:t>
      </w:r>
      <w:r w:rsidR="00172034">
        <w:rPr>
          <w:rFonts w:ascii="Times New Roman" w:hAnsi="Times New Roman" w:cs="Times New Roman"/>
          <w:sz w:val="24"/>
          <w:szCs w:val="24"/>
        </w:rPr>
        <w:t>Time</w:t>
      </w:r>
      <w:r w:rsidR="00945D65">
        <w:rPr>
          <w:rFonts w:ascii="Times New Roman" w:hAnsi="Times New Roman" w:cs="Times New Roman"/>
          <w:sz w:val="24"/>
          <w:szCs w:val="24"/>
        </w:rPr>
        <w:t xml:space="preserve"> 0</w:t>
      </w:r>
      <w:r w:rsidR="00172034">
        <w:rPr>
          <w:rFonts w:ascii="Times New Roman" w:hAnsi="Times New Roman" w:cs="Times New Roman"/>
          <w:sz w:val="24"/>
          <w:szCs w:val="24"/>
        </w:rPr>
        <w:t xml:space="preserve"> (T</w:t>
      </w:r>
      <w:r w:rsidR="00DE49B7" w:rsidRPr="003F2DC7">
        <w:rPr>
          <w:rFonts w:ascii="Times New Roman" w:hAnsi="Times New Roman" w:cs="Times New Roman"/>
          <w:sz w:val="24"/>
          <w:szCs w:val="24"/>
        </w:rPr>
        <w:t>0)</w:t>
      </w:r>
      <w:r w:rsidR="00945D65">
        <w:rPr>
          <w:rFonts w:ascii="Times New Roman" w:hAnsi="Times New Roman" w:cs="Times New Roman"/>
          <w:sz w:val="24"/>
          <w:szCs w:val="24"/>
        </w:rPr>
        <w:t xml:space="preserve">, </w:t>
      </w:r>
      <w:r w:rsidR="00172034">
        <w:rPr>
          <w:rFonts w:ascii="Times New Roman" w:hAnsi="Times New Roman" w:cs="Times New Roman"/>
          <w:sz w:val="24"/>
          <w:szCs w:val="24"/>
        </w:rPr>
        <w:t xml:space="preserve">at </w:t>
      </w:r>
      <w:r w:rsidR="00C516D8" w:rsidRPr="003F2DC7">
        <w:rPr>
          <w:rFonts w:ascii="Times New Roman" w:hAnsi="Times New Roman" w:cs="Times New Roman"/>
          <w:sz w:val="24"/>
          <w:szCs w:val="24"/>
        </w:rPr>
        <w:t>2</w:t>
      </w:r>
      <w:r w:rsidR="00DE49B7" w:rsidRPr="003F2DC7">
        <w:rPr>
          <w:rFonts w:ascii="Times New Roman" w:hAnsi="Times New Roman" w:cs="Times New Roman"/>
          <w:sz w:val="24"/>
          <w:szCs w:val="24"/>
        </w:rPr>
        <w:t xml:space="preserve"> (T2)</w:t>
      </w:r>
      <w:r w:rsidR="00C516D8" w:rsidRPr="003F2DC7">
        <w:rPr>
          <w:rFonts w:ascii="Times New Roman" w:hAnsi="Times New Roman" w:cs="Times New Roman"/>
          <w:sz w:val="24"/>
          <w:szCs w:val="24"/>
        </w:rPr>
        <w:t>, 7</w:t>
      </w:r>
      <w:r w:rsidR="00DE49B7" w:rsidRPr="003F2DC7">
        <w:rPr>
          <w:rFonts w:ascii="Times New Roman" w:hAnsi="Times New Roman" w:cs="Times New Roman"/>
          <w:sz w:val="24"/>
          <w:szCs w:val="24"/>
        </w:rPr>
        <w:t xml:space="preserve"> (T7)</w:t>
      </w:r>
      <w:r w:rsidR="00C516D8" w:rsidRPr="003F2DC7">
        <w:rPr>
          <w:rFonts w:ascii="Times New Roman" w:hAnsi="Times New Roman" w:cs="Times New Roman"/>
          <w:sz w:val="24"/>
          <w:szCs w:val="24"/>
        </w:rPr>
        <w:t xml:space="preserve"> days</w:t>
      </w:r>
      <w:r w:rsidRPr="003F2DC7">
        <w:rPr>
          <w:rFonts w:ascii="Times New Roman" w:hAnsi="Times New Roman" w:cs="Times New Roman"/>
          <w:sz w:val="24"/>
          <w:szCs w:val="24"/>
        </w:rPr>
        <w:t xml:space="preserve"> and then every week for 3 times</w:t>
      </w:r>
      <w:r w:rsidR="00DE49B7" w:rsidRPr="003F2DC7">
        <w:rPr>
          <w:rFonts w:ascii="Times New Roman" w:hAnsi="Times New Roman" w:cs="Times New Roman"/>
          <w:sz w:val="24"/>
          <w:szCs w:val="24"/>
        </w:rPr>
        <w:t xml:space="preserve"> (T14, T21, T28, respectively)</w:t>
      </w:r>
      <w:r w:rsidR="00172034">
        <w:rPr>
          <w:rFonts w:ascii="Times New Roman" w:hAnsi="Times New Roman" w:cs="Times New Roman"/>
          <w:sz w:val="24"/>
          <w:szCs w:val="24"/>
        </w:rPr>
        <w:t xml:space="preserve"> after T0, while the left IC joi</w:t>
      </w:r>
      <w:r w:rsidRPr="003F2DC7">
        <w:rPr>
          <w:rFonts w:ascii="Times New Roman" w:hAnsi="Times New Roman" w:cs="Times New Roman"/>
          <w:sz w:val="24"/>
          <w:szCs w:val="24"/>
        </w:rPr>
        <w:t xml:space="preserve">nt was sampled </w:t>
      </w:r>
      <w:r w:rsidR="00172034">
        <w:rPr>
          <w:rFonts w:ascii="Times New Roman" w:hAnsi="Times New Roman" w:cs="Times New Roman"/>
          <w:sz w:val="24"/>
          <w:szCs w:val="24"/>
        </w:rPr>
        <w:t xml:space="preserve">at T0 </w:t>
      </w:r>
      <w:r w:rsidRPr="003F2DC7">
        <w:rPr>
          <w:rFonts w:ascii="Times New Roman" w:hAnsi="Times New Roman" w:cs="Times New Roman"/>
          <w:sz w:val="24"/>
          <w:szCs w:val="24"/>
        </w:rPr>
        <w:t xml:space="preserve">and </w:t>
      </w:r>
      <w:r w:rsidR="00172034">
        <w:rPr>
          <w:rFonts w:ascii="Times New Roman" w:hAnsi="Times New Roman" w:cs="Times New Roman"/>
          <w:sz w:val="24"/>
          <w:szCs w:val="24"/>
        </w:rPr>
        <w:t>then</w:t>
      </w:r>
      <w:r w:rsidRPr="003F2DC7">
        <w:rPr>
          <w:rFonts w:ascii="Times New Roman" w:hAnsi="Times New Roman" w:cs="Times New Roman"/>
          <w:sz w:val="24"/>
          <w:szCs w:val="24"/>
        </w:rPr>
        <w:t xml:space="preserve"> every 10 days for two times</w:t>
      </w:r>
      <w:r w:rsidR="00DE49B7" w:rsidRPr="003F2DC7">
        <w:rPr>
          <w:rFonts w:ascii="Times New Roman" w:hAnsi="Times New Roman" w:cs="Times New Roman"/>
          <w:sz w:val="24"/>
          <w:szCs w:val="24"/>
        </w:rPr>
        <w:t xml:space="preserve"> (T10 and T20, respectively)</w:t>
      </w:r>
      <w:r w:rsidR="00172034">
        <w:rPr>
          <w:rFonts w:ascii="Times New Roman" w:hAnsi="Times New Roman" w:cs="Times New Roman"/>
          <w:sz w:val="24"/>
          <w:szCs w:val="24"/>
        </w:rPr>
        <w:t xml:space="preserve"> after T0</w:t>
      </w:r>
      <w:r w:rsidRPr="003F2DC7">
        <w:rPr>
          <w:rFonts w:ascii="Times New Roman" w:hAnsi="Times New Roman" w:cs="Times New Roman"/>
          <w:sz w:val="24"/>
          <w:szCs w:val="24"/>
        </w:rPr>
        <w:t xml:space="preserve">. An arthrocentesis was also performed on both IC joints 60 days </w:t>
      </w:r>
      <w:r w:rsidR="00A46675" w:rsidRPr="003F2DC7">
        <w:rPr>
          <w:rFonts w:ascii="Times New Roman" w:hAnsi="Times New Roman" w:cs="Times New Roman"/>
          <w:sz w:val="24"/>
          <w:szCs w:val="24"/>
        </w:rPr>
        <w:t xml:space="preserve">(T60) </w:t>
      </w:r>
      <w:r w:rsidR="00172034">
        <w:rPr>
          <w:rFonts w:ascii="Times New Roman" w:hAnsi="Times New Roman" w:cs="Times New Roman"/>
          <w:sz w:val="24"/>
          <w:szCs w:val="24"/>
        </w:rPr>
        <w:t xml:space="preserve">after </w:t>
      </w:r>
      <w:r w:rsidR="00575C7A">
        <w:rPr>
          <w:rFonts w:ascii="Times New Roman" w:hAnsi="Times New Roman" w:cs="Times New Roman"/>
          <w:sz w:val="24"/>
          <w:szCs w:val="24"/>
        </w:rPr>
        <w:t>T0</w:t>
      </w:r>
      <w:r w:rsidRPr="003F2DC7">
        <w:rPr>
          <w:rFonts w:ascii="Times New Roman" w:hAnsi="Times New Roman" w:cs="Times New Roman"/>
          <w:sz w:val="24"/>
          <w:szCs w:val="24"/>
        </w:rPr>
        <w:t xml:space="preserve">. </w:t>
      </w:r>
      <w:r w:rsidR="00CC7FA6" w:rsidRPr="003F2DC7">
        <w:rPr>
          <w:rFonts w:ascii="Times New Roman" w:hAnsi="Times New Roman" w:cs="Times New Roman"/>
          <w:sz w:val="24"/>
          <w:szCs w:val="24"/>
        </w:rPr>
        <w:t xml:space="preserve">Arthrocentesis were always performed by the same operator (R.F.B.). </w:t>
      </w:r>
      <w:r w:rsidRPr="003F2DC7">
        <w:rPr>
          <w:rFonts w:ascii="Times New Roman" w:hAnsi="Times New Roman" w:cs="Times New Roman"/>
          <w:sz w:val="24"/>
          <w:szCs w:val="24"/>
        </w:rPr>
        <w:t xml:space="preserve">The synovial fluid samples were </w:t>
      </w:r>
      <w:r w:rsidR="00B16C7D" w:rsidRPr="003F2DC7">
        <w:rPr>
          <w:rFonts w:ascii="Times New Roman" w:hAnsi="Times New Roman" w:cs="Times New Roman"/>
          <w:sz w:val="24"/>
          <w:szCs w:val="24"/>
        </w:rPr>
        <w:t xml:space="preserve">collected in EDTA and </w:t>
      </w:r>
      <w:r w:rsidRPr="003F2DC7">
        <w:rPr>
          <w:rFonts w:ascii="Times New Roman" w:hAnsi="Times New Roman" w:cs="Times New Roman"/>
          <w:sz w:val="24"/>
          <w:szCs w:val="24"/>
        </w:rPr>
        <w:t xml:space="preserve">processed </w:t>
      </w:r>
      <w:r w:rsidR="00AC48C0">
        <w:rPr>
          <w:rFonts w:ascii="Times New Roman" w:hAnsi="Times New Roman" w:cs="Times New Roman"/>
          <w:sz w:val="24"/>
          <w:szCs w:val="24"/>
        </w:rPr>
        <w:t xml:space="preserve">within 1 hours to evaluate: 1) total protein (TP) concentration by a </w:t>
      </w:r>
      <w:r w:rsidR="00CC7FA6" w:rsidRPr="003F2DC7">
        <w:rPr>
          <w:rFonts w:ascii="Times New Roman" w:hAnsi="Times New Roman" w:cs="Times New Roman"/>
          <w:sz w:val="24"/>
          <w:szCs w:val="24"/>
        </w:rPr>
        <w:t xml:space="preserve">rephractometer (Mahaffey, 2002); 2) </w:t>
      </w:r>
      <w:r w:rsidRPr="003F2DC7">
        <w:rPr>
          <w:rFonts w:ascii="Times New Roman" w:hAnsi="Times New Roman" w:cs="Times New Roman"/>
          <w:sz w:val="24"/>
          <w:szCs w:val="24"/>
        </w:rPr>
        <w:t xml:space="preserve">total WBC count </w:t>
      </w:r>
      <w:r w:rsidR="00CC7FA6" w:rsidRPr="003F2DC7">
        <w:rPr>
          <w:rFonts w:ascii="Times New Roman" w:hAnsi="Times New Roman" w:cs="Times New Roman"/>
          <w:sz w:val="24"/>
          <w:szCs w:val="24"/>
        </w:rPr>
        <w:t xml:space="preserve">by an </w:t>
      </w:r>
      <w:r w:rsidR="00B16C7D" w:rsidRPr="003F2DC7">
        <w:rPr>
          <w:rFonts w:ascii="Times New Roman" w:hAnsi="Times New Roman" w:cs="Times New Roman"/>
          <w:sz w:val="24"/>
          <w:szCs w:val="24"/>
        </w:rPr>
        <w:t>automatic hematology analyzer</w:t>
      </w:r>
      <w:r w:rsidR="00CC7FA6" w:rsidRPr="003F2DC7">
        <w:rPr>
          <w:rFonts w:ascii="Times New Roman" w:hAnsi="Times New Roman" w:cs="Times New Roman"/>
          <w:sz w:val="24"/>
          <w:szCs w:val="24"/>
        </w:rPr>
        <w:t xml:space="preserve"> (Lasercyte®, Idexx, USA) </w:t>
      </w:r>
      <w:r w:rsidR="00B16C7D" w:rsidRPr="003F2DC7">
        <w:rPr>
          <w:rFonts w:ascii="Times New Roman" w:hAnsi="Times New Roman" w:cs="Times New Roman"/>
          <w:sz w:val="24"/>
          <w:szCs w:val="24"/>
        </w:rPr>
        <w:t>with</w:t>
      </w:r>
      <w:r w:rsidR="00CC7FA6" w:rsidRPr="003F2DC7">
        <w:rPr>
          <w:rFonts w:ascii="Times New Roman" w:hAnsi="Times New Roman" w:cs="Times New Roman"/>
          <w:sz w:val="24"/>
          <w:szCs w:val="24"/>
        </w:rPr>
        <w:t xml:space="preserve"> </w:t>
      </w:r>
      <w:r w:rsidR="000A5EB5" w:rsidRPr="003F2DC7">
        <w:rPr>
          <w:rFonts w:ascii="Times New Roman" w:hAnsi="Times New Roman" w:cs="Times New Roman"/>
          <w:bCs/>
          <w:sz w:val="24"/>
          <w:szCs w:val="24"/>
        </w:rPr>
        <w:t xml:space="preserve">hyaluronidase pretreatment </w:t>
      </w:r>
      <w:r w:rsidR="00B16C7D" w:rsidRPr="003F2DC7">
        <w:rPr>
          <w:rFonts w:ascii="Times New Roman" w:hAnsi="Times New Roman" w:cs="Times New Roman"/>
          <w:bCs/>
          <w:sz w:val="24"/>
          <w:szCs w:val="24"/>
        </w:rPr>
        <w:t>(</w:t>
      </w:r>
      <w:r w:rsidR="00CD1707" w:rsidRPr="003F2DC7">
        <w:rPr>
          <w:rFonts w:ascii="Times New Roman" w:hAnsi="Times New Roman" w:cs="Times New Roman"/>
          <w:bCs/>
          <w:sz w:val="24"/>
          <w:szCs w:val="24"/>
        </w:rPr>
        <w:t xml:space="preserve">Moreno et al., 2000; </w:t>
      </w:r>
      <w:r w:rsidR="00B16C7D" w:rsidRPr="003F2DC7">
        <w:rPr>
          <w:rFonts w:ascii="Times New Roman" w:hAnsi="Times New Roman" w:cs="Times New Roman"/>
          <w:bCs/>
          <w:sz w:val="24"/>
          <w:szCs w:val="24"/>
        </w:rPr>
        <w:t xml:space="preserve">Eckmann et al., 2010) </w:t>
      </w:r>
      <w:r w:rsidR="004721A1" w:rsidRPr="003F2DC7">
        <w:rPr>
          <w:rFonts w:ascii="Times New Roman" w:hAnsi="Times New Roman" w:cs="Times New Roman"/>
          <w:sz w:val="24"/>
          <w:szCs w:val="24"/>
        </w:rPr>
        <w:t>to reduce the viscosity</w:t>
      </w:r>
      <w:r w:rsidR="00B16C7D" w:rsidRPr="003F2DC7">
        <w:rPr>
          <w:rFonts w:ascii="Times New Roman" w:hAnsi="Times New Roman" w:cs="Times New Roman"/>
          <w:sz w:val="24"/>
          <w:szCs w:val="24"/>
        </w:rPr>
        <w:t>;</w:t>
      </w:r>
      <w:r w:rsidRPr="003F2DC7">
        <w:rPr>
          <w:rFonts w:ascii="Times New Roman" w:hAnsi="Times New Roman" w:cs="Times New Roman"/>
          <w:sz w:val="24"/>
          <w:szCs w:val="24"/>
        </w:rPr>
        <w:t xml:space="preserve"> </w:t>
      </w:r>
      <w:r w:rsidR="00CC7FA6" w:rsidRPr="003F2DC7">
        <w:rPr>
          <w:rFonts w:ascii="Times New Roman" w:hAnsi="Times New Roman" w:cs="Times New Roman"/>
          <w:sz w:val="24"/>
          <w:szCs w:val="24"/>
        </w:rPr>
        <w:t xml:space="preserve">3) differential </w:t>
      </w:r>
      <w:r w:rsidR="00055E3F" w:rsidRPr="003F2DC7">
        <w:rPr>
          <w:rFonts w:ascii="Times New Roman" w:hAnsi="Times New Roman" w:cs="Times New Roman"/>
          <w:sz w:val="24"/>
          <w:szCs w:val="24"/>
        </w:rPr>
        <w:t xml:space="preserve">leukocyte count </w:t>
      </w:r>
      <w:r w:rsidR="00E21428" w:rsidRPr="003F2DC7">
        <w:rPr>
          <w:rFonts w:ascii="Times New Roman" w:hAnsi="Times New Roman" w:cs="Times New Roman"/>
          <w:sz w:val="24"/>
          <w:szCs w:val="24"/>
        </w:rPr>
        <w:t>after cytospin preparation (</w:t>
      </w:r>
      <w:r w:rsidRPr="003F2DC7">
        <w:rPr>
          <w:rFonts w:ascii="Times New Roman" w:hAnsi="Times New Roman" w:cs="Times New Roman"/>
          <w:sz w:val="24"/>
          <w:szCs w:val="24"/>
        </w:rPr>
        <w:t xml:space="preserve">1500 </w:t>
      </w:r>
      <w:r w:rsidR="00E21428" w:rsidRPr="003F2DC7">
        <w:rPr>
          <w:rFonts w:ascii="Times New Roman" w:hAnsi="Times New Roman" w:cs="Times New Roman"/>
          <w:sz w:val="24"/>
          <w:szCs w:val="24"/>
        </w:rPr>
        <w:t xml:space="preserve">gpm, </w:t>
      </w:r>
      <w:r w:rsidRPr="003F2DC7">
        <w:rPr>
          <w:rFonts w:ascii="Times New Roman" w:hAnsi="Times New Roman" w:cs="Times New Roman"/>
          <w:sz w:val="24"/>
          <w:szCs w:val="24"/>
        </w:rPr>
        <w:t>5</w:t>
      </w:r>
      <w:r w:rsidR="00E21428" w:rsidRPr="003F2DC7">
        <w:rPr>
          <w:rFonts w:ascii="Times New Roman" w:hAnsi="Times New Roman" w:cs="Times New Roman"/>
          <w:sz w:val="24"/>
          <w:szCs w:val="24"/>
        </w:rPr>
        <w:t>’</w:t>
      </w:r>
      <w:r w:rsidR="00670167" w:rsidRPr="003F2DC7">
        <w:rPr>
          <w:rFonts w:ascii="Times New Roman" w:hAnsi="Times New Roman" w:cs="Times New Roman"/>
          <w:sz w:val="24"/>
          <w:szCs w:val="24"/>
        </w:rPr>
        <w:t xml:space="preserve">) (Cytofuge 2, StatSpin, USA) to </w:t>
      </w:r>
      <w:r w:rsidR="00E21428" w:rsidRPr="003F2DC7">
        <w:rPr>
          <w:rFonts w:ascii="Times New Roman" w:hAnsi="Times New Roman" w:cs="Times New Roman"/>
          <w:sz w:val="24"/>
          <w:szCs w:val="24"/>
        </w:rPr>
        <w:t xml:space="preserve">improve smear’s quality </w:t>
      </w:r>
      <w:r w:rsidR="00670167" w:rsidRPr="003F2DC7">
        <w:rPr>
          <w:rFonts w:ascii="Times New Roman" w:hAnsi="Times New Roman" w:cs="Times New Roman"/>
          <w:sz w:val="24"/>
          <w:szCs w:val="24"/>
        </w:rPr>
        <w:t>(Moreno et al., 2000)</w:t>
      </w:r>
      <w:r w:rsidR="00AC48C0">
        <w:rPr>
          <w:rFonts w:ascii="Times New Roman" w:hAnsi="Times New Roman" w:cs="Times New Roman"/>
          <w:sz w:val="24"/>
          <w:szCs w:val="24"/>
        </w:rPr>
        <w:t xml:space="preserve">, a </w:t>
      </w:r>
      <w:r w:rsidR="00670167" w:rsidRPr="003F2DC7">
        <w:rPr>
          <w:rFonts w:ascii="Times New Roman" w:hAnsi="Times New Roman" w:cs="Times New Roman"/>
          <w:sz w:val="24"/>
          <w:szCs w:val="24"/>
        </w:rPr>
        <w:t xml:space="preserve">modified Romanowsky </w:t>
      </w:r>
      <w:r w:rsidR="003210FB" w:rsidRPr="003F2DC7">
        <w:rPr>
          <w:rFonts w:ascii="Times New Roman" w:hAnsi="Times New Roman" w:cs="Times New Roman"/>
          <w:sz w:val="24"/>
          <w:szCs w:val="24"/>
        </w:rPr>
        <w:t>staining</w:t>
      </w:r>
      <w:r w:rsidR="00670167" w:rsidRPr="003F2DC7">
        <w:rPr>
          <w:rFonts w:ascii="Times New Roman" w:hAnsi="Times New Roman" w:cs="Times New Roman"/>
          <w:sz w:val="24"/>
          <w:szCs w:val="24"/>
        </w:rPr>
        <w:t xml:space="preserve"> (Diff Quik®, Dade Spa, Milano, Italia) and microscope </w:t>
      </w:r>
      <w:r w:rsidR="003210FB" w:rsidRPr="003F2DC7">
        <w:rPr>
          <w:rFonts w:ascii="Times New Roman" w:hAnsi="Times New Roman" w:cs="Times New Roman"/>
          <w:sz w:val="24"/>
          <w:szCs w:val="24"/>
        </w:rPr>
        <w:t>evaluation</w:t>
      </w:r>
      <w:r w:rsidR="00DA4C89" w:rsidRPr="003F2DC7">
        <w:rPr>
          <w:rFonts w:ascii="Times New Roman" w:hAnsi="Times New Roman" w:cs="Times New Roman"/>
          <w:sz w:val="24"/>
          <w:szCs w:val="24"/>
        </w:rPr>
        <w:t xml:space="preserve"> </w:t>
      </w:r>
      <w:r w:rsidR="00AC48C0">
        <w:rPr>
          <w:rFonts w:ascii="Times New Roman" w:hAnsi="Times New Roman" w:cs="Times New Roman"/>
          <w:sz w:val="24"/>
          <w:szCs w:val="24"/>
        </w:rPr>
        <w:t xml:space="preserve">at </w:t>
      </w:r>
      <w:r w:rsidR="00670167" w:rsidRPr="003F2DC7">
        <w:rPr>
          <w:rFonts w:ascii="Times New Roman" w:hAnsi="Times New Roman" w:cs="Times New Roman"/>
          <w:sz w:val="24"/>
          <w:szCs w:val="24"/>
        </w:rPr>
        <w:t>100X.</w:t>
      </w:r>
      <w:r w:rsidR="009A0637" w:rsidRPr="003F2DC7">
        <w:rPr>
          <w:rFonts w:ascii="Times New Roman" w:hAnsi="Times New Roman" w:cs="Times New Roman"/>
          <w:sz w:val="24"/>
          <w:szCs w:val="24"/>
        </w:rPr>
        <w:t xml:space="preserve"> Data distribution was performed with KS test; Anova for repeated measures and Bonferroni test as </w:t>
      </w:r>
      <w:r w:rsidR="009A0637" w:rsidRPr="003F2DC7">
        <w:rPr>
          <w:rFonts w:ascii="Times New Roman" w:hAnsi="Times New Roman" w:cs="Times New Roman"/>
          <w:i/>
          <w:sz w:val="24"/>
          <w:szCs w:val="24"/>
        </w:rPr>
        <w:t>post hoc</w:t>
      </w:r>
      <w:r w:rsidR="009A0637" w:rsidRPr="003F2DC7">
        <w:rPr>
          <w:rFonts w:ascii="Times New Roman" w:hAnsi="Times New Roman" w:cs="Times New Roman"/>
          <w:sz w:val="24"/>
          <w:szCs w:val="24"/>
        </w:rPr>
        <w:t xml:space="preserve"> were applied to verify differences related to sampling times. Significative level was set at p&lt;0.05.</w:t>
      </w:r>
    </w:p>
    <w:p w14:paraId="7AC91B5A" w14:textId="209D29F7" w:rsidR="009A0637" w:rsidRPr="003F2DC7" w:rsidRDefault="009A0637" w:rsidP="009A0637">
      <w:pPr>
        <w:spacing w:line="360" w:lineRule="auto"/>
        <w:jc w:val="both"/>
        <w:rPr>
          <w:rFonts w:ascii="Times New Roman" w:hAnsi="Times New Roman" w:cs="Times New Roman"/>
          <w:sz w:val="24"/>
          <w:szCs w:val="24"/>
        </w:rPr>
      </w:pPr>
      <w:r w:rsidRPr="003F2DC7">
        <w:rPr>
          <w:rFonts w:ascii="Times New Roman" w:hAnsi="Times New Roman" w:cs="Times New Roman"/>
          <w:sz w:val="24"/>
          <w:szCs w:val="24"/>
          <w:u w:val="single"/>
        </w:rPr>
        <w:t>Results</w:t>
      </w:r>
      <w:r w:rsidR="00ED07C1">
        <w:rPr>
          <w:rFonts w:ascii="Times New Roman" w:hAnsi="Times New Roman" w:cs="Times New Roman"/>
          <w:sz w:val="24"/>
          <w:szCs w:val="24"/>
        </w:rPr>
        <w:t xml:space="preserve">. Data </w:t>
      </w:r>
      <w:r w:rsidRPr="003F2DC7">
        <w:rPr>
          <w:rFonts w:ascii="Times New Roman" w:hAnsi="Times New Roman" w:cs="Times New Roman"/>
          <w:sz w:val="24"/>
          <w:szCs w:val="24"/>
        </w:rPr>
        <w:t xml:space="preserve">were expressed as mean±standard deviation. The total WBC count did not change over time as well as the percentage of lymphocytes, eosinophils and neutrophils, while a variation over time was observed for </w:t>
      </w:r>
      <w:r w:rsidRPr="003F2DC7">
        <w:rPr>
          <w:rFonts w:ascii="Times New Roman" w:hAnsi="Times New Roman" w:cs="Times New Roman"/>
          <w:sz w:val="24"/>
          <w:szCs w:val="24"/>
          <w:highlight w:val="yellow"/>
        </w:rPr>
        <w:t>monocytes</w:t>
      </w:r>
      <w:r w:rsidRPr="003F2DC7">
        <w:rPr>
          <w:rFonts w:ascii="Times New Roman" w:hAnsi="Times New Roman" w:cs="Times New Roman"/>
          <w:sz w:val="24"/>
          <w:szCs w:val="24"/>
        </w:rPr>
        <w:t xml:space="preserve"> and total protein concentration. Both decreased from T0 to T14 (right IC joint) and T10 (left IC</w:t>
      </w:r>
      <w:r w:rsidR="00ED07C1">
        <w:rPr>
          <w:rFonts w:ascii="Times New Roman" w:hAnsi="Times New Roman" w:cs="Times New Roman"/>
          <w:sz w:val="24"/>
          <w:szCs w:val="24"/>
        </w:rPr>
        <w:t xml:space="preserve"> joint</w:t>
      </w:r>
      <w:r w:rsidRPr="003F2DC7">
        <w:rPr>
          <w:rFonts w:ascii="Times New Roman" w:hAnsi="Times New Roman" w:cs="Times New Roman"/>
          <w:sz w:val="24"/>
          <w:szCs w:val="24"/>
        </w:rPr>
        <w:t xml:space="preserve">), then rised again over time till T60 with values similar to T0. </w:t>
      </w:r>
    </w:p>
    <w:p w14:paraId="5D855533" w14:textId="6C8D053F" w:rsidR="009A0637" w:rsidRPr="003F2DC7" w:rsidRDefault="00F740D2" w:rsidP="009A0637">
      <w:pPr>
        <w:autoSpaceDE w:val="0"/>
        <w:autoSpaceDN w:val="0"/>
        <w:adjustRightInd w:val="0"/>
        <w:spacing w:after="0" w:line="360" w:lineRule="auto"/>
        <w:jc w:val="both"/>
        <w:rPr>
          <w:rFonts w:ascii="Times New Roman" w:hAnsi="Times New Roman" w:cs="Times New Roman"/>
          <w:sz w:val="24"/>
          <w:szCs w:val="24"/>
        </w:rPr>
      </w:pPr>
      <w:r w:rsidRPr="003F2DC7">
        <w:rPr>
          <w:rFonts w:ascii="Times New Roman" w:hAnsi="Times New Roman" w:cs="Times New Roman"/>
          <w:sz w:val="24"/>
          <w:szCs w:val="24"/>
          <w:u w:val="single"/>
        </w:rPr>
        <w:t>Conclusions.</w:t>
      </w:r>
      <w:r w:rsidRPr="003F2DC7">
        <w:rPr>
          <w:rFonts w:ascii="Times New Roman" w:hAnsi="Times New Roman" w:cs="Times New Roman"/>
          <w:sz w:val="24"/>
          <w:szCs w:val="24"/>
        </w:rPr>
        <w:t xml:space="preserve"> </w:t>
      </w:r>
      <w:r w:rsidR="009A0637" w:rsidRPr="003F2DC7">
        <w:rPr>
          <w:rFonts w:ascii="Times New Roman" w:hAnsi="Times New Roman" w:cs="Times New Roman"/>
          <w:sz w:val="24"/>
          <w:szCs w:val="24"/>
        </w:rPr>
        <w:t>Our results are in line to what reported in dogs and cows (White et al., 1989; Dykgraaf et al., 2007; Francoz et al., 2007; Berg et al., 200</w:t>
      </w:r>
      <w:r w:rsidR="00ED07C1">
        <w:rPr>
          <w:rFonts w:ascii="Times New Roman" w:hAnsi="Times New Roman" w:cs="Times New Roman"/>
          <w:sz w:val="24"/>
          <w:szCs w:val="24"/>
        </w:rPr>
        <w:t xml:space="preserve">9; Sanchez Teran et al., 2012) and </w:t>
      </w:r>
      <w:r w:rsidR="009A0637" w:rsidRPr="003F2DC7">
        <w:rPr>
          <w:rFonts w:ascii="Times New Roman" w:hAnsi="Times New Roman" w:cs="Times New Roman"/>
          <w:sz w:val="24"/>
          <w:szCs w:val="24"/>
        </w:rPr>
        <w:t xml:space="preserve">suggest that </w:t>
      </w:r>
      <w:r w:rsidR="00ED07C1">
        <w:rPr>
          <w:rFonts w:ascii="Times New Roman" w:hAnsi="Times New Roman" w:cs="Times New Roman"/>
          <w:bCs/>
          <w:sz w:val="24"/>
          <w:szCs w:val="24"/>
        </w:rPr>
        <w:t>repeated a</w:t>
      </w:r>
      <w:r w:rsidR="009A0637" w:rsidRPr="003F2DC7">
        <w:rPr>
          <w:rFonts w:ascii="Times New Roman" w:hAnsi="Times New Roman" w:cs="Times New Roman"/>
          <w:bCs/>
          <w:sz w:val="24"/>
          <w:szCs w:val="24"/>
        </w:rPr>
        <w:t>rthrocentesis has no effects on cytol</w:t>
      </w:r>
      <w:r w:rsidR="00ED07C1">
        <w:rPr>
          <w:rFonts w:ascii="Times New Roman" w:hAnsi="Times New Roman" w:cs="Times New Roman"/>
          <w:bCs/>
          <w:sz w:val="24"/>
          <w:szCs w:val="24"/>
        </w:rPr>
        <w:t>ogic analysis of synovial f</w:t>
      </w:r>
      <w:r w:rsidR="003D787C" w:rsidRPr="003F2DC7">
        <w:rPr>
          <w:rFonts w:ascii="Times New Roman" w:hAnsi="Times New Roman" w:cs="Times New Roman"/>
          <w:bCs/>
          <w:sz w:val="24"/>
          <w:szCs w:val="24"/>
        </w:rPr>
        <w:t>luid.</w:t>
      </w:r>
    </w:p>
    <w:p w14:paraId="790F4263" w14:textId="77777777" w:rsidR="00ED07C1" w:rsidRDefault="00ED07C1" w:rsidP="008148B5">
      <w:pPr>
        <w:autoSpaceDE w:val="0"/>
        <w:autoSpaceDN w:val="0"/>
        <w:adjustRightInd w:val="0"/>
        <w:spacing w:after="0" w:line="360" w:lineRule="auto"/>
        <w:jc w:val="both"/>
        <w:rPr>
          <w:rFonts w:ascii="Times New Roman" w:hAnsi="Times New Roman" w:cs="Times New Roman"/>
          <w:sz w:val="24"/>
          <w:szCs w:val="24"/>
        </w:rPr>
      </w:pPr>
    </w:p>
    <w:p w14:paraId="15E6AAFF" w14:textId="5A3C177D" w:rsidR="00BE1780" w:rsidRPr="003F2DC7" w:rsidRDefault="009A0637" w:rsidP="008148B5">
      <w:pPr>
        <w:autoSpaceDE w:val="0"/>
        <w:autoSpaceDN w:val="0"/>
        <w:adjustRightInd w:val="0"/>
        <w:spacing w:after="0" w:line="360" w:lineRule="auto"/>
        <w:jc w:val="both"/>
        <w:rPr>
          <w:rFonts w:ascii="Times New Roman" w:hAnsi="Times New Roman" w:cs="Times New Roman"/>
          <w:sz w:val="24"/>
          <w:szCs w:val="24"/>
        </w:rPr>
      </w:pPr>
      <w:bookmarkStart w:id="0" w:name="_GoBack"/>
      <w:bookmarkEnd w:id="0"/>
      <w:r w:rsidRPr="003F2DC7">
        <w:rPr>
          <w:rFonts w:ascii="Times New Roman" w:hAnsi="Times New Roman" w:cs="Times New Roman"/>
          <w:sz w:val="24"/>
          <w:szCs w:val="24"/>
          <w:u w:val="single"/>
        </w:rPr>
        <w:t>Literature</w:t>
      </w:r>
    </w:p>
    <w:p w14:paraId="20D4EBE9" w14:textId="77777777" w:rsidR="009B1AA0" w:rsidRPr="003F2DC7" w:rsidRDefault="009B1AA0" w:rsidP="009B1AA0">
      <w:pPr>
        <w:spacing w:line="360" w:lineRule="auto"/>
        <w:jc w:val="both"/>
        <w:rPr>
          <w:rFonts w:ascii="Times New Roman" w:hAnsi="Times New Roman" w:cs="Times New Roman"/>
          <w:sz w:val="24"/>
          <w:szCs w:val="24"/>
        </w:rPr>
      </w:pPr>
      <w:r w:rsidRPr="003F2DC7">
        <w:rPr>
          <w:rFonts w:ascii="Times New Roman" w:hAnsi="Times New Roman" w:cs="Times New Roman"/>
          <w:sz w:val="24"/>
          <w:szCs w:val="24"/>
        </w:rPr>
        <w:lastRenderedPageBreak/>
        <w:t>Berg RIM, Sykes JE, Kass PH, Vernau W (2009). Effect of repeated arthrocentesis on cytologic analysis of synovial fluid in dogs. J Vet Intern Med, 23: 814-7.</w:t>
      </w:r>
    </w:p>
    <w:p w14:paraId="03C3FFAC" w14:textId="77777777" w:rsidR="009B1AA0" w:rsidRPr="003F2DC7" w:rsidRDefault="009B1AA0" w:rsidP="009B1AA0">
      <w:pPr>
        <w:spacing w:line="360" w:lineRule="auto"/>
        <w:jc w:val="both"/>
        <w:rPr>
          <w:rFonts w:ascii="Times New Roman" w:hAnsi="Times New Roman" w:cs="Times New Roman"/>
          <w:sz w:val="24"/>
          <w:szCs w:val="24"/>
        </w:rPr>
      </w:pPr>
      <w:r w:rsidRPr="003F2DC7">
        <w:rPr>
          <w:rFonts w:ascii="Times New Roman" w:hAnsi="Times New Roman" w:cs="Times New Roman"/>
          <w:sz w:val="24"/>
          <w:szCs w:val="24"/>
        </w:rPr>
        <w:t>Dykgraaf S, Dechant JE, Johns JL, Christopher MM, Bolt DM, Snyder JR (2007). Effect of Intrathecal Amikacin Administration and Repeated Centesis on Digital Flexor Tendon Sheath Synovial Fluid in Horses. Vet Surg, 36(1): 57-63.</w:t>
      </w:r>
    </w:p>
    <w:p w14:paraId="205EA53C" w14:textId="52DD1D09" w:rsidR="000727C9" w:rsidRPr="003F2DC7" w:rsidRDefault="000727C9" w:rsidP="008148B5">
      <w:pPr>
        <w:autoSpaceDE w:val="0"/>
        <w:autoSpaceDN w:val="0"/>
        <w:adjustRightInd w:val="0"/>
        <w:spacing w:after="0" w:line="360" w:lineRule="auto"/>
        <w:jc w:val="both"/>
        <w:rPr>
          <w:rFonts w:ascii="Times New Roman" w:hAnsi="Times New Roman" w:cs="Times New Roman"/>
          <w:sz w:val="24"/>
          <w:szCs w:val="24"/>
        </w:rPr>
      </w:pPr>
      <w:r w:rsidRPr="003F2DC7">
        <w:rPr>
          <w:rFonts w:ascii="Times New Roman" w:hAnsi="Times New Roman" w:cs="Times New Roman"/>
          <w:sz w:val="24"/>
          <w:szCs w:val="24"/>
        </w:rPr>
        <w:t>Ekmann A, Rigdal ML, Gröndahl G (2009). Automated counting of nucleated cells in equine synovial fluid without and with hyaluronidase pretreatment. Vet Clin Pathol, 39(1): 83-9.</w:t>
      </w:r>
    </w:p>
    <w:p w14:paraId="503753AB" w14:textId="77777777" w:rsidR="009B1AA0" w:rsidRPr="003F2DC7" w:rsidRDefault="009B1AA0" w:rsidP="009B1AA0">
      <w:pPr>
        <w:spacing w:line="360" w:lineRule="auto"/>
        <w:jc w:val="both"/>
        <w:rPr>
          <w:rFonts w:ascii="Times New Roman" w:hAnsi="Times New Roman" w:cs="Times New Roman"/>
          <w:sz w:val="24"/>
          <w:szCs w:val="24"/>
        </w:rPr>
      </w:pPr>
      <w:r w:rsidRPr="003F2DC7">
        <w:rPr>
          <w:rFonts w:ascii="Times New Roman" w:hAnsi="Times New Roman" w:cs="Times New Roman"/>
          <w:sz w:val="24"/>
          <w:szCs w:val="24"/>
        </w:rPr>
        <w:t>Francoz D, Desrochers A, Latouche JS (2007). Effect of repeated arthrocentesis and single joint lavage on cytologic evaluation of synovial fluid in 5 young calves. Can J Vet Res, 71(2): 129-34.</w:t>
      </w:r>
    </w:p>
    <w:p w14:paraId="6A368F02" w14:textId="420A091B" w:rsidR="003E5D78" w:rsidRPr="003F2DC7" w:rsidRDefault="000727C9" w:rsidP="008148B5">
      <w:pPr>
        <w:autoSpaceDE w:val="0"/>
        <w:autoSpaceDN w:val="0"/>
        <w:adjustRightInd w:val="0"/>
        <w:spacing w:after="0" w:line="360" w:lineRule="auto"/>
        <w:jc w:val="both"/>
        <w:rPr>
          <w:rFonts w:ascii="Times New Roman" w:hAnsi="Times New Roman" w:cs="Times New Roman"/>
          <w:sz w:val="24"/>
          <w:szCs w:val="24"/>
        </w:rPr>
      </w:pPr>
      <w:r w:rsidRPr="003F2DC7">
        <w:rPr>
          <w:rFonts w:ascii="Times New Roman" w:hAnsi="Times New Roman" w:cs="Times New Roman"/>
          <w:color w:val="000000"/>
          <w:sz w:val="24"/>
          <w:szCs w:val="24"/>
          <w:shd w:val="clear" w:color="auto" w:fill="FFFFFF"/>
        </w:rPr>
        <w:t>Mahaffey EA (2002). Synovial fluid. In: Cowell RL, Tyler RD (eds): Diagnostic Cytology nd Hematology of the horse. 2nd ed, Mosby Inc., USA, pp. 163-70.</w:t>
      </w:r>
    </w:p>
    <w:p w14:paraId="21154422" w14:textId="77777777" w:rsidR="000727C9" w:rsidRPr="003F2DC7" w:rsidRDefault="000727C9" w:rsidP="000727C9">
      <w:pPr>
        <w:spacing w:line="360" w:lineRule="auto"/>
        <w:jc w:val="both"/>
        <w:rPr>
          <w:rFonts w:ascii="Times New Roman" w:hAnsi="Times New Roman" w:cs="Times New Roman"/>
          <w:color w:val="000000"/>
          <w:sz w:val="24"/>
          <w:szCs w:val="24"/>
          <w:shd w:val="clear" w:color="auto" w:fill="FFFFFF"/>
        </w:rPr>
      </w:pPr>
      <w:r w:rsidRPr="003F2DC7">
        <w:rPr>
          <w:rFonts w:ascii="Times New Roman" w:hAnsi="Times New Roman" w:cs="Times New Roman"/>
          <w:color w:val="000000"/>
          <w:sz w:val="24"/>
          <w:szCs w:val="24"/>
          <w:shd w:val="clear" w:color="auto" w:fill="FFFFFF"/>
        </w:rPr>
        <w:t>Moreno MJ, Clayburne G, Schumacher HR (2000). Processing of noninflammatory synovial fluids with hyaluronidase for cytospin preparations improves the accuracy of differential counts. Diagn Cytopathol,, 22(4): 256-8.</w:t>
      </w:r>
    </w:p>
    <w:p w14:paraId="7DC2B8A6" w14:textId="77777777" w:rsidR="000727C9" w:rsidRPr="003F2DC7" w:rsidRDefault="000727C9" w:rsidP="000727C9">
      <w:pPr>
        <w:spacing w:line="360" w:lineRule="auto"/>
        <w:jc w:val="both"/>
        <w:rPr>
          <w:rFonts w:ascii="Times New Roman" w:hAnsi="Times New Roman" w:cs="Times New Roman"/>
          <w:color w:val="000000"/>
          <w:sz w:val="24"/>
          <w:szCs w:val="24"/>
          <w:shd w:val="clear" w:color="auto" w:fill="FFFFFF"/>
        </w:rPr>
      </w:pPr>
      <w:r w:rsidRPr="003F2DC7">
        <w:rPr>
          <w:rFonts w:ascii="Times New Roman" w:hAnsi="Times New Roman" w:cs="Times New Roman"/>
          <w:color w:val="000000"/>
          <w:sz w:val="24"/>
          <w:szCs w:val="24"/>
          <w:shd w:val="clear" w:color="auto" w:fill="FFFFFF"/>
        </w:rPr>
        <w:t>Palmer DG (1968). Total leukocyte enumeration in pathologic synovial fluids. Am J Clin Pathol, 49(6): 812-4.</w:t>
      </w:r>
    </w:p>
    <w:p w14:paraId="3C7D157F" w14:textId="77777777" w:rsidR="009B1AA0" w:rsidRPr="003F2DC7" w:rsidRDefault="009B1AA0" w:rsidP="009B1AA0">
      <w:pPr>
        <w:spacing w:line="360" w:lineRule="auto"/>
        <w:jc w:val="both"/>
        <w:rPr>
          <w:rFonts w:ascii="Times New Roman" w:hAnsi="Times New Roman" w:cs="Times New Roman"/>
          <w:sz w:val="24"/>
          <w:szCs w:val="24"/>
          <w:lang w:val="en-US"/>
        </w:rPr>
      </w:pPr>
      <w:r w:rsidRPr="003F2DC7">
        <w:rPr>
          <w:rFonts w:ascii="Times New Roman" w:hAnsi="Times New Roman" w:cs="Times New Roman"/>
          <w:sz w:val="24"/>
          <w:szCs w:val="24"/>
          <w:lang w:val="en-US"/>
        </w:rPr>
        <w:t>Sanchez Teran AF, Rubio-Martinez LM, Villarino NF, Sanz MG (2012). Effects of repeated intra-articular administration of amikacin on serum amyloid A, total protein and nucleated cell count in synovial fluid from healthy horses. Equine vet J, 44(43): 12-6.</w:t>
      </w:r>
    </w:p>
    <w:p w14:paraId="119DE8A7" w14:textId="44C0E6E1" w:rsidR="009C3DB1" w:rsidRPr="003F2DC7" w:rsidRDefault="009B1AA0" w:rsidP="009B1AA0">
      <w:pPr>
        <w:spacing w:line="360" w:lineRule="auto"/>
        <w:jc w:val="both"/>
        <w:rPr>
          <w:rFonts w:ascii="Times New Roman" w:hAnsi="Times New Roman" w:cs="Times New Roman"/>
          <w:sz w:val="24"/>
          <w:szCs w:val="24"/>
        </w:rPr>
      </w:pPr>
      <w:r w:rsidRPr="003F2DC7">
        <w:rPr>
          <w:rFonts w:ascii="Times New Roman" w:hAnsi="Times New Roman" w:cs="Times New Roman"/>
          <w:sz w:val="24"/>
          <w:szCs w:val="24"/>
        </w:rPr>
        <w:t>White KK, Hodgson DR, Hancock D, Parry BW, Cordell C (1989). Changes in equine carpal joint synovial fluid in response to the injection of two local anesthetic agents. Cornell Vet, 79(1): 25-3.</w:t>
      </w:r>
    </w:p>
    <w:sectPr w:rsidR="009C3DB1" w:rsidRPr="003F2DC7" w:rsidSect="00776138">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00644"/>
    <w:multiLevelType w:val="hybridMultilevel"/>
    <w:tmpl w:val="37E6C1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8B5"/>
    <w:rsid w:val="00017726"/>
    <w:rsid w:val="00055E3F"/>
    <w:rsid w:val="000727C9"/>
    <w:rsid w:val="000A5EB5"/>
    <w:rsid w:val="00152EF8"/>
    <w:rsid w:val="00172034"/>
    <w:rsid w:val="002B55FD"/>
    <w:rsid w:val="002C638D"/>
    <w:rsid w:val="003210FB"/>
    <w:rsid w:val="003D787C"/>
    <w:rsid w:val="003E5D78"/>
    <w:rsid w:val="003F2DC7"/>
    <w:rsid w:val="004721A1"/>
    <w:rsid w:val="00575C7A"/>
    <w:rsid w:val="00670167"/>
    <w:rsid w:val="00776138"/>
    <w:rsid w:val="008148B5"/>
    <w:rsid w:val="00820970"/>
    <w:rsid w:val="00930665"/>
    <w:rsid w:val="00945D65"/>
    <w:rsid w:val="00993494"/>
    <w:rsid w:val="009A0637"/>
    <w:rsid w:val="009B1AA0"/>
    <w:rsid w:val="009B6C9D"/>
    <w:rsid w:val="009C3DB1"/>
    <w:rsid w:val="00A46675"/>
    <w:rsid w:val="00AC48C0"/>
    <w:rsid w:val="00B16C7D"/>
    <w:rsid w:val="00BE1780"/>
    <w:rsid w:val="00C516D8"/>
    <w:rsid w:val="00CC7FA6"/>
    <w:rsid w:val="00CD1707"/>
    <w:rsid w:val="00D0516D"/>
    <w:rsid w:val="00D7645E"/>
    <w:rsid w:val="00DA4C89"/>
    <w:rsid w:val="00DE49B7"/>
    <w:rsid w:val="00E21428"/>
    <w:rsid w:val="00E77EDA"/>
    <w:rsid w:val="00ED07C1"/>
    <w:rsid w:val="00F65E4A"/>
    <w:rsid w:val="00F740D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1E85F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48B5"/>
    <w:pPr>
      <w:spacing w:after="160" w:line="259" w:lineRule="auto"/>
    </w:pPr>
    <w:rPr>
      <w:rFonts w:eastAsiaTheme="minorHAnsi"/>
      <w:sz w:val="22"/>
      <w:szCs w:val="22"/>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2C638D"/>
    <w:rPr>
      <w:color w:val="0000FF" w:themeColor="hyperlink"/>
      <w:u w:val="single"/>
    </w:rPr>
  </w:style>
  <w:style w:type="paragraph" w:styleId="Paragrafoelenco">
    <w:name w:val="List Paragraph"/>
    <w:basedOn w:val="Normale"/>
    <w:link w:val="ParagrafoelencoCarattere"/>
    <w:uiPriority w:val="34"/>
    <w:qFormat/>
    <w:rsid w:val="000727C9"/>
    <w:pPr>
      <w:ind w:left="720"/>
      <w:contextualSpacing/>
    </w:pPr>
  </w:style>
  <w:style w:type="character" w:customStyle="1" w:styleId="ParagrafoelencoCarattere">
    <w:name w:val="Paragrafo elenco Carattere"/>
    <w:basedOn w:val="Caratterepredefinitoparagrafo"/>
    <w:link w:val="Paragrafoelenco"/>
    <w:uiPriority w:val="34"/>
    <w:rsid w:val="000727C9"/>
    <w:rPr>
      <w:rFonts w:eastAsiaTheme="minorHAnsi"/>
      <w:sz w:val="22"/>
      <w:szCs w:val="22"/>
      <w:lang w:eastAsia="en-US"/>
    </w:rPr>
  </w:style>
  <w:style w:type="paragraph" w:styleId="Testofumetto">
    <w:name w:val="Balloon Text"/>
    <w:basedOn w:val="Normale"/>
    <w:link w:val="TestofumettoCarattere"/>
    <w:uiPriority w:val="99"/>
    <w:semiHidden/>
    <w:unhideWhenUsed/>
    <w:rsid w:val="00F65E4A"/>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F65E4A"/>
    <w:rPr>
      <w:rFonts w:ascii="Lucida Grande" w:eastAsiaTheme="minorHAnsi"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48B5"/>
    <w:pPr>
      <w:spacing w:after="160" w:line="259" w:lineRule="auto"/>
    </w:pPr>
    <w:rPr>
      <w:rFonts w:eastAsiaTheme="minorHAnsi"/>
      <w:sz w:val="22"/>
      <w:szCs w:val="22"/>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2C638D"/>
    <w:rPr>
      <w:color w:val="0000FF" w:themeColor="hyperlink"/>
      <w:u w:val="single"/>
    </w:rPr>
  </w:style>
  <w:style w:type="paragraph" w:styleId="Paragrafoelenco">
    <w:name w:val="List Paragraph"/>
    <w:basedOn w:val="Normale"/>
    <w:link w:val="ParagrafoelencoCarattere"/>
    <w:uiPriority w:val="34"/>
    <w:qFormat/>
    <w:rsid w:val="000727C9"/>
    <w:pPr>
      <w:ind w:left="720"/>
      <w:contextualSpacing/>
    </w:pPr>
  </w:style>
  <w:style w:type="character" w:customStyle="1" w:styleId="ParagrafoelencoCarattere">
    <w:name w:val="Paragrafo elenco Carattere"/>
    <w:basedOn w:val="Caratterepredefinitoparagrafo"/>
    <w:link w:val="Paragrafoelenco"/>
    <w:uiPriority w:val="34"/>
    <w:rsid w:val="000727C9"/>
    <w:rPr>
      <w:rFonts w:eastAsiaTheme="minorHAnsi"/>
      <w:sz w:val="22"/>
      <w:szCs w:val="22"/>
      <w:lang w:eastAsia="en-US"/>
    </w:rPr>
  </w:style>
  <w:style w:type="paragraph" w:styleId="Testofumetto">
    <w:name w:val="Balloon Text"/>
    <w:basedOn w:val="Normale"/>
    <w:link w:val="TestofumettoCarattere"/>
    <w:uiPriority w:val="99"/>
    <w:semiHidden/>
    <w:unhideWhenUsed/>
    <w:rsid w:val="00F65E4A"/>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F65E4A"/>
    <w:rPr>
      <w:rFonts w:ascii="Lucida Grande" w:eastAsiaTheme="minorHAnsi"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662</Words>
  <Characters>3779</Characters>
  <Application>Microsoft Macintosh Word</Application>
  <DocSecurity>0</DocSecurity>
  <Lines>31</Lines>
  <Paragraphs>8</Paragraphs>
  <ScaleCrop>false</ScaleCrop>
  <Company/>
  <LinksUpToDate>false</LinksUpToDate>
  <CharactersWithSpaces>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Micaela Sgorbini</dc:creator>
  <cp:keywords/>
  <dc:description/>
  <cp:lastModifiedBy>Micaela Sgorbini</cp:lastModifiedBy>
  <cp:revision>36</cp:revision>
  <dcterms:created xsi:type="dcterms:W3CDTF">2014-09-20T21:14:00Z</dcterms:created>
  <dcterms:modified xsi:type="dcterms:W3CDTF">2015-03-16T11:16:00Z</dcterms:modified>
</cp:coreProperties>
</file>