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bookmarkStart w:id="0" w:name="_GoBack"/>
      <w:bookmarkEnd w:id="0"/>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sz w:val="24"/>
          <w:szCs w:val="24"/>
          <w:lang w:val="en-US"/>
        </w:rPr>
      </w:pPr>
    </w:p>
    <w:p w:rsidR="0045040E" w:rsidRPr="00E625E1" w:rsidRDefault="0045040E" w:rsidP="00564898">
      <w:pPr>
        <w:autoSpaceDE w:val="0"/>
        <w:autoSpaceDN w:val="0"/>
        <w:adjustRightInd w:val="0"/>
        <w:spacing w:after="0" w:line="480" w:lineRule="auto"/>
        <w:jc w:val="center"/>
        <w:rPr>
          <w:rFonts w:ascii="Times New Roman" w:hAnsi="Times New Roman" w:cs="Times New Roman"/>
          <w:b/>
          <w:iCs/>
          <w:sz w:val="24"/>
          <w:szCs w:val="24"/>
          <w:lang w:val="en-US"/>
        </w:rPr>
      </w:pPr>
      <w:r w:rsidRPr="00E625E1">
        <w:rPr>
          <w:rFonts w:ascii="Times New Roman" w:hAnsi="Times New Roman" w:cs="Times New Roman"/>
          <w:b/>
          <w:iCs/>
          <w:sz w:val="24"/>
          <w:szCs w:val="24"/>
          <w:lang w:val="en-US"/>
        </w:rPr>
        <w:t>Role of SGLT2</w:t>
      </w:r>
      <w:r w:rsidR="009321D7" w:rsidRPr="00E625E1">
        <w:rPr>
          <w:rFonts w:ascii="Times New Roman" w:hAnsi="Times New Roman" w:cs="Times New Roman"/>
          <w:b/>
          <w:iCs/>
          <w:sz w:val="24"/>
          <w:szCs w:val="24"/>
          <w:lang w:val="en-US"/>
        </w:rPr>
        <w:t xml:space="preserve"> </w:t>
      </w:r>
      <w:r w:rsidRPr="00E625E1">
        <w:rPr>
          <w:rFonts w:ascii="Times New Roman" w:hAnsi="Times New Roman" w:cs="Times New Roman"/>
          <w:b/>
          <w:iCs/>
          <w:sz w:val="24"/>
          <w:szCs w:val="24"/>
          <w:lang w:val="en-US"/>
        </w:rPr>
        <w:t xml:space="preserve">inhibitors in the treatment of </w:t>
      </w:r>
      <w:r w:rsidR="00F53BFF" w:rsidRPr="00E625E1">
        <w:rPr>
          <w:rFonts w:ascii="Times New Roman" w:hAnsi="Times New Roman" w:cs="Times New Roman"/>
          <w:b/>
          <w:iCs/>
          <w:sz w:val="24"/>
          <w:szCs w:val="24"/>
          <w:lang w:val="en-US"/>
        </w:rPr>
        <w:t xml:space="preserve">type 2 </w:t>
      </w:r>
      <w:r w:rsidR="00BE555B" w:rsidRPr="00E625E1">
        <w:rPr>
          <w:rFonts w:ascii="Times New Roman" w:hAnsi="Times New Roman" w:cs="Times New Roman"/>
          <w:b/>
          <w:iCs/>
          <w:sz w:val="24"/>
          <w:szCs w:val="24"/>
          <w:lang w:val="en-US"/>
        </w:rPr>
        <w:t>diabetes mellitus</w:t>
      </w:r>
    </w:p>
    <w:p w:rsidR="009321D7" w:rsidRPr="00E625E1" w:rsidRDefault="009321D7" w:rsidP="00564898">
      <w:pPr>
        <w:autoSpaceDE w:val="0"/>
        <w:autoSpaceDN w:val="0"/>
        <w:adjustRightInd w:val="0"/>
        <w:spacing w:after="0" w:line="480" w:lineRule="auto"/>
        <w:jc w:val="center"/>
        <w:rPr>
          <w:rFonts w:ascii="Times New Roman" w:hAnsi="Times New Roman" w:cs="Times New Roman"/>
          <w:b/>
          <w:iCs/>
          <w:lang w:val="en-US"/>
        </w:rPr>
      </w:pPr>
    </w:p>
    <w:p w:rsidR="009321D7" w:rsidRPr="00E625E1" w:rsidRDefault="009321D7" w:rsidP="00564898">
      <w:pPr>
        <w:autoSpaceDE w:val="0"/>
        <w:autoSpaceDN w:val="0"/>
        <w:adjustRightInd w:val="0"/>
        <w:spacing w:after="0" w:line="480" w:lineRule="auto"/>
        <w:jc w:val="center"/>
        <w:rPr>
          <w:rFonts w:ascii="Times New Roman" w:hAnsi="Times New Roman" w:cs="Times New Roman"/>
          <w:b/>
          <w:iCs/>
          <w:lang w:val="en-US"/>
        </w:rPr>
      </w:pPr>
    </w:p>
    <w:p w:rsidR="009321D7" w:rsidRPr="00E625E1" w:rsidRDefault="009321D7" w:rsidP="00564898">
      <w:pPr>
        <w:autoSpaceDE w:val="0"/>
        <w:autoSpaceDN w:val="0"/>
        <w:adjustRightInd w:val="0"/>
        <w:spacing w:after="0" w:line="480" w:lineRule="auto"/>
        <w:jc w:val="center"/>
        <w:rPr>
          <w:rFonts w:ascii="Times New Roman" w:hAnsi="Times New Roman" w:cs="Times New Roman"/>
          <w:b/>
          <w:iCs/>
          <w:lang w:val="en-US"/>
        </w:rPr>
      </w:pPr>
    </w:p>
    <w:p w:rsidR="009321D7" w:rsidRPr="00E625E1" w:rsidRDefault="009321D7" w:rsidP="00564898">
      <w:pPr>
        <w:autoSpaceDE w:val="0"/>
        <w:autoSpaceDN w:val="0"/>
        <w:adjustRightInd w:val="0"/>
        <w:spacing w:after="0" w:line="480" w:lineRule="auto"/>
        <w:jc w:val="center"/>
        <w:rPr>
          <w:rFonts w:ascii="Times New Roman" w:hAnsi="Times New Roman" w:cs="Times New Roman"/>
          <w:b/>
          <w:iCs/>
          <w:lang w:val="en-US"/>
        </w:rPr>
      </w:pPr>
      <w:r w:rsidRPr="00E625E1">
        <w:rPr>
          <w:rFonts w:ascii="Times New Roman" w:hAnsi="Times New Roman" w:cs="Times New Roman"/>
          <w:b/>
          <w:iCs/>
          <w:lang w:val="en-US"/>
        </w:rPr>
        <w:t>Anna Solini</w:t>
      </w:r>
    </w:p>
    <w:p w:rsidR="009321D7" w:rsidRPr="00E625E1" w:rsidRDefault="009321D7" w:rsidP="00564898">
      <w:pPr>
        <w:autoSpaceDE w:val="0"/>
        <w:autoSpaceDN w:val="0"/>
        <w:adjustRightInd w:val="0"/>
        <w:spacing w:after="0" w:line="480" w:lineRule="auto"/>
        <w:jc w:val="center"/>
        <w:rPr>
          <w:rFonts w:ascii="Times New Roman" w:hAnsi="Times New Roman" w:cs="Times New Roman"/>
          <w:b/>
          <w:iCs/>
          <w:lang w:val="en-US"/>
        </w:rPr>
      </w:pPr>
    </w:p>
    <w:p w:rsidR="009321D7" w:rsidRPr="00E625E1" w:rsidRDefault="009321D7" w:rsidP="00564898">
      <w:pPr>
        <w:autoSpaceDE w:val="0"/>
        <w:autoSpaceDN w:val="0"/>
        <w:adjustRightInd w:val="0"/>
        <w:spacing w:after="0" w:line="480" w:lineRule="auto"/>
        <w:jc w:val="center"/>
        <w:rPr>
          <w:rFonts w:ascii="Times New Roman" w:hAnsi="Times New Roman" w:cs="Times New Roman"/>
          <w:b/>
          <w:iCs/>
          <w:lang w:val="en-US"/>
        </w:rPr>
      </w:pPr>
      <w:r w:rsidRPr="00E625E1">
        <w:rPr>
          <w:rFonts w:ascii="Times New Roman" w:hAnsi="Times New Roman" w:cs="Times New Roman"/>
          <w:b/>
          <w:iCs/>
          <w:lang w:val="en-US"/>
        </w:rPr>
        <w:t>Department of Clinical and Experimental Medicine University of Pisa</w:t>
      </w:r>
      <w:r w:rsidR="002D669B" w:rsidRPr="00E625E1">
        <w:rPr>
          <w:rFonts w:ascii="Times New Roman" w:hAnsi="Times New Roman" w:cs="Times New Roman"/>
          <w:b/>
          <w:iCs/>
          <w:lang w:val="en-US"/>
        </w:rPr>
        <w:t>, Italy</w:t>
      </w:r>
    </w:p>
    <w:p w:rsidR="00564898" w:rsidRPr="00E625E1" w:rsidRDefault="00564898" w:rsidP="00564898">
      <w:pPr>
        <w:autoSpaceDE w:val="0"/>
        <w:autoSpaceDN w:val="0"/>
        <w:adjustRightInd w:val="0"/>
        <w:spacing w:after="0" w:line="480" w:lineRule="auto"/>
        <w:jc w:val="center"/>
        <w:rPr>
          <w:rFonts w:ascii="Times New Roman" w:hAnsi="Times New Roman" w:cs="Times New Roman"/>
          <w:b/>
          <w:iCs/>
          <w:lang w:val="en-US"/>
        </w:rPr>
      </w:pPr>
    </w:p>
    <w:p w:rsidR="00564898" w:rsidRPr="00E625E1" w:rsidRDefault="00564898" w:rsidP="00564898">
      <w:pPr>
        <w:autoSpaceDE w:val="0"/>
        <w:autoSpaceDN w:val="0"/>
        <w:adjustRightInd w:val="0"/>
        <w:spacing w:after="0" w:line="480" w:lineRule="auto"/>
        <w:jc w:val="center"/>
        <w:rPr>
          <w:rFonts w:ascii="Times New Roman" w:hAnsi="Times New Roman" w:cs="Times New Roman"/>
          <w:b/>
          <w:iCs/>
          <w:lang w:val="en-US"/>
        </w:rPr>
      </w:pPr>
    </w:p>
    <w:p w:rsidR="00564898" w:rsidRPr="00E625E1" w:rsidRDefault="00564898" w:rsidP="00564898">
      <w:pPr>
        <w:autoSpaceDE w:val="0"/>
        <w:autoSpaceDN w:val="0"/>
        <w:adjustRightInd w:val="0"/>
        <w:spacing w:after="0" w:line="480" w:lineRule="auto"/>
        <w:jc w:val="center"/>
        <w:rPr>
          <w:rFonts w:ascii="Times New Roman" w:hAnsi="Times New Roman" w:cs="Times New Roman"/>
          <w:b/>
          <w:iCs/>
          <w:lang w:val="en-US"/>
        </w:rPr>
      </w:pPr>
    </w:p>
    <w:p w:rsidR="00564898" w:rsidRPr="00E625E1" w:rsidRDefault="00564898" w:rsidP="00564898">
      <w:pPr>
        <w:autoSpaceDE w:val="0"/>
        <w:autoSpaceDN w:val="0"/>
        <w:adjustRightInd w:val="0"/>
        <w:spacing w:after="0" w:line="48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564898">
      <w:pPr>
        <w:autoSpaceDE w:val="0"/>
        <w:autoSpaceDN w:val="0"/>
        <w:adjustRightInd w:val="0"/>
        <w:spacing w:after="0" w:line="240" w:lineRule="auto"/>
        <w:rPr>
          <w:rFonts w:ascii="Times New Roman" w:hAnsi="Times New Roman" w:cs="Times New Roman"/>
          <w:b/>
          <w:iCs/>
        </w:rPr>
      </w:pPr>
      <w:r w:rsidRPr="00E625E1">
        <w:rPr>
          <w:rFonts w:ascii="Times New Roman" w:hAnsi="Times New Roman" w:cs="Times New Roman"/>
          <w:b/>
          <w:iCs/>
        </w:rPr>
        <w:t>Correspondence to:</w:t>
      </w:r>
    </w:p>
    <w:p w:rsidR="00564898" w:rsidRPr="00E625E1" w:rsidRDefault="00564898" w:rsidP="00564898">
      <w:pPr>
        <w:autoSpaceDE w:val="0"/>
        <w:autoSpaceDN w:val="0"/>
        <w:adjustRightInd w:val="0"/>
        <w:spacing w:after="0" w:line="240" w:lineRule="auto"/>
        <w:rPr>
          <w:rFonts w:ascii="Times New Roman" w:hAnsi="Times New Roman" w:cs="Times New Roman"/>
          <w:b/>
          <w:iCs/>
        </w:rPr>
      </w:pPr>
    </w:p>
    <w:p w:rsidR="00564898" w:rsidRPr="00E625E1" w:rsidRDefault="00564898" w:rsidP="00564898">
      <w:pPr>
        <w:spacing w:after="0" w:line="240" w:lineRule="auto"/>
        <w:rPr>
          <w:rFonts w:ascii="Times New Roman" w:hAnsi="Times New Roman" w:cs="Times New Roman"/>
        </w:rPr>
      </w:pPr>
      <w:r w:rsidRPr="00E625E1">
        <w:rPr>
          <w:rFonts w:ascii="Times New Roman" w:hAnsi="Times New Roman" w:cs="Times New Roman"/>
        </w:rPr>
        <w:t>Anna Solini, MD PhD</w:t>
      </w:r>
    </w:p>
    <w:p w:rsidR="00564898" w:rsidRPr="00E625E1" w:rsidRDefault="00564898" w:rsidP="00564898">
      <w:pPr>
        <w:spacing w:after="0" w:line="240" w:lineRule="auto"/>
        <w:rPr>
          <w:rFonts w:ascii="Times New Roman" w:hAnsi="Times New Roman" w:cs="Times New Roman"/>
          <w:lang w:val="en-US"/>
        </w:rPr>
      </w:pPr>
      <w:r w:rsidRPr="00E625E1">
        <w:rPr>
          <w:rFonts w:ascii="Times New Roman" w:hAnsi="Times New Roman" w:cs="Times New Roman"/>
          <w:lang w:val="en-US"/>
        </w:rPr>
        <w:t xml:space="preserve">Department of Clinical and  Experimental Medicine </w:t>
      </w:r>
    </w:p>
    <w:p w:rsidR="00564898" w:rsidRPr="00E625E1" w:rsidRDefault="00564898" w:rsidP="00564898">
      <w:pPr>
        <w:spacing w:after="0" w:line="240" w:lineRule="auto"/>
        <w:rPr>
          <w:rFonts w:ascii="Times New Roman" w:hAnsi="Times New Roman" w:cs="Times New Roman"/>
          <w:lang w:val="en-US"/>
        </w:rPr>
      </w:pPr>
      <w:r w:rsidRPr="00E625E1">
        <w:rPr>
          <w:rFonts w:ascii="Times New Roman" w:hAnsi="Times New Roman" w:cs="Times New Roman"/>
          <w:lang w:val="en-US"/>
        </w:rPr>
        <w:t>University of Pisa</w:t>
      </w:r>
    </w:p>
    <w:p w:rsidR="00564898" w:rsidRPr="00E625E1" w:rsidRDefault="00564898" w:rsidP="00564898">
      <w:pPr>
        <w:spacing w:after="0" w:line="240" w:lineRule="auto"/>
        <w:rPr>
          <w:rFonts w:ascii="Times New Roman" w:hAnsi="Times New Roman" w:cs="Times New Roman"/>
          <w:lang w:val="en-US"/>
        </w:rPr>
      </w:pPr>
      <w:r w:rsidRPr="00E625E1">
        <w:rPr>
          <w:rFonts w:ascii="Times New Roman" w:hAnsi="Times New Roman" w:cs="Times New Roman"/>
          <w:lang w:val="en-US"/>
        </w:rPr>
        <w:t>I-56126 Pisa, Italy</w:t>
      </w:r>
    </w:p>
    <w:p w:rsidR="00564898" w:rsidRPr="00E625E1" w:rsidRDefault="00564898" w:rsidP="00564898">
      <w:pPr>
        <w:spacing w:after="0" w:line="240" w:lineRule="auto"/>
        <w:rPr>
          <w:rFonts w:ascii="Times New Roman" w:hAnsi="Times New Roman" w:cs="Times New Roman"/>
          <w:lang w:val="en-US"/>
        </w:rPr>
      </w:pPr>
      <w:r w:rsidRPr="00E625E1">
        <w:rPr>
          <w:rFonts w:ascii="Times New Roman" w:hAnsi="Times New Roman" w:cs="Times New Roman"/>
          <w:lang w:val="en-US"/>
        </w:rPr>
        <w:t>Ph: +39 050993482</w:t>
      </w:r>
    </w:p>
    <w:p w:rsidR="00564898" w:rsidRPr="00E625E1" w:rsidRDefault="00564898" w:rsidP="00564898">
      <w:pPr>
        <w:spacing w:after="0" w:line="240" w:lineRule="auto"/>
        <w:rPr>
          <w:rFonts w:ascii="Times New Roman" w:hAnsi="Times New Roman" w:cs="Times New Roman"/>
          <w:lang w:val="en-US"/>
        </w:rPr>
      </w:pPr>
      <w:r w:rsidRPr="00E625E1">
        <w:rPr>
          <w:rFonts w:ascii="Times New Roman" w:hAnsi="Times New Roman" w:cs="Times New Roman"/>
          <w:lang w:val="en-US"/>
        </w:rPr>
        <w:t>Fax: +39 050553235</w:t>
      </w:r>
    </w:p>
    <w:p w:rsidR="00564898" w:rsidRPr="00E625E1" w:rsidRDefault="00564898" w:rsidP="00564898">
      <w:pPr>
        <w:spacing w:after="0" w:line="240" w:lineRule="auto"/>
        <w:rPr>
          <w:rFonts w:ascii="Times New Roman" w:hAnsi="Times New Roman" w:cs="Times New Roman"/>
          <w:lang w:val="en-US"/>
        </w:rPr>
      </w:pPr>
      <w:r w:rsidRPr="00E625E1">
        <w:rPr>
          <w:rFonts w:ascii="Times New Roman" w:hAnsi="Times New Roman" w:cs="Times New Roman"/>
          <w:lang w:val="en-US"/>
        </w:rPr>
        <w:t xml:space="preserve">Email: </w:t>
      </w:r>
      <w:hyperlink r:id="rId9" w:history="1">
        <w:r w:rsidRPr="00E625E1">
          <w:rPr>
            <w:rStyle w:val="Collegamentoipertestuale"/>
            <w:rFonts w:ascii="Times New Roman" w:hAnsi="Times New Roman" w:cs="Times New Roman"/>
            <w:b/>
            <w:lang w:val="en-US"/>
          </w:rPr>
          <w:t>anna.solini@med.unipi.it</w:t>
        </w:r>
      </w:hyperlink>
    </w:p>
    <w:p w:rsidR="00564898" w:rsidRPr="00E625E1" w:rsidRDefault="00564898" w:rsidP="00564898">
      <w:pPr>
        <w:rPr>
          <w:rFonts w:ascii="Times New Roman" w:hAnsi="Times New Roman" w:cs="Times New Roman"/>
          <w:lang w:val="en-US"/>
        </w:rPr>
      </w:pPr>
    </w:p>
    <w:p w:rsidR="00564898" w:rsidRPr="00E625E1" w:rsidRDefault="00564898" w:rsidP="00564898">
      <w:pPr>
        <w:autoSpaceDE w:val="0"/>
        <w:autoSpaceDN w:val="0"/>
        <w:adjustRightInd w:val="0"/>
        <w:spacing w:after="0" w:line="240" w:lineRule="auto"/>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564898" w:rsidRPr="00E625E1" w:rsidRDefault="00564898" w:rsidP="00BE555B">
      <w:pPr>
        <w:autoSpaceDE w:val="0"/>
        <w:autoSpaceDN w:val="0"/>
        <w:adjustRightInd w:val="0"/>
        <w:spacing w:after="0" w:line="240" w:lineRule="auto"/>
        <w:jc w:val="center"/>
        <w:rPr>
          <w:rFonts w:ascii="Times New Roman" w:hAnsi="Times New Roman" w:cs="Times New Roman"/>
          <w:b/>
          <w:iCs/>
          <w:lang w:val="en-US"/>
        </w:rPr>
      </w:pPr>
    </w:p>
    <w:p w:rsidR="00E625E1" w:rsidRDefault="00E625E1" w:rsidP="00564898">
      <w:pPr>
        <w:spacing w:after="0" w:line="480" w:lineRule="auto"/>
        <w:rPr>
          <w:rFonts w:ascii="Times New Roman" w:hAnsi="Times New Roman" w:cs="Times New Roman"/>
          <w:b/>
          <w:iCs/>
          <w:lang w:val="en-US"/>
        </w:rPr>
      </w:pPr>
    </w:p>
    <w:p w:rsidR="00E625E1" w:rsidRDefault="00E625E1" w:rsidP="00564898">
      <w:pPr>
        <w:spacing w:after="0" w:line="480" w:lineRule="auto"/>
        <w:rPr>
          <w:rFonts w:ascii="Times New Roman" w:hAnsi="Times New Roman" w:cs="Times New Roman"/>
          <w:b/>
          <w:iCs/>
          <w:lang w:val="en-US"/>
        </w:rPr>
      </w:pPr>
    </w:p>
    <w:p w:rsidR="00564898" w:rsidRPr="00E625E1" w:rsidRDefault="00564898" w:rsidP="00564898">
      <w:pPr>
        <w:spacing w:after="0" w:line="480" w:lineRule="auto"/>
        <w:rPr>
          <w:rFonts w:ascii="Times New Roman" w:hAnsi="Times New Roman" w:cs="Times New Roman"/>
          <w:b/>
          <w:iCs/>
          <w:lang w:val="en-US"/>
        </w:rPr>
      </w:pPr>
      <w:r w:rsidRPr="00E625E1">
        <w:rPr>
          <w:rFonts w:ascii="Times New Roman" w:hAnsi="Times New Roman" w:cs="Times New Roman"/>
          <w:b/>
          <w:iCs/>
          <w:lang w:val="en-US"/>
        </w:rPr>
        <w:lastRenderedPageBreak/>
        <w:t>Abstract</w:t>
      </w:r>
    </w:p>
    <w:p w:rsidR="00564898" w:rsidRPr="00E625E1" w:rsidRDefault="00564898" w:rsidP="00564898">
      <w:pPr>
        <w:spacing w:after="0" w:line="480" w:lineRule="auto"/>
        <w:rPr>
          <w:rFonts w:ascii="Times New Roman" w:hAnsi="Times New Roman" w:cs="Times New Roman"/>
          <w:b/>
          <w:iCs/>
          <w:lang w:val="en-US"/>
        </w:rPr>
      </w:pPr>
    </w:p>
    <w:p w:rsidR="0045040E" w:rsidRPr="00E625E1" w:rsidRDefault="00F53BFF" w:rsidP="00564898">
      <w:pPr>
        <w:spacing w:after="0" w:line="480" w:lineRule="auto"/>
        <w:rPr>
          <w:rFonts w:ascii="Times New Roman" w:hAnsi="Times New Roman" w:cs="Times New Roman"/>
          <w:bCs/>
          <w:lang w:val="en-US"/>
        </w:rPr>
      </w:pPr>
      <w:r w:rsidRPr="00E625E1">
        <w:rPr>
          <w:rFonts w:ascii="Times New Roman" w:hAnsi="Times New Roman" w:cs="Times New Roman"/>
          <w:bCs/>
          <w:lang w:val="en-US"/>
        </w:rPr>
        <w:t xml:space="preserve">In the last ten years, knowledge </w:t>
      </w:r>
      <w:r w:rsidR="00842677" w:rsidRPr="00E625E1">
        <w:rPr>
          <w:rFonts w:ascii="Times New Roman" w:hAnsi="Times New Roman" w:cs="Times New Roman"/>
          <w:bCs/>
          <w:lang w:val="en-US"/>
        </w:rPr>
        <w:t xml:space="preserve">on </w:t>
      </w:r>
      <w:r w:rsidR="008642E4" w:rsidRPr="00E625E1">
        <w:rPr>
          <w:rFonts w:ascii="Times New Roman" w:hAnsi="Times New Roman" w:cs="Times New Roman"/>
          <w:bCs/>
          <w:lang w:val="en-US"/>
        </w:rPr>
        <w:t xml:space="preserve">pathophysiology of type 2 diabetes (T2DM) has </w:t>
      </w:r>
      <w:r w:rsidR="00BA0D3B" w:rsidRPr="00E625E1">
        <w:rPr>
          <w:rFonts w:ascii="Times New Roman" w:hAnsi="Times New Roman" w:cs="Times New Roman"/>
          <w:bCs/>
          <w:lang w:val="en-US"/>
        </w:rPr>
        <w:t>significantly increased</w:t>
      </w:r>
      <w:r w:rsidRPr="00E625E1">
        <w:rPr>
          <w:rFonts w:ascii="Times New Roman" w:hAnsi="Times New Roman" w:cs="Times New Roman"/>
          <w:bCs/>
          <w:lang w:val="en-US"/>
        </w:rPr>
        <w:t xml:space="preserve">, with </w:t>
      </w:r>
      <w:r w:rsidRPr="00E625E1">
        <w:rPr>
          <w:rFonts w:ascii="Times New Roman" w:hAnsi="Times New Roman" w:cs="Times New Roman"/>
          <w:bCs/>
          <w:lang w:val="en-GB"/>
        </w:rPr>
        <w:t>multiple failures (decreased incretin effect, increased lipolysis, increased glucagon secretion, neurotransmitter</w:t>
      </w:r>
      <w:r w:rsidR="008642E4" w:rsidRPr="00E625E1">
        <w:rPr>
          <w:rFonts w:ascii="Times New Roman" w:hAnsi="Times New Roman" w:cs="Times New Roman"/>
          <w:bCs/>
          <w:lang w:val="en-GB"/>
        </w:rPr>
        <w:t>s</w:t>
      </w:r>
      <w:r w:rsidRPr="00E625E1">
        <w:rPr>
          <w:rFonts w:ascii="Times New Roman" w:hAnsi="Times New Roman" w:cs="Times New Roman"/>
          <w:bCs/>
          <w:lang w:val="en-GB"/>
        </w:rPr>
        <w:t xml:space="preserve"> dysfunction) </w:t>
      </w:r>
      <w:r w:rsidR="00987F84" w:rsidRPr="00E625E1">
        <w:rPr>
          <w:rFonts w:ascii="Times New Roman" w:hAnsi="Times New Roman" w:cs="Times New Roman"/>
          <w:bCs/>
          <w:lang w:val="en-GB"/>
        </w:rPr>
        <w:t>recognized as important contributors</w:t>
      </w:r>
      <w:r w:rsidR="008642E4" w:rsidRPr="00E625E1">
        <w:rPr>
          <w:rFonts w:ascii="Times New Roman" w:hAnsi="Times New Roman" w:cs="Times New Roman"/>
          <w:bCs/>
          <w:lang w:val="en-GB"/>
        </w:rPr>
        <w:t>,</w:t>
      </w:r>
      <w:r w:rsidR="00987F84" w:rsidRPr="00E625E1">
        <w:rPr>
          <w:rFonts w:ascii="Times New Roman" w:hAnsi="Times New Roman" w:cs="Times New Roman"/>
          <w:bCs/>
          <w:lang w:val="en-US"/>
        </w:rPr>
        <w:t xml:space="preserve"> together with decreased insulin secretion and reduced peripheral glucose u</w:t>
      </w:r>
      <w:r w:rsidR="00962129" w:rsidRPr="00E625E1">
        <w:rPr>
          <w:rFonts w:ascii="Times New Roman" w:hAnsi="Times New Roman" w:cs="Times New Roman"/>
          <w:bCs/>
          <w:lang w:val="en-US"/>
        </w:rPr>
        <w:t>ptake</w:t>
      </w:r>
      <w:r w:rsidR="00987F84" w:rsidRPr="00E625E1">
        <w:rPr>
          <w:rFonts w:ascii="Times New Roman" w:hAnsi="Times New Roman" w:cs="Times New Roman"/>
          <w:bCs/>
          <w:lang w:val="en-US"/>
        </w:rPr>
        <w:t xml:space="preserve">. As a consequence, </w:t>
      </w:r>
      <w:r w:rsidR="00987F84" w:rsidRPr="00E625E1">
        <w:rPr>
          <w:rFonts w:ascii="Times New Roman" w:hAnsi="Times New Roman" w:cs="Times New Roman"/>
          <w:bCs/>
          <w:lang w:val="en-GB"/>
        </w:rPr>
        <w:t xml:space="preserve">the </w:t>
      </w:r>
      <w:r w:rsidRPr="00E625E1">
        <w:rPr>
          <w:rFonts w:ascii="Times New Roman" w:hAnsi="Times New Roman" w:cs="Times New Roman"/>
          <w:bCs/>
          <w:lang w:val="en-US"/>
        </w:rPr>
        <w:t xml:space="preserve">pharmacologic therapy of </w:t>
      </w:r>
      <w:r w:rsidR="00987F84" w:rsidRPr="00E625E1">
        <w:rPr>
          <w:rFonts w:ascii="Times New Roman" w:hAnsi="Times New Roman" w:cs="Times New Roman"/>
          <w:bCs/>
          <w:lang w:val="en-US"/>
        </w:rPr>
        <w:t xml:space="preserve"> T2DM has </w:t>
      </w:r>
      <w:r w:rsidR="00F60913" w:rsidRPr="00E625E1">
        <w:rPr>
          <w:rFonts w:ascii="Times New Roman" w:hAnsi="Times New Roman" w:cs="Times New Roman"/>
          <w:bCs/>
          <w:color w:val="FF0000"/>
          <w:lang w:val="en-US"/>
        </w:rPr>
        <w:t xml:space="preserve">been </w:t>
      </w:r>
      <w:r w:rsidR="00987F84" w:rsidRPr="00E625E1">
        <w:rPr>
          <w:rFonts w:ascii="Times New Roman" w:hAnsi="Times New Roman" w:cs="Times New Roman"/>
          <w:bCs/>
          <w:lang w:val="en-US"/>
        </w:rPr>
        <w:t xml:space="preserve">progressively enriched by </w:t>
      </w:r>
      <w:r w:rsidRPr="00E625E1">
        <w:rPr>
          <w:rFonts w:ascii="Times New Roman" w:hAnsi="Times New Roman" w:cs="Times New Roman"/>
          <w:bCs/>
          <w:lang w:val="en-US"/>
        </w:rPr>
        <w:t>several novel classes of drugs</w:t>
      </w:r>
      <w:r w:rsidR="002D669B" w:rsidRPr="00E625E1">
        <w:rPr>
          <w:rFonts w:ascii="Times New Roman" w:hAnsi="Times New Roman" w:cs="Times New Roman"/>
          <w:bCs/>
          <w:lang w:val="en-US"/>
        </w:rPr>
        <w:t>,</w:t>
      </w:r>
      <w:r w:rsidR="00987F84" w:rsidRPr="00E625E1">
        <w:rPr>
          <w:rFonts w:ascii="Times New Roman" w:hAnsi="Times New Roman" w:cs="Times New Roman"/>
          <w:bCs/>
          <w:lang w:val="en-US"/>
        </w:rPr>
        <w:t xml:space="preserve"> trying to overcome these defects. The last, intriguing </w:t>
      </w:r>
      <w:r w:rsidR="008642E4" w:rsidRPr="00E625E1">
        <w:rPr>
          <w:rFonts w:ascii="Times New Roman" w:hAnsi="Times New Roman" w:cs="Times New Roman"/>
          <w:bCs/>
          <w:lang w:val="en-US"/>
        </w:rPr>
        <w:t xml:space="preserve">compounds </w:t>
      </w:r>
      <w:r w:rsidR="00987F84" w:rsidRPr="00E625E1">
        <w:rPr>
          <w:rFonts w:ascii="Times New Roman" w:hAnsi="Times New Roman" w:cs="Times New Roman"/>
          <w:bCs/>
          <w:lang w:val="en-US"/>
        </w:rPr>
        <w:t xml:space="preserve">come into the market are SGLT2 inhibitors, </w:t>
      </w:r>
      <w:r w:rsidR="008642E4" w:rsidRPr="00E625E1">
        <w:rPr>
          <w:rFonts w:ascii="Times New Roman" w:hAnsi="Times New Roman" w:cs="Times New Roman"/>
          <w:bCs/>
          <w:lang w:val="en-US"/>
        </w:rPr>
        <w:t xml:space="preserve">framing </w:t>
      </w:r>
      <w:r w:rsidR="00987F84" w:rsidRPr="00E625E1">
        <w:rPr>
          <w:rFonts w:ascii="Times New Roman" w:hAnsi="Times New Roman" w:cs="Times New Roman"/>
          <w:bCs/>
          <w:lang w:val="en-US"/>
        </w:rPr>
        <w:t>the kidney in a different scenario, not as site of a harmful disease complication, but rather as the</w:t>
      </w:r>
      <w:r w:rsidR="00987F84" w:rsidRPr="00E625E1">
        <w:rPr>
          <w:rFonts w:ascii="Times New Roman" w:hAnsi="Times New Roman" w:cs="Times New Roman"/>
          <w:bCs/>
          <w:color w:val="FF0000"/>
          <w:lang w:val="en-US"/>
        </w:rPr>
        <w:t xml:space="preserve"> </w:t>
      </w:r>
      <w:r w:rsidR="00BA0D3B" w:rsidRPr="00E625E1">
        <w:rPr>
          <w:rFonts w:ascii="Times New Roman" w:hAnsi="Times New Roman" w:cs="Times New Roman"/>
          <w:bCs/>
          <w:lang w:val="en-US"/>
        </w:rPr>
        <w:t xml:space="preserve">means </w:t>
      </w:r>
      <w:r w:rsidR="00942997" w:rsidRPr="00E625E1">
        <w:rPr>
          <w:rFonts w:ascii="Times New Roman" w:hAnsi="Times New Roman" w:cs="Times New Roman"/>
          <w:bCs/>
          <w:color w:val="FF0000"/>
          <w:lang w:val="en-US"/>
        </w:rPr>
        <w:t xml:space="preserve">to </w:t>
      </w:r>
      <w:r w:rsidR="00BA0D3B" w:rsidRPr="00E625E1">
        <w:rPr>
          <w:rFonts w:ascii="Times New Roman" w:hAnsi="Times New Roman" w:cs="Times New Roman"/>
          <w:bCs/>
          <w:lang w:val="en-US"/>
        </w:rPr>
        <w:t xml:space="preserve">correct hyperglycemia and fight the disease. </w:t>
      </w:r>
      <w:r w:rsidR="00B661D1" w:rsidRPr="00E625E1">
        <w:rPr>
          <w:rFonts w:ascii="Times New Roman" w:hAnsi="Times New Roman" w:cs="Times New Roman"/>
          <w:bCs/>
          <w:lang w:val="en-US"/>
        </w:rPr>
        <w:t>This review aims to offer a</w:t>
      </w:r>
      <w:r w:rsidR="00987F84" w:rsidRPr="00E625E1">
        <w:rPr>
          <w:rFonts w:ascii="Times New Roman" w:hAnsi="Times New Roman" w:cs="Times New Roman"/>
          <w:bCs/>
          <w:lang w:val="en-US"/>
        </w:rPr>
        <w:t xml:space="preserve"> short, updated overview of the role of these compounds in the treatment of T2DM</w:t>
      </w:r>
      <w:r w:rsidR="0049022E" w:rsidRPr="00E625E1">
        <w:rPr>
          <w:rFonts w:ascii="Times New Roman" w:hAnsi="Times New Roman" w:cs="Times New Roman"/>
          <w:bCs/>
          <w:lang w:val="en-US"/>
        </w:rPr>
        <w:t xml:space="preserve">, focusing on efficacy, ancillary albeit relevant clinical effects, safety, </w:t>
      </w:r>
      <w:r w:rsidR="00962129" w:rsidRPr="00E625E1">
        <w:rPr>
          <w:rFonts w:ascii="Times New Roman" w:hAnsi="Times New Roman" w:cs="Times New Roman"/>
          <w:bCs/>
          <w:lang w:val="en-US"/>
        </w:rPr>
        <w:t xml:space="preserve">potential cardiovascular protection, </w:t>
      </w:r>
      <w:r w:rsidR="0049022E" w:rsidRPr="00E625E1">
        <w:rPr>
          <w:rFonts w:ascii="Times New Roman" w:hAnsi="Times New Roman" w:cs="Times New Roman"/>
          <w:bCs/>
          <w:lang w:val="en-US"/>
        </w:rPr>
        <w:t>positioning in common therapeutic alg</w:t>
      </w:r>
      <w:r w:rsidR="00B661D1" w:rsidRPr="00E625E1">
        <w:rPr>
          <w:rFonts w:ascii="Times New Roman" w:hAnsi="Times New Roman" w:cs="Times New Roman"/>
          <w:bCs/>
          <w:lang w:val="en-US"/>
        </w:rPr>
        <w:t>ori</w:t>
      </w:r>
      <w:r w:rsidR="0049022E" w:rsidRPr="00E625E1">
        <w:rPr>
          <w:rFonts w:ascii="Times New Roman" w:hAnsi="Times New Roman" w:cs="Times New Roman"/>
          <w:bCs/>
          <w:lang w:val="en-US"/>
        </w:rPr>
        <w:t>thms.</w:t>
      </w:r>
      <w:r w:rsidR="00987F84" w:rsidRPr="00E625E1">
        <w:rPr>
          <w:rFonts w:ascii="Times New Roman" w:hAnsi="Times New Roman" w:cs="Times New Roman"/>
          <w:bCs/>
          <w:lang w:val="en-US"/>
        </w:rPr>
        <w:t xml:space="preserve"> </w:t>
      </w:r>
    </w:p>
    <w:p w:rsidR="00564898" w:rsidRPr="00E625E1" w:rsidRDefault="00564898" w:rsidP="00564898">
      <w:pPr>
        <w:spacing w:after="0" w:line="480" w:lineRule="auto"/>
        <w:rPr>
          <w:rFonts w:ascii="Times New Roman" w:hAnsi="Times New Roman" w:cs="Times New Roman"/>
          <w:bCs/>
          <w:lang w:val="en-US"/>
        </w:rPr>
      </w:pPr>
    </w:p>
    <w:p w:rsidR="00564898" w:rsidRPr="00E625E1" w:rsidRDefault="00564898" w:rsidP="00564898">
      <w:pPr>
        <w:spacing w:after="0" w:line="480" w:lineRule="auto"/>
        <w:rPr>
          <w:rFonts w:ascii="Times New Roman" w:hAnsi="Times New Roman" w:cs="Times New Roman"/>
          <w:bCs/>
          <w:lang w:val="en-US"/>
        </w:rPr>
      </w:pPr>
    </w:p>
    <w:p w:rsidR="00564898" w:rsidRPr="00E625E1" w:rsidRDefault="00564898" w:rsidP="00564898">
      <w:pPr>
        <w:spacing w:after="0" w:line="480" w:lineRule="auto"/>
        <w:rPr>
          <w:rFonts w:ascii="Times New Roman" w:hAnsi="Times New Roman" w:cs="Times New Roman"/>
          <w:bCs/>
          <w:lang w:val="en-US"/>
        </w:rPr>
      </w:pPr>
      <w:r w:rsidRPr="00E625E1">
        <w:rPr>
          <w:rFonts w:ascii="Times New Roman" w:hAnsi="Times New Roman" w:cs="Times New Roman"/>
          <w:b/>
          <w:bCs/>
          <w:lang w:val="en-US"/>
        </w:rPr>
        <w:t>Keywords</w:t>
      </w:r>
      <w:r w:rsidRPr="00E625E1">
        <w:rPr>
          <w:rFonts w:ascii="Times New Roman" w:hAnsi="Times New Roman" w:cs="Times New Roman"/>
          <w:bCs/>
          <w:lang w:val="en-US"/>
        </w:rPr>
        <w:t xml:space="preserve">: SGLT2 inhibitors, type 2 diabetes, renal tubule, glucose toxicity, HbA1c, blood pressure </w:t>
      </w:r>
      <w:r w:rsidRPr="00E625E1">
        <w:rPr>
          <w:rFonts w:ascii="Times New Roman" w:hAnsi="Times New Roman" w:cs="Times New Roman"/>
          <w:bCs/>
          <w:lang w:val="en-US"/>
        </w:rPr>
        <w:br w:type="page"/>
      </w:r>
    </w:p>
    <w:p w:rsidR="00E13851" w:rsidRPr="00E625E1" w:rsidRDefault="0045040E" w:rsidP="00564898">
      <w:pPr>
        <w:spacing w:after="0" w:line="480" w:lineRule="auto"/>
        <w:rPr>
          <w:rFonts w:ascii="Times New Roman" w:hAnsi="Times New Roman" w:cs="Times New Roman"/>
          <w:lang w:val="en-US"/>
        </w:rPr>
      </w:pPr>
      <w:r w:rsidRPr="00E625E1">
        <w:rPr>
          <w:rFonts w:ascii="Times New Roman" w:hAnsi="Times New Roman" w:cs="Times New Roman"/>
          <w:b/>
          <w:i/>
          <w:lang w:val="en-US"/>
        </w:rPr>
        <w:lastRenderedPageBreak/>
        <w:t>Mechanism of action</w:t>
      </w:r>
      <w:r w:rsidRPr="00E625E1">
        <w:rPr>
          <w:rFonts w:ascii="Times New Roman" w:hAnsi="Times New Roman" w:cs="Times New Roman"/>
          <w:lang w:val="en-US"/>
        </w:rPr>
        <w:t xml:space="preserve"> </w:t>
      </w:r>
    </w:p>
    <w:p w:rsidR="00C42F84" w:rsidRPr="00E625E1" w:rsidRDefault="00C42F84" w:rsidP="00564898">
      <w:pPr>
        <w:spacing w:after="0" w:line="480" w:lineRule="auto"/>
        <w:rPr>
          <w:rFonts w:ascii="Times New Roman" w:hAnsi="Times New Roman" w:cs="Times New Roman"/>
          <w:lang w:val="en-US"/>
        </w:rPr>
      </w:pPr>
    </w:p>
    <w:p w:rsidR="00F92817" w:rsidRPr="00E625E1" w:rsidRDefault="0045040E" w:rsidP="00564898">
      <w:pPr>
        <w:spacing w:after="0" w:line="480" w:lineRule="auto"/>
        <w:rPr>
          <w:rFonts w:ascii="Times New Roman" w:hAnsi="Times New Roman" w:cs="Times New Roman"/>
          <w:lang w:val="en-US"/>
        </w:rPr>
      </w:pPr>
      <w:r w:rsidRPr="00E625E1">
        <w:rPr>
          <w:rFonts w:ascii="Times New Roman" w:hAnsi="Times New Roman" w:cs="Times New Roman"/>
          <w:lang w:val="en-US"/>
        </w:rPr>
        <w:t>In the presence of normal glucose</w:t>
      </w:r>
      <w:r w:rsidR="00F53BFF" w:rsidRPr="00E625E1">
        <w:rPr>
          <w:rFonts w:ascii="Times New Roman" w:hAnsi="Times New Roman" w:cs="Times New Roman"/>
          <w:lang w:val="en-US"/>
        </w:rPr>
        <w:t xml:space="preserve"> concentrations, glomeruli of a</w:t>
      </w:r>
      <w:r w:rsidRPr="00E625E1">
        <w:rPr>
          <w:rFonts w:ascii="Times New Roman" w:hAnsi="Times New Roman" w:cs="Times New Roman"/>
          <w:lang w:val="en-US"/>
        </w:rPr>
        <w:t xml:space="preserve"> healthy individual filter approximately 180 gr glucose per day, almost entirely reabsorbed through the</w:t>
      </w:r>
      <w:r w:rsidR="00397306" w:rsidRPr="00E625E1">
        <w:rPr>
          <w:rFonts w:ascii="Times New Roman" w:hAnsi="Times New Roman" w:cs="Times New Roman"/>
          <w:lang w:val="en-US"/>
        </w:rPr>
        <w:t xml:space="preserve"> proximal tubule into the blood</w:t>
      </w:r>
      <w:r w:rsidRPr="00E625E1">
        <w:rPr>
          <w:rFonts w:ascii="Times New Roman" w:hAnsi="Times New Roman" w:cs="Times New Roman"/>
          <w:lang w:val="en-US"/>
        </w:rPr>
        <w:t>stream. In this condition, therefore, gl</w:t>
      </w:r>
      <w:r w:rsidR="00397306" w:rsidRPr="00E625E1">
        <w:rPr>
          <w:rFonts w:ascii="Times New Roman" w:hAnsi="Times New Roman" w:cs="Times New Roman"/>
          <w:lang w:val="en-US"/>
        </w:rPr>
        <w:t xml:space="preserve">ycosuria is virtually zero. </w:t>
      </w:r>
      <w:r w:rsidR="00A11DC3" w:rsidRPr="00E625E1">
        <w:rPr>
          <w:rFonts w:ascii="Times New Roman" w:hAnsi="Times New Roman" w:cs="Times New Roman"/>
          <w:lang w:val="en-US"/>
        </w:rPr>
        <w:t xml:space="preserve">In </w:t>
      </w:r>
      <w:r w:rsidR="00397306" w:rsidRPr="00E625E1">
        <w:rPr>
          <w:rFonts w:ascii="Times New Roman" w:hAnsi="Times New Roman" w:cs="Times New Roman"/>
          <w:lang w:val="en-US"/>
        </w:rPr>
        <w:t xml:space="preserve">face </w:t>
      </w:r>
      <w:r w:rsidR="00A11DC3" w:rsidRPr="00E625E1">
        <w:rPr>
          <w:rFonts w:ascii="Times New Roman" w:hAnsi="Times New Roman" w:cs="Times New Roman"/>
          <w:lang w:val="en-US"/>
        </w:rPr>
        <w:t xml:space="preserve">of a normal renal function, approximately 90% of the tubular load of glucose is reabsorbed by an active mechanism mediated by the SGLT2 plasma membrane cotransporter </w:t>
      </w:r>
      <w:r w:rsidR="00962129" w:rsidRPr="00E625E1">
        <w:rPr>
          <w:rFonts w:ascii="Times New Roman" w:hAnsi="Times New Roman" w:cs="Times New Roman"/>
          <w:lang w:val="en-US"/>
        </w:rPr>
        <w:t>[1]</w:t>
      </w:r>
      <w:r w:rsidR="00A11DC3" w:rsidRPr="00E625E1">
        <w:rPr>
          <w:rFonts w:ascii="Times New Roman" w:hAnsi="Times New Roman" w:cs="Times New Roman"/>
          <w:lang w:val="en-US"/>
        </w:rPr>
        <w:t>, characterized by a low</w:t>
      </w:r>
      <w:r w:rsidR="00B9313F" w:rsidRPr="00E625E1">
        <w:rPr>
          <w:rFonts w:ascii="Times New Roman" w:hAnsi="Times New Roman" w:cs="Times New Roman"/>
          <w:lang w:val="en-US"/>
        </w:rPr>
        <w:t xml:space="preserve"> affinity, high capacity for glucose, almost exclusively localized in the early portion (S1 and S2 segments) of renal tubule, and reabsorbing glucose/Na in a 2:1 ratio. Glucose skipping this process (a</w:t>
      </w:r>
      <w:r w:rsidR="00B661D1" w:rsidRPr="00E625E1">
        <w:rPr>
          <w:rFonts w:ascii="Times New Roman" w:hAnsi="Times New Roman" w:cs="Times New Roman"/>
          <w:lang w:val="en-US"/>
        </w:rPr>
        <w:t>bout</w:t>
      </w:r>
      <w:r w:rsidR="00B9313F" w:rsidRPr="00E625E1">
        <w:rPr>
          <w:rFonts w:ascii="Times New Roman" w:hAnsi="Times New Roman" w:cs="Times New Roman"/>
          <w:lang w:val="en-US"/>
        </w:rPr>
        <w:t xml:space="preserve"> 10%) is reabsorbed more distally, by the SGLT1 transporter</w:t>
      </w:r>
      <w:r w:rsidR="004A5B39" w:rsidRPr="00E625E1">
        <w:rPr>
          <w:rFonts w:ascii="Times New Roman" w:hAnsi="Times New Roman" w:cs="Times New Roman"/>
          <w:b/>
          <w:lang w:val="en-US"/>
        </w:rPr>
        <w:t xml:space="preserve"> (Figure 1</w:t>
      </w:r>
      <w:r w:rsidR="004A5B39" w:rsidRPr="00E625E1">
        <w:rPr>
          <w:rFonts w:ascii="Times New Roman" w:hAnsi="Times New Roman" w:cs="Times New Roman"/>
          <w:lang w:val="en-US"/>
        </w:rPr>
        <w:t>)</w:t>
      </w:r>
      <w:r w:rsidR="00B9313F" w:rsidRPr="00E625E1">
        <w:rPr>
          <w:rFonts w:ascii="Times New Roman" w:hAnsi="Times New Roman" w:cs="Times New Roman"/>
          <w:lang w:val="en-US"/>
        </w:rPr>
        <w:t xml:space="preserve">, with high affinity and low </w:t>
      </w:r>
      <w:r w:rsidR="00BE555B" w:rsidRPr="00E625E1">
        <w:rPr>
          <w:rFonts w:ascii="Times New Roman" w:hAnsi="Times New Roman" w:cs="Times New Roman"/>
          <w:lang w:val="en-US"/>
        </w:rPr>
        <w:t>capacity, much more represented in the gut, where it is the main responsible for glucose and galactose absorption</w:t>
      </w:r>
      <w:r w:rsidR="00842677" w:rsidRPr="00E625E1">
        <w:rPr>
          <w:rFonts w:ascii="Times New Roman" w:hAnsi="Times New Roman" w:cs="Times New Roman"/>
          <w:lang w:val="en-US"/>
        </w:rPr>
        <w:t xml:space="preserve"> </w:t>
      </w:r>
      <w:r w:rsidR="00962129" w:rsidRPr="00E625E1">
        <w:rPr>
          <w:rFonts w:ascii="Times New Roman" w:hAnsi="Times New Roman" w:cs="Times New Roman"/>
          <w:lang w:val="en-US"/>
        </w:rPr>
        <w:t>[2]</w:t>
      </w:r>
      <w:r w:rsidR="00BE555B" w:rsidRPr="00E625E1">
        <w:rPr>
          <w:rFonts w:ascii="Times New Roman" w:hAnsi="Times New Roman" w:cs="Times New Roman"/>
          <w:lang w:val="en-US"/>
        </w:rPr>
        <w:t xml:space="preserve">. </w:t>
      </w:r>
    </w:p>
    <w:p w:rsidR="00397306" w:rsidRPr="00E625E1" w:rsidRDefault="00BE555B" w:rsidP="00564898">
      <w:pPr>
        <w:spacing w:after="0" w:line="480" w:lineRule="auto"/>
        <w:rPr>
          <w:rFonts w:ascii="Times New Roman" w:hAnsi="Times New Roman" w:cs="Times New Roman"/>
          <w:lang w:val="en-US"/>
        </w:rPr>
      </w:pPr>
      <w:r w:rsidRPr="00E625E1">
        <w:rPr>
          <w:rFonts w:ascii="Times New Roman" w:hAnsi="Times New Roman" w:cs="Times New Roman"/>
          <w:lang w:val="en-US"/>
        </w:rPr>
        <w:t>Once into the tubular cell, glucose is passively released at the level of basolateral membrane with a mechanism of facilitated transport requiring GLUT2, going back into the bloodstream. The acti</w:t>
      </w:r>
      <w:r w:rsidR="00397306" w:rsidRPr="00E625E1">
        <w:rPr>
          <w:rFonts w:ascii="Times New Roman" w:hAnsi="Times New Roman" w:cs="Times New Roman"/>
          <w:lang w:val="en-US"/>
        </w:rPr>
        <w:t xml:space="preserve">vity of these two transporters </w:t>
      </w:r>
      <w:r w:rsidR="00F52010" w:rsidRPr="00E625E1">
        <w:rPr>
          <w:rFonts w:ascii="Times New Roman" w:hAnsi="Times New Roman" w:cs="Times New Roman"/>
          <w:lang w:val="en-US"/>
        </w:rPr>
        <w:t>is fully independent upon insulin action.</w:t>
      </w:r>
      <w:r w:rsidR="00397306" w:rsidRPr="00E625E1">
        <w:rPr>
          <w:rFonts w:ascii="Times New Roman" w:hAnsi="Times New Roman" w:cs="Times New Roman"/>
          <w:lang w:val="en-US"/>
        </w:rPr>
        <w:t xml:space="preserve"> </w:t>
      </w:r>
    </w:p>
    <w:p w:rsidR="00397306" w:rsidRPr="00E625E1" w:rsidRDefault="009321D7" w:rsidP="00564898">
      <w:pPr>
        <w:spacing w:after="0" w:line="480" w:lineRule="auto"/>
        <w:rPr>
          <w:rFonts w:ascii="Times New Roman" w:hAnsi="Times New Roman" w:cs="Times New Roman"/>
          <w:lang w:val="en-US"/>
        </w:rPr>
      </w:pPr>
      <w:r w:rsidRPr="00E625E1">
        <w:rPr>
          <w:rFonts w:ascii="Times New Roman" w:hAnsi="Times New Roman" w:cs="Times New Roman"/>
          <w:lang w:val="en-US"/>
        </w:rPr>
        <w:t>When plasma glucose concentration raises</w:t>
      </w:r>
      <w:r w:rsidR="00397306" w:rsidRPr="00E625E1">
        <w:rPr>
          <w:rFonts w:ascii="Times New Roman" w:hAnsi="Times New Roman" w:cs="Times New Roman"/>
          <w:lang w:val="en-US"/>
        </w:rPr>
        <w:t xml:space="preserve"> and sustained hyperglycemia occurs</w:t>
      </w:r>
      <w:r w:rsidRPr="00E625E1">
        <w:rPr>
          <w:rFonts w:ascii="Times New Roman" w:hAnsi="Times New Roman" w:cs="Times New Roman"/>
          <w:lang w:val="en-US"/>
        </w:rPr>
        <w:t>, tubular reabsorption increases accordingly</w:t>
      </w:r>
      <w:r w:rsidR="00397306" w:rsidRPr="00E625E1">
        <w:rPr>
          <w:rFonts w:ascii="Times New Roman" w:hAnsi="Times New Roman" w:cs="Times New Roman"/>
          <w:lang w:val="en-US"/>
        </w:rPr>
        <w:t>, till its</w:t>
      </w:r>
      <w:r w:rsidRPr="00E625E1">
        <w:rPr>
          <w:rFonts w:ascii="Times New Roman" w:hAnsi="Times New Roman" w:cs="Times New Roman"/>
          <w:lang w:val="en-US"/>
        </w:rPr>
        <w:t xml:space="preserve"> maximum capacity (approximately 350 mg/min/1.73m</w:t>
      </w:r>
      <w:r w:rsidRPr="00E625E1">
        <w:rPr>
          <w:rFonts w:ascii="Times New Roman" w:hAnsi="Times New Roman" w:cs="Times New Roman"/>
          <w:vertAlign w:val="superscript"/>
          <w:lang w:val="en-US"/>
        </w:rPr>
        <w:t>2</w:t>
      </w:r>
      <w:r w:rsidRPr="00E625E1">
        <w:rPr>
          <w:rFonts w:ascii="Times New Roman" w:hAnsi="Times New Roman" w:cs="Times New Roman"/>
          <w:lang w:val="en-US"/>
        </w:rPr>
        <w:t xml:space="preserve">, corresponding to glucose values of 180-200 mg/dl) is reached, and overcome, with </w:t>
      </w:r>
      <w:r w:rsidR="00397306" w:rsidRPr="00E625E1">
        <w:rPr>
          <w:rFonts w:ascii="Times New Roman" w:hAnsi="Times New Roman" w:cs="Times New Roman"/>
          <w:lang w:val="en-US"/>
        </w:rPr>
        <w:t xml:space="preserve">the exceeding </w:t>
      </w:r>
      <w:r w:rsidRPr="00E625E1">
        <w:rPr>
          <w:rFonts w:ascii="Times New Roman" w:hAnsi="Times New Roman" w:cs="Times New Roman"/>
          <w:lang w:val="en-US"/>
        </w:rPr>
        <w:t>glucose passing into urine. In the realty, there is</w:t>
      </w:r>
      <w:r w:rsidRPr="00E625E1">
        <w:rPr>
          <w:rFonts w:ascii="Times New Roman" w:hAnsi="Times New Roman" w:cs="Times New Roman"/>
          <w:color w:val="FF0000"/>
          <w:lang w:val="en-US"/>
        </w:rPr>
        <w:t xml:space="preserve"> no</w:t>
      </w:r>
      <w:r w:rsidR="00F60913" w:rsidRPr="00E625E1">
        <w:rPr>
          <w:rFonts w:ascii="Times New Roman" w:hAnsi="Times New Roman" w:cs="Times New Roman"/>
          <w:color w:val="FF0000"/>
          <w:lang w:val="en-US"/>
        </w:rPr>
        <w:t>t</w:t>
      </w:r>
      <w:r w:rsidRPr="00E625E1">
        <w:rPr>
          <w:rFonts w:ascii="Times New Roman" w:hAnsi="Times New Roman" w:cs="Times New Roman"/>
          <w:color w:val="FF0000"/>
          <w:lang w:val="en-US"/>
        </w:rPr>
        <w:t xml:space="preserve"> </w:t>
      </w:r>
      <w:r w:rsidRPr="00E625E1">
        <w:rPr>
          <w:rFonts w:ascii="Times New Roman" w:hAnsi="Times New Roman" w:cs="Times New Roman"/>
          <w:lang w:val="en-US"/>
        </w:rPr>
        <w:t>a precise point beyond which that happens, and the so-called splay represents urinary glucose excretion that is evident before Tmax is reached. This ca</w:t>
      </w:r>
      <w:r w:rsidR="00A46B61" w:rsidRPr="00E625E1">
        <w:rPr>
          <w:rFonts w:ascii="Times New Roman" w:hAnsi="Times New Roman" w:cs="Times New Roman"/>
          <w:lang w:val="en-US"/>
        </w:rPr>
        <w:t xml:space="preserve">n be explained </w:t>
      </w:r>
      <w:r w:rsidR="00E868E0" w:rsidRPr="00E625E1">
        <w:rPr>
          <w:rFonts w:ascii="Times New Roman" w:hAnsi="Times New Roman" w:cs="Times New Roman"/>
          <w:lang w:val="en-US"/>
        </w:rPr>
        <w:t xml:space="preserve">considering </w:t>
      </w:r>
      <w:r w:rsidR="00A46B61" w:rsidRPr="00E625E1">
        <w:rPr>
          <w:rFonts w:ascii="Times New Roman" w:hAnsi="Times New Roman" w:cs="Times New Roman"/>
          <w:lang w:val="en-US"/>
        </w:rPr>
        <w:t xml:space="preserve">that a </w:t>
      </w:r>
      <w:r w:rsidR="00EF3192" w:rsidRPr="00E625E1">
        <w:rPr>
          <w:rFonts w:ascii="Times New Roman" w:hAnsi="Times New Roman" w:cs="Times New Roman"/>
          <w:lang w:val="en-US"/>
        </w:rPr>
        <w:t>certain number of nephrons may release glucose even at a lower level, other at a higher level, as well as by the relatively low affinity of the transporters</w:t>
      </w:r>
      <w:r w:rsidR="0045040E" w:rsidRPr="00E625E1">
        <w:rPr>
          <w:rFonts w:ascii="Times New Roman" w:hAnsi="Times New Roman" w:cs="Times New Roman"/>
          <w:lang w:val="en-US"/>
        </w:rPr>
        <w:t xml:space="preserve"> </w:t>
      </w:r>
      <w:r w:rsidR="00962129" w:rsidRPr="00E625E1">
        <w:rPr>
          <w:rFonts w:ascii="Times New Roman" w:hAnsi="Times New Roman" w:cs="Times New Roman"/>
          <w:lang w:val="en-US"/>
        </w:rPr>
        <w:t>[3]</w:t>
      </w:r>
      <w:r w:rsidR="0045040E" w:rsidRPr="00E625E1">
        <w:rPr>
          <w:rFonts w:ascii="Times New Roman" w:hAnsi="Times New Roman" w:cs="Times New Roman"/>
          <w:lang w:val="en-US"/>
        </w:rPr>
        <w:t xml:space="preserve">. </w:t>
      </w:r>
      <w:r w:rsidR="00EF3192" w:rsidRPr="00E625E1">
        <w:rPr>
          <w:rFonts w:ascii="Times New Roman" w:hAnsi="Times New Roman" w:cs="Times New Roman"/>
          <w:lang w:val="en-US"/>
        </w:rPr>
        <w:t xml:space="preserve">This concept is recalled in </w:t>
      </w:r>
      <w:r w:rsidR="008642E4" w:rsidRPr="00E625E1">
        <w:rPr>
          <w:rFonts w:ascii="Times New Roman" w:hAnsi="Times New Roman" w:cs="Times New Roman"/>
          <w:b/>
          <w:lang w:val="en-US"/>
        </w:rPr>
        <w:t>Figure</w:t>
      </w:r>
      <w:r w:rsidR="0045040E" w:rsidRPr="00E625E1">
        <w:rPr>
          <w:rFonts w:ascii="Times New Roman" w:hAnsi="Times New Roman" w:cs="Times New Roman"/>
          <w:b/>
          <w:lang w:val="en-US"/>
        </w:rPr>
        <w:t xml:space="preserve"> 2</w:t>
      </w:r>
      <w:r w:rsidR="0045040E" w:rsidRPr="00E625E1">
        <w:rPr>
          <w:rFonts w:ascii="Times New Roman" w:hAnsi="Times New Roman" w:cs="Times New Roman"/>
          <w:lang w:val="en-US"/>
        </w:rPr>
        <w:t>.</w:t>
      </w:r>
      <w:r w:rsidR="00807910" w:rsidRPr="00E625E1">
        <w:rPr>
          <w:rFonts w:ascii="Times New Roman" w:hAnsi="Times New Roman" w:cs="Times New Roman"/>
          <w:lang w:val="en-US"/>
        </w:rPr>
        <w:t xml:space="preserve"> </w:t>
      </w:r>
    </w:p>
    <w:p w:rsidR="00E868E0" w:rsidRPr="00E625E1" w:rsidRDefault="00E868E0" w:rsidP="00E868E0">
      <w:pPr>
        <w:spacing w:after="0" w:line="480" w:lineRule="auto"/>
        <w:rPr>
          <w:rFonts w:ascii="Times New Roman" w:hAnsi="Times New Roman" w:cs="Times New Roman"/>
          <w:lang w:val="fr-FR"/>
        </w:rPr>
      </w:pPr>
      <w:r w:rsidRPr="00E625E1">
        <w:rPr>
          <w:rFonts w:ascii="Times New Roman" w:hAnsi="Times New Roman" w:cs="Times New Roman"/>
          <w:lang w:val="en-US"/>
        </w:rPr>
        <w:t xml:space="preserve">In several animal models of diabetes </w:t>
      </w:r>
      <w:r w:rsidR="00F60913" w:rsidRPr="00E625E1">
        <w:rPr>
          <w:rFonts w:ascii="Times New Roman" w:hAnsi="Times New Roman" w:cs="Times New Roman"/>
          <w:color w:val="FF0000"/>
          <w:lang w:val="en-US"/>
        </w:rPr>
        <w:t xml:space="preserve">there is </w:t>
      </w:r>
      <w:r w:rsidRPr="00E625E1">
        <w:rPr>
          <w:rFonts w:ascii="Times New Roman" w:hAnsi="Times New Roman" w:cs="Times New Roman"/>
          <w:lang w:val="en-US"/>
        </w:rPr>
        <w:t xml:space="preserve">a strict correlation between glucose levels and renal SGLT2 expression, that can be down-regulated by  an insulin infusion  [4,5]; however, data in humans are scanty. The most convincing evidence is, perhaps, that reporting an increased expression and activity of this transporter in tubular cells collected from urines of a few T2DM </w:t>
      </w:r>
      <w:r w:rsidR="00F60913" w:rsidRPr="00E625E1">
        <w:rPr>
          <w:rFonts w:ascii="Times New Roman" w:hAnsi="Times New Roman" w:cs="Times New Roman"/>
          <w:color w:val="FF0000"/>
          <w:lang w:val="en-US"/>
        </w:rPr>
        <w:t>patients</w:t>
      </w:r>
      <w:r w:rsidR="00F60913" w:rsidRPr="00E625E1">
        <w:rPr>
          <w:rFonts w:ascii="Times New Roman" w:hAnsi="Times New Roman" w:cs="Times New Roman"/>
          <w:lang w:val="en-US"/>
        </w:rPr>
        <w:t xml:space="preserve"> </w:t>
      </w:r>
      <w:r w:rsidRPr="00E625E1">
        <w:rPr>
          <w:rFonts w:ascii="Times New Roman" w:hAnsi="Times New Roman" w:cs="Times New Roman"/>
          <w:lang w:val="en-US"/>
        </w:rPr>
        <w:t>vs controls [6]</w:t>
      </w:r>
      <w:r w:rsidRPr="00E625E1">
        <w:rPr>
          <w:rFonts w:ascii="Times New Roman" w:hAnsi="Times New Roman" w:cs="Times New Roman"/>
          <w:lang w:val="fr-FR"/>
        </w:rPr>
        <w:t xml:space="preserve">. </w:t>
      </w:r>
    </w:p>
    <w:p w:rsidR="0045040E" w:rsidRPr="00E625E1" w:rsidRDefault="00AF3371" w:rsidP="00564898">
      <w:pPr>
        <w:spacing w:after="0" w:line="480" w:lineRule="auto"/>
        <w:rPr>
          <w:rFonts w:ascii="Times New Roman" w:hAnsi="Times New Roman" w:cs="Times New Roman"/>
          <w:lang w:val="en-US"/>
        </w:rPr>
      </w:pPr>
      <w:r w:rsidRPr="00E625E1">
        <w:rPr>
          <w:rFonts w:ascii="Times New Roman" w:hAnsi="Times New Roman" w:cs="Times New Roman"/>
          <w:lang w:val="en-US"/>
        </w:rPr>
        <w:t>Theoretically, w</w:t>
      </w:r>
      <w:r w:rsidR="00807910" w:rsidRPr="00E625E1">
        <w:rPr>
          <w:rFonts w:ascii="Times New Roman" w:hAnsi="Times New Roman" w:cs="Times New Roman"/>
          <w:lang w:val="en-US"/>
        </w:rPr>
        <w:t xml:space="preserve">hat would you expect blocking these transporters? You would expect that, of the filtered glucose, very low or nothing is reabsorbed and a vast majority is excreted. </w:t>
      </w:r>
      <w:r w:rsidR="000016CF" w:rsidRPr="00E625E1">
        <w:rPr>
          <w:rFonts w:ascii="Times New Roman" w:hAnsi="Times New Roman" w:cs="Times New Roman"/>
          <w:lang w:val="fr-FR"/>
        </w:rPr>
        <w:t xml:space="preserve">Therefore, modulation of renal glucose reabsorption is a precise therapeutic target: </w:t>
      </w:r>
      <w:r w:rsidR="00C011E2" w:rsidRPr="00E625E1">
        <w:rPr>
          <w:rFonts w:ascii="Times New Roman" w:hAnsi="Times New Roman" w:cs="Times New Roman"/>
          <w:lang w:val="fr-FR"/>
        </w:rPr>
        <w:t xml:space="preserve">by a </w:t>
      </w:r>
      <w:r w:rsidR="0045040E" w:rsidRPr="00E625E1">
        <w:rPr>
          <w:rFonts w:ascii="Times New Roman" w:hAnsi="Times New Roman" w:cs="Times New Roman"/>
          <w:lang w:val="en-US"/>
        </w:rPr>
        <w:t>SGLT2</w:t>
      </w:r>
      <w:r w:rsidR="00C011E2" w:rsidRPr="00E625E1">
        <w:rPr>
          <w:rFonts w:ascii="Times New Roman" w:hAnsi="Times New Roman" w:cs="Times New Roman"/>
          <w:lang w:val="en-US"/>
        </w:rPr>
        <w:t xml:space="preserve"> inhibition we may induce a relevant </w:t>
      </w:r>
      <w:r w:rsidR="00C011E2" w:rsidRPr="00E625E1">
        <w:rPr>
          <w:rFonts w:ascii="Times New Roman" w:hAnsi="Times New Roman" w:cs="Times New Roman"/>
          <w:lang w:val="en-US"/>
        </w:rPr>
        <w:lastRenderedPageBreak/>
        <w:t xml:space="preserve">glycosuria, able to reduce the glucotoxicity that marks T2DM patients and </w:t>
      </w:r>
      <w:r w:rsidR="001C4984" w:rsidRPr="00E625E1">
        <w:rPr>
          <w:rFonts w:ascii="Times New Roman" w:hAnsi="Times New Roman" w:cs="Times New Roman"/>
          <w:lang w:val="en-US"/>
        </w:rPr>
        <w:t xml:space="preserve">represents </w:t>
      </w:r>
      <w:r w:rsidR="00C011E2" w:rsidRPr="00E625E1">
        <w:rPr>
          <w:rFonts w:ascii="Times New Roman" w:hAnsi="Times New Roman" w:cs="Times New Roman"/>
          <w:lang w:val="en-US"/>
        </w:rPr>
        <w:t>an import</w:t>
      </w:r>
      <w:r w:rsidR="001C4984" w:rsidRPr="00E625E1">
        <w:rPr>
          <w:rFonts w:ascii="Times New Roman" w:hAnsi="Times New Roman" w:cs="Times New Roman"/>
          <w:lang w:val="en-US"/>
        </w:rPr>
        <w:t>ant determinant of organ damage</w:t>
      </w:r>
      <w:r w:rsidR="00C011E2" w:rsidRPr="00E625E1">
        <w:rPr>
          <w:rFonts w:ascii="Times New Roman" w:hAnsi="Times New Roman" w:cs="Times New Roman"/>
          <w:lang w:val="en-US"/>
        </w:rPr>
        <w:t xml:space="preserve"> </w:t>
      </w:r>
      <w:r w:rsidR="00962129" w:rsidRPr="00E625E1">
        <w:rPr>
          <w:rFonts w:ascii="Times New Roman" w:hAnsi="Times New Roman" w:cs="Times New Roman"/>
          <w:lang w:val="en-US"/>
        </w:rPr>
        <w:t>[7]</w:t>
      </w:r>
      <w:r w:rsidR="0045040E" w:rsidRPr="00E625E1">
        <w:rPr>
          <w:rFonts w:ascii="Times New Roman" w:hAnsi="Times New Roman" w:cs="Times New Roman"/>
          <w:lang w:val="en-US"/>
        </w:rPr>
        <w:t xml:space="preserve">. </w:t>
      </w:r>
    </w:p>
    <w:p w:rsidR="009321D7" w:rsidRPr="00E625E1" w:rsidRDefault="00807910" w:rsidP="00564898">
      <w:pPr>
        <w:pStyle w:val="Paragrafoelenco"/>
        <w:spacing w:before="0" w:line="480" w:lineRule="auto"/>
        <w:ind w:left="0"/>
        <w:rPr>
          <w:rFonts w:ascii="Times New Roman" w:eastAsia="Times New Roman" w:hAnsi="Times New Roman" w:cs="Times New Roman"/>
          <w:color w:val="000000"/>
          <w:lang w:val="en-US" w:eastAsia="it-IT"/>
        </w:rPr>
      </w:pPr>
      <w:r w:rsidRPr="00E625E1">
        <w:rPr>
          <w:rFonts w:ascii="Times New Roman" w:hAnsi="Times New Roman" w:cs="Times New Roman"/>
          <w:lang w:val="en-US"/>
        </w:rPr>
        <w:t>The precursor of the modern SGLT2 inhibitors was ph</w:t>
      </w:r>
      <w:r w:rsidR="001C4984" w:rsidRPr="00E625E1">
        <w:rPr>
          <w:rFonts w:ascii="Times New Roman" w:hAnsi="Times New Roman" w:cs="Times New Roman"/>
          <w:lang w:val="en-US"/>
        </w:rPr>
        <w:t>lorizin, derived from the apple</w:t>
      </w:r>
      <w:r w:rsidRPr="00E625E1">
        <w:rPr>
          <w:rFonts w:ascii="Times New Roman" w:hAnsi="Times New Roman" w:cs="Times New Roman"/>
          <w:lang w:val="en-US"/>
        </w:rPr>
        <w:t xml:space="preserve"> tree root </w:t>
      </w:r>
      <w:r w:rsidR="00962129" w:rsidRPr="00E625E1">
        <w:rPr>
          <w:rFonts w:ascii="Times New Roman" w:hAnsi="Times New Roman" w:cs="Times New Roman"/>
          <w:lang w:val="en-US"/>
        </w:rPr>
        <w:t>[8]</w:t>
      </w:r>
      <w:r w:rsidR="0045040E" w:rsidRPr="00E625E1">
        <w:rPr>
          <w:rFonts w:ascii="Times New Roman" w:hAnsi="Times New Roman" w:cs="Times New Roman"/>
          <w:lang w:val="en-US"/>
        </w:rPr>
        <w:t xml:space="preserve">; </w:t>
      </w:r>
      <w:r w:rsidRPr="00E625E1">
        <w:rPr>
          <w:rFonts w:ascii="Times New Roman" w:hAnsi="Times New Roman" w:cs="Times New Roman"/>
          <w:lang w:val="en-US"/>
        </w:rPr>
        <w:t xml:space="preserve">more than 20 years ago, Rossetti </w:t>
      </w:r>
      <w:r w:rsidR="00291C30" w:rsidRPr="00E625E1">
        <w:rPr>
          <w:rFonts w:ascii="Times New Roman" w:hAnsi="Times New Roman" w:cs="Times New Roman"/>
          <w:i/>
          <w:lang w:val="en-US"/>
        </w:rPr>
        <w:t>et al.</w:t>
      </w:r>
      <w:r w:rsidR="00291C30" w:rsidRPr="00E625E1">
        <w:rPr>
          <w:rFonts w:ascii="Times New Roman" w:hAnsi="Times New Roman" w:cs="Times New Roman"/>
          <w:lang w:val="en-US"/>
        </w:rPr>
        <w:t xml:space="preserve"> </w:t>
      </w:r>
      <w:r w:rsidRPr="00E625E1">
        <w:rPr>
          <w:rFonts w:ascii="Times New Roman" w:hAnsi="Times New Roman" w:cs="Times New Roman"/>
          <w:lang w:val="en-US"/>
        </w:rPr>
        <w:t>brilliant</w:t>
      </w:r>
      <w:r w:rsidR="00987F84" w:rsidRPr="00E625E1">
        <w:rPr>
          <w:rFonts w:ascii="Times New Roman" w:hAnsi="Times New Roman" w:cs="Times New Roman"/>
          <w:lang w:val="en-US"/>
        </w:rPr>
        <w:t>l</w:t>
      </w:r>
      <w:r w:rsidRPr="00E625E1">
        <w:rPr>
          <w:rFonts w:ascii="Times New Roman" w:hAnsi="Times New Roman" w:cs="Times New Roman"/>
          <w:lang w:val="en-US"/>
        </w:rPr>
        <w:t xml:space="preserve">y demonstrated as </w:t>
      </w:r>
      <w:r w:rsidR="00987F84" w:rsidRPr="00E625E1">
        <w:rPr>
          <w:rFonts w:ascii="Times New Roman" w:hAnsi="Times New Roman" w:cs="Times New Roman"/>
          <w:lang w:val="en-US"/>
        </w:rPr>
        <w:t xml:space="preserve">partially </w:t>
      </w:r>
      <w:r w:rsidR="00E868E0" w:rsidRPr="00E625E1">
        <w:rPr>
          <w:rFonts w:ascii="Times New Roman" w:hAnsi="Times New Roman" w:cs="Times New Roman"/>
          <w:lang w:val="en-US"/>
        </w:rPr>
        <w:t>pancreas</w:t>
      </w:r>
      <w:r w:rsidR="008642E4" w:rsidRPr="00E625E1">
        <w:rPr>
          <w:rFonts w:ascii="Times New Roman" w:hAnsi="Times New Roman" w:cs="Times New Roman"/>
          <w:lang w:val="en-US"/>
        </w:rPr>
        <w:t>ectomis</w:t>
      </w:r>
      <w:r w:rsidR="00877A30" w:rsidRPr="00E625E1">
        <w:rPr>
          <w:rFonts w:ascii="Times New Roman" w:hAnsi="Times New Roman" w:cs="Times New Roman"/>
          <w:lang w:val="en-US"/>
        </w:rPr>
        <w:t xml:space="preserve">ed rats </w:t>
      </w:r>
      <w:r w:rsidR="00CD12B6" w:rsidRPr="00E625E1">
        <w:rPr>
          <w:rFonts w:ascii="Times New Roman" w:hAnsi="Times New Roman" w:cs="Times New Roman"/>
          <w:lang w:val="en-US"/>
        </w:rPr>
        <w:t xml:space="preserve">receiving phlorizin showed a strong improvement of glucose levels and insulin resistance </w:t>
      </w:r>
      <w:r w:rsidR="00962129" w:rsidRPr="00E625E1">
        <w:rPr>
          <w:rFonts w:ascii="Times New Roman" w:hAnsi="Times New Roman" w:cs="Times New Roman"/>
          <w:lang w:val="en-US"/>
        </w:rPr>
        <w:t>[9</w:t>
      </w:r>
      <w:r w:rsidR="00962129" w:rsidRPr="00E625E1">
        <w:rPr>
          <w:rFonts w:ascii="Times New Roman" w:hAnsi="Times New Roman" w:cs="Times New Roman"/>
          <w:color w:val="000000" w:themeColor="text1"/>
          <w:lang w:val="en-US"/>
        </w:rPr>
        <w:t>]</w:t>
      </w:r>
      <w:r w:rsidR="00CD12B6" w:rsidRPr="00E625E1">
        <w:rPr>
          <w:rFonts w:ascii="Times New Roman" w:hAnsi="Times New Roman" w:cs="Times New Roman"/>
          <w:lang w:val="en-US"/>
        </w:rPr>
        <w:t xml:space="preserve">. </w:t>
      </w:r>
      <w:r w:rsidRPr="00E625E1">
        <w:rPr>
          <w:rFonts w:ascii="Times New Roman" w:hAnsi="Times New Roman" w:cs="Times New Roman"/>
          <w:lang w:val="en-US"/>
        </w:rPr>
        <w:t xml:space="preserve">However, the experimental work on this compound was then abandoned due to the scarce bioavailability after oral administration, the relevant GI side effects and the putative interference with brain transporters. </w:t>
      </w:r>
      <w:r w:rsidRPr="00E625E1">
        <w:rPr>
          <w:rFonts w:ascii="Times New Roman" w:eastAsia="Times New Roman" w:hAnsi="Times New Roman" w:cs="Times New Roman"/>
          <w:color w:val="000000"/>
          <w:lang w:val="en-US" w:eastAsia="it-IT"/>
        </w:rPr>
        <w:t>Clinical research in this field has proceeded, and today we have the availabili</w:t>
      </w:r>
      <w:r w:rsidR="008C4695" w:rsidRPr="00E625E1">
        <w:rPr>
          <w:rFonts w:ascii="Times New Roman" w:eastAsia="Times New Roman" w:hAnsi="Times New Roman" w:cs="Times New Roman"/>
          <w:color w:val="000000"/>
          <w:lang w:val="en-US" w:eastAsia="it-IT"/>
        </w:rPr>
        <w:t xml:space="preserve">ty of several selective SGLT2 inhibitors. </w:t>
      </w:r>
      <w:r w:rsidRPr="00E625E1">
        <w:rPr>
          <w:rFonts w:ascii="Times New Roman" w:eastAsia="Times New Roman" w:hAnsi="Times New Roman" w:cs="Times New Roman"/>
          <w:color w:val="000000"/>
          <w:lang w:val="en-US" w:eastAsia="it-IT"/>
        </w:rPr>
        <w:t xml:space="preserve">The full clinical meaning, implications and consequences of such extreme selectivity, even configuring </w:t>
      </w:r>
      <w:r w:rsidR="00AF3371" w:rsidRPr="00E625E1">
        <w:rPr>
          <w:rFonts w:ascii="Times New Roman" w:eastAsia="Times New Roman" w:hAnsi="Times New Roman" w:cs="Times New Roman"/>
          <w:color w:val="000000"/>
          <w:lang w:val="en-US" w:eastAsia="it-IT"/>
        </w:rPr>
        <w:t xml:space="preserve">an undoubted advantage in terms of efficacy and safety, </w:t>
      </w:r>
      <w:r w:rsidR="009450E8" w:rsidRPr="00E625E1">
        <w:rPr>
          <w:rFonts w:ascii="Times New Roman" w:eastAsia="Times New Roman" w:hAnsi="Times New Roman" w:cs="Times New Roman"/>
          <w:color w:val="000000"/>
          <w:lang w:val="en-US" w:eastAsia="it-IT"/>
        </w:rPr>
        <w:t xml:space="preserve">is </w:t>
      </w:r>
      <w:r w:rsidR="00AF3371" w:rsidRPr="00E625E1">
        <w:rPr>
          <w:rFonts w:ascii="Times New Roman" w:eastAsia="Times New Roman" w:hAnsi="Times New Roman" w:cs="Times New Roman"/>
          <w:color w:val="000000"/>
          <w:lang w:val="en-US" w:eastAsia="it-IT"/>
        </w:rPr>
        <w:t xml:space="preserve">far from being fully understood </w:t>
      </w:r>
      <w:r w:rsidR="009450E8" w:rsidRPr="00E625E1">
        <w:rPr>
          <w:rFonts w:ascii="Times New Roman" w:eastAsia="Times New Roman" w:hAnsi="Times New Roman" w:cs="Times New Roman"/>
          <w:color w:val="000000"/>
          <w:lang w:val="en-US" w:eastAsia="it-IT"/>
        </w:rPr>
        <w:t>and requires investigation.</w:t>
      </w:r>
    </w:p>
    <w:p w:rsidR="00E625E1" w:rsidRPr="00E625E1" w:rsidRDefault="00E625E1" w:rsidP="00564898">
      <w:pPr>
        <w:pStyle w:val="Paragrafoelenco"/>
        <w:spacing w:before="0" w:line="480" w:lineRule="auto"/>
        <w:ind w:left="0"/>
        <w:rPr>
          <w:rFonts w:ascii="Times New Roman" w:hAnsi="Times New Roman" w:cs="Times New Roman"/>
          <w:b/>
          <w:i/>
          <w:lang w:val="en-US"/>
        </w:rPr>
      </w:pPr>
    </w:p>
    <w:p w:rsidR="00962129" w:rsidRDefault="00682A27" w:rsidP="00564898">
      <w:pPr>
        <w:pStyle w:val="Paragrafoelenco"/>
        <w:spacing w:before="0" w:line="480" w:lineRule="auto"/>
        <w:ind w:left="0"/>
        <w:rPr>
          <w:rFonts w:ascii="Times New Roman" w:hAnsi="Times New Roman" w:cs="Times New Roman"/>
          <w:b/>
          <w:i/>
          <w:lang w:val="en-US"/>
        </w:rPr>
      </w:pPr>
      <w:r w:rsidRPr="00E625E1">
        <w:rPr>
          <w:rFonts w:ascii="Times New Roman" w:hAnsi="Times New Roman" w:cs="Times New Roman"/>
          <w:b/>
          <w:i/>
          <w:lang w:val="en-US"/>
        </w:rPr>
        <w:t xml:space="preserve">Pharmacokinetic and pharmacodynamic </w:t>
      </w:r>
    </w:p>
    <w:p w:rsidR="00E625E1" w:rsidRPr="00E625E1" w:rsidRDefault="00E625E1" w:rsidP="00564898">
      <w:pPr>
        <w:pStyle w:val="Paragrafoelenco"/>
        <w:spacing w:before="0" w:line="480" w:lineRule="auto"/>
        <w:ind w:left="0"/>
        <w:rPr>
          <w:rFonts w:ascii="Times New Roman" w:hAnsi="Times New Roman" w:cs="Times New Roman"/>
          <w:b/>
          <w:i/>
          <w:lang w:val="en-US"/>
        </w:rPr>
      </w:pPr>
    </w:p>
    <w:p w:rsidR="00E13851" w:rsidRPr="00E625E1" w:rsidRDefault="00682A27" w:rsidP="00564898">
      <w:pPr>
        <w:pStyle w:val="Paragrafoelenco"/>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lang w:val="en-US"/>
        </w:rPr>
        <w:t>The three main SGLT2 inhibitors in terms of available pre-clinical and clinical studies are, in order of selectivity, empagliflozin, dapagliflozin, canagliflozin, whos</w:t>
      </w:r>
      <w:r w:rsidR="005112D0" w:rsidRPr="00E625E1">
        <w:rPr>
          <w:rFonts w:ascii="Times New Roman" w:hAnsi="Times New Roman" w:cs="Times New Roman"/>
          <w:lang w:val="en-US"/>
        </w:rPr>
        <w:t>e pharmacokinetic is comparable</w:t>
      </w:r>
      <w:r w:rsidRPr="00E625E1">
        <w:rPr>
          <w:rFonts w:ascii="Times New Roman" w:hAnsi="Times New Roman" w:cs="Times New Roman"/>
          <w:lang w:val="en-US"/>
        </w:rPr>
        <w:t xml:space="preserve"> </w:t>
      </w:r>
      <w:r w:rsidR="00DC3863" w:rsidRPr="00E625E1">
        <w:rPr>
          <w:rFonts w:ascii="Times New Roman" w:hAnsi="Times New Roman" w:cs="Times New Roman"/>
          <w:lang w:val="en-US"/>
        </w:rPr>
        <w:t>[</w:t>
      </w:r>
      <w:r w:rsidR="00842677" w:rsidRPr="00E625E1">
        <w:rPr>
          <w:rFonts w:ascii="Times New Roman" w:hAnsi="Times New Roman" w:cs="Times New Roman"/>
          <w:color w:val="000000" w:themeColor="text1"/>
          <w:lang w:val="en-US"/>
        </w:rPr>
        <w:t>1</w:t>
      </w:r>
      <w:r w:rsidR="00DC3863" w:rsidRPr="00E625E1">
        <w:rPr>
          <w:rFonts w:ascii="Times New Roman" w:hAnsi="Times New Roman" w:cs="Times New Roman"/>
          <w:color w:val="000000" w:themeColor="text1"/>
          <w:lang w:val="en-US"/>
        </w:rPr>
        <w:t>0</w:t>
      </w:r>
      <w:r w:rsidR="00DC3863" w:rsidRPr="00E625E1">
        <w:rPr>
          <w:rFonts w:ascii="Times New Roman" w:hAnsi="Times New Roman" w:cs="Times New Roman"/>
          <w:lang w:val="en-US"/>
        </w:rPr>
        <w:t>]</w:t>
      </w:r>
      <w:r w:rsidRPr="00E625E1">
        <w:rPr>
          <w:rFonts w:ascii="Times New Roman" w:hAnsi="Times New Roman" w:cs="Times New Roman"/>
          <w:lang w:val="en-US"/>
        </w:rPr>
        <w:t xml:space="preserve">. The minimal dapagliflozin dose able to induce urinary glucose excretion in healthy individuals </w:t>
      </w:r>
      <w:r w:rsidR="005112D0" w:rsidRPr="00E625E1">
        <w:rPr>
          <w:rFonts w:ascii="Times New Roman" w:hAnsi="Times New Roman" w:cs="Times New Roman"/>
          <w:lang w:val="en-US"/>
        </w:rPr>
        <w:t>is 0.</w:t>
      </w:r>
      <w:r w:rsidR="00721EA7" w:rsidRPr="00E625E1">
        <w:rPr>
          <w:rFonts w:ascii="Times New Roman" w:hAnsi="Times New Roman" w:cs="Times New Roman"/>
          <w:lang w:val="en-US"/>
        </w:rPr>
        <w:t>3 m</w:t>
      </w:r>
      <w:r w:rsidR="005112D0" w:rsidRPr="00E625E1">
        <w:rPr>
          <w:rFonts w:ascii="Times New Roman" w:hAnsi="Times New Roman" w:cs="Times New Roman"/>
          <w:lang w:val="en-US"/>
        </w:rPr>
        <w:t>g</w:t>
      </w:r>
      <w:r w:rsidR="00721EA7" w:rsidRPr="00E625E1">
        <w:rPr>
          <w:rFonts w:ascii="Times New Roman" w:hAnsi="Times New Roman" w:cs="Times New Roman"/>
          <w:lang w:val="en-US"/>
        </w:rPr>
        <w:t>, but the a</w:t>
      </w:r>
      <w:r w:rsidR="005112D0" w:rsidRPr="00E625E1">
        <w:rPr>
          <w:rFonts w:ascii="Times New Roman" w:hAnsi="Times New Roman" w:cs="Times New Roman"/>
          <w:lang w:val="en-US"/>
        </w:rPr>
        <w:t xml:space="preserve">mount of glycosuria is variable, </w:t>
      </w:r>
      <w:r w:rsidR="00721EA7" w:rsidRPr="00E625E1">
        <w:rPr>
          <w:rFonts w:ascii="Times New Roman" w:hAnsi="Times New Roman" w:cs="Times New Roman"/>
          <w:lang w:val="en-US"/>
        </w:rPr>
        <w:t>ranging between</w:t>
      </w:r>
      <w:r w:rsidR="005112D0" w:rsidRPr="00E625E1">
        <w:rPr>
          <w:rFonts w:ascii="Times New Roman" w:hAnsi="Times New Roman" w:cs="Times New Roman"/>
          <w:lang w:val="en-US"/>
        </w:rPr>
        <w:t xml:space="preserve"> 18 and 62</w:t>
      </w:r>
      <w:r w:rsidR="00721EA7" w:rsidRPr="00E625E1">
        <w:rPr>
          <w:rFonts w:ascii="Times New Roman" w:hAnsi="Times New Roman" w:cs="Times New Roman"/>
          <w:lang w:val="en-US"/>
        </w:rPr>
        <w:t xml:space="preserve"> gr</w:t>
      </w:r>
      <w:r w:rsidRPr="00E625E1">
        <w:rPr>
          <w:rFonts w:ascii="Times New Roman" w:hAnsi="Times New Roman" w:cs="Times New Roman"/>
          <w:lang w:val="en-US"/>
        </w:rPr>
        <w:t xml:space="preserve"> </w:t>
      </w:r>
      <w:r w:rsidR="00DC3863" w:rsidRPr="00E625E1">
        <w:rPr>
          <w:rFonts w:ascii="Times New Roman" w:hAnsi="Times New Roman" w:cs="Times New Roman"/>
          <w:lang w:val="en-US"/>
        </w:rPr>
        <w:t>[</w:t>
      </w:r>
      <w:r w:rsidR="00842677" w:rsidRPr="00E625E1">
        <w:rPr>
          <w:rFonts w:ascii="Times New Roman" w:hAnsi="Times New Roman" w:cs="Times New Roman"/>
          <w:color w:val="000000" w:themeColor="text1"/>
          <w:lang w:val="en-US"/>
        </w:rPr>
        <w:t>1</w:t>
      </w:r>
      <w:r w:rsidR="00DC3863" w:rsidRPr="00E625E1">
        <w:rPr>
          <w:rFonts w:ascii="Times New Roman" w:hAnsi="Times New Roman" w:cs="Times New Roman"/>
          <w:color w:val="000000" w:themeColor="text1"/>
          <w:lang w:val="en-US"/>
        </w:rPr>
        <w:t>1</w:t>
      </w:r>
      <w:r w:rsidR="00DC3863" w:rsidRPr="00E625E1">
        <w:rPr>
          <w:rFonts w:ascii="Times New Roman" w:hAnsi="Times New Roman" w:cs="Times New Roman"/>
          <w:lang w:val="en-US"/>
        </w:rPr>
        <w:t>]</w:t>
      </w:r>
      <w:r w:rsidRPr="00E625E1">
        <w:rPr>
          <w:rFonts w:ascii="Times New Roman" w:hAnsi="Times New Roman" w:cs="Times New Roman"/>
          <w:lang w:val="en-US"/>
        </w:rPr>
        <w:t>.</w:t>
      </w:r>
      <w:r w:rsidR="00721EA7" w:rsidRPr="00E625E1">
        <w:rPr>
          <w:rFonts w:ascii="Times New Roman" w:hAnsi="Times New Roman" w:cs="Times New Roman"/>
          <w:lang w:val="en-US"/>
        </w:rPr>
        <w:t xml:space="preserve"> In</w:t>
      </w:r>
      <w:r w:rsidR="005112D0" w:rsidRPr="00E625E1">
        <w:rPr>
          <w:rFonts w:ascii="Times New Roman" w:hAnsi="Times New Roman" w:cs="Times New Roman"/>
          <w:lang w:val="en-US"/>
        </w:rPr>
        <w:t xml:space="preserve"> T2DM</w:t>
      </w:r>
      <w:r w:rsidR="00721EA7" w:rsidRPr="00E625E1">
        <w:rPr>
          <w:rFonts w:ascii="Times New Roman" w:hAnsi="Times New Roman" w:cs="Times New Roman"/>
          <w:lang w:val="en-US"/>
        </w:rPr>
        <w:t>, the pharmacokinetic does not significantly differ from controls: fast absorption</w:t>
      </w:r>
      <w:r w:rsidRPr="00E625E1">
        <w:rPr>
          <w:rFonts w:ascii="Times New Roman" w:hAnsi="Times New Roman" w:cs="Times New Roman"/>
          <w:lang w:val="en-US"/>
        </w:rPr>
        <w:t>, t</w:t>
      </w:r>
      <w:r w:rsidRPr="00E625E1">
        <w:rPr>
          <w:rFonts w:ascii="Times New Roman" w:hAnsi="Times New Roman" w:cs="Times New Roman"/>
          <w:vertAlign w:val="subscript"/>
          <w:lang w:val="en-US"/>
        </w:rPr>
        <w:t>max</w:t>
      </w:r>
      <w:r w:rsidRPr="00E625E1">
        <w:rPr>
          <w:rFonts w:ascii="Times New Roman" w:hAnsi="Times New Roman" w:cs="Times New Roman"/>
          <w:lang w:val="en-US"/>
        </w:rPr>
        <w:t xml:space="preserve"> </w:t>
      </w:r>
      <w:r w:rsidR="00721EA7" w:rsidRPr="00E625E1">
        <w:rPr>
          <w:rFonts w:ascii="Times New Roman" w:hAnsi="Times New Roman" w:cs="Times New Roman"/>
          <w:lang w:val="en-US"/>
        </w:rPr>
        <w:t xml:space="preserve">of about 1,5-2 h and </w:t>
      </w:r>
      <w:r w:rsidRPr="00E625E1">
        <w:rPr>
          <w:rFonts w:ascii="Times New Roman" w:hAnsi="Times New Roman" w:cs="Times New Roman"/>
          <w:lang w:val="en-US"/>
        </w:rPr>
        <w:t>t</w:t>
      </w:r>
      <w:r w:rsidRPr="00E625E1">
        <w:rPr>
          <w:rFonts w:ascii="Times New Roman" w:hAnsi="Times New Roman" w:cs="Times New Roman"/>
          <w:vertAlign w:val="subscript"/>
          <w:lang w:val="en-US"/>
        </w:rPr>
        <w:t xml:space="preserve">1/2 </w:t>
      </w:r>
      <w:r w:rsidR="00721EA7" w:rsidRPr="00E625E1">
        <w:rPr>
          <w:rFonts w:ascii="Times New Roman" w:hAnsi="Times New Roman" w:cs="Times New Roman"/>
          <w:lang w:val="en-US"/>
        </w:rPr>
        <w:t xml:space="preserve">of  16-18 h, with a steady state reached after four days of treatment </w:t>
      </w:r>
      <w:r w:rsidR="00DC3863" w:rsidRPr="00E625E1">
        <w:rPr>
          <w:rFonts w:ascii="Times New Roman" w:hAnsi="Times New Roman" w:cs="Times New Roman"/>
          <w:lang w:val="en-US"/>
        </w:rPr>
        <w:t>[12]</w:t>
      </w:r>
      <w:r w:rsidRPr="00E625E1">
        <w:rPr>
          <w:rFonts w:ascii="Times New Roman" w:hAnsi="Times New Roman" w:cs="Times New Roman"/>
          <w:lang w:val="en-US"/>
        </w:rPr>
        <w:t xml:space="preserve">. </w:t>
      </w:r>
      <w:r w:rsidR="00721EA7" w:rsidRPr="00E625E1">
        <w:rPr>
          <w:rFonts w:ascii="Times New Roman" w:hAnsi="Times New Roman" w:cs="Times New Roman"/>
          <w:lang w:val="en-US"/>
        </w:rPr>
        <w:t xml:space="preserve">However, in T2DM individuals, at therapeutic doses, SGLT2 </w:t>
      </w:r>
      <w:r w:rsidR="00E868E0" w:rsidRPr="00E625E1">
        <w:rPr>
          <w:rFonts w:ascii="Times New Roman" w:hAnsi="Times New Roman" w:cs="Times New Roman"/>
          <w:lang w:val="en-US"/>
        </w:rPr>
        <w:t xml:space="preserve">inhibitors </w:t>
      </w:r>
      <w:r w:rsidR="00721EA7" w:rsidRPr="00E625E1">
        <w:rPr>
          <w:rFonts w:ascii="Times New Roman" w:hAnsi="Times New Roman" w:cs="Times New Roman"/>
          <w:lang w:val="en-US"/>
        </w:rPr>
        <w:t>induce a higher glucose excretion (about</w:t>
      </w:r>
      <w:r w:rsidR="00E868E0" w:rsidRPr="00E625E1">
        <w:rPr>
          <w:rFonts w:ascii="Times New Roman" w:hAnsi="Times New Roman" w:cs="Times New Roman"/>
          <w:lang w:val="en-US"/>
        </w:rPr>
        <w:t xml:space="preserve"> 80 gr/day), likely due to the</w:t>
      </w:r>
      <w:r w:rsidR="00721EA7" w:rsidRPr="00E625E1">
        <w:rPr>
          <w:rFonts w:ascii="Times New Roman" w:hAnsi="Times New Roman" w:cs="Times New Roman"/>
          <w:lang w:val="en-US"/>
        </w:rPr>
        <w:t xml:space="preserve"> increased tubular load </w:t>
      </w:r>
      <w:r w:rsidR="00E868E0" w:rsidRPr="00E625E1">
        <w:rPr>
          <w:rFonts w:ascii="Times New Roman" w:hAnsi="Times New Roman" w:cs="Times New Roman"/>
          <w:lang w:val="en-US"/>
        </w:rPr>
        <w:t xml:space="preserve"> of these patients</w:t>
      </w:r>
      <w:r w:rsidR="00DC3863" w:rsidRPr="00E625E1">
        <w:rPr>
          <w:rFonts w:ascii="Times New Roman" w:hAnsi="Times New Roman" w:cs="Times New Roman"/>
          <w:lang w:val="en-US"/>
        </w:rPr>
        <w:t xml:space="preserve"> [</w:t>
      </w:r>
      <w:r w:rsidR="00DC3863" w:rsidRPr="00E625E1">
        <w:rPr>
          <w:rFonts w:ascii="Times New Roman" w:hAnsi="Times New Roman" w:cs="Times New Roman"/>
          <w:color w:val="000000" w:themeColor="text1"/>
          <w:lang w:val="en-US"/>
        </w:rPr>
        <w:t>13, 14]</w:t>
      </w:r>
      <w:r w:rsidRPr="00E625E1">
        <w:rPr>
          <w:rFonts w:ascii="Times New Roman" w:hAnsi="Times New Roman" w:cs="Times New Roman"/>
          <w:lang w:val="en-US"/>
        </w:rPr>
        <w:t xml:space="preserve">. </w:t>
      </w:r>
      <w:r w:rsidR="00721EA7" w:rsidRPr="00E625E1">
        <w:rPr>
          <w:rFonts w:ascii="Times New Roman" w:hAnsi="Times New Roman" w:cs="Times New Roman"/>
          <w:lang w:val="en-US"/>
        </w:rPr>
        <w:t>It has been</w:t>
      </w:r>
      <w:r w:rsidR="00E13851" w:rsidRPr="00E625E1">
        <w:rPr>
          <w:rFonts w:ascii="Times New Roman" w:hAnsi="Times New Roman" w:cs="Times New Roman"/>
          <w:lang w:val="en-US"/>
        </w:rPr>
        <w:t xml:space="preserve"> calculated that such excretion </w:t>
      </w:r>
      <w:r w:rsidR="00721EA7" w:rsidRPr="00E625E1">
        <w:rPr>
          <w:rFonts w:ascii="Times New Roman" w:hAnsi="Times New Roman" w:cs="Times New Roman"/>
          <w:lang w:val="en-US"/>
        </w:rPr>
        <w:t xml:space="preserve">approximately corresponds to an inhibition of 36% in T2DM and of 20-30% in healthy volunteers; with repeated doses </w:t>
      </w:r>
      <w:r w:rsidR="00EF3192" w:rsidRPr="00E625E1">
        <w:rPr>
          <w:rFonts w:ascii="Times New Roman" w:hAnsi="Times New Roman" w:cs="Times New Roman"/>
          <w:lang w:val="en-US"/>
        </w:rPr>
        <w:t>the mean inhibition raises up to 40-45% in T2DM and 15-5</w:t>
      </w:r>
      <w:r w:rsidR="009F0A18" w:rsidRPr="00E625E1">
        <w:rPr>
          <w:rFonts w:ascii="Times New Roman" w:hAnsi="Times New Roman" w:cs="Times New Roman"/>
          <w:lang w:val="en-US"/>
        </w:rPr>
        <w:t>0% in non-</w:t>
      </w:r>
      <w:r w:rsidR="00EF3192" w:rsidRPr="00E625E1">
        <w:rPr>
          <w:rFonts w:ascii="Times New Roman" w:hAnsi="Times New Roman" w:cs="Times New Roman"/>
          <w:lang w:val="en-US"/>
        </w:rPr>
        <w:t xml:space="preserve">diabetic individuals, again unveiling an ample individual variability </w:t>
      </w:r>
      <w:r w:rsidR="00DC3863" w:rsidRPr="00E625E1">
        <w:rPr>
          <w:rFonts w:ascii="Times New Roman" w:hAnsi="Times New Roman" w:cs="Times New Roman"/>
          <w:lang w:val="en-US"/>
        </w:rPr>
        <w:t>[</w:t>
      </w:r>
      <w:r w:rsidR="00842677" w:rsidRPr="00E625E1">
        <w:rPr>
          <w:rFonts w:ascii="Times New Roman" w:hAnsi="Times New Roman" w:cs="Times New Roman"/>
          <w:color w:val="000000" w:themeColor="text1"/>
          <w:lang w:val="en-US"/>
        </w:rPr>
        <w:t>1</w:t>
      </w:r>
      <w:r w:rsidR="00DC3863" w:rsidRPr="00E625E1">
        <w:rPr>
          <w:rFonts w:ascii="Times New Roman" w:hAnsi="Times New Roman" w:cs="Times New Roman"/>
          <w:color w:val="000000" w:themeColor="text1"/>
          <w:lang w:val="en-US"/>
        </w:rPr>
        <w:t>5</w:t>
      </w:r>
      <w:r w:rsidR="00DC3863" w:rsidRPr="00E625E1">
        <w:rPr>
          <w:rFonts w:ascii="Times New Roman" w:hAnsi="Times New Roman" w:cs="Times New Roman"/>
          <w:lang w:val="en-US"/>
        </w:rPr>
        <w:t>]</w:t>
      </w:r>
      <w:r w:rsidRPr="00E625E1">
        <w:rPr>
          <w:rFonts w:ascii="Times New Roman" w:hAnsi="Times New Roman" w:cs="Times New Roman"/>
          <w:lang w:val="en-US"/>
        </w:rPr>
        <w:t>.</w:t>
      </w:r>
      <w:r w:rsidR="00E13851" w:rsidRPr="00E625E1">
        <w:rPr>
          <w:rFonts w:ascii="Times New Roman" w:hAnsi="Times New Roman" w:cs="Times New Roman"/>
          <w:lang w:val="en-US"/>
        </w:rPr>
        <w:t xml:space="preserve"> In simple words, </w:t>
      </w:r>
      <w:r w:rsidR="00A11759" w:rsidRPr="00E625E1">
        <w:rPr>
          <w:rFonts w:ascii="Times New Roman" w:hAnsi="Times New Roman" w:cs="Times New Roman"/>
          <w:lang w:val="en-US"/>
        </w:rPr>
        <w:t>despite the current hypothesis of an increased presence and activity of these trans</w:t>
      </w:r>
      <w:r w:rsidR="00C234ED" w:rsidRPr="00E625E1">
        <w:rPr>
          <w:rFonts w:ascii="Times New Roman" w:hAnsi="Times New Roman" w:cs="Times New Roman"/>
          <w:lang w:val="en-US"/>
        </w:rPr>
        <w:t xml:space="preserve">porters in T2DM </w:t>
      </w:r>
      <w:r w:rsidR="00DC3863" w:rsidRPr="00E625E1">
        <w:rPr>
          <w:rFonts w:ascii="Times New Roman" w:hAnsi="Times New Roman" w:cs="Times New Roman"/>
          <w:lang w:val="en-US"/>
        </w:rPr>
        <w:t>[6]</w:t>
      </w:r>
      <w:r w:rsidR="00A11759" w:rsidRPr="00E625E1">
        <w:rPr>
          <w:rFonts w:ascii="Times New Roman" w:hAnsi="Times New Roman" w:cs="Times New Roman"/>
          <w:lang w:val="en-US"/>
        </w:rPr>
        <w:t xml:space="preserve">, </w:t>
      </w:r>
      <w:r w:rsidR="00E13851" w:rsidRPr="00E625E1">
        <w:rPr>
          <w:rFonts w:ascii="Times New Roman" w:hAnsi="Times New Roman" w:cs="Times New Roman"/>
          <w:lang w:val="en-US"/>
        </w:rPr>
        <w:t xml:space="preserve">differences between glycosuria obtained in healthy subjects after a series of single, increasing SGLT2 inhibitor doses only slightly differ from those observed in T2DM patients after </w:t>
      </w:r>
      <w:r w:rsidR="00A11759" w:rsidRPr="00E625E1">
        <w:rPr>
          <w:rFonts w:ascii="Times New Roman" w:hAnsi="Times New Roman" w:cs="Times New Roman"/>
          <w:lang w:val="en-US"/>
        </w:rPr>
        <w:t xml:space="preserve">repeated doses, and this is confirmed by clinical trials. </w:t>
      </w:r>
      <w:r w:rsidR="00E13851" w:rsidRPr="00E625E1">
        <w:rPr>
          <w:rFonts w:ascii="Times New Roman" w:hAnsi="Times New Roman" w:cs="Times New Roman"/>
          <w:lang w:val="en-US"/>
        </w:rPr>
        <w:t xml:space="preserve">Several hypotheses have been formulated to explain this phenomenon: we might hypothesize the amount of glucose reaching renal tubule is too much for the number </w:t>
      </w:r>
      <w:r w:rsidR="00E13851" w:rsidRPr="00E625E1">
        <w:rPr>
          <w:rFonts w:ascii="Times New Roman" w:hAnsi="Times New Roman" w:cs="Times New Roman"/>
          <w:color w:val="000000" w:themeColor="text1"/>
          <w:lang w:val="en-US"/>
        </w:rPr>
        <w:lastRenderedPageBreak/>
        <w:t xml:space="preserve">of  transporters, or that other non SGLT2 transporters might be present, or that transporters cannot be adequately reached by the inhibitor for anatomic reasons. Other possibilities are the presence of a strong protein link, with only a small free fraction of the inhibitor, or, in the presence of a SGLT2 inhibition, </w:t>
      </w:r>
      <w:r w:rsidR="00E868E0" w:rsidRPr="00E625E1">
        <w:rPr>
          <w:rFonts w:ascii="Times New Roman" w:hAnsi="Times New Roman" w:cs="Times New Roman"/>
          <w:color w:val="000000" w:themeColor="text1"/>
          <w:lang w:val="en-US"/>
        </w:rPr>
        <w:t xml:space="preserve">the occurrence of </w:t>
      </w:r>
      <w:r w:rsidR="00E13851" w:rsidRPr="00E625E1">
        <w:rPr>
          <w:rFonts w:ascii="Times New Roman" w:hAnsi="Times New Roman" w:cs="Times New Roman"/>
          <w:color w:val="000000" w:themeColor="text1"/>
          <w:lang w:val="en-US"/>
        </w:rPr>
        <w:t>an increased expression and activity of SGLT1 transporters</w:t>
      </w:r>
      <w:r w:rsidR="00E868E0" w:rsidRPr="00E625E1">
        <w:rPr>
          <w:rFonts w:ascii="Times New Roman" w:hAnsi="Times New Roman" w:cs="Times New Roman"/>
          <w:color w:val="000000" w:themeColor="text1"/>
          <w:lang w:val="en-US"/>
        </w:rPr>
        <w:t xml:space="preserve">. Again, drug might be secreted </w:t>
      </w:r>
      <w:r w:rsidR="00E13851" w:rsidRPr="00E625E1">
        <w:rPr>
          <w:rFonts w:ascii="Times New Roman" w:hAnsi="Times New Roman" w:cs="Times New Roman"/>
          <w:color w:val="000000" w:themeColor="text1"/>
          <w:lang w:val="en-US"/>
        </w:rPr>
        <w:t>in a more distal site, or  a higher SGLT2 expression at the tubular level in humans (respect to that expected on the basis of animal dat</w:t>
      </w:r>
      <w:r w:rsidR="00515485" w:rsidRPr="00E625E1">
        <w:rPr>
          <w:rFonts w:ascii="Times New Roman" w:hAnsi="Times New Roman" w:cs="Times New Roman"/>
          <w:color w:val="000000" w:themeColor="text1"/>
          <w:lang w:val="en-US"/>
        </w:rPr>
        <w:t>a)</w:t>
      </w:r>
      <w:r w:rsidR="00E868E0" w:rsidRPr="00E625E1">
        <w:rPr>
          <w:rFonts w:ascii="Times New Roman" w:hAnsi="Times New Roman" w:cs="Times New Roman"/>
          <w:color w:val="000000" w:themeColor="text1"/>
          <w:lang w:val="en-US"/>
        </w:rPr>
        <w:t xml:space="preserve"> is conceivable</w:t>
      </w:r>
      <w:r w:rsidR="00515485" w:rsidRPr="00E625E1">
        <w:rPr>
          <w:rFonts w:ascii="Times New Roman" w:hAnsi="Times New Roman" w:cs="Times New Roman"/>
          <w:color w:val="000000" w:themeColor="text1"/>
          <w:lang w:val="en-US"/>
        </w:rPr>
        <w:t xml:space="preserve">, </w:t>
      </w:r>
      <w:r w:rsidR="00E868E0" w:rsidRPr="00E625E1">
        <w:rPr>
          <w:rFonts w:ascii="Times New Roman" w:hAnsi="Times New Roman" w:cs="Times New Roman"/>
          <w:color w:val="000000" w:themeColor="text1"/>
          <w:lang w:val="en-US"/>
        </w:rPr>
        <w:t xml:space="preserve">making not sufficient </w:t>
      </w:r>
      <w:r w:rsidR="00515485" w:rsidRPr="00E625E1">
        <w:rPr>
          <w:rFonts w:ascii="Times New Roman" w:hAnsi="Times New Roman" w:cs="Times New Roman"/>
          <w:color w:val="000000" w:themeColor="text1"/>
          <w:lang w:val="en-US"/>
        </w:rPr>
        <w:t>the doses of the i</w:t>
      </w:r>
      <w:r w:rsidR="00E13851" w:rsidRPr="00E625E1">
        <w:rPr>
          <w:rFonts w:ascii="Times New Roman" w:hAnsi="Times New Roman" w:cs="Times New Roman"/>
          <w:color w:val="000000" w:themeColor="text1"/>
          <w:lang w:val="en-US"/>
        </w:rPr>
        <w:t>nhibitors</w:t>
      </w:r>
      <w:r w:rsidR="00E868E0" w:rsidRPr="00E625E1">
        <w:rPr>
          <w:rFonts w:ascii="Times New Roman" w:hAnsi="Times New Roman" w:cs="Times New Roman"/>
          <w:color w:val="000000" w:themeColor="text1"/>
          <w:lang w:val="en-US"/>
        </w:rPr>
        <w:t xml:space="preserve">. Lastly, </w:t>
      </w:r>
      <w:r w:rsidR="00E13851" w:rsidRPr="00E625E1">
        <w:rPr>
          <w:rFonts w:ascii="Times New Roman" w:hAnsi="Times New Roman" w:cs="Times New Roman"/>
          <w:color w:val="000000" w:themeColor="text1"/>
          <w:lang w:val="en-US"/>
        </w:rPr>
        <w:t xml:space="preserve"> the inhibitor might be excessively reabsorbed proximally, or many of</w:t>
      </w:r>
      <w:r w:rsidR="00E868E0" w:rsidRPr="00E625E1">
        <w:rPr>
          <w:rFonts w:ascii="Times New Roman" w:hAnsi="Times New Roman" w:cs="Times New Roman"/>
          <w:color w:val="000000" w:themeColor="text1"/>
          <w:lang w:val="en-US"/>
        </w:rPr>
        <w:t xml:space="preserve"> </w:t>
      </w:r>
      <w:r w:rsidR="00E13851" w:rsidRPr="00E625E1">
        <w:rPr>
          <w:rFonts w:ascii="Times New Roman" w:hAnsi="Times New Roman" w:cs="Times New Roman"/>
          <w:color w:val="000000" w:themeColor="text1"/>
          <w:lang w:val="en-US"/>
        </w:rPr>
        <w:t xml:space="preserve"> these mechanisms might coexist </w:t>
      </w:r>
      <w:r w:rsidR="00F80642" w:rsidRPr="00E625E1">
        <w:rPr>
          <w:rFonts w:ascii="Times New Roman" w:hAnsi="Times New Roman" w:cs="Times New Roman"/>
          <w:color w:val="000000" w:themeColor="text1"/>
          <w:lang w:val="en-US"/>
        </w:rPr>
        <w:t>[16]</w:t>
      </w:r>
      <w:r w:rsidR="00A11759" w:rsidRPr="00E625E1">
        <w:rPr>
          <w:rFonts w:ascii="Times New Roman" w:hAnsi="Times New Roman" w:cs="Times New Roman"/>
          <w:color w:val="000000" w:themeColor="text1"/>
          <w:lang w:val="en-US"/>
        </w:rPr>
        <w:t xml:space="preserve">. </w:t>
      </w:r>
      <w:r w:rsidR="007D6E3B" w:rsidRPr="00E625E1">
        <w:rPr>
          <w:rFonts w:ascii="Times New Roman" w:hAnsi="Times New Roman" w:cs="Times New Roman"/>
          <w:color w:val="000000" w:themeColor="text1"/>
          <w:lang w:val="en-US"/>
        </w:rPr>
        <w:t xml:space="preserve"> </w:t>
      </w:r>
      <w:r w:rsidR="005B7E88" w:rsidRPr="00E625E1">
        <w:rPr>
          <w:rFonts w:ascii="Times New Roman" w:hAnsi="Times New Roman" w:cs="Times New Roman"/>
          <w:color w:val="FF0000"/>
          <w:lang w:val="en-US"/>
        </w:rPr>
        <w:t xml:space="preserve">Alternatively, </w:t>
      </w:r>
      <w:r w:rsidR="007D6E3B" w:rsidRPr="00E625E1">
        <w:rPr>
          <w:rFonts w:ascii="Times New Roman" w:hAnsi="Times New Roman" w:cs="Times New Roman"/>
          <w:color w:val="FF0000"/>
          <w:lang w:val="en-US"/>
        </w:rPr>
        <w:t xml:space="preserve">an easier and more direct explanation can be drawn comparing the dynamicity of the nephron, where pre-urine flows through the tubule, and the phenomenon of trans-capillary filtration of solutes: in an </w:t>
      </w:r>
      <w:r w:rsidR="007D6E3B" w:rsidRPr="00E625E1">
        <w:rPr>
          <w:rFonts w:ascii="Times New Roman" w:hAnsi="Times New Roman" w:cs="Times New Roman"/>
          <w:i/>
          <w:color w:val="FF0000"/>
          <w:lang w:val="en-US"/>
        </w:rPr>
        <w:t xml:space="preserve">in silico </w:t>
      </w:r>
      <w:r w:rsidR="007D6E3B" w:rsidRPr="00E625E1">
        <w:rPr>
          <w:rFonts w:ascii="Times New Roman" w:hAnsi="Times New Roman" w:cs="Times New Roman"/>
          <w:color w:val="FF0000"/>
          <w:lang w:val="en-US"/>
        </w:rPr>
        <w:t>model of rat nephron challenged with a 95% inhibition of SGLT2,</w:t>
      </w:r>
      <w:r w:rsidR="005B7E88" w:rsidRPr="00E625E1">
        <w:rPr>
          <w:rFonts w:ascii="Times New Roman" w:hAnsi="Times New Roman" w:cs="Times New Roman"/>
          <w:i/>
          <w:lang w:val="en-US"/>
        </w:rPr>
        <w:t xml:space="preserve"> </w:t>
      </w:r>
      <w:r w:rsidR="007D6E3B" w:rsidRPr="00E625E1">
        <w:rPr>
          <w:rFonts w:ascii="Times New Roman" w:hAnsi="Times New Roman" w:cs="Times New Roman"/>
          <w:color w:val="FF0000"/>
          <w:lang w:val="en-US"/>
        </w:rPr>
        <w:t>the prediction is that</w:t>
      </w:r>
      <w:r w:rsidR="005B7E88" w:rsidRPr="00E625E1">
        <w:rPr>
          <w:rFonts w:ascii="Times New Roman" w:hAnsi="Times New Roman" w:cs="Times New Roman"/>
          <w:color w:val="FF0000"/>
          <w:lang w:val="en-US"/>
        </w:rPr>
        <w:t>,</w:t>
      </w:r>
      <w:r w:rsidR="007D6E3B" w:rsidRPr="00E625E1">
        <w:rPr>
          <w:rFonts w:ascii="Times New Roman" w:hAnsi="Times New Roman" w:cs="Times New Roman"/>
          <w:color w:val="FF0000"/>
          <w:lang w:val="en-US"/>
        </w:rPr>
        <w:t xml:space="preserve"> </w:t>
      </w:r>
      <w:r w:rsidR="00746F22" w:rsidRPr="00E625E1">
        <w:rPr>
          <w:rFonts w:ascii="Times New Roman" w:hAnsi="Times New Roman" w:cs="Times New Roman"/>
          <w:color w:val="FF0000"/>
          <w:lang w:val="en-US"/>
        </w:rPr>
        <w:t xml:space="preserve">in a normoglycemic state, </w:t>
      </w:r>
      <w:r w:rsidR="007D6E3B" w:rsidRPr="00E625E1">
        <w:rPr>
          <w:rFonts w:ascii="Times New Roman" w:hAnsi="Times New Roman" w:cs="Times New Roman"/>
          <w:color w:val="FF0000"/>
          <w:lang w:val="en-US"/>
        </w:rPr>
        <w:t>only 40% of filtered glucose will appear in urines</w:t>
      </w:r>
      <w:r w:rsidR="005B7E88" w:rsidRPr="00E625E1">
        <w:rPr>
          <w:rFonts w:ascii="Times New Roman" w:hAnsi="Times New Roman" w:cs="Times New Roman"/>
          <w:color w:val="FF0000"/>
          <w:lang w:val="en-US"/>
        </w:rPr>
        <w:t xml:space="preserve"> [17].</w:t>
      </w:r>
    </w:p>
    <w:p w:rsidR="00682A27" w:rsidRPr="00E625E1" w:rsidRDefault="00AF3371" w:rsidP="00564898">
      <w:pPr>
        <w:pStyle w:val="Paragrafoelenco"/>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An intriguing pharmacokinetic characteristic is an effect of “desincronization” between plasma levels of the drug and </w:t>
      </w:r>
      <w:r w:rsidR="00E868E0" w:rsidRPr="00E625E1">
        <w:rPr>
          <w:rFonts w:ascii="Times New Roman" w:hAnsi="Times New Roman" w:cs="Times New Roman"/>
          <w:color w:val="000000" w:themeColor="text1"/>
          <w:lang w:val="en-US"/>
        </w:rPr>
        <w:t xml:space="preserve">its </w:t>
      </w:r>
      <w:r w:rsidRPr="00E625E1">
        <w:rPr>
          <w:rFonts w:ascii="Times New Roman" w:hAnsi="Times New Roman" w:cs="Times New Roman"/>
          <w:color w:val="000000" w:themeColor="text1"/>
          <w:lang w:val="en-US"/>
        </w:rPr>
        <w:t xml:space="preserve">glycosuric effect; in other words, a remarkable </w:t>
      </w:r>
      <w:r w:rsidR="00877A30" w:rsidRPr="00E625E1">
        <w:rPr>
          <w:rFonts w:ascii="Times New Roman" w:hAnsi="Times New Roman" w:cs="Times New Roman"/>
          <w:color w:val="000000" w:themeColor="text1"/>
          <w:lang w:val="en-US"/>
        </w:rPr>
        <w:t>glucose excretion persists along the time despite reduced plasma drug levels. If we assume that SGLT2 inhibitors would be actively secreted (beside filtered) in the proximal renal tubule, it is clear that high drug concentrations may reach the segment where SGLT2 transporters are, therefore contributing to maintain the effect, especially when plasma levels decline</w:t>
      </w:r>
      <w:r w:rsidR="00682A27" w:rsidRPr="00E625E1">
        <w:rPr>
          <w:rFonts w:ascii="Times New Roman" w:hAnsi="Times New Roman" w:cs="Times New Roman"/>
          <w:color w:val="000000" w:themeColor="text1"/>
          <w:lang w:val="en-US"/>
        </w:rPr>
        <w:t xml:space="preserve"> </w:t>
      </w:r>
      <w:r w:rsidR="00F80642" w:rsidRPr="00E625E1">
        <w:rPr>
          <w:rFonts w:ascii="Times New Roman" w:hAnsi="Times New Roman" w:cs="Times New Roman"/>
          <w:color w:val="000000" w:themeColor="text1"/>
          <w:lang w:val="en-US"/>
        </w:rPr>
        <w:t>[16]</w:t>
      </w:r>
      <w:r w:rsidR="00877A30" w:rsidRPr="00E625E1">
        <w:rPr>
          <w:rFonts w:ascii="Times New Roman" w:hAnsi="Times New Roman" w:cs="Times New Roman"/>
          <w:color w:val="000000" w:themeColor="text1"/>
          <w:lang w:val="en-US"/>
        </w:rPr>
        <w:t>.</w:t>
      </w:r>
    </w:p>
    <w:p w:rsidR="00682A27" w:rsidRPr="00E625E1" w:rsidRDefault="00877A30" w:rsidP="00564898">
      <w:pPr>
        <w:pStyle w:val="Paragrafoelenco"/>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Race does not seem to </w:t>
      </w:r>
      <w:r w:rsidR="00DE3FCC" w:rsidRPr="00E625E1">
        <w:rPr>
          <w:rFonts w:ascii="Times New Roman" w:hAnsi="Times New Roman" w:cs="Times New Roman"/>
          <w:color w:val="000000" w:themeColor="text1"/>
          <w:lang w:val="en-US"/>
        </w:rPr>
        <w:t xml:space="preserve">significantly </w:t>
      </w:r>
      <w:r w:rsidRPr="00E625E1">
        <w:rPr>
          <w:rFonts w:ascii="Times New Roman" w:hAnsi="Times New Roman" w:cs="Times New Roman"/>
          <w:color w:val="000000" w:themeColor="text1"/>
          <w:lang w:val="en-US"/>
        </w:rPr>
        <w:t>affect pharmacological profile of these compounds</w:t>
      </w:r>
      <w:r w:rsidR="00DE3FCC" w:rsidRPr="00E625E1">
        <w:rPr>
          <w:rFonts w:ascii="Times New Roman" w:hAnsi="Times New Roman" w:cs="Times New Roman"/>
          <w:color w:val="000000" w:themeColor="text1"/>
          <w:lang w:val="en-US"/>
        </w:rPr>
        <w:t>, except for a greater oral absorption rate in Asian patients</w:t>
      </w:r>
      <w:r w:rsidRPr="00E625E1">
        <w:rPr>
          <w:rFonts w:ascii="Times New Roman" w:hAnsi="Times New Roman" w:cs="Times New Roman"/>
          <w:color w:val="000000" w:themeColor="text1"/>
          <w:lang w:val="en-US"/>
        </w:rPr>
        <w:t xml:space="preserve"> </w:t>
      </w:r>
      <w:r w:rsidR="00F80642" w:rsidRPr="00E625E1">
        <w:rPr>
          <w:rFonts w:ascii="Times New Roman" w:hAnsi="Times New Roman" w:cs="Times New Roman"/>
          <w:color w:val="000000" w:themeColor="text1"/>
          <w:lang w:val="en-US"/>
        </w:rPr>
        <w:t>[</w:t>
      </w:r>
      <w:r w:rsidR="00DE3FCC" w:rsidRPr="00E625E1">
        <w:rPr>
          <w:rFonts w:ascii="Times New Roman" w:hAnsi="Times New Roman" w:cs="Times New Roman"/>
          <w:color w:val="000000" w:themeColor="text1"/>
          <w:lang w:val="en-US"/>
        </w:rPr>
        <w:t>1</w:t>
      </w:r>
      <w:r w:rsidR="005B7E88" w:rsidRPr="00E625E1">
        <w:rPr>
          <w:rFonts w:ascii="Times New Roman" w:hAnsi="Times New Roman" w:cs="Times New Roman"/>
          <w:color w:val="000000" w:themeColor="text1"/>
          <w:lang w:val="en-US"/>
        </w:rPr>
        <w:t>8</w:t>
      </w:r>
      <w:r w:rsidR="006D5D66" w:rsidRPr="00E625E1">
        <w:rPr>
          <w:rFonts w:ascii="Times New Roman" w:hAnsi="Times New Roman" w:cs="Times New Roman"/>
          <w:color w:val="000000" w:themeColor="text1"/>
          <w:lang w:val="en-US"/>
        </w:rPr>
        <w:t xml:space="preserve">, </w:t>
      </w:r>
      <w:r w:rsidR="00F80642" w:rsidRPr="00E625E1">
        <w:rPr>
          <w:rFonts w:ascii="Times New Roman" w:hAnsi="Times New Roman" w:cs="Times New Roman"/>
          <w:color w:val="000000" w:themeColor="text1"/>
          <w:lang w:val="en-US"/>
        </w:rPr>
        <w:t>1</w:t>
      </w:r>
      <w:r w:rsidR="005B7E88" w:rsidRPr="00E625E1">
        <w:rPr>
          <w:rFonts w:ascii="Times New Roman" w:hAnsi="Times New Roman" w:cs="Times New Roman"/>
          <w:color w:val="000000" w:themeColor="text1"/>
          <w:lang w:val="en-US"/>
        </w:rPr>
        <w:t>9</w:t>
      </w:r>
      <w:r w:rsidR="00F80642" w:rsidRPr="00E625E1">
        <w:rPr>
          <w:rFonts w:ascii="Times New Roman" w:hAnsi="Times New Roman" w:cs="Times New Roman"/>
          <w:color w:val="000000" w:themeColor="text1"/>
          <w:lang w:val="en-US"/>
        </w:rPr>
        <w:t>]</w:t>
      </w:r>
      <w:r w:rsidR="00DE3FCC"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interactions with other drugs commonly used in diabe</w:t>
      </w:r>
      <w:r w:rsidR="00E13851" w:rsidRPr="00E625E1">
        <w:rPr>
          <w:rFonts w:ascii="Times New Roman" w:hAnsi="Times New Roman" w:cs="Times New Roman"/>
          <w:color w:val="000000" w:themeColor="text1"/>
          <w:lang w:val="en-US"/>
        </w:rPr>
        <w:t xml:space="preserve">tic patients (statins, warfarin, </w:t>
      </w:r>
      <w:r w:rsidR="00567299" w:rsidRPr="00E625E1">
        <w:rPr>
          <w:rFonts w:ascii="Times New Roman" w:hAnsi="Times New Roman" w:cs="Times New Roman"/>
          <w:color w:val="000000" w:themeColor="text1"/>
          <w:lang w:val="en-US"/>
        </w:rPr>
        <w:t>digoxin</w:t>
      </w:r>
      <w:r w:rsidR="00B4052B" w:rsidRPr="00E625E1">
        <w:rPr>
          <w:rFonts w:ascii="Times New Roman" w:hAnsi="Times New Roman" w:cs="Times New Roman"/>
          <w:color w:val="000000" w:themeColor="text1"/>
          <w:lang w:val="en-US"/>
        </w:rPr>
        <w:t>) are not reported</w:t>
      </w:r>
      <w:r w:rsidR="00795EDE" w:rsidRPr="00E625E1">
        <w:rPr>
          <w:rFonts w:ascii="Times New Roman" w:hAnsi="Times New Roman" w:cs="Times New Roman"/>
          <w:color w:val="000000" w:themeColor="text1"/>
          <w:lang w:val="en-US"/>
        </w:rPr>
        <w:t xml:space="preserve"> </w:t>
      </w:r>
      <w:r w:rsidR="00F80642" w:rsidRPr="00E625E1">
        <w:rPr>
          <w:rFonts w:ascii="Times New Roman" w:hAnsi="Times New Roman" w:cs="Times New Roman"/>
          <w:color w:val="000000" w:themeColor="text1"/>
          <w:lang w:val="en-US"/>
        </w:rPr>
        <w:t>[</w:t>
      </w:r>
      <w:r w:rsidR="005B7E88" w:rsidRPr="00E625E1">
        <w:rPr>
          <w:rFonts w:ascii="Times New Roman" w:hAnsi="Times New Roman" w:cs="Times New Roman"/>
          <w:color w:val="000000" w:themeColor="text1"/>
          <w:lang w:val="en-US"/>
        </w:rPr>
        <w:t>20, 21</w:t>
      </w:r>
      <w:r w:rsidR="00F80642" w:rsidRPr="00E625E1">
        <w:rPr>
          <w:rFonts w:ascii="Times New Roman" w:hAnsi="Times New Roman" w:cs="Times New Roman"/>
          <w:color w:val="000000" w:themeColor="text1"/>
          <w:lang w:val="en-US"/>
        </w:rPr>
        <w:t>]</w:t>
      </w:r>
      <w:r w:rsidR="00567299" w:rsidRPr="00E625E1">
        <w:rPr>
          <w:rFonts w:ascii="Times New Roman" w:hAnsi="Times New Roman" w:cs="Times New Roman"/>
          <w:color w:val="000000" w:themeColor="text1"/>
          <w:lang w:val="en-US"/>
        </w:rPr>
        <w:t>.</w:t>
      </w:r>
    </w:p>
    <w:p w:rsidR="00E13851" w:rsidRPr="00E625E1" w:rsidRDefault="00E13851" w:rsidP="00564898">
      <w:pPr>
        <w:shd w:val="clear" w:color="auto" w:fill="FFFFFF"/>
        <w:spacing w:after="0" w:line="480" w:lineRule="auto"/>
        <w:rPr>
          <w:rFonts w:ascii="Times New Roman" w:hAnsi="Times New Roman" w:cs="Times New Roman"/>
          <w:lang w:val="en-US"/>
        </w:rPr>
      </w:pPr>
    </w:p>
    <w:p w:rsidR="00E13851" w:rsidRPr="00E625E1" w:rsidRDefault="00E13851" w:rsidP="00564898">
      <w:pPr>
        <w:shd w:val="clear" w:color="auto" w:fill="FFFFFF"/>
        <w:spacing w:after="0" w:line="480" w:lineRule="auto"/>
        <w:rPr>
          <w:rFonts w:ascii="Times New Roman" w:hAnsi="Times New Roman" w:cs="Times New Roman"/>
          <w:b/>
          <w:i/>
          <w:lang w:val="en-US"/>
        </w:rPr>
      </w:pPr>
      <w:r w:rsidRPr="00E625E1">
        <w:rPr>
          <w:rFonts w:ascii="Times New Roman" w:hAnsi="Times New Roman" w:cs="Times New Roman"/>
          <w:b/>
          <w:i/>
          <w:lang w:val="en-US"/>
        </w:rPr>
        <w:t>Clinical efficacy</w:t>
      </w:r>
    </w:p>
    <w:p w:rsidR="00962129" w:rsidRPr="00E625E1" w:rsidRDefault="00962129" w:rsidP="00564898">
      <w:pPr>
        <w:shd w:val="clear" w:color="auto" w:fill="FFFFFF"/>
        <w:spacing w:after="0" w:line="480" w:lineRule="auto"/>
        <w:rPr>
          <w:rFonts w:ascii="Times New Roman" w:hAnsi="Times New Roman" w:cs="Times New Roman"/>
          <w:b/>
          <w:i/>
          <w:lang w:val="en-US"/>
        </w:rPr>
      </w:pPr>
    </w:p>
    <w:p w:rsidR="00E65FD9" w:rsidRPr="00E625E1" w:rsidRDefault="00807910" w:rsidP="00564898">
      <w:pPr>
        <w:shd w:val="clear" w:color="auto" w:fill="FFFFFF"/>
        <w:spacing w:after="0" w:line="480" w:lineRule="auto"/>
        <w:rPr>
          <w:rFonts w:ascii="Times New Roman" w:eastAsia="Times New Roman" w:hAnsi="Times New Roman" w:cs="Times New Roman"/>
          <w:lang w:val="en" w:eastAsia="it-IT"/>
        </w:rPr>
      </w:pPr>
      <w:r w:rsidRPr="00E625E1">
        <w:rPr>
          <w:rFonts w:ascii="Times New Roman" w:eastAsia="Times New Roman" w:hAnsi="Times New Roman" w:cs="Times New Roman"/>
          <w:i/>
          <w:color w:val="000000"/>
          <w:lang w:val="en-US" w:eastAsia="it-IT"/>
        </w:rPr>
        <w:t xml:space="preserve">Effect on glucose control </w:t>
      </w:r>
      <w:r w:rsidR="00AF3371" w:rsidRPr="00E625E1">
        <w:rPr>
          <w:rFonts w:ascii="Times New Roman" w:eastAsia="Times New Roman" w:hAnsi="Times New Roman" w:cs="Times New Roman"/>
          <w:i/>
          <w:color w:val="000000"/>
          <w:lang w:val="en-US" w:eastAsia="it-IT"/>
        </w:rPr>
        <w:t xml:space="preserve">- </w:t>
      </w:r>
      <w:r w:rsidR="00AF3371" w:rsidRPr="00E625E1">
        <w:rPr>
          <w:rFonts w:ascii="Times New Roman" w:eastAsia="Times New Roman" w:hAnsi="Times New Roman" w:cs="Times New Roman"/>
          <w:color w:val="000000"/>
          <w:lang w:val="en-US" w:eastAsia="it-IT"/>
        </w:rPr>
        <w:t>SGLT2 inhibitors are effective</w:t>
      </w:r>
      <w:r w:rsidR="00AF3371" w:rsidRPr="00E625E1">
        <w:rPr>
          <w:rFonts w:ascii="Times New Roman" w:eastAsia="Times New Roman" w:hAnsi="Times New Roman" w:cs="Times New Roman"/>
          <w:i/>
          <w:color w:val="000000"/>
          <w:lang w:val="en-US" w:eastAsia="it-IT"/>
        </w:rPr>
        <w:t xml:space="preserve"> </w:t>
      </w:r>
      <w:r w:rsidR="00AF3371" w:rsidRPr="00E625E1">
        <w:rPr>
          <w:rFonts w:ascii="Times New Roman" w:eastAsia="Times New Roman" w:hAnsi="Times New Roman" w:cs="Times New Roman"/>
          <w:color w:val="000000"/>
          <w:lang w:val="en-US" w:eastAsia="it-IT"/>
        </w:rPr>
        <w:t xml:space="preserve">when used in monotherapy or in initial combination with other agents, or as add-on to already ongoing therapies. </w:t>
      </w:r>
      <w:r w:rsidR="00D6595F" w:rsidRPr="00E625E1">
        <w:rPr>
          <w:rFonts w:ascii="Times New Roman" w:eastAsia="Times New Roman" w:hAnsi="Times New Roman" w:cs="Times New Roman"/>
          <w:color w:val="000000"/>
          <w:lang w:val="en-US" w:eastAsia="it-IT"/>
        </w:rPr>
        <w:t>For each one of the three agents there is availability of several studies showing their efficacy in improving metabolic control of th</w:t>
      </w:r>
      <w:r w:rsidR="004A5B39" w:rsidRPr="00E625E1">
        <w:rPr>
          <w:rFonts w:ascii="Times New Roman" w:eastAsia="Times New Roman" w:hAnsi="Times New Roman" w:cs="Times New Roman"/>
          <w:color w:val="000000"/>
          <w:lang w:val="en-US" w:eastAsia="it-IT"/>
        </w:rPr>
        <w:t xml:space="preserve">e patients. </w:t>
      </w:r>
      <w:r w:rsidR="00CD12B6" w:rsidRPr="00E625E1">
        <w:rPr>
          <w:rFonts w:ascii="Times New Roman" w:eastAsia="Times New Roman" w:hAnsi="Times New Roman" w:cs="Times New Roman"/>
          <w:color w:val="000000"/>
          <w:lang w:val="en-US" w:eastAsia="it-IT"/>
        </w:rPr>
        <w:t xml:space="preserve">Mean HbA1c reduction </w:t>
      </w:r>
      <w:r w:rsidR="00D6595F" w:rsidRPr="00E625E1">
        <w:rPr>
          <w:rFonts w:ascii="Times New Roman" w:eastAsia="Times New Roman" w:hAnsi="Times New Roman" w:cs="Times New Roman"/>
          <w:color w:val="000000"/>
          <w:lang w:val="en-US" w:eastAsia="it-IT"/>
        </w:rPr>
        <w:t xml:space="preserve">was </w:t>
      </w:r>
      <w:r w:rsidR="00F76773" w:rsidRPr="00E625E1">
        <w:rPr>
          <w:rFonts w:ascii="Times New Roman" w:eastAsia="Times New Roman" w:hAnsi="Times New Roman" w:cs="Times New Roman"/>
          <w:color w:val="000000"/>
          <w:lang w:val="en-US" w:eastAsia="it-IT"/>
        </w:rPr>
        <w:t>-0.8%</w:t>
      </w:r>
      <w:r w:rsidR="00F80642" w:rsidRPr="00E625E1">
        <w:rPr>
          <w:rFonts w:ascii="Times New Roman" w:eastAsia="Times New Roman" w:hAnsi="Times New Roman" w:cs="Times New Roman"/>
          <w:color w:val="000000"/>
          <w:lang w:val="en-US" w:eastAsia="it-IT"/>
        </w:rPr>
        <w:t xml:space="preserve"> </w:t>
      </w:r>
      <w:r w:rsidR="008F50C5" w:rsidRPr="00E625E1">
        <w:rPr>
          <w:rFonts w:ascii="Times New Roman" w:eastAsia="Times New Roman" w:hAnsi="Times New Roman" w:cs="Times New Roman"/>
          <w:color w:val="000000"/>
          <w:lang w:val="en-US" w:eastAsia="it-IT"/>
        </w:rPr>
        <w:t xml:space="preserve"> (-9 mmol/mol)</w:t>
      </w:r>
      <w:r w:rsidR="00F80642" w:rsidRPr="00E625E1">
        <w:rPr>
          <w:rFonts w:ascii="Times New Roman" w:eastAsia="Times New Roman" w:hAnsi="Times New Roman" w:cs="Times New Roman"/>
          <w:color w:val="000000"/>
          <w:lang w:val="en-US" w:eastAsia="it-IT"/>
        </w:rPr>
        <w:t xml:space="preserve"> [2</w:t>
      </w:r>
      <w:r w:rsidR="005B7E88" w:rsidRPr="00E625E1">
        <w:rPr>
          <w:rFonts w:ascii="Times New Roman" w:eastAsia="Times New Roman" w:hAnsi="Times New Roman" w:cs="Times New Roman"/>
          <w:color w:val="000000"/>
          <w:lang w:val="en-US" w:eastAsia="it-IT"/>
        </w:rPr>
        <w:t>2</w:t>
      </w:r>
      <w:r w:rsidR="00F80642" w:rsidRPr="00E625E1">
        <w:rPr>
          <w:rFonts w:ascii="Times New Roman" w:eastAsia="Times New Roman" w:hAnsi="Times New Roman" w:cs="Times New Roman"/>
          <w:color w:val="000000"/>
          <w:lang w:val="en-US" w:eastAsia="it-IT"/>
        </w:rPr>
        <w:t>]</w:t>
      </w:r>
      <w:r w:rsidR="00F76773" w:rsidRPr="00E625E1">
        <w:rPr>
          <w:rFonts w:ascii="Times New Roman" w:eastAsia="Times New Roman" w:hAnsi="Times New Roman" w:cs="Times New Roman"/>
          <w:color w:val="000000"/>
          <w:lang w:val="en-US" w:eastAsia="it-IT"/>
        </w:rPr>
        <w:t xml:space="preserve">, </w:t>
      </w:r>
      <w:r w:rsidR="00CD12B6" w:rsidRPr="00E625E1">
        <w:rPr>
          <w:rFonts w:ascii="Times New Roman" w:eastAsia="Times New Roman" w:hAnsi="Times New Roman" w:cs="Times New Roman"/>
          <w:color w:val="000000"/>
          <w:lang w:val="en-US" w:eastAsia="it-IT"/>
        </w:rPr>
        <w:t>even higher when baseline H</w:t>
      </w:r>
      <w:r w:rsidR="00F76773" w:rsidRPr="00E625E1">
        <w:rPr>
          <w:rFonts w:ascii="Times New Roman" w:eastAsia="Times New Roman" w:hAnsi="Times New Roman" w:cs="Times New Roman"/>
          <w:color w:val="000000"/>
          <w:lang w:val="en-US" w:eastAsia="it-IT"/>
        </w:rPr>
        <w:t>bA1c values are above 9%</w:t>
      </w:r>
      <w:r w:rsidR="008F50C5" w:rsidRPr="00E625E1">
        <w:rPr>
          <w:rFonts w:ascii="Times New Roman" w:eastAsia="Times New Roman" w:hAnsi="Times New Roman" w:cs="Times New Roman"/>
          <w:color w:val="000000"/>
          <w:lang w:val="en-US" w:eastAsia="it-IT"/>
        </w:rPr>
        <w:t xml:space="preserve"> (75 mmol/mol)</w:t>
      </w:r>
      <w:r w:rsidR="00F76773" w:rsidRPr="00E625E1">
        <w:rPr>
          <w:rFonts w:ascii="Times New Roman" w:eastAsia="Times New Roman" w:hAnsi="Times New Roman" w:cs="Times New Roman"/>
          <w:color w:val="000000"/>
          <w:lang w:val="en-US" w:eastAsia="it-IT"/>
        </w:rPr>
        <w:t xml:space="preserve">. </w:t>
      </w:r>
      <w:r w:rsidR="00D6595F" w:rsidRPr="00E625E1">
        <w:rPr>
          <w:rFonts w:ascii="Times New Roman" w:eastAsia="Times New Roman" w:hAnsi="Times New Roman" w:cs="Times New Roman"/>
          <w:color w:val="000000"/>
          <w:lang w:val="en-US" w:eastAsia="it-IT"/>
        </w:rPr>
        <w:t xml:space="preserve">Significantly higher, respect to placebo, is also  </w:t>
      </w:r>
      <w:r w:rsidR="00CD12B6" w:rsidRPr="00E625E1">
        <w:rPr>
          <w:rFonts w:ascii="Times New Roman" w:eastAsia="Times New Roman" w:hAnsi="Times New Roman" w:cs="Times New Roman"/>
          <w:color w:val="000000"/>
          <w:lang w:val="en-US" w:eastAsia="it-IT"/>
        </w:rPr>
        <w:t>the percentage of patients reaching the the</w:t>
      </w:r>
      <w:r w:rsidR="00D6595F" w:rsidRPr="00E625E1">
        <w:rPr>
          <w:rFonts w:ascii="Times New Roman" w:eastAsia="Times New Roman" w:hAnsi="Times New Roman" w:cs="Times New Roman"/>
          <w:color w:val="000000"/>
          <w:lang w:val="en-US" w:eastAsia="it-IT"/>
        </w:rPr>
        <w:t xml:space="preserve">rapeutic goal: for example, </w:t>
      </w:r>
      <w:r w:rsidR="00CD12B6" w:rsidRPr="00E625E1">
        <w:rPr>
          <w:rFonts w:ascii="Times New Roman" w:eastAsia="Times New Roman" w:hAnsi="Times New Roman" w:cs="Times New Roman"/>
          <w:lang w:val="en" w:eastAsia="it-IT"/>
        </w:rPr>
        <w:t xml:space="preserve">24 weeks of monotherapy with dapagliflozin 10 mg led to 51% of patients </w:t>
      </w:r>
      <w:r w:rsidR="00CD12B6" w:rsidRPr="00E625E1">
        <w:rPr>
          <w:rFonts w:ascii="Times New Roman" w:eastAsia="Times New Roman" w:hAnsi="Times New Roman" w:cs="Times New Roman"/>
          <w:lang w:val="en" w:eastAsia="it-IT"/>
        </w:rPr>
        <w:lastRenderedPageBreak/>
        <w:t>achieving HbA1c &lt; 7.0%</w:t>
      </w:r>
      <w:r w:rsidR="008F50C5" w:rsidRPr="00E625E1">
        <w:rPr>
          <w:rFonts w:ascii="Times New Roman" w:eastAsia="Times New Roman" w:hAnsi="Times New Roman" w:cs="Times New Roman"/>
          <w:lang w:val="en" w:eastAsia="it-IT"/>
        </w:rPr>
        <w:t xml:space="preserve"> (53 mmol/mol)</w:t>
      </w:r>
      <w:r w:rsidR="00CD12B6" w:rsidRPr="00E625E1">
        <w:rPr>
          <w:rFonts w:ascii="Times New Roman" w:eastAsia="Times New Roman" w:hAnsi="Times New Roman" w:cs="Times New Roman"/>
          <w:lang w:val="en" w:eastAsia="it-IT"/>
        </w:rPr>
        <w:t>, vs. 32% of those in the placebo group</w:t>
      </w:r>
      <w:r w:rsidR="000E1103" w:rsidRPr="00E625E1">
        <w:rPr>
          <w:rFonts w:ascii="Times New Roman" w:eastAsia="Times New Roman" w:hAnsi="Times New Roman" w:cs="Times New Roman"/>
          <w:lang w:val="en" w:eastAsia="it-IT"/>
        </w:rPr>
        <w:t xml:space="preserve"> </w:t>
      </w:r>
      <w:r w:rsidR="00F80642" w:rsidRPr="00E625E1">
        <w:rPr>
          <w:rFonts w:ascii="Times New Roman" w:eastAsia="Times New Roman" w:hAnsi="Times New Roman" w:cs="Times New Roman"/>
          <w:lang w:val="en" w:eastAsia="it-IT"/>
        </w:rPr>
        <w:t>[2</w:t>
      </w:r>
      <w:r w:rsidR="005B7E88" w:rsidRPr="00E625E1">
        <w:rPr>
          <w:rFonts w:ascii="Times New Roman" w:eastAsia="Times New Roman" w:hAnsi="Times New Roman" w:cs="Times New Roman"/>
          <w:lang w:val="en" w:eastAsia="it-IT"/>
        </w:rPr>
        <w:t>3</w:t>
      </w:r>
      <w:r w:rsidR="00F80642" w:rsidRPr="00E625E1">
        <w:rPr>
          <w:rFonts w:ascii="Times New Roman" w:eastAsia="Times New Roman" w:hAnsi="Times New Roman" w:cs="Times New Roman"/>
          <w:lang w:val="en" w:eastAsia="it-IT"/>
        </w:rPr>
        <w:t xml:space="preserve">]. </w:t>
      </w:r>
      <w:r w:rsidR="00CD12B6" w:rsidRPr="00E625E1">
        <w:rPr>
          <w:rFonts w:ascii="Times New Roman" w:eastAsia="Times New Roman" w:hAnsi="Times New Roman" w:cs="Times New Roman"/>
          <w:lang w:val="en" w:eastAsia="it-IT"/>
        </w:rPr>
        <w:t xml:space="preserve"> </w:t>
      </w:r>
      <w:r w:rsidR="00D6595F" w:rsidRPr="00E625E1">
        <w:rPr>
          <w:rFonts w:ascii="Times New Roman" w:eastAsia="Times New Roman" w:hAnsi="Times New Roman" w:cs="Times New Roman"/>
          <w:lang w:val="en" w:eastAsia="it-IT"/>
        </w:rPr>
        <w:t xml:space="preserve">After 26 weeks of treatment with canagliflozin, </w:t>
      </w:r>
      <w:r w:rsidR="00CD12B6" w:rsidRPr="00E625E1">
        <w:rPr>
          <w:rFonts w:ascii="Times New Roman" w:eastAsia="Times New Roman" w:hAnsi="Times New Roman" w:cs="Times New Roman"/>
          <w:lang w:val="en" w:eastAsia="it-IT"/>
        </w:rPr>
        <w:t>44.5% and 62.4% of subjects receiving 100 mg and 300 </w:t>
      </w:r>
      <w:r w:rsidR="00CA0416" w:rsidRPr="00E625E1">
        <w:rPr>
          <w:rFonts w:ascii="Times New Roman" w:eastAsia="Times New Roman" w:hAnsi="Times New Roman" w:cs="Times New Roman"/>
          <w:lang w:val="en" w:eastAsia="it-IT"/>
        </w:rPr>
        <w:t>mg, respectively, achieved</w:t>
      </w:r>
      <w:r w:rsidR="00CD12B6" w:rsidRPr="00E625E1">
        <w:rPr>
          <w:rFonts w:ascii="Times New Roman" w:eastAsia="Times New Roman" w:hAnsi="Times New Roman" w:cs="Times New Roman"/>
          <w:lang w:val="en" w:eastAsia="it-IT"/>
        </w:rPr>
        <w:t xml:space="preserve"> HbA1c &lt; 7.0%, vs. 20.6% of those on placebo</w:t>
      </w:r>
      <w:r w:rsidR="00F80642" w:rsidRPr="00E625E1">
        <w:rPr>
          <w:rFonts w:ascii="Times New Roman" w:eastAsia="Times New Roman" w:hAnsi="Times New Roman" w:cs="Times New Roman"/>
          <w:lang w:val="en" w:eastAsia="it-IT"/>
        </w:rPr>
        <w:t xml:space="preserve"> [</w:t>
      </w:r>
      <w:r w:rsidR="000E1103" w:rsidRPr="00E625E1">
        <w:rPr>
          <w:rFonts w:ascii="Times New Roman" w:eastAsia="Times New Roman" w:hAnsi="Times New Roman" w:cs="Times New Roman"/>
          <w:lang w:val="en" w:eastAsia="it-IT"/>
        </w:rPr>
        <w:t>2</w:t>
      </w:r>
      <w:r w:rsidR="005B7E88" w:rsidRPr="00E625E1">
        <w:rPr>
          <w:rFonts w:ascii="Times New Roman" w:eastAsia="Times New Roman" w:hAnsi="Times New Roman" w:cs="Times New Roman"/>
          <w:lang w:val="en" w:eastAsia="it-IT"/>
        </w:rPr>
        <w:t>4</w:t>
      </w:r>
      <w:r w:rsidR="00F80642" w:rsidRPr="00E625E1">
        <w:rPr>
          <w:rFonts w:ascii="Times New Roman" w:eastAsia="Times New Roman" w:hAnsi="Times New Roman" w:cs="Times New Roman"/>
          <w:lang w:val="en" w:eastAsia="it-IT"/>
        </w:rPr>
        <w:t>]</w:t>
      </w:r>
      <w:r w:rsidR="00CD12B6" w:rsidRPr="00E625E1">
        <w:rPr>
          <w:rFonts w:ascii="Times New Roman" w:eastAsia="Times New Roman" w:hAnsi="Times New Roman" w:cs="Times New Roman"/>
          <w:lang w:val="en" w:eastAsia="it-IT"/>
        </w:rPr>
        <w:t xml:space="preserve">. </w:t>
      </w:r>
      <w:r w:rsidR="006D5D66" w:rsidRPr="00E625E1">
        <w:rPr>
          <w:rFonts w:ascii="Times New Roman" w:eastAsia="Times New Roman" w:hAnsi="Times New Roman" w:cs="Times New Roman"/>
          <w:lang w:val="en" w:eastAsia="it-IT"/>
        </w:rPr>
        <w:t xml:space="preserve">Similar performances are reported when compared with active treatments: </w:t>
      </w:r>
      <w:r w:rsidR="00FE1C99" w:rsidRPr="00E625E1">
        <w:rPr>
          <w:rFonts w:ascii="Times New Roman" w:eastAsia="Times New Roman" w:hAnsi="Times New Roman" w:cs="Times New Roman"/>
          <w:lang w:val="en" w:eastAsia="it-IT"/>
        </w:rPr>
        <w:t xml:space="preserve">for example, </w:t>
      </w:r>
      <w:r w:rsidR="006D5D66" w:rsidRPr="00E625E1">
        <w:rPr>
          <w:rFonts w:ascii="Times New Roman" w:eastAsia="Times New Roman" w:hAnsi="Times New Roman" w:cs="Times New Roman"/>
          <w:lang w:val="en" w:eastAsia="it-IT"/>
        </w:rPr>
        <w:t>e</w:t>
      </w:r>
      <w:r w:rsidR="00CD12B6" w:rsidRPr="00E625E1">
        <w:rPr>
          <w:rFonts w:ascii="Times New Roman" w:eastAsia="Times New Roman" w:hAnsi="Times New Roman" w:cs="Times New Roman"/>
          <w:lang w:val="en" w:eastAsia="it-IT"/>
        </w:rPr>
        <w:t>mpagliflozin monotherapy given for 24 weeks led to HbA1c &lt; 7.0% in 35.3% and 43.6% of subjects receiving 10 mg and 25 mg, respectively, vs. 37.5% for the active comparator group (sitagliptin 100 mg), and 12.0% in the placebo group</w:t>
      </w:r>
      <w:r w:rsidR="000E1103" w:rsidRPr="00E625E1">
        <w:rPr>
          <w:rFonts w:ascii="Times New Roman" w:eastAsia="Times New Roman" w:hAnsi="Times New Roman" w:cs="Times New Roman"/>
          <w:lang w:val="en" w:eastAsia="it-IT"/>
        </w:rPr>
        <w:t xml:space="preserve"> </w:t>
      </w:r>
      <w:r w:rsidR="00F80642" w:rsidRPr="00E625E1">
        <w:rPr>
          <w:rFonts w:ascii="Times New Roman" w:eastAsia="Times New Roman" w:hAnsi="Times New Roman" w:cs="Times New Roman"/>
          <w:lang w:val="en" w:eastAsia="it-IT"/>
        </w:rPr>
        <w:t>[</w:t>
      </w:r>
      <w:r w:rsidR="000E1103" w:rsidRPr="00E625E1">
        <w:rPr>
          <w:rFonts w:ascii="Times New Roman" w:eastAsia="Times New Roman" w:hAnsi="Times New Roman" w:cs="Times New Roman"/>
          <w:lang w:val="en" w:eastAsia="it-IT"/>
        </w:rPr>
        <w:t>2</w:t>
      </w:r>
      <w:r w:rsidR="005B7E88" w:rsidRPr="00E625E1">
        <w:rPr>
          <w:rFonts w:ascii="Times New Roman" w:eastAsia="Times New Roman" w:hAnsi="Times New Roman" w:cs="Times New Roman"/>
          <w:lang w:val="en" w:eastAsia="it-IT"/>
        </w:rPr>
        <w:t>5</w:t>
      </w:r>
      <w:r w:rsidR="00F80642" w:rsidRPr="00E625E1">
        <w:rPr>
          <w:rFonts w:ascii="Times New Roman" w:eastAsia="Times New Roman" w:hAnsi="Times New Roman" w:cs="Times New Roman"/>
          <w:lang w:val="en" w:eastAsia="it-IT"/>
        </w:rPr>
        <w:t>]</w:t>
      </w:r>
      <w:r w:rsidR="00E65FD9" w:rsidRPr="00E625E1">
        <w:rPr>
          <w:rFonts w:ascii="Times New Roman" w:eastAsia="Times New Roman" w:hAnsi="Times New Roman" w:cs="Times New Roman"/>
          <w:lang w:val="en" w:eastAsia="it-IT"/>
        </w:rPr>
        <w:t xml:space="preserve">. </w:t>
      </w:r>
      <w:r w:rsidR="00CD12B6" w:rsidRPr="00E625E1">
        <w:rPr>
          <w:rFonts w:ascii="Times New Roman" w:eastAsia="Times New Roman" w:hAnsi="Times New Roman" w:cs="Times New Roman"/>
          <w:lang w:val="en" w:eastAsia="it-IT"/>
        </w:rPr>
        <w:t xml:space="preserve"> </w:t>
      </w:r>
      <w:r w:rsidR="00FE1C99" w:rsidRPr="00E625E1">
        <w:rPr>
          <w:rFonts w:ascii="Times New Roman" w:eastAsia="Times New Roman" w:hAnsi="Times New Roman" w:cs="Times New Roman"/>
          <w:lang w:val="en" w:eastAsia="it-IT"/>
        </w:rPr>
        <w:t>SGLT2 inhibition is effective in reducing HbA1c e</w:t>
      </w:r>
      <w:r w:rsidR="00FB3DB2" w:rsidRPr="00E625E1">
        <w:rPr>
          <w:rFonts w:ascii="Times New Roman" w:eastAsia="Times New Roman" w:hAnsi="Times New Roman" w:cs="Times New Roman"/>
          <w:lang w:val="en" w:eastAsia="it-IT"/>
        </w:rPr>
        <w:t xml:space="preserve">ven in combination with insulin, </w:t>
      </w:r>
      <w:r w:rsidR="00FB3DB2" w:rsidRPr="00E625E1">
        <w:rPr>
          <w:rFonts w:ascii="Times New Roman" w:hAnsi="Times New Roman" w:cs="Times New Roman"/>
          <w:lang w:val="en-US"/>
        </w:rPr>
        <w:t xml:space="preserve">stabilizing </w:t>
      </w:r>
      <w:r w:rsidR="00FB3DB2" w:rsidRPr="00E625E1">
        <w:rPr>
          <w:rStyle w:val="highlight2"/>
          <w:rFonts w:ascii="Times New Roman" w:hAnsi="Times New Roman" w:cs="Times New Roman"/>
          <w:lang w:val="en-US"/>
        </w:rPr>
        <w:t>insulin</w:t>
      </w:r>
      <w:r w:rsidR="00FB3DB2" w:rsidRPr="00E625E1">
        <w:rPr>
          <w:rFonts w:ascii="Times New Roman" w:hAnsi="Times New Roman" w:cs="Times New Roman"/>
          <w:lang w:val="en-US"/>
        </w:rPr>
        <w:t xml:space="preserve"> dosing and reducing weight without increasing </w:t>
      </w:r>
      <w:r w:rsidR="00CA0416" w:rsidRPr="00E625E1">
        <w:rPr>
          <w:rFonts w:ascii="Times New Roman" w:hAnsi="Times New Roman" w:cs="Times New Roman"/>
          <w:lang w:val="en-US"/>
        </w:rPr>
        <w:t xml:space="preserve">the number of </w:t>
      </w:r>
      <w:r w:rsidR="00FB3DB2" w:rsidRPr="00E625E1">
        <w:rPr>
          <w:rFonts w:ascii="Times New Roman" w:hAnsi="Times New Roman" w:cs="Times New Roman"/>
          <w:lang w:val="en-US"/>
        </w:rPr>
        <w:t>major hypoglycaemic episodes</w:t>
      </w:r>
      <w:r w:rsidR="00F80642" w:rsidRPr="00E625E1">
        <w:rPr>
          <w:rFonts w:ascii="Times New Roman" w:hAnsi="Times New Roman" w:cs="Times New Roman"/>
          <w:lang w:val="en-US"/>
        </w:rPr>
        <w:t xml:space="preserve"> </w:t>
      </w:r>
      <w:r w:rsidR="00F80642" w:rsidRPr="00E625E1">
        <w:rPr>
          <w:rFonts w:ascii="Times New Roman" w:eastAsia="Times New Roman" w:hAnsi="Times New Roman" w:cs="Times New Roman"/>
          <w:lang w:val="en" w:eastAsia="it-IT"/>
        </w:rPr>
        <w:t>[</w:t>
      </w:r>
      <w:r w:rsidR="00FB3DB2" w:rsidRPr="00E625E1">
        <w:rPr>
          <w:rFonts w:ascii="Times New Roman" w:eastAsia="Times New Roman" w:hAnsi="Times New Roman" w:cs="Times New Roman"/>
          <w:lang w:val="en" w:eastAsia="it-IT"/>
        </w:rPr>
        <w:t>2</w:t>
      </w:r>
      <w:r w:rsidR="005B7E88" w:rsidRPr="00E625E1">
        <w:rPr>
          <w:rFonts w:ascii="Times New Roman" w:eastAsia="Times New Roman" w:hAnsi="Times New Roman" w:cs="Times New Roman"/>
          <w:lang w:val="en" w:eastAsia="it-IT"/>
        </w:rPr>
        <w:t>6</w:t>
      </w:r>
      <w:r w:rsidR="00FB3DB2" w:rsidRPr="00E625E1">
        <w:rPr>
          <w:rFonts w:ascii="Times New Roman" w:eastAsia="Times New Roman" w:hAnsi="Times New Roman" w:cs="Times New Roman"/>
          <w:lang w:val="en" w:eastAsia="it-IT"/>
        </w:rPr>
        <w:t>, 2</w:t>
      </w:r>
      <w:r w:rsidR="005B7E88" w:rsidRPr="00E625E1">
        <w:rPr>
          <w:rFonts w:ascii="Times New Roman" w:eastAsia="Times New Roman" w:hAnsi="Times New Roman" w:cs="Times New Roman"/>
          <w:lang w:val="en" w:eastAsia="it-IT"/>
        </w:rPr>
        <w:t>7</w:t>
      </w:r>
      <w:r w:rsidR="00F80642" w:rsidRPr="00E625E1">
        <w:rPr>
          <w:rFonts w:ascii="Times New Roman" w:eastAsia="Times New Roman" w:hAnsi="Times New Roman" w:cs="Times New Roman"/>
          <w:lang w:val="en" w:eastAsia="it-IT"/>
        </w:rPr>
        <w:t>]</w:t>
      </w:r>
      <w:r w:rsidR="00FB3DB2" w:rsidRPr="00E625E1">
        <w:rPr>
          <w:rFonts w:ascii="Times New Roman" w:eastAsia="Times New Roman" w:hAnsi="Times New Roman" w:cs="Times New Roman"/>
          <w:lang w:val="en" w:eastAsia="it-IT"/>
        </w:rPr>
        <w:t>.</w:t>
      </w:r>
    </w:p>
    <w:p w:rsidR="001E2430" w:rsidRPr="00E625E1" w:rsidRDefault="00D6595F" w:rsidP="00564898">
      <w:pPr>
        <w:shd w:val="clear" w:color="auto" w:fill="FFFFFF"/>
        <w:spacing w:after="0" w:line="480" w:lineRule="auto"/>
        <w:rPr>
          <w:rFonts w:ascii="Times New Roman" w:eastAsia="BISans-Regular" w:hAnsi="Times New Roman" w:cs="Times New Roman"/>
          <w:lang w:val="en-US"/>
        </w:rPr>
      </w:pPr>
      <w:r w:rsidRPr="00E625E1">
        <w:rPr>
          <w:rFonts w:ascii="Times New Roman" w:eastAsia="Times New Roman" w:hAnsi="Times New Roman" w:cs="Times New Roman"/>
          <w:lang w:val="en" w:eastAsia="it-IT"/>
        </w:rPr>
        <w:t xml:space="preserve">T2DM is a chronic disease with an inevitable progressive </w:t>
      </w:r>
      <w:r w:rsidR="008156E1" w:rsidRPr="00E625E1">
        <w:rPr>
          <w:rFonts w:ascii="Times New Roman" w:eastAsia="Times New Roman" w:hAnsi="Times New Roman" w:cs="Times New Roman"/>
          <w:lang w:val="en" w:eastAsia="it-IT"/>
        </w:rPr>
        <w:t xml:space="preserve">course; </w:t>
      </w:r>
      <w:r w:rsidRPr="00E625E1">
        <w:rPr>
          <w:rFonts w:ascii="Times New Roman" w:eastAsia="Times New Roman" w:hAnsi="Times New Roman" w:cs="Times New Roman"/>
          <w:lang w:val="en" w:eastAsia="it-IT"/>
        </w:rPr>
        <w:t xml:space="preserve">this implies frequent, necessary therapeutic variations and/or dose adjustments, to maintain </w:t>
      </w:r>
      <w:r w:rsidR="001E2430" w:rsidRPr="00E625E1">
        <w:rPr>
          <w:rFonts w:ascii="Times New Roman" w:eastAsia="Times New Roman" w:hAnsi="Times New Roman" w:cs="Times New Roman"/>
          <w:lang w:val="en" w:eastAsia="it-IT"/>
        </w:rPr>
        <w:t>the ideal glycemic target for the patient. In this view, availability of drugs able to guarantee a certain durability of their clinical efficacy along the time is of crucial importance. The SGLT2 inhibitors seem to have this capability</w:t>
      </w:r>
      <w:r w:rsidR="008C1BF5" w:rsidRPr="00E625E1">
        <w:rPr>
          <w:rFonts w:ascii="Times New Roman" w:eastAsia="Times New Roman" w:hAnsi="Times New Roman" w:cs="Times New Roman"/>
          <w:lang w:val="en" w:eastAsia="it-IT"/>
        </w:rPr>
        <w:t>: in pre-registrative studies,</w:t>
      </w:r>
      <w:r w:rsidR="001E2430" w:rsidRPr="00E625E1">
        <w:rPr>
          <w:rFonts w:ascii="Times New Roman" w:eastAsia="Times New Roman" w:hAnsi="Times New Roman" w:cs="Times New Roman"/>
          <w:lang w:val="en" w:eastAsia="it-IT"/>
        </w:rPr>
        <w:t xml:space="preserve"> a stability of HbA1c until </w:t>
      </w:r>
      <w:r w:rsidR="00C42F84" w:rsidRPr="00E625E1">
        <w:rPr>
          <w:rFonts w:ascii="Times New Roman" w:eastAsia="Times New Roman" w:hAnsi="Times New Roman" w:cs="Times New Roman"/>
          <w:lang w:val="en" w:eastAsia="it-IT"/>
        </w:rPr>
        <w:t>two</w:t>
      </w:r>
      <w:r w:rsidR="001E2430" w:rsidRPr="00E625E1">
        <w:rPr>
          <w:rFonts w:ascii="Times New Roman" w:eastAsia="Times New Roman" w:hAnsi="Times New Roman" w:cs="Times New Roman"/>
          <w:lang w:val="en" w:eastAsia="it-IT"/>
        </w:rPr>
        <w:t xml:space="preserve"> years</w:t>
      </w:r>
      <w:r w:rsidR="009321D7" w:rsidRPr="00E625E1">
        <w:rPr>
          <w:rFonts w:ascii="Times New Roman" w:eastAsia="BISans-Regular" w:hAnsi="Times New Roman" w:cs="Times New Roman"/>
          <w:lang w:val="en-US"/>
        </w:rPr>
        <w:t xml:space="preserve"> </w:t>
      </w:r>
      <w:r w:rsidR="008C1BF5" w:rsidRPr="00E625E1">
        <w:rPr>
          <w:rFonts w:ascii="Times New Roman" w:eastAsia="Times New Roman" w:hAnsi="Times New Roman" w:cs="Times New Roman"/>
          <w:lang w:val="en" w:eastAsia="it-IT"/>
        </w:rPr>
        <w:t>has been demonstrated</w:t>
      </w:r>
      <w:r w:rsidR="008C1BF5" w:rsidRPr="00E625E1">
        <w:rPr>
          <w:rFonts w:ascii="Times New Roman" w:eastAsia="BISans-Regular" w:hAnsi="Times New Roman" w:cs="Times New Roman"/>
          <w:lang w:val="en-US"/>
        </w:rPr>
        <w:t xml:space="preserve"> </w:t>
      </w:r>
      <w:r w:rsidR="00F80642" w:rsidRPr="00E625E1">
        <w:rPr>
          <w:rFonts w:ascii="Times New Roman" w:eastAsia="BISans-Regular" w:hAnsi="Times New Roman" w:cs="Times New Roman"/>
          <w:lang w:val="en-US"/>
        </w:rPr>
        <w:t>[</w:t>
      </w:r>
      <w:r w:rsidR="00C234ED" w:rsidRPr="00E625E1">
        <w:rPr>
          <w:rFonts w:ascii="Times New Roman" w:eastAsia="BISans-Regular" w:hAnsi="Times New Roman" w:cs="Times New Roman"/>
          <w:lang w:val="en-US"/>
        </w:rPr>
        <w:t>2</w:t>
      </w:r>
      <w:r w:rsidR="005B7E88" w:rsidRPr="00E625E1">
        <w:rPr>
          <w:rFonts w:ascii="Times New Roman" w:eastAsia="BISans-Regular" w:hAnsi="Times New Roman" w:cs="Times New Roman"/>
          <w:lang w:val="en-US"/>
        </w:rPr>
        <w:t>6</w:t>
      </w:r>
      <w:r w:rsidR="00FB3DB2" w:rsidRPr="00E625E1">
        <w:rPr>
          <w:rFonts w:ascii="Times New Roman" w:eastAsia="BISans-Regular" w:hAnsi="Times New Roman" w:cs="Times New Roman"/>
          <w:lang w:val="en-US"/>
        </w:rPr>
        <w:t>, 2</w:t>
      </w:r>
      <w:r w:rsidR="005B7E88" w:rsidRPr="00E625E1">
        <w:rPr>
          <w:rFonts w:ascii="Times New Roman" w:eastAsia="BISans-Regular" w:hAnsi="Times New Roman" w:cs="Times New Roman"/>
          <w:lang w:val="en-US"/>
        </w:rPr>
        <w:t>8</w:t>
      </w:r>
      <w:r w:rsidR="00FB3DB2" w:rsidRPr="00E625E1">
        <w:rPr>
          <w:rFonts w:ascii="Times New Roman" w:eastAsia="BISans-Regular" w:hAnsi="Times New Roman" w:cs="Times New Roman"/>
          <w:lang w:val="en-US"/>
        </w:rPr>
        <w:t xml:space="preserve">, </w:t>
      </w:r>
      <w:r w:rsidR="00C234ED" w:rsidRPr="00E625E1">
        <w:rPr>
          <w:rFonts w:ascii="Times New Roman" w:eastAsia="BISans-Regular" w:hAnsi="Times New Roman" w:cs="Times New Roman"/>
          <w:lang w:val="en-US"/>
        </w:rPr>
        <w:t>2</w:t>
      </w:r>
      <w:r w:rsidR="005B7E88" w:rsidRPr="00E625E1">
        <w:rPr>
          <w:rFonts w:ascii="Times New Roman" w:eastAsia="BISans-Regular" w:hAnsi="Times New Roman" w:cs="Times New Roman"/>
          <w:lang w:val="en-US"/>
        </w:rPr>
        <w:t>9</w:t>
      </w:r>
      <w:r w:rsidR="00F80642" w:rsidRPr="00E625E1">
        <w:rPr>
          <w:rFonts w:ascii="Times New Roman" w:eastAsia="BISans-Regular" w:hAnsi="Times New Roman" w:cs="Times New Roman"/>
          <w:lang w:val="en-US"/>
        </w:rPr>
        <w:t>]</w:t>
      </w:r>
      <w:r w:rsidR="00E65FD9" w:rsidRPr="00E625E1">
        <w:rPr>
          <w:rFonts w:ascii="Times New Roman" w:eastAsia="BISans-Regular" w:hAnsi="Times New Roman" w:cs="Times New Roman"/>
          <w:lang w:val="en-US"/>
        </w:rPr>
        <w:t>; post-marke</w:t>
      </w:r>
      <w:r w:rsidR="00FB3DB2" w:rsidRPr="00E625E1">
        <w:rPr>
          <w:rFonts w:ascii="Times New Roman" w:eastAsia="BISans-Regular" w:hAnsi="Times New Roman" w:cs="Times New Roman"/>
          <w:lang w:val="en-US"/>
        </w:rPr>
        <w:t>ting trials</w:t>
      </w:r>
      <w:r w:rsidR="006D5D66" w:rsidRPr="00E625E1">
        <w:rPr>
          <w:rFonts w:ascii="Times New Roman" w:eastAsia="BISans-Regular" w:hAnsi="Times New Roman" w:cs="Times New Roman"/>
          <w:lang w:val="en-US"/>
        </w:rPr>
        <w:t xml:space="preserve"> are confirming these results at </w:t>
      </w:r>
      <w:r w:rsidR="00C42F84" w:rsidRPr="00E625E1">
        <w:rPr>
          <w:rFonts w:ascii="Times New Roman" w:eastAsia="BISans-Regular" w:hAnsi="Times New Roman" w:cs="Times New Roman"/>
          <w:lang w:val="en-US"/>
        </w:rPr>
        <w:t>four</w:t>
      </w:r>
      <w:r w:rsidR="006D5D66" w:rsidRPr="00E625E1">
        <w:rPr>
          <w:rFonts w:ascii="Times New Roman" w:eastAsia="BISans-Regular" w:hAnsi="Times New Roman" w:cs="Times New Roman"/>
          <w:lang w:val="en-US"/>
        </w:rPr>
        <w:t xml:space="preserve"> years </w:t>
      </w:r>
      <w:r w:rsidR="00F80642" w:rsidRPr="00E625E1">
        <w:rPr>
          <w:rFonts w:ascii="Times New Roman" w:eastAsia="BISans-Regular" w:hAnsi="Times New Roman" w:cs="Times New Roman"/>
          <w:lang w:val="en-US"/>
        </w:rPr>
        <w:t>[</w:t>
      </w:r>
      <w:r w:rsidR="005B7E88" w:rsidRPr="00E625E1">
        <w:rPr>
          <w:rFonts w:ascii="Times New Roman" w:eastAsia="BISans-Regular" w:hAnsi="Times New Roman" w:cs="Times New Roman"/>
          <w:lang w:val="en-US"/>
        </w:rPr>
        <w:t>30</w:t>
      </w:r>
      <w:r w:rsidR="00F80642" w:rsidRPr="00E625E1">
        <w:rPr>
          <w:rFonts w:ascii="Times New Roman" w:eastAsia="BISans-Regular" w:hAnsi="Times New Roman" w:cs="Times New Roman"/>
          <w:lang w:val="en-US"/>
        </w:rPr>
        <w:t>]</w:t>
      </w:r>
      <w:r w:rsidR="00FB3DB2" w:rsidRPr="00E625E1">
        <w:rPr>
          <w:rFonts w:ascii="Times New Roman" w:eastAsia="BISans-Regular" w:hAnsi="Times New Roman" w:cs="Times New Roman"/>
          <w:lang w:val="en-US"/>
        </w:rPr>
        <w:t>.</w:t>
      </w:r>
    </w:p>
    <w:p w:rsidR="00C42F84" w:rsidRPr="00E625E1" w:rsidRDefault="00330977" w:rsidP="00962129">
      <w:pPr>
        <w:shd w:val="clear" w:color="auto" w:fill="FFFFFF"/>
        <w:spacing w:after="0" w:line="480" w:lineRule="auto"/>
        <w:rPr>
          <w:rFonts w:ascii="Times New Roman" w:eastAsia="BISans-Regular" w:hAnsi="Times New Roman" w:cs="Times New Roman"/>
          <w:lang w:val="en-US"/>
        </w:rPr>
      </w:pPr>
      <w:r w:rsidRPr="00E625E1">
        <w:rPr>
          <w:rFonts w:ascii="Times New Roman" w:eastAsia="BISans-Regular" w:hAnsi="Times New Roman" w:cs="Times New Roman"/>
          <w:lang w:val="en-US"/>
        </w:rPr>
        <w:t xml:space="preserve">It is interesting to point out as </w:t>
      </w:r>
      <w:r w:rsidR="000011E2" w:rsidRPr="00E625E1">
        <w:rPr>
          <w:rFonts w:ascii="Times New Roman" w:eastAsia="BISans-Regular" w:hAnsi="Times New Roman" w:cs="Times New Roman"/>
          <w:lang w:val="en-US"/>
        </w:rPr>
        <w:t>using</w:t>
      </w:r>
      <w:r w:rsidR="00795EDE" w:rsidRPr="00E625E1">
        <w:rPr>
          <w:rFonts w:ascii="Times New Roman" w:eastAsia="BISans-Regular" w:hAnsi="Times New Roman" w:cs="Times New Roman"/>
          <w:lang w:val="en-US"/>
        </w:rPr>
        <w:t xml:space="preserve"> SGLT2 inhibitors </w:t>
      </w:r>
      <w:r w:rsidR="00942997" w:rsidRPr="00E625E1">
        <w:rPr>
          <w:rFonts w:ascii="Times New Roman" w:eastAsia="BISans-Regular" w:hAnsi="Times New Roman" w:cs="Times New Roman"/>
          <w:color w:val="FF0000"/>
          <w:lang w:val="en-US"/>
        </w:rPr>
        <w:t xml:space="preserve">even before the clinical onset of diabetes </w:t>
      </w:r>
      <w:r w:rsidR="00795EDE" w:rsidRPr="00E625E1">
        <w:rPr>
          <w:rFonts w:ascii="Times New Roman" w:eastAsia="BISans-Regular" w:hAnsi="Times New Roman" w:cs="Times New Roman"/>
          <w:lang w:val="en-US"/>
        </w:rPr>
        <w:t>has been hypothesized, given their efficacy in improving β cell function (largely due to reduced glucose toxicity) and insulin sensitivity (obtained by preventing a further deterioration of glucose tolerance)</w:t>
      </w:r>
      <w:r w:rsidR="009321D7" w:rsidRPr="00E625E1">
        <w:rPr>
          <w:rFonts w:ascii="Times New Roman" w:eastAsia="BISans-Regular" w:hAnsi="Times New Roman" w:cs="Times New Roman"/>
          <w:lang w:val="en-US"/>
        </w:rPr>
        <w:t xml:space="preserve"> </w:t>
      </w:r>
      <w:r w:rsidR="00F80642" w:rsidRPr="00E625E1">
        <w:rPr>
          <w:rFonts w:ascii="Times New Roman" w:eastAsia="BISans-Regular" w:hAnsi="Times New Roman" w:cs="Times New Roman"/>
          <w:lang w:val="en-US"/>
        </w:rPr>
        <w:t>[</w:t>
      </w:r>
      <w:r w:rsidR="00FB3DB2" w:rsidRPr="00E625E1">
        <w:rPr>
          <w:rFonts w:ascii="Times New Roman" w:eastAsia="BISans-Regular" w:hAnsi="Times New Roman" w:cs="Times New Roman"/>
          <w:lang w:val="en-US"/>
        </w:rPr>
        <w:t>3</w:t>
      </w:r>
      <w:r w:rsidR="005B7E88" w:rsidRPr="00E625E1">
        <w:rPr>
          <w:rFonts w:ascii="Times New Roman" w:eastAsia="BISans-Regular" w:hAnsi="Times New Roman" w:cs="Times New Roman"/>
          <w:lang w:val="en-US"/>
        </w:rPr>
        <w:t>1</w:t>
      </w:r>
      <w:r w:rsidR="002A5BBA" w:rsidRPr="00E625E1">
        <w:rPr>
          <w:rFonts w:ascii="Times New Roman" w:eastAsia="BISans-Regular" w:hAnsi="Times New Roman" w:cs="Times New Roman"/>
          <w:lang w:val="en-US"/>
        </w:rPr>
        <w:t>-3</w:t>
      </w:r>
      <w:r w:rsidR="005B7E88" w:rsidRPr="00E625E1">
        <w:rPr>
          <w:rFonts w:ascii="Times New Roman" w:eastAsia="BISans-Regular" w:hAnsi="Times New Roman" w:cs="Times New Roman"/>
          <w:lang w:val="en-US"/>
        </w:rPr>
        <w:t>3</w:t>
      </w:r>
      <w:r w:rsidR="00F80642" w:rsidRPr="00E625E1">
        <w:rPr>
          <w:rFonts w:ascii="Times New Roman" w:eastAsia="BISans-Regular" w:hAnsi="Times New Roman" w:cs="Times New Roman"/>
          <w:lang w:val="en-US"/>
        </w:rPr>
        <w:t xml:space="preserve">]. </w:t>
      </w:r>
    </w:p>
    <w:p w:rsidR="00B87F5E" w:rsidRPr="00E625E1" w:rsidRDefault="00314B3A" w:rsidP="00564898">
      <w:pPr>
        <w:autoSpaceDE w:val="0"/>
        <w:autoSpaceDN w:val="0"/>
        <w:adjustRightInd w:val="0"/>
        <w:spacing w:after="0" w:line="480" w:lineRule="auto"/>
        <w:rPr>
          <w:rFonts w:ascii="Times New Roman" w:hAnsi="Times New Roman" w:cs="Times New Roman"/>
          <w:highlight w:val="yellow"/>
          <w:lang w:val="en-US"/>
        </w:rPr>
      </w:pPr>
      <w:r w:rsidRPr="00E625E1">
        <w:rPr>
          <w:rFonts w:ascii="Times New Roman" w:hAnsi="Times New Roman" w:cs="Times New Roman"/>
          <w:i/>
          <w:lang w:val="en-US"/>
        </w:rPr>
        <w:t xml:space="preserve">Effect on body weight - </w:t>
      </w:r>
      <w:r w:rsidRPr="00E625E1">
        <w:rPr>
          <w:rFonts w:ascii="Times New Roman" w:hAnsi="Times New Roman" w:cs="Times New Roman"/>
          <w:lang w:val="en-US"/>
        </w:rPr>
        <w:t>Treatment of obesity, a frequent comorbidity of</w:t>
      </w:r>
      <w:r w:rsidRPr="00E625E1">
        <w:rPr>
          <w:rFonts w:ascii="Times New Roman" w:hAnsi="Times New Roman" w:cs="Times New Roman"/>
          <w:i/>
          <w:lang w:val="en-US"/>
        </w:rPr>
        <w:t xml:space="preserve"> </w:t>
      </w:r>
      <w:r w:rsidR="009321D7" w:rsidRPr="00E625E1">
        <w:rPr>
          <w:rFonts w:ascii="Times New Roman" w:hAnsi="Times New Roman" w:cs="Times New Roman"/>
          <w:lang w:val="en-US"/>
        </w:rPr>
        <w:t xml:space="preserve"> T2DM, </w:t>
      </w:r>
      <w:r w:rsidRPr="00E625E1">
        <w:rPr>
          <w:rFonts w:ascii="Times New Roman" w:hAnsi="Times New Roman" w:cs="Times New Roman"/>
          <w:lang w:val="en-US"/>
        </w:rPr>
        <w:t>is a difficult and demanding task, and different therapeutic strategies</w:t>
      </w:r>
      <w:r w:rsidR="00515485" w:rsidRPr="00E625E1">
        <w:rPr>
          <w:rFonts w:ascii="Times New Roman" w:hAnsi="Times New Roman" w:cs="Times New Roman"/>
          <w:lang w:val="en-US"/>
        </w:rPr>
        <w:t xml:space="preserve"> (</w:t>
      </w:r>
      <w:r w:rsidRPr="00E625E1">
        <w:rPr>
          <w:rFonts w:ascii="Times New Roman" w:hAnsi="Times New Roman" w:cs="Times New Roman"/>
          <w:lang w:val="en-US"/>
        </w:rPr>
        <w:t xml:space="preserve"> hypocaloric diets</w:t>
      </w:r>
      <w:r w:rsidR="00515485" w:rsidRPr="00E625E1">
        <w:rPr>
          <w:rFonts w:ascii="Times New Roman" w:hAnsi="Times New Roman" w:cs="Times New Roman"/>
          <w:lang w:val="en-US"/>
        </w:rPr>
        <w:t xml:space="preserve">, </w:t>
      </w:r>
      <w:r w:rsidRPr="00E625E1">
        <w:rPr>
          <w:rFonts w:ascii="Times New Roman" w:hAnsi="Times New Roman" w:cs="Times New Roman"/>
          <w:lang w:val="en-US"/>
        </w:rPr>
        <w:t>promotion o</w:t>
      </w:r>
      <w:r w:rsidR="00987F84" w:rsidRPr="00E625E1">
        <w:rPr>
          <w:rFonts w:ascii="Times New Roman" w:hAnsi="Times New Roman" w:cs="Times New Roman"/>
          <w:lang w:val="en-US"/>
        </w:rPr>
        <w:t>f physical activity, behavio</w:t>
      </w:r>
      <w:r w:rsidRPr="00E625E1">
        <w:rPr>
          <w:rFonts w:ascii="Times New Roman" w:hAnsi="Times New Roman" w:cs="Times New Roman"/>
          <w:lang w:val="en-US"/>
        </w:rPr>
        <w:t>ral therapy, pharmacologic intervention</w:t>
      </w:r>
      <w:r w:rsidR="00515485" w:rsidRPr="00E625E1">
        <w:rPr>
          <w:rFonts w:ascii="Times New Roman" w:hAnsi="Times New Roman" w:cs="Times New Roman"/>
          <w:lang w:val="en-US"/>
        </w:rPr>
        <w:t>)</w:t>
      </w:r>
      <w:r w:rsidRPr="00E625E1">
        <w:rPr>
          <w:rFonts w:ascii="Times New Roman" w:hAnsi="Times New Roman" w:cs="Times New Roman"/>
          <w:lang w:val="en-US"/>
        </w:rPr>
        <w:t xml:space="preserve"> have a limited efficacy. SGLT2 inhibitors, either a</w:t>
      </w:r>
      <w:r w:rsidR="00C42F84" w:rsidRPr="00E625E1">
        <w:rPr>
          <w:rFonts w:ascii="Times New Roman" w:hAnsi="Times New Roman" w:cs="Times New Roman"/>
          <w:lang w:val="en-US"/>
        </w:rPr>
        <w:t xml:space="preserve">lone and as add-on to metformin, </w:t>
      </w:r>
      <w:r w:rsidR="002A5BBA" w:rsidRPr="00E625E1">
        <w:rPr>
          <w:rFonts w:ascii="Times New Roman" w:hAnsi="Times New Roman" w:cs="Times New Roman"/>
          <w:lang w:val="en-US"/>
        </w:rPr>
        <w:t>induce a relevant and stable</w:t>
      </w:r>
      <w:r w:rsidRPr="00E625E1">
        <w:rPr>
          <w:rFonts w:ascii="Times New Roman" w:hAnsi="Times New Roman" w:cs="Times New Roman"/>
          <w:lang w:val="en-US"/>
        </w:rPr>
        <w:t xml:space="preserve"> weight loss</w:t>
      </w:r>
      <w:r w:rsidR="00C42F84" w:rsidRPr="00E625E1">
        <w:rPr>
          <w:rFonts w:ascii="Times New Roman" w:hAnsi="Times New Roman" w:cs="Times New Roman"/>
          <w:lang w:val="en-US"/>
        </w:rPr>
        <w:t xml:space="preserve"> </w:t>
      </w:r>
      <w:r w:rsidR="00482DFD" w:rsidRPr="00E625E1">
        <w:rPr>
          <w:rFonts w:ascii="Times New Roman" w:hAnsi="Times New Roman" w:cs="Times New Roman"/>
          <w:lang w:val="en-US"/>
        </w:rPr>
        <w:t>[</w:t>
      </w:r>
      <w:r w:rsidR="0032118C" w:rsidRPr="00E625E1">
        <w:rPr>
          <w:rFonts w:ascii="Times New Roman" w:hAnsi="Times New Roman" w:cs="Times New Roman"/>
          <w:lang w:val="en-US"/>
        </w:rPr>
        <w:t>3</w:t>
      </w:r>
      <w:r w:rsidR="005B7E88" w:rsidRPr="00E625E1">
        <w:rPr>
          <w:rFonts w:ascii="Times New Roman" w:hAnsi="Times New Roman" w:cs="Times New Roman"/>
          <w:lang w:val="en-US"/>
        </w:rPr>
        <w:t>4</w:t>
      </w:r>
      <w:r w:rsidR="0032118C" w:rsidRPr="00E625E1">
        <w:rPr>
          <w:rFonts w:ascii="Times New Roman" w:hAnsi="Times New Roman" w:cs="Times New Roman"/>
          <w:lang w:val="en-US"/>
        </w:rPr>
        <w:t>, 3</w:t>
      </w:r>
      <w:r w:rsidR="005B7E88" w:rsidRPr="00E625E1">
        <w:rPr>
          <w:rFonts w:ascii="Times New Roman" w:hAnsi="Times New Roman" w:cs="Times New Roman"/>
          <w:lang w:val="en-US"/>
        </w:rPr>
        <w:t>5</w:t>
      </w:r>
      <w:r w:rsidR="00482DFD" w:rsidRPr="00E625E1">
        <w:rPr>
          <w:rFonts w:ascii="Times New Roman" w:hAnsi="Times New Roman" w:cs="Times New Roman"/>
          <w:lang w:val="en-US"/>
        </w:rPr>
        <w:t>]</w:t>
      </w:r>
      <w:r w:rsidRPr="00E625E1">
        <w:rPr>
          <w:rFonts w:ascii="Times New Roman" w:hAnsi="Times New Roman" w:cs="Times New Roman"/>
          <w:lang w:val="en-US"/>
        </w:rPr>
        <w:t>; such effect is maximized in patients</w:t>
      </w:r>
      <w:r w:rsidR="00515485" w:rsidRPr="00E625E1">
        <w:rPr>
          <w:rFonts w:ascii="Times New Roman" w:hAnsi="Times New Roman" w:cs="Times New Roman"/>
          <w:lang w:val="en-US"/>
        </w:rPr>
        <w:t xml:space="preserve"> </w:t>
      </w:r>
      <w:r w:rsidRPr="00E625E1">
        <w:rPr>
          <w:rFonts w:ascii="Times New Roman" w:hAnsi="Times New Roman" w:cs="Times New Roman"/>
          <w:lang w:val="en-US"/>
        </w:rPr>
        <w:t xml:space="preserve">treated </w:t>
      </w:r>
      <w:r w:rsidR="00515485" w:rsidRPr="00E625E1">
        <w:rPr>
          <w:rFonts w:ascii="Times New Roman" w:hAnsi="Times New Roman" w:cs="Times New Roman"/>
          <w:lang w:val="en-US"/>
        </w:rPr>
        <w:t xml:space="preserve">already </w:t>
      </w:r>
      <w:r w:rsidR="00340E35" w:rsidRPr="00E625E1">
        <w:rPr>
          <w:rFonts w:ascii="Times New Roman" w:hAnsi="Times New Roman" w:cs="Times New Roman"/>
          <w:lang w:val="en-US"/>
        </w:rPr>
        <w:t>with drugs usually inducing weight gain, like sulphonylureas</w:t>
      </w:r>
      <w:r w:rsidR="0032118C" w:rsidRPr="00E625E1">
        <w:rPr>
          <w:rFonts w:ascii="Times New Roman" w:hAnsi="Times New Roman" w:cs="Times New Roman"/>
          <w:lang w:val="en-US"/>
        </w:rPr>
        <w:t xml:space="preserve"> or pioglitazone </w:t>
      </w:r>
      <w:r w:rsidR="00482DFD" w:rsidRPr="00E625E1">
        <w:rPr>
          <w:rFonts w:ascii="Times New Roman" w:hAnsi="Times New Roman" w:cs="Times New Roman"/>
          <w:lang w:val="en-US"/>
        </w:rPr>
        <w:t>[</w:t>
      </w:r>
      <w:r w:rsidR="0032118C" w:rsidRPr="00E625E1">
        <w:rPr>
          <w:rFonts w:ascii="Times New Roman" w:hAnsi="Times New Roman" w:cs="Times New Roman"/>
          <w:color w:val="000000" w:themeColor="text1"/>
          <w:lang w:val="en-US"/>
        </w:rPr>
        <w:t>3</w:t>
      </w:r>
      <w:r w:rsidR="005B7E88" w:rsidRPr="00E625E1">
        <w:rPr>
          <w:rFonts w:ascii="Times New Roman" w:hAnsi="Times New Roman" w:cs="Times New Roman"/>
          <w:color w:val="000000" w:themeColor="text1"/>
          <w:lang w:val="en-US"/>
        </w:rPr>
        <w:t>6</w:t>
      </w:r>
      <w:r w:rsidR="0032118C" w:rsidRPr="00E625E1">
        <w:rPr>
          <w:rFonts w:ascii="Times New Roman" w:hAnsi="Times New Roman" w:cs="Times New Roman"/>
          <w:color w:val="000000" w:themeColor="text1"/>
          <w:lang w:val="en-US"/>
        </w:rPr>
        <w:t>, 3</w:t>
      </w:r>
      <w:r w:rsidR="005B7E88" w:rsidRPr="00E625E1">
        <w:rPr>
          <w:rFonts w:ascii="Times New Roman" w:hAnsi="Times New Roman" w:cs="Times New Roman"/>
          <w:color w:val="000000" w:themeColor="text1"/>
          <w:lang w:val="en-US"/>
        </w:rPr>
        <w:t>7</w:t>
      </w:r>
      <w:r w:rsidR="00482DFD" w:rsidRPr="00E625E1">
        <w:rPr>
          <w:rFonts w:ascii="Times New Roman" w:hAnsi="Times New Roman" w:cs="Times New Roman"/>
          <w:lang w:val="en-US"/>
        </w:rPr>
        <w:t>]</w:t>
      </w:r>
      <w:r w:rsidR="00C66FD8" w:rsidRPr="00E625E1">
        <w:rPr>
          <w:rFonts w:ascii="Times New Roman" w:hAnsi="Times New Roman" w:cs="Times New Roman"/>
          <w:lang w:val="en-US"/>
        </w:rPr>
        <w:t xml:space="preserve">; conversely, weight loss favorably influence glucose and blood pressure control </w:t>
      </w:r>
      <w:r w:rsidR="00482DFD" w:rsidRPr="00E625E1">
        <w:rPr>
          <w:rFonts w:ascii="Times New Roman" w:hAnsi="Times New Roman" w:cs="Times New Roman"/>
          <w:lang w:val="en-US"/>
        </w:rPr>
        <w:t>[</w:t>
      </w:r>
      <w:r w:rsidR="00C66FD8" w:rsidRPr="00E625E1">
        <w:rPr>
          <w:rFonts w:ascii="Times New Roman" w:hAnsi="Times New Roman" w:cs="Times New Roman"/>
          <w:lang w:val="en-US"/>
        </w:rPr>
        <w:t>3</w:t>
      </w:r>
      <w:r w:rsidR="005B7E88" w:rsidRPr="00E625E1">
        <w:rPr>
          <w:rFonts w:ascii="Times New Roman" w:hAnsi="Times New Roman" w:cs="Times New Roman"/>
          <w:lang w:val="en-US"/>
        </w:rPr>
        <w:t>8</w:t>
      </w:r>
      <w:r w:rsidR="00482DFD" w:rsidRPr="00E625E1">
        <w:rPr>
          <w:rFonts w:ascii="Times New Roman" w:hAnsi="Times New Roman" w:cs="Times New Roman"/>
          <w:lang w:val="en-US"/>
        </w:rPr>
        <w:t>]</w:t>
      </w:r>
      <w:r w:rsidR="00C66FD8" w:rsidRPr="00E625E1">
        <w:rPr>
          <w:rFonts w:ascii="Times New Roman" w:hAnsi="Times New Roman" w:cs="Times New Roman"/>
          <w:lang w:val="en-US"/>
        </w:rPr>
        <w:t xml:space="preserve">. As by a </w:t>
      </w:r>
      <w:r w:rsidR="00340E35" w:rsidRPr="00E625E1">
        <w:rPr>
          <w:rFonts w:ascii="Times New Roman" w:hAnsi="Times New Roman" w:cs="Times New Roman"/>
          <w:lang w:val="en-US"/>
        </w:rPr>
        <w:t xml:space="preserve"> recent metanalysis </w:t>
      </w:r>
      <w:r w:rsidR="00C66FD8" w:rsidRPr="00E625E1">
        <w:rPr>
          <w:rFonts w:ascii="Times New Roman" w:hAnsi="Times New Roman" w:cs="Times New Roman"/>
          <w:lang w:val="en-US"/>
        </w:rPr>
        <w:t xml:space="preserve"> </w:t>
      </w:r>
      <w:r w:rsidR="00340E35" w:rsidRPr="00E625E1">
        <w:rPr>
          <w:rFonts w:ascii="Times New Roman" w:hAnsi="Times New Roman" w:cs="Times New Roman"/>
          <w:lang w:val="en-US"/>
        </w:rPr>
        <w:t xml:space="preserve">including </w:t>
      </w:r>
      <w:r w:rsidR="00482DFD" w:rsidRPr="00E625E1">
        <w:rPr>
          <w:rFonts w:ascii="Times New Roman" w:hAnsi="Times New Roman" w:cs="Times New Roman"/>
          <w:lang w:val="en-US"/>
        </w:rPr>
        <w:t>ten</w:t>
      </w:r>
      <w:r w:rsidR="009321D7" w:rsidRPr="00E625E1">
        <w:rPr>
          <w:rFonts w:ascii="Times New Roman" w:hAnsi="Times New Roman" w:cs="Times New Roman"/>
          <w:lang w:val="en-US"/>
        </w:rPr>
        <w:t xml:space="preserve"> </w:t>
      </w:r>
      <w:r w:rsidR="00C66FD8" w:rsidRPr="00E625E1">
        <w:rPr>
          <w:rFonts w:ascii="Times New Roman" w:hAnsi="Times New Roman" w:cs="Times New Roman"/>
          <w:lang w:val="en-US"/>
        </w:rPr>
        <w:t xml:space="preserve">trials </w:t>
      </w:r>
      <w:r w:rsidR="00340E35" w:rsidRPr="00E625E1">
        <w:rPr>
          <w:rFonts w:ascii="Times New Roman" w:hAnsi="Times New Roman" w:cs="Times New Roman"/>
          <w:lang w:val="en-US"/>
        </w:rPr>
        <w:t xml:space="preserve">with </w:t>
      </w:r>
      <w:r w:rsidR="009321D7" w:rsidRPr="00E625E1">
        <w:rPr>
          <w:rFonts w:ascii="Times New Roman" w:hAnsi="Times New Roman" w:cs="Times New Roman"/>
          <w:lang w:val="en-US"/>
        </w:rPr>
        <w:t xml:space="preserve"> </w:t>
      </w:r>
      <w:r w:rsidR="00C66FD8" w:rsidRPr="00E625E1">
        <w:rPr>
          <w:rFonts w:ascii="Times New Roman" w:hAnsi="Times New Roman" w:cs="Times New Roman"/>
          <w:lang w:val="en-US"/>
        </w:rPr>
        <w:t>6,701</w:t>
      </w:r>
      <w:r w:rsidR="00340E35" w:rsidRPr="00E625E1">
        <w:rPr>
          <w:rFonts w:ascii="Times New Roman" w:hAnsi="Times New Roman" w:cs="Times New Roman"/>
          <w:lang w:val="en-US"/>
        </w:rPr>
        <w:t xml:space="preserve"> participants</w:t>
      </w:r>
      <w:r w:rsidR="00C66FD8" w:rsidRPr="00E625E1">
        <w:rPr>
          <w:rFonts w:ascii="Times New Roman" w:hAnsi="Times New Roman" w:cs="Times New Roman"/>
          <w:lang w:val="en-US"/>
        </w:rPr>
        <w:t xml:space="preserve"> </w:t>
      </w:r>
      <w:r w:rsidR="00482DFD" w:rsidRPr="00E625E1">
        <w:rPr>
          <w:rFonts w:ascii="Times New Roman" w:hAnsi="Times New Roman" w:cs="Times New Roman"/>
          <w:lang w:val="en-US"/>
        </w:rPr>
        <w:t>[3</w:t>
      </w:r>
      <w:r w:rsidR="005B7E88" w:rsidRPr="00E625E1">
        <w:rPr>
          <w:rFonts w:ascii="Times New Roman" w:hAnsi="Times New Roman" w:cs="Times New Roman"/>
          <w:lang w:val="en-US"/>
        </w:rPr>
        <w:t>9</w:t>
      </w:r>
      <w:r w:rsidR="00482DFD" w:rsidRPr="00E625E1">
        <w:rPr>
          <w:rFonts w:ascii="Times New Roman" w:hAnsi="Times New Roman" w:cs="Times New Roman"/>
          <w:lang w:val="en-US"/>
        </w:rPr>
        <w:t>]</w:t>
      </w:r>
      <w:r w:rsidR="00340E35" w:rsidRPr="00E625E1">
        <w:rPr>
          <w:rFonts w:ascii="Times New Roman" w:hAnsi="Times New Roman" w:cs="Times New Roman"/>
          <w:lang w:val="en-US"/>
        </w:rPr>
        <w:t xml:space="preserve">, </w:t>
      </w:r>
      <w:r w:rsidR="00C66FD8" w:rsidRPr="00E625E1">
        <w:rPr>
          <w:rStyle w:val="highlight2"/>
          <w:rFonts w:ascii="Times New Roman" w:hAnsi="Times New Roman" w:cs="Times New Roman"/>
          <w:lang w:val="en-US"/>
        </w:rPr>
        <w:t>canagliflozin</w:t>
      </w:r>
      <w:r w:rsidR="00C66FD8" w:rsidRPr="00E625E1">
        <w:rPr>
          <w:rFonts w:ascii="Times New Roman" w:hAnsi="Times New Roman" w:cs="Times New Roman"/>
          <w:lang w:val="en-US"/>
        </w:rPr>
        <w:t xml:space="preserve"> led to greater body </w:t>
      </w:r>
      <w:r w:rsidR="00C66FD8" w:rsidRPr="00E625E1">
        <w:rPr>
          <w:rStyle w:val="highlight2"/>
          <w:rFonts w:ascii="Times New Roman" w:hAnsi="Times New Roman" w:cs="Times New Roman"/>
          <w:lang w:val="en-US"/>
        </w:rPr>
        <w:t>weight loss</w:t>
      </w:r>
      <w:r w:rsidR="00C66FD8" w:rsidRPr="00E625E1">
        <w:rPr>
          <w:rFonts w:ascii="Times New Roman" w:hAnsi="Times New Roman" w:cs="Times New Roman"/>
          <w:lang w:val="en-US"/>
        </w:rPr>
        <w:t xml:space="preserve"> (-2.81 kg vs. placebo). Similarly to </w:t>
      </w:r>
      <w:r w:rsidR="00340E35" w:rsidRPr="00E625E1">
        <w:rPr>
          <w:rFonts w:ascii="Times New Roman" w:hAnsi="Times New Roman" w:cs="Times New Roman"/>
          <w:lang w:val="en-US"/>
        </w:rPr>
        <w:t xml:space="preserve">glucose control, </w:t>
      </w:r>
      <w:r w:rsidR="000011E2" w:rsidRPr="00E625E1">
        <w:rPr>
          <w:rFonts w:ascii="Times New Roman" w:hAnsi="Times New Roman" w:cs="Times New Roman"/>
          <w:lang w:val="en-US"/>
        </w:rPr>
        <w:t>body weight seems to remain</w:t>
      </w:r>
      <w:r w:rsidR="00C66FD8" w:rsidRPr="00E625E1">
        <w:rPr>
          <w:rFonts w:ascii="Times New Roman" w:hAnsi="Times New Roman" w:cs="Times New Roman"/>
          <w:lang w:val="en-US"/>
        </w:rPr>
        <w:t xml:space="preserve"> </w:t>
      </w:r>
      <w:r w:rsidR="00340E35" w:rsidRPr="00E625E1">
        <w:rPr>
          <w:rFonts w:ascii="Times New Roman" w:hAnsi="Times New Roman" w:cs="Times New Roman"/>
          <w:lang w:val="en-US"/>
        </w:rPr>
        <w:t>relatively stable</w:t>
      </w:r>
      <w:r w:rsidR="00077B84" w:rsidRPr="00E625E1">
        <w:rPr>
          <w:rFonts w:ascii="Times New Roman" w:hAnsi="Times New Roman" w:cs="Times New Roman"/>
          <w:lang w:val="en-US"/>
        </w:rPr>
        <w:t xml:space="preserve"> along the time</w:t>
      </w:r>
      <w:r w:rsidR="004E467D" w:rsidRPr="00E625E1">
        <w:rPr>
          <w:rFonts w:ascii="Times New Roman" w:hAnsi="Times New Roman" w:cs="Times New Roman"/>
          <w:lang w:val="en-US"/>
        </w:rPr>
        <w:t xml:space="preserve"> </w:t>
      </w:r>
      <w:r w:rsidR="00482DFD" w:rsidRPr="00E625E1">
        <w:rPr>
          <w:rFonts w:ascii="Times New Roman" w:hAnsi="Times New Roman" w:cs="Times New Roman"/>
          <w:lang w:val="en-US"/>
        </w:rPr>
        <w:t>[</w:t>
      </w:r>
      <w:r w:rsidR="005B7E88" w:rsidRPr="00E625E1">
        <w:rPr>
          <w:rFonts w:ascii="Times New Roman" w:hAnsi="Times New Roman" w:cs="Times New Roman"/>
          <w:lang w:val="en-US"/>
        </w:rPr>
        <w:t>29</w:t>
      </w:r>
      <w:r w:rsidR="00482DFD" w:rsidRPr="00E625E1">
        <w:rPr>
          <w:rFonts w:ascii="Times New Roman" w:hAnsi="Times New Roman" w:cs="Times New Roman"/>
          <w:lang w:val="en-US"/>
        </w:rPr>
        <w:t>]</w:t>
      </w:r>
      <w:r w:rsidR="004E467D" w:rsidRPr="00E625E1">
        <w:rPr>
          <w:rFonts w:ascii="Times New Roman" w:hAnsi="Times New Roman" w:cs="Times New Roman"/>
          <w:lang w:val="en-US"/>
        </w:rPr>
        <w:t xml:space="preserve">. </w:t>
      </w:r>
    </w:p>
    <w:p w:rsidR="00175F35" w:rsidRPr="00E625E1" w:rsidRDefault="00882D97" w:rsidP="00564898">
      <w:pPr>
        <w:autoSpaceDE w:val="0"/>
        <w:autoSpaceDN w:val="0"/>
        <w:adjustRightInd w:val="0"/>
        <w:spacing w:after="0" w:line="480" w:lineRule="auto"/>
        <w:rPr>
          <w:rFonts w:ascii="Times New Roman" w:hAnsi="Times New Roman" w:cs="Times New Roman"/>
          <w:lang w:val="en-US"/>
        </w:rPr>
      </w:pPr>
      <w:r w:rsidRPr="00E625E1">
        <w:rPr>
          <w:rFonts w:ascii="Times New Roman" w:eastAsia="BISans-Regular" w:hAnsi="Times New Roman" w:cs="Times New Roman"/>
          <w:lang w:val="en-US"/>
        </w:rPr>
        <w:t xml:space="preserve">A smart </w:t>
      </w:r>
      <w:r w:rsidR="000011E2" w:rsidRPr="00E625E1">
        <w:rPr>
          <w:rFonts w:ascii="Times New Roman" w:eastAsia="BISans-Regular" w:hAnsi="Times New Roman" w:cs="Times New Roman"/>
          <w:lang w:val="en-US"/>
        </w:rPr>
        <w:t xml:space="preserve">approach </w:t>
      </w:r>
      <w:r w:rsidRPr="00E625E1">
        <w:rPr>
          <w:rFonts w:ascii="Times New Roman" w:eastAsia="BISans-Regular" w:hAnsi="Times New Roman" w:cs="Times New Roman"/>
          <w:lang w:val="en-US"/>
        </w:rPr>
        <w:t xml:space="preserve">in preventing an undesired weight gain is </w:t>
      </w:r>
      <w:r w:rsidR="000011E2" w:rsidRPr="00E625E1">
        <w:rPr>
          <w:rFonts w:ascii="Times New Roman" w:eastAsia="BISans-Regular" w:hAnsi="Times New Roman" w:cs="Times New Roman"/>
          <w:lang w:val="en-US"/>
        </w:rPr>
        <w:t xml:space="preserve">combining </w:t>
      </w:r>
      <w:r w:rsidRPr="00E625E1">
        <w:rPr>
          <w:rFonts w:ascii="Times New Roman" w:eastAsia="BISans-Regular" w:hAnsi="Times New Roman" w:cs="Times New Roman"/>
          <w:lang w:val="en-US"/>
        </w:rPr>
        <w:t>SGLT2 inhibitors with insulin, especially when patients are overweight or obese: in such studies</w:t>
      </w:r>
      <w:r w:rsidR="004E467D" w:rsidRPr="00E625E1">
        <w:rPr>
          <w:rFonts w:ascii="Times New Roman" w:eastAsia="BISans-Regular" w:hAnsi="Times New Roman" w:cs="Times New Roman"/>
          <w:lang w:val="en-US"/>
        </w:rPr>
        <w:t xml:space="preserve">, a sustained </w:t>
      </w:r>
      <w:r w:rsidRPr="00E625E1">
        <w:rPr>
          <w:rFonts w:ascii="Times New Roman" w:eastAsia="BISans-Regular" w:hAnsi="Times New Roman" w:cs="Times New Roman"/>
          <w:lang w:val="en-US"/>
        </w:rPr>
        <w:t>weight loss has been</w:t>
      </w:r>
      <w:r w:rsidR="004E467D" w:rsidRPr="00E625E1">
        <w:rPr>
          <w:rFonts w:ascii="Times New Roman" w:eastAsia="BISans-Regular" w:hAnsi="Times New Roman" w:cs="Times New Roman"/>
          <w:lang w:val="en-US"/>
        </w:rPr>
        <w:t xml:space="preserve"> obtained, together with </w:t>
      </w:r>
      <w:r w:rsidRPr="00E625E1">
        <w:rPr>
          <w:rFonts w:ascii="Times New Roman" w:eastAsia="BISans-Regular" w:hAnsi="Times New Roman" w:cs="Times New Roman"/>
          <w:lang w:val="en-US"/>
        </w:rPr>
        <w:t>a reduction in daily insulin requ</w:t>
      </w:r>
      <w:r w:rsidR="004E467D" w:rsidRPr="00E625E1">
        <w:rPr>
          <w:rFonts w:ascii="Times New Roman" w:eastAsia="BISans-Regular" w:hAnsi="Times New Roman" w:cs="Times New Roman"/>
          <w:lang w:val="en-US"/>
        </w:rPr>
        <w:t xml:space="preserve">irement </w:t>
      </w:r>
      <w:r w:rsidR="00482DFD" w:rsidRPr="00E625E1">
        <w:rPr>
          <w:rFonts w:ascii="Times New Roman" w:eastAsia="BISans-Regular" w:hAnsi="Times New Roman" w:cs="Times New Roman"/>
          <w:lang w:val="en-US"/>
        </w:rPr>
        <w:t>[</w:t>
      </w:r>
      <w:r w:rsidR="005B7E88" w:rsidRPr="00E625E1">
        <w:rPr>
          <w:rFonts w:ascii="Times New Roman" w:eastAsia="BISans-Regular" w:hAnsi="Times New Roman" w:cs="Times New Roman"/>
          <w:lang w:val="en-US"/>
        </w:rPr>
        <w:t>40</w:t>
      </w:r>
      <w:r w:rsidR="00482DFD" w:rsidRPr="00E625E1">
        <w:rPr>
          <w:rFonts w:ascii="Times New Roman" w:eastAsia="BISans-Regular" w:hAnsi="Times New Roman" w:cs="Times New Roman"/>
          <w:lang w:val="en-US"/>
        </w:rPr>
        <w:t>]</w:t>
      </w:r>
      <w:r w:rsidRPr="00E625E1">
        <w:rPr>
          <w:rFonts w:ascii="Times New Roman" w:eastAsia="BISans-Regular" w:hAnsi="Times New Roman" w:cs="Times New Roman"/>
          <w:lang w:val="en-US"/>
        </w:rPr>
        <w:t>.</w:t>
      </w:r>
      <w:r w:rsidR="00175F35" w:rsidRPr="00E625E1">
        <w:rPr>
          <w:rFonts w:ascii="Times New Roman" w:hAnsi="Times New Roman" w:cs="Times New Roman"/>
          <w:lang w:val="en-US"/>
        </w:rPr>
        <w:t xml:space="preserve"> </w:t>
      </w:r>
    </w:p>
    <w:p w:rsidR="009321D7" w:rsidRPr="00E625E1" w:rsidRDefault="00B87F5E" w:rsidP="00962129">
      <w:pPr>
        <w:autoSpaceDE w:val="0"/>
        <w:autoSpaceDN w:val="0"/>
        <w:adjustRightInd w:val="0"/>
        <w:spacing w:after="0" w:line="480" w:lineRule="auto"/>
        <w:rPr>
          <w:rFonts w:ascii="Times New Roman" w:eastAsia="BISans-Regular" w:hAnsi="Times New Roman" w:cs="Times New Roman"/>
          <w:lang w:val="en-US"/>
        </w:rPr>
      </w:pPr>
      <w:r w:rsidRPr="00E625E1">
        <w:rPr>
          <w:rFonts w:ascii="Times New Roman" w:eastAsia="BISans-Regular" w:hAnsi="Times New Roman" w:cs="Times New Roman"/>
          <w:lang w:val="en-US"/>
        </w:rPr>
        <w:lastRenderedPageBreak/>
        <w:t xml:space="preserve">Weight loss induced by SGLT2 inhibitors is mainly due to a reduction </w:t>
      </w:r>
      <w:r w:rsidR="004E467D" w:rsidRPr="00E625E1">
        <w:rPr>
          <w:rFonts w:ascii="Times New Roman" w:eastAsia="BISans-Regular" w:hAnsi="Times New Roman" w:cs="Times New Roman"/>
          <w:lang w:val="en-US"/>
        </w:rPr>
        <w:t>in</w:t>
      </w:r>
      <w:r w:rsidRPr="00E625E1">
        <w:rPr>
          <w:rFonts w:ascii="Times New Roman" w:eastAsia="BISans-Regular" w:hAnsi="Times New Roman" w:cs="Times New Roman"/>
          <w:lang w:val="en-US"/>
        </w:rPr>
        <w:t xml:space="preserve"> subcutaneous and visceral fat mass </w:t>
      </w:r>
      <w:r w:rsidR="00482DFD" w:rsidRPr="00E625E1">
        <w:rPr>
          <w:rFonts w:ascii="Times New Roman" w:hAnsi="Times New Roman" w:cs="Times New Roman"/>
          <w:lang w:val="en-US"/>
        </w:rPr>
        <w:t>[</w:t>
      </w:r>
      <w:r w:rsidR="004E467D" w:rsidRPr="00E625E1">
        <w:rPr>
          <w:rFonts w:ascii="Times New Roman" w:hAnsi="Times New Roman" w:cs="Times New Roman"/>
          <w:lang w:val="en-US"/>
        </w:rPr>
        <w:t>4</w:t>
      </w:r>
      <w:r w:rsidR="005B7E88" w:rsidRPr="00E625E1">
        <w:rPr>
          <w:rFonts w:ascii="Times New Roman" w:hAnsi="Times New Roman" w:cs="Times New Roman"/>
          <w:lang w:val="en-US"/>
        </w:rPr>
        <w:t>1</w:t>
      </w:r>
      <w:r w:rsidR="00482DFD" w:rsidRPr="00E625E1">
        <w:rPr>
          <w:rFonts w:ascii="Times New Roman" w:hAnsi="Times New Roman" w:cs="Times New Roman"/>
          <w:lang w:val="en-US"/>
        </w:rPr>
        <w:t>]</w:t>
      </w:r>
      <w:r w:rsidRPr="00E625E1">
        <w:rPr>
          <w:rFonts w:ascii="Times New Roman" w:hAnsi="Times New Roman" w:cs="Times New Roman"/>
          <w:lang w:val="en-US"/>
        </w:rPr>
        <w:t xml:space="preserve">;  </w:t>
      </w:r>
      <w:r w:rsidR="00026C9D" w:rsidRPr="00E625E1">
        <w:rPr>
          <w:rFonts w:ascii="Times New Roman" w:hAnsi="Times New Roman" w:cs="Times New Roman"/>
          <w:lang w:val="en-US"/>
        </w:rPr>
        <w:t>an adjunctive role in determining weight loss and maintainin</w:t>
      </w:r>
      <w:r w:rsidR="006E05E5" w:rsidRPr="00E625E1">
        <w:rPr>
          <w:rFonts w:ascii="Times New Roman" w:hAnsi="Times New Roman" w:cs="Times New Roman"/>
          <w:lang w:val="en-US"/>
        </w:rPr>
        <w:t xml:space="preserve">g it stable can be played by a </w:t>
      </w:r>
      <w:r w:rsidR="00026C9D" w:rsidRPr="00E625E1">
        <w:rPr>
          <w:rFonts w:ascii="Times New Roman" w:hAnsi="Times New Roman" w:cs="Times New Roman"/>
          <w:lang w:val="en-US"/>
        </w:rPr>
        <w:t>diuretic ef</w:t>
      </w:r>
      <w:r w:rsidR="00175F35" w:rsidRPr="00E625E1">
        <w:rPr>
          <w:rFonts w:ascii="Times New Roman" w:hAnsi="Times New Roman" w:cs="Times New Roman"/>
          <w:lang w:val="en-US"/>
        </w:rPr>
        <w:t>fect exerted by these compounds</w:t>
      </w:r>
      <w:r w:rsidR="00026C9D" w:rsidRPr="00E625E1">
        <w:rPr>
          <w:rFonts w:ascii="Times New Roman" w:hAnsi="Times New Roman" w:cs="Times New Roman"/>
          <w:lang w:val="en-US"/>
        </w:rPr>
        <w:t>.</w:t>
      </w:r>
      <w:r w:rsidR="00175F35" w:rsidRPr="00E625E1">
        <w:rPr>
          <w:rFonts w:ascii="Times New Roman" w:hAnsi="Times New Roman" w:cs="Times New Roman"/>
          <w:lang w:val="en-US"/>
        </w:rPr>
        <w:t xml:space="preserve"> </w:t>
      </w:r>
      <w:r w:rsidR="00F53BFF" w:rsidRPr="00E625E1">
        <w:rPr>
          <w:rFonts w:ascii="Times New Roman" w:hAnsi="Times New Roman" w:cs="Times New Roman"/>
          <w:lang w:val="en-US"/>
        </w:rPr>
        <w:t xml:space="preserve">However, as recently and elegantly shown by Ferrannini </w:t>
      </w:r>
      <w:r w:rsidR="00F53BFF" w:rsidRPr="00E625E1">
        <w:rPr>
          <w:rFonts w:ascii="Times New Roman" w:hAnsi="Times New Roman" w:cs="Times New Roman"/>
          <w:i/>
          <w:lang w:val="en-US"/>
        </w:rPr>
        <w:t>et al</w:t>
      </w:r>
      <w:r w:rsidR="00F53BFF" w:rsidRPr="00E625E1">
        <w:rPr>
          <w:rFonts w:ascii="Times New Roman" w:hAnsi="Times New Roman" w:cs="Times New Roman"/>
          <w:lang w:val="en-US"/>
        </w:rPr>
        <w:t>.</w:t>
      </w:r>
      <w:r w:rsidR="00482DFD" w:rsidRPr="00E625E1">
        <w:rPr>
          <w:rFonts w:ascii="Times New Roman" w:hAnsi="Times New Roman" w:cs="Times New Roman"/>
          <w:lang w:val="en-US"/>
        </w:rPr>
        <w:t xml:space="preserve"> [</w:t>
      </w:r>
      <w:r w:rsidR="00BB7520" w:rsidRPr="00E625E1">
        <w:rPr>
          <w:rFonts w:ascii="Times New Roman" w:hAnsi="Times New Roman" w:cs="Times New Roman"/>
          <w:lang w:val="en-US"/>
        </w:rPr>
        <w:t>4</w:t>
      </w:r>
      <w:r w:rsidR="005B7E88" w:rsidRPr="00E625E1">
        <w:rPr>
          <w:rFonts w:ascii="Times New Roman" w:hAnsi="Times New Roman" w:cs="Times New Roman"/>
          <w:lang w:val="en-US"/>
        </w:rPr>
        <w:t>2</w:t>
      </w:r>
      <w:r w:rsidR="00482DFD" w:rsidRPr="00E625E1">
        <w:rPr>
          <w:rFonts w:ascii="Times New Roman" w:hAnsi="Times New Roman" w:cs="Times New Roman"/>
          <w:lang w:val="en-US"/>
        </w:rPr>
        <w:t>]</w:t>
      </w:r>
      <w:r w:rsidR="00F53BFF" w:rsidRPr="00E625E1">
        <w:rPr>
          <w:rFonts w:ascii="Times New Roman" w:hAnsi="Times New Roman" w:cs="Times New Roman"/>
          <w:lang w:val="en-US"/>
        </w:rPr>
        <w:t xml:space="preserve">, </w:t>
      </w:r>
      <w:r w:rsidR="00C42F84" w:rsidRPr="00E625E1">
        <w:rPr>
          <w:rFonts w:ascii="Times New Roman" w:hAnsi="Times New Roman" w:cs="Times New Roman"/>
          <w:lang w:val="en"/>
        </w:rPr>
        <w:t>w</w:t>
      </w:r>
      <w:r w:rsidR="00F53BFF" w:rsidRPr="00E625E1">
        <w:rPr>
          <w:rFonts w:ascii="Times New Roman" w:hAnsi="Times New Roman" w:cs="Times New Roman"/>
          <w:lang w:val="en"/>
        </w:rPr>
        <w:t xml:space="preserve">hen accounting for glycosuria but assuming no changes in energy intake, the model-predicted weight loss </w:t>
      </w:r>
      <w:r w:rsidR="00BB7520" w:rsidRPr="00E625E1">
        <w:rPr>
          <w:rFonts w:ascii="Times New Roman" w:hAnsi="Times New Roman" w:cs="Times New Roman"/>
          <w:lang w:val="en"/>
        </w:rPr>
        <w:t xml:space="preserve">would be </w:t>
      </w:r>
      <w:r w:rsidR="00F53BFF" w:rsidRPr="00E625E1">
        <w:rPr>
          <w:rFonts w:ascii="Times New Roman" w:hAnsi="Times New Roman" w:cs="Times New Roman"/>
          <w:lang w:val="en"/>
        </w:rPr>
        <w:t xml:space="preserve">much larger than </w:t>
      </w:r>
      <w:r w:rsidR="00BB7520" w:rsidRPr="00E625E1">
        <w:rPr>
          <w:rFonts w:ascii="Times New Roman" w:hAnsi="Times New Roman" w:cs="Times New Roman"/>
          <w:lang w:val="en"/>
        </w:rPr>
        <w:t>usually reported, with o</w:t>
      </w:r>
      <w:r w:rsidR="00F53BFF" w:rsidRPr="00E625E1">
        <w:rPr>
          <w:rFonts w:ascii="Times New Roman" w:hAnsi="Times New Roman" w:cs="Times New Roman"/>
          <w:lang w:val="en"/>
        </w:rPr>
        <w:t xml:space="preserve">bserved and predicted weight loss </w:t>
      </w:r>
      <w:r w:rsidR="00BB7520" w:rsidRPr="00E625E1">
        <w:rPr>
          <w:rFonts w:ascii="Times New Roman" w:hAnsi="Times New Roman" w:cs="Times New Roman"/>
          <w:lang w:val="en"/>
        </w:rPr>
        <w:t>diverging approximately at 24 weeks.</w:t>
      </w:r>
      <w:r w:rsidR="00F53BFF" w:rsidRPr="00E625E1">
        <w:rPr>
          <w:rFonts w:ascii="Times New Roman" w:hAnsi="Times New Roman" w:cs="Times New Roman"/>
          <w:lang w:val="en"/>
        </w:rPr>
        <w:t xml:space="preserve"> The</w:t>
      </w:r>
      <w:r w:rsidR="00BB7520" w:rsidRPr="00E625E1">
        <w:rPr>
          <w:rFonts w:ascii="Times New Roman" w:hAnsi="Times New Roman" w:cs="Times New Roman"/>
          <w:lang w:val="en"/>
        </w:rPr>
        <w:t xml:space="preserve"> Authors conclude that </w:t>
      </w:r>
      <w:r w:rsidR="00F53BFF" w:rsidRPr="00E625E1">
        <w:rPr>
          <w:rFonts w:ascii="Times New Roman" w:hAnsi="Times New Roman" w:cs="Times New Roman"/>
          <w:lang w:val="en"/>
        </w:rPr>
        <w:t>energy intake must have increased to explain the attenuation of weight loss.</w:t>
      </w:r>
    </w:p>
    <w:p w:rsidR="0030442C" w:rsidRPr="00E625E1" w:rsidRDefault="00E13851" w:rsidP="00564898">
      <w:pPr>
        <w:autoSpaceDE w:val="0"/>
        <w:autoSpaceDN w:val="0"/>
        <w:adjustRightInd w:val="0"/>
        <w:spacing w:after="0" w:line="480" w:lineRule="auto"/>
        <w:rPr>
          <w:rFonts w:ascii="Times New Roman" w:hAnsi="Times New Roman" w:cs="Times New Roman"/>
          <w:bdr w:val="none" w:sz="0" w:space="0" w:color="auto" w:frame="1"/>
          <w:lang w:val="en-US"/>
        </w:rPr>
      </w:pPr>
      <w:r w:rsidRPr="00E625E1">
        <w:rPr>
          <w:rFonts w:ascii="Times New Roman" w:hAnsi="Times New Roman" w:cs="Times New Roman"/>
          <w:i/>
          <w:lang w:val="en-US"/>
        </w:rPr>
        <w:t>Effect</w:t>
      </w:r>
      <w:r w:rsidR="000016CF" w:rsidRPr="00E625E1">
        <w:rPr>
          <w:rFonts w:ascii="Times New Roman" w:hAnsi="Times New Roman" w:cs="Times New Roman"/>
          <w:i/>
          <w:lang w:val="en-US"/>
        </w:rPr>
        <w:t xml:space="preserve"> on </w:t>
      </w:r>
      <w:r w:rsidRPr="00E625E1">
        <w:rPr>
          <w:rFonts w:ascii="Times New Roman" w:hAnsi="Times New Roman" w:cs="Times New Roman"/>
          <w:i/>
          <w:lang w:val="en-US"/>
        </w:rPr>
        <w:t xml:space="preserve">arterial </w:t>
      </w:r>
      <w:r w:rsidR="000016CF" w:rsidRPr="00E625E1">
        <w:rPr>
          <w:rFonts w:ascii="Times New Roman" w:hAnsi="Times New Roman" w:cs="Times New Roman"/>
          <w:i/>
          <w:lang w:val="en-US"/>
        </w:rPr>
        <w:t xml:space="preserve">blood pressure </w:t>
      </w:r>
      <w:r w:rsidR="009321D7" w:rsidRPr="00E625E1">
        <w:rPr>
          <w:rFonts w:ascii="Times New Roman" w:hAnsi="Times New Roman" w:cs="Times New Roman"/>
          <w:i/>
          <w:lang w:val="en-US"/>
        </w:rPr>
        <w:t>-</w:t>
      </w:r>
      <w:r w:rsidR="009321D7" w:rsidRPr="00E625E1">
        <w:rPr>
          <w:rFonts w:ascii="Times New Roman" w:hAnsi="Times New Roman" w:cs="Times New Roman"/>
          <w:b/>
          <w:i/>
          <w:lang w:val="en-US"/>
        </w:rPr>
        <w:t xml:space="preserve"> </w:t>
      </w:r>
      <w:r w:rsidR="009321D7" w:rsidRPr="00E625E1">
        <w:rPr>
          <w:rFonts w:ascii="Times New Roman" w:hAnsi="Times New Roman" w:cs="Times New Roman"/>
          <w:lang w:val="en-US"/>
        </w:rPr>
        <w:t>SGLT2</w:t>
      </w:r>
      <w:r w:rsidR="000016CF" w:rsidRPr="00E625E1">
        <w:rPr>
          <w:rFonts w:ascii="Times New Roman" w:hAnsi="Times New Roman" w:cs="Times New Roman"/>
          <w:lang w:val="en-US"/>
        </w:rPr>
        <w:t xml:space="preserve"> inhibitors constantly </w:t>
      </w:r>
      <w:r w:rsidR="00762974" w:rsidRPr="00E625E1">
        <w:rPr>
          <w:rFonts w:ascii="Times New Roman" w:hAnsi="Times New Roman" w:cs="Times New Roman"/>
          <w:lang w:val="en-US"/>
        </w:rPr>
        <w:t xml:space="preserve">induce </w:t>
      </w:r>
      <w:r w:rsidR="009321D7" w:rsidRPr="00E625E1">
        <w:rPr>
          <w:rFonts w:ascii="Times New Roman" w:hAnsi="Times New Roman" w:cs="Times New Roman"/>
          <w:lang w:val="en-US"/>
        </w:rPr>
        <w:t xml:space="preserve"> </w:t>
      </w:r>
      <w:r w:rsidR="000016CF" w:rsidRPr="00E625E1">
        <w:rPr>
          <w:rFonts w:ascii="Times New Roman" w:hAnsi="Times New Roman" w:cs="Times New Roman"/>
          <w:lang w:val="en-US"/>
        </w:rPr>
        <w:t>a reduction of either systolic</w:t>
      </w:r>
      <w:r w:rsidR="00DA4C04" w:rsidRPr="00E625E1">
        <w:rPr>
          <w:rFonts w:ascii="Times New Roman" w:hAnsi="Times New Roman" w:cs="Times New Roman"/>
          <w:lang w:val="en-US"/>
        </w:rPr>
        <w:t xml:space="preserve"> (SBP)</w:t>
      </w:r>
      <w:r w:rsidR="000016CF" w:rsidRPr="00E625E1">
        <w:rPr>
          <w:rFonts w:ascii="Times New Roman" w:hAnsi="Times New Roman" w:cs="Times New Roman"/>
          <w:lang w:val="en-US"/>
        </w:rPr>
        <w:t xml:space="preserve"> and diastolic blood pressure</w:t>
      </w:r>
      <w:r w:rsidR="00DA4C04" w:rsidRPr="00E625E1">
        <w:rPr>
          <w:rFonts w:ascii="Times New Roman" w:hAnsi="Times New Roman" w:cs="Times New Roman"/>
          <w:lang w:val="en-US"/>
        </w:rPr>
        <w:t xml:space="preserve"> (DBP)</w:t>
      </w:r>
      <w:r w:rsidR="00762974" w:rsidRPr="00E625E1">
        <w:rPr>
          <w:rFonts w:ascii="Times New Roman" w:hAnsi="Times New Roman" w:cs="Times New Roman"/>
          <w:lang w:val="en-US"/>
        </w:rPr>
        <w:t xml:space="preserve"> </w:t>
      </w:r>
      <w:r w:rsidR="00C1453C" w:rsidRPr="00E625E1">
        <w:rPr>
          <w:rFonts w:ascii="Times New Roman" w:hAnsi="Times New Roman" w:cs="Times New Roman"/>
          <w:lang w:val="en-US"/>
        </w:rPr>
        <w:t>[</w:t>
      </w:r>
      <w:r w:rsidR="00762974" w:rsidRPr="00E625E1">
        <w:rPr>
          <w:rFonts w:ascii="Times New Roman" w:hAnsi="Times New Roman" w:cs="Times New Roman"/>
          <w:lang w:val="en-US"/>
        </w:rPr>
        <w:t>4</w:t>
      </w:r>
      <w:r w:rsidR="005B7E88" w:rsidRPr="00E625E1">
        <w:rPr>
          <w:rFonts w:ascii="Times New Roman" w:hAnsi="Times New Roman" w:cs="Times New Roman"/>
          <w:lang w:val="en-US"/>
        </w:rPr>
        <w:t>3</w:t>
      </w:r>
      <w:r w:rsidR="00762974" w:rsidRPr="00E625E1">
        <w:rPr>
          <w:rFonts w:ascii="Times New Roman" w:hAnsi="Times New Roman" w:cs="Times New Roman"/>
          <w:lang w:val="en-US"/>
        </w:rPr>
        <w:t>, 4</w:t>
      </w:r>
      <w:r w:rsidR="005B7E88" w:rsidRPr="00E625E1">
        <w:rPr>
          <w:rFonts w:ascii="Times New Roman" w:hAnsi="Times New Roman" w:cs="Times New Roman"/>
          <w:lang w:val="en-US"/>
        </w:rPr>
        <w:t>4</w:t>
      </w:r>
      <w:r w:rsidR="00C1453C" w:rsidRPr="00E625E1">
        <w:rPr>
          <w:rFonts w:ascii="Times New Roman" w:hAnsi="Times New Roman" w:cs="Times New Roman"/>
          <w:lang w:val="en-US"/>
        </w:rPr>
        <w:t>]</w:t>
      </w:r>
      <w:r w:rsidR="000016CF" w:rsidRPr="00E625E1">
        <w:rPr>
          <w:rFonts w:ascii="Times New Roman" w:hAnsi="Times New Roman" w:cs="Times New Roman"/>
          <w:lang w:val="en-US"/>
        </w:rPr>
        <w:t xml:space="preserve">, marginally </w:t>
      </w:r>
      <w:r w:rsidR="00C011E2" w:rsidRPr="00E625E1">
        <w:rPr>
          <w:rFonts w:ascii="Times New Roman" w:hAnsi="Times New Roman" w:cs="Times New Roman"/>
          <w:lang w:val="en-US"/>
        </w:rPr>
        <w:t xml:space="preserve">due to weight loss </w:t>
      </w:r>
      <w:r w:rsidR="0084676D" w:rsidRPr="00E625E1">
        <w:rPr>
          <w:rFonts w:ascii="Times New Roman" w:hAnsi="Times New Roman" w:cs="Times New Roman"/>
          <w:lang w:val="en-US"/>
        </w:rPr>
        <w:t xml:space="preserve">and </w:t>
      </w:r>
      <w:r w:rsidR="00762974" w:rsidRPr="00E625E1">
        <w:rPr>
          <w:rFonts w:ascii="Times New Roman" w:hAnsi="Times New Roman" w:cs="Times New Roman"/>
          <w:lang w:val="en-US"/>
        </w:rPr>
        <w:t xml:space="preserve">rather </w:t>
      </w:r>
      <w:r w:rsidR="00C011E2" w:rsidRPr="00E625E1">
        <w:rPr>
          <w:rFonts w:ascii="Times New Roman" w:hAnsi="Times New Roman" w:cs="Times New Roman"/>
          <w:lang w:val="en-US"/>
        </w:rPr>
        <w:t>to an increased sodium excretion</w:t>
      </w:r>
      <w:r w:rsidR="0030442C" w:rsidRPr="00E625E1">
        <w:rPr>
          <w:rFonts w:ascii="Times New Roman" w:hAnsi="Times New Roman" w:cs="Times New Roman"/>
          <w:lang w:val="en-US"/>
        </w:rPr>
        <w:t xml:space="preserve"> (even though sodium can be reabsorbed in the distal nephron by other channels) </w:t>
      </w:r>
      <w:r w:rsidR="00C1453C" w:rsidRPr="00E625E1">
        <w:rPr>
          <w:rFonts w:ascii="Times New Roman" w:hAnsi="Times New Roman" w:cs="Times New Roman"/>
          <w:lang w:val="en-US"/>
        </w:rPr>
        <w:t>[</w:t>
      </w:r>
      <w:r w:rsidR="0030442C" w:rsidRPr="00E625E1">
        <w:rPr>
          <w:rFonts w:ascii="Times New Roman" w:hAnsi="Times New Roman" w:cs="Times New Roman"/>
          <w:lang w:val="en-US"/>
        </w:rPr>
        <w:t>4</w:t>
      </w:r>
      <w:r w:rsidR="005B7E88" w:rsidRPr="00E625E1">
        <w:rPr>
          <w:rFonts w:ascii="Times New Roman" w:hAnsi="Times New Roman" w:cs="Times New Roman"/>
          <w:lang w:val="en-US"/>
        </w:rPr>
        <w:t>5</w:t>
      </w:r>
      <w:r w:rsidR="00C1453C" w:rsidRPr="00E625E1">
        <w:rPr>
          <w:rFonts w:ascii="Times New Roman" w:hAnsi="Times New Roman" w:cs="Times New Roman"/>
          <w:lang w:val="en-US"/>
        </w:rPr>
        <w:t>]</w:t>
      </w:r>
      <w:r w:rsidR="0084676D" w:rsidRPr="00E625E1">
        <w:rPr>
          <w:rFonts w:ascii="Times New Roman" w:hAnsi="Times New Roman" w:cs="Times New Roman"/>
          <w:lang w:val="en-US"/>
        </w:rPr>
        <w:t>,</w:t>
      </w:r>
      <w:r w:rsidR="0030442C" w:rsidRPr="00E625E1">
        <w:rPr>
          <w:rFonts w:ascii="Times New Roman" w:hAnsi="Times New Roman" w:cs="Times New Roman"/>
          <w:lang w:val="en-US"/>
        </w:rPr>
        <w:t xml:space="preserve"> </w:t>
      </w:r>
      <w:r w:rsidR="00C011E2" w:rsidRPr="00E625E1">
        <w:rPr>
          <w:rFonts w:ascii="Times New Roman" w:hAnsi="Times New Roman" w:cs="Times New Roman"/>
          <w:lang w:val="en-US"/>
        </w:rPr>
        <w:t xml:space="preserve">and to the osmotic diuresis that follows glucose excretion. </w:t>
      </w:r>
      <w:r w:rsidR="0030442C" w:rsidRPr="00E625E1">
        <w:rPr>
          <w:rFonts w:ascii="Times New Roman" w:hAnsi="Times New Roman" w:cs="Times New Roman"/>
          <w:lang w:val="en-US"/>
        </w:rPr>
        <w:t>Even small, this sodium/volume loss leads to a stimu</w:t>
      </w:r>
      <w:r w:rsidR="0084676D" w:rsidRPr="00E625E1">
        <w:rPr>
          <w:rFonts w:ascii="Times New Roman" w:hAnsi="Times New Roman" w:cs="Times New Roman"/>
          <w:lang w:val="en-US"/>
        </w:rPr>
        <w:t>lation of the renin-angiotensin-</w:t>
      </w:r>
      <w:r w:rsidR="0030442C" w:rsidRPr="00E625E1">
        <w:rPr>
          <w:rFonts w:ascii="Times New Roman" w:hAnsi="Times New Roman" w:cs="Times New Roman"/>
          <w:lang w:val="en-US"/>
        </w:rPr>
        <w:t>aldosterone sy</w:t>
      </w:r>
      <w:r w:rsidR="0084676D" w:rsidRPr="00E625E1">
        <w:rPr>
          <w:rFonts w:ascii="Times New Roman" w:hAnsi="Times New Roman" w:cs="Times New Roman"/>
          <w:lang w:val="en-US"/>
        </w:rPr>
        <w:t>stem, thus triggering a counter-</w:t>
      </w:r>
      <w:r w:rsidR="0030442C" w:rsidRPr="00E625E1">
        <w:rPr>
          <w:rFonts w:ascii="Times New Roman" w:hAnsi="Times New Roman" w:cs="Times New Roman"/>
          <w:lang w:val="en-US"/>
        </w:rPr>
        <w:t xml:space="preserve">regulatory compensatory mechanism to maintain sodium homeostasis </w:t>
      </w:r>
      <w:r w:rsidR="00C1453C" w:rsidRPr="00E625E1">
        <w:rPr>
          <w:rFonts w:ascii="Times New Roman" w:hAnsi="Times New Roman" w:cs="Times New Roman"/>
          <w:lang w:val="en-US"/>
        </w:rPr>
        <w:t>[</w:t>
      </w:r>
      <w:r w:rsidR="0030442C" w:rsidRPr="00E625E1">
        <w:rPr>
          <w:rFonts w:ascii="Times New Roman" w:hAnsi="Times New Roman" w:cs="Times New Roman"/>
          <w:lang w:val="en-US"/>
        </w:rPr>
        <w:t>4</w:t>
      </w:r>
      <w:r w:rsidR="005B7E88" w:rsidRPr="00E625E1">
        <w:rPr>
          <w:rFonts w:ascii="Times New Roman" w:hAnsi="Times New Roman" w:cs="Times New Roman"/>
          <w:lang w:val="en-US"/>
        </w:rPr>
        <w:t>5</w:t>
      </w:r>
      <w:r w:rsidR="00C1453C" w:rsidRPr="00E625E1">
        <w:rPr>
          <w:rFonts w:ascii="Times New Roman" w:hAnsi="Times New Roman" w:cs="Times New Roman"/>
          <w:lang w:val="en-US"/>
        </w:rPr>
        <w:t>]</w:t>
      </w:r>
      <w:r w:rsidR="0030442C" w:rsidRPr="00E625E1">
        <w:rPr>
          <w:rFonts w:ascii="Times New Roman" w:hAnsi="Times New Roman" w:cs="Times New Roman"/>
          <w:lang w:val="en-US"/>
        </w:rPr>
        <w:t>.</w:t>
      </w:r>
      <w:r w:rsidR="0030442C" w:rsidRPr="00E625E1">
        <w:rPr>
          <w:rFonts w:ascii="Times New Roman" w:hAnsi="Times New Roman" w:cs="Times New Roman"/>
          <w:bdr w:val="none" w:sz="0" w:space="0" w:color="auto" w:frame="1"/>
          <w:lang w:val="en-US"/>
        </w:rPr>
        <w:t xml:space="preserve"> </w:t>
      </w:r>
    </w:p>
    <w:p w:rsidR="0054596C" w:rsidRPr="00E625E1" w:rsidRDefault="00C011E2" w:rsidP="00564898">
      <w:pPr>
        <w:autoSpaceDE w:val="0"/>
        <w:autoSpaceDN w:val="0"/>
        <w:adjustRightInd w:val="0"/>
        <w:spacing w:after="0" w:line="480" w:lineRule="auto"/>
        <w:rPr>
          <w:rFonts w:ascii="Times New Roman" w:hAnsi="Times New Roman" w:cs="Times New Roman"/>
          <w:lang w:val="en-US"/>
        </w:rPr>
      </w:pPr>
      <w:r w:rsidRPr="00E625E1">
        <w:rPr>
          <w:rFonts w:ascii="Times New Roman" w:hAnsi="Times New Roman" w:cs="Times New Roman"/>
          <w:lang w:val="en-US"/>
        </w:rPr>
        <w:t xml:space="preserve">Which is the entity </w:t>
      </w:r>
      <w:r w:rsidR="0030442C" w:rsidRPr="00E625E1">
        <w:rPr>
          <w:rFonts w:ascii="Times New Roman" w:hAnsi="Times New Roman" w:cs="Times New Roman"/>
          <w:lang w:val="en-US"/>
        </w:rPr>
        <w:t>of the</w:t>
      </w:r>
      <w:r w:rsidRPr="00E625E1">
        <w:rPr>
          <w:rFonts w:ascii="Times New Roman" w:hAnsi="Times New Roman" w:cs="Times New Roman"/>
          <w:lang w:val="en-US"/>
        </w:rPr>
        <w:t xml:space="preserve"> antihypertensive effect? </w:t>
      </w:r>
      <w:r w:rsidR="00070546" w:rsidRPr="00E625E1">
        <w:rPr>
          <w:rFonts w:ascii="Times New Roman" w:hAnsi="Times New Roman" w:cs="Times New Roman"/>
          <w:lang w:val="en-US"/>
        </w:rPr>
        <w:t xml:space="preserve">Pooled analyses of data obtained with dapagliflozin show changes from baseline in </w:t>
      </w:r>
      <w:r w:rsidR="00DA4C04" w:rsidRPr="00E625E1">
        <w:rPr>
          <w:rFonts w:ascii="Times New Roman" w:hAnsi="Times New Roman" w:cs="Times New Roman"/>
          <w:lang w:val="en-US"/>
        </w:rPr>
        <w:t xml:space="preserve">SBP </w:t>
      </w:r>
      <w:r w:rsidR="00070546" w:rsidRPr="00E625E1">
        <w:rPr>
          <w:rFonts w:ascii="Times New Roman" w:hAnsi="Times New Roman" w:cs="Times New Roman"/>
          <w:lang w:val="en-US"/>
        </w:rPr>
        <w:t xml:space="preserve">and </w:t>
      </w:r>
      <w:r w:rsidR="00DA4C04" w:rsidRPr="00E625E1">
        <w:rPr>
          <w:rFonts w:ascii="Times New Roman" w:hAnsi="Times New Roman" w:cs="Times New Roman"/>
          <w:lang w:val="en-US"/>
        </w:rPr>
        <w:t xml:space="preserve">DBP </w:t>
      </w:r>
      <w:r w:rsidR="00070546" w:rsidRPr="00E625E1">
        <w:rPr>
          <w:rFonts w:ascii="Times New Roman" w:hAnsi="Times New Roman" w:cs="Times New Roman"/>
          <w:lang w:val="en-US"/>
        </w:rPr>
        <w:t xml:space="preserve">of -3.6 and -1.2 mm Hg, respectively, in hypertensive patients and -2.6 and -1.2 mm Hg, respectively, in non-hypertensive patients </w:t>
      </w:r>
      <w:r w:rsidR="00C1453C" w:rsidRPr="00E625E1">
        <w:rPr>
          <w:rFonts w:ascii="Times New Roman" w:hAnsi="Times New Roman" w:cs="Times New Roman"/>
          <w:lang w:val="en-US"/>
        </w:rPr>
        <w:t>[</w:t>
      </w:r>
      <w:r w:rsidR="00070546" w:rsidRPr="00E625E1">
        <w:rPr>
          <w:rFonts w:ascii="Times New Roman" w:hAnsi="Times New Roman" w:cs="Times New Roman"/>
          <w:lang w:val="en-US"/>
        </w:rPr>
        <w:t>4</w:t>
      </w:r>
      <w:r w:rsidR="005B7E88" w:rsidRPr="00E625E1">
        <w:rPr>
          <w:rFonts w:ascii="Times New Roman" w:hAnsi="Times New Roman" w:cs="Times New Roman"/>
          <w:lang w:val="en-US"/>
        </w:rPr>
        <w:t>4</w:t>
      </w:r>
      <w:r w:rsidR="00C1453C" w:rsidRPr="00E625E1">
        <w:rPr>
          <w:rFonts w:ascii="Times New Roman" w:hAnsi="Times New Roman" w:cs="Times New Roman"/>
          <w:lang w:val="en-US"/>
        </w:rPr>
        <w:t>]</w:t>
      </w:r>
      <w:r w:rsidR="00070546" w:rsidRPr="00E625E1">
        <w:rPr>
          <w:rFonts w:ascii="Times New Roman" w:hAnsi="Times New Roman" w:cs="Times New Roman"/>
          <w:lang w:val="en-US"/>
        </w:rPr>
        <w:t xml:space="preserve">; similar reduction, confirmed by ambulatory blood pressure monitoring, were obtained with empagliflozin </w:t>
      </w:r>
      <w:r w:rsidR="00A8447D" w:rsidRPr="00E625E1">
        <w:rPr>
          <w:rFonts w:ascii="Times New Roman" w:hAnsi="Times New Roman" w:cs="Times New Roman"/>
          <w:lang w:val="en-US"/>
        </w:rPr>
        <w:t xml:space="preserve">and canagliflozin </w:t>
      </w:r>
      <w:r w:rsidR="00C1453C" w:rsidRPr="00E625E1">
        <w:rPr>
          <w:rFonts w:ascii="Times New Roman" w:hAnsi="Times New Roman" w:cs="Times New Roman"/>
          <w:lang w:val="en-US"/>
        </w:rPr>
        <w:t>[</w:t>
      </w:r>
      <w:r w:rsidR="00C234ED" w:rsidRPr="00E625E1">
        <w:rPr>
          <w:rFonts w:ascii="Times New Roman" w:hAnsi="Times New Roman" w:cs="Times New Roman"/>
          <w:lang w:val="en-US"/>
        </w:rPr>
        <w:t>4</w:t>
      </w:r>
      <w:r w:rsidR="005B7E88" w:rsidRPr="00E625E1">
        <w:rPr>
          <w:rFonts w:ascii="Times New Roman" w:hAnsi="Times New Roman" w:cs="Times New Roman"/>
          <w:lang w:val="en-US"/>
        </w:rPr>
        <w:t>6</w:t>
      </w:r>
      <w:r w:rsidR="00C234ED" w:rsidRPr="00E625E1">
        <w:rPr>
          <w:rFonts w:ascii="Times New Roman" w:hAnsi="Times New Roman" w:cs="Times New Roman"/>
          <w:lang w:val="en-US"/>
        </w:rPr>
        <w:t>, 4</w:t>
      </w:r>
      <w:r w:rsidR="005B7E88" w:rsidRPr="00E625E1">
        <w:rPr>
          <w:rFonts w:ascii="Times New Roman" w:hAnsi="Times New Roman" w:cs="Times New Roman"/>
          <w:lang w:val="en-US"/>
        </w:rPr>
        <w:t>7</w:t>
      </w:r>
      <w:r w:rsidR="00C1453C" w:rsidRPr="00E625E1">
        <w:rPr>
          <w:rFonts w:ascii="Times New Roman" w:hAnsi="Times New Roman" w:cs="Times New Roman"/>
          <w:lang w:val="en-US"/>
        </w:rPr>
        <w:t>]</w:t>
      </w:r>
      <w:r w:rsidR="00070546" w:rsidRPr="00E625E1">
        <w:rPr>
          <w:rFonts w:ascii="Times New Roman" w:hAnsi="Times New Roman" w:cs="Times New Roman"/>
          <w:lang w:val="en-US"/>
        </w:rPr>
        <w:t xml:space="preserve">. </w:t>
      </w:r>
      <w:r w:rsidR="004A5B39" w:rsidRPr="00E625E1">
        <w:rPr>
          <w:rFonts w:ascii="Times New Roman" w:hAnsi="Times New Roman" w:cs="Times New Roman"/>
          <w:lang w:val="en-US"/>
        </w:rPr>
        <w:t xml:space="preserve">An ample metanalysis (twenty-seven </w:t>
      </w:r>
      <w:r w:rsidR="0084676D" w:rsidRPr="00E625E1">
        <w:rPr>
          <w:rFonts w:ascii="Times New Roman" w:hAnsi="Times New Roman" w:cs="Times New Roman"/>
          <w:lang w:val="en-US"/>
        </w:rPr>
        <w:t xml:space="preserve"> randomized clinical trials, almost 13,000 participants) has shown a mean SBP reduction -4.0 mmHg vs b</w:t>
      </w:r>
      <w:r w:rsidR="00C1453C" w:rsidRPr="00E625E1">
        <w:rPr>
          <w:rFonts w:ascii="Times New Roman" w:hAnsi="Times New Roman" w:cs="Times New Roman"/>
          <w:lang w:val="en-US"/>
        </w:rPr>
        <w:t>aseline, and -1.6 mmHg for DBP [4</w:t>
      </w:r>
      <w:r w:rsidR="005B7E88" w:rsidRPr="00E625E1">
        <w:rPr>
          <w:rFonts w:ascii="Times New Roman" w:hAnsi="Times New Roman" w:cs="Times New Roman"/>
          <w:lang w:val="en-US"/>
        </w:rPr>
        <w:t>8</w:t>
      </w:r>
      <w:r w:rsidR="00C1453C" w:rsidRPr="00E625E1">
        <w:rPr>
          <w:rFonts w:ascii="Times New Roman" w:hAnsi="Times New Roman" w:cs="Times New Roman"/>
          <w:lang w:val="en-US"/>
        </w:rPr>
        <w:t>]</w:t>
      </w:r>
      <w:r w:rsidR="0084676D" w:rsidRPr="00E625E1">
        <w:rPr>
          <w:rFonts w:ascii="Times New Roman" w:hAnsi="Times New Roman" w:cs="Times New Roman"/>
          <w:lang w:val="en-US"/>
        </w:rPr>
        <w:t>.</w:t>
      </w:r>
    </w:p>
    <w:p w:rsidR="00E76DEB" w:rsidRPr="00E625E1" w:rsidRDefault="00E76DEB" w:rsidP="00564898">
      <w:pPr>
        <w:autoSpaceDE w:val="0"/>
        <w:autoSpaceDN w:val="0"/>
        <w:adjustRightInd w:val="0"/>
        <w:spacing w:after="0" w:line="480" w:lineRule="auto"/>
        <w:rPr>
          <w:rFonts w:ascii="Times New Roman" w:hAnsi="Times New Roman" w:cs="Times New Roman"/>
          <w:lang w:val="en"/>
        </w:rPr>
      </w:pPr>
      <w:r w:rsidRPr="00E625E1">
        <w:rPr>
          <w:rFonts w:ascii="Times New Roman" w:hAnsi="Times New Roman" w:cs="Times New Roman"/>
          <w:i/>
          <w:lang w:val="en-US"/>
        </w:rPr>
        <w:t>Other metabolic effects</w:t>
      </w:r>
      <w:r w:rsidRPr="00E625E1">
        <w:rPr>
          <w:rFonts w:ascii="Times New Roman" w:hAnsi="Times New Roman" w:cs="Times New Roman"/>
          <w:lang w:val="en-US"/>
        </w:rPr>
        <w:t xml:space="preserve"> - SGLT2 inhibitors administration results in a small increase </w:t>
      </w:r>
      <w:r w:rsidR="007D6E3B" w:rsidRPr="00E625E1">
        <w:rPr>
          <w:rFonts w:ascii="Times New Roman" w:hAnsi="Times New Roman" w:cs="Times New Roman"/>
          <w:lang w:val="en"/>
        </w:rPr>
        <w:t xml:space="preserve">of </w:t>
      </w:r>
      <w:r w:rsidR="007D6E3B" w:rsidRPr="00E625E1">
        <w:rPr>
          <w:rFonts w:ascii="Times New Roman" w:hAnsi="Times New Roman" w:cs="Times New Roman"/>
          <w:color w:val="FF0000"/>
          <w:lang w:val="en"/>
        </w:rPr>
        <w:t>both</w:t>
      </w:r>
      <w:r w:rsidR="007D6E3B" w:rsidRPr="00E625E1">
        <w:rPr>
          <w:rFonts w:ascii="Times New Roman" w:hAnsi="Times New Roman" w:cs="Times New Roman"/>
          <w:lang w:val="en"/>
        </w:rPr>
        <w:t xml:space="preserve"> </w:t>
      </w:r>
      <w:r w:rsidRPr="00E625E1">
        <w:rPr>
          <w:rFonts w:ascii="Times New Roman" w:hAnsi="Times New Roman" w:cs="Times New Roman"/>
          <w:lang w:val="en"/>
        </w:rPr>
        <w:t>LDL-</w:t>
      </w:r>
      <w:r w:rsidR="007D6E3B" w:rsidRPr="00E625E1">
        <w:rPr>
          <w:rFonts w:ascii="Times New Roman" w:hAnsi="Times New Roman" w:cs="Times New Roman"/>
          <w:lang w:val="en"/>
        </w:rPr>
        <w:t xml:space="preserve"> </w:t>
      </w:r>
      <w:r w:rsidRPr="00E625E1">
        <w:rPr>
          <w:rFonts w:ascii="Times New Roman" w:hAnsi="Times New Roman" w:cs="Times New Roman"/>
          <w:color w:val="FF0000"/>
          <w:lang w:val="en"/>
        </w:rPr>
        <w:t xml:space="preserve">and </w:t>
      </w:r>
      <w:r w:rsidRPr="00E625E1">
        <w:rPr>
          <w:rFonts w:ascii="Times New Roman" w:hAnsi="Times New Roman" w:cs="Times New Roman"/>
          <w:lang w:val="en"/>
        </w:rPr>
        <w:t xml:space="preserve">HDL-cholesterol </w:t>
      </w:r>
      <w:r w:rsidR="002151B0" w:rsidRPr="00E625E1">
        <w:rPr>
          <w:rFonts w:ascii="Times New Roman" w:hAnsi="Times New Roman" w:cs="Times New Roman"/>
          <w:lang w:val="en"/>
        </w:rPr>
        <w:t>[4</w:t>
      </w:r>
      <w:r w:rsidR="005B7E88" w:rsidRPr="00E625E1">
        <w:rPr>
          <w:rFonts w:ascii="Times New Roman" w:hAnsi="Times New Roman" w:cs="Times New Roman"/>
          <w:lang w:val="en"/>
        </w:rPr>
        <w:t>9</w:t>
      </w:r>
      <w:r w:rsidR="00C62AE7" w:rsidRPr="00E625E1">
        <w:rPr>
          <w:rFonts w:ascii="Times New Roman" w:hAnsi="Times New Roman" w:cs="Times New Roman"/>
          <w:lang w:val="en"/>
        </w:rPr>
        <w:t xml:space="preserve">, </w:t>
      </w:r>
      <w:r w:rsidR="005B7E88" w:rsidRPr="00E625E1">
        <w:rPr>
          <w:rFonts w:ascii="Times New Roman" w:hAnsi="Times New Roman" w:cs="Times New Roman"/>
          <w:lang w:val="en"/>
        </w:rPr>
        <w:t>50</w:t>
      </w:r>
      <w:r w:rsidR="002151B0" w:rsidRPr="00E625E1">
        <w:rPr>
          <w:rFonts w:ascii="Times New Roman" w:hAnsi="Times New Roman" w:cs="Times New Roman"/>
          <w:lang w:val="en"/>
        </w:rPr>
        <w:t>]</w:t>
      </w:r>
      <w:r w:rsidRPr="00E625E1">
        <w:rPr>
          <w:rFonts w:ascii="Times New Roman" w:hAnsi="Times New Roman" w:cs="Times New Roman"/>
          <w:lang w:val="en"/>
        </w:rPr>
        <w:t xml:space="preserve">; the mechanism </w:t>
      </w:r>
      <w:r w:rsidR="001C76B2" w:rsidRPr="00E625E1">
        <w:rPr>
          <w:rFonts w:ascii="Times New Roman" w:hAnsi="Times New Roman" w:cs="Times New Roman"/>
          <w:lang w:val="en"/>
        </w:rPr>
        <w:t xml:space="preserve">responsible for </w:t>
      </w:r>
      <w:r w:rsidR="00827956" w:rsidRPr="00E625E1">
        <w:rPr>
          <w:rFonts w:ascii="Times New Roman" w:hAnsi="Times New Roman" w:cs="Times New Roman"/>
          <w:color w:val="FF0000"/>
          <w:lang w:val="en"/>
        </w:rPr>
        <w:t>this</w:t>
      </w:r>
      <w:r w:rsidRPr="00E625E1">
        <w:rPr>
          <w:rFonts w:ascii="Times New Roman" w:hAnsi="Times New Roman" w:cs="Times New Roman"/>
          <w:color w:val="FF0000"/>
          <w:lang w:val="en"/>
        </w:rPr>
        <w:t xml:space="preserve"> undesired</w:t>
      </w:r>
      <w:r w:rsidR="00827956" w:rsidRPr="00E625E1">
        <w:rPr>
          <w:rFonts w:ascii="Times New Roman" w:hAnsi="Times New Roman" w:cs="Times New Roman"/>
          <w:color w:val="FF0000"/>
          <w:lang w:val="en"/>
        </w:rPr>
        <w:t xml:space="preserve"> (for LDL-cholesterol</w:t>
      </w:r>
      <w:r w:rsidR="00827956" w:rsidRPr="00E625E1">
        <w:rPr>
          <w:rFonts w:ascii="Times New Roman" w:hAnsi="Times New Roman" w:cs="Times New Roman"/>
          <w:lang w:val="en"/>
        </w:rPr>
        <w:t>)</w:t>
      </w:r>
      <w:r w:rsidRPr="00E625E1">
        <w:rPr>
          <w:rFonts w:ascii="Times New Roman" w:hAnsi="Times New Roman" w:cs="Times New Roman"/>
          <w:lang w:val="en"/>
        </w:rPr>
        <w:t xml:space="preserve">, </w:t>
      </w:r>
      <w:r w:rsidR="001C76B2" w:rsidRPr="00E625E1">
        <w:rPr>
          <w:rFonts w:ascii="Times New Roman" w:hAnsi="Times New Roman" w:cs="Times New Roman"/>
          <w:lang w:val="en"/>
        </w:rPr>
        <w:t xml:space="preserve">albeit clinically trivial </w:t>
      </w:r>
      <w:r w:rsidR="000C15B1" w:rsidRPr="00E625E1">
        <w:rPr>
          <w:rFonts w:ascii="Times New Roman" w:hAnsi="Times New Roman" w:cs="Times New Roman"/>
          <w:lang w:val="en"/>
        </w:rPr>
        <w:t xml:space="preserve">effect, </w:t>
      </w:r>
      <w:r w:rsidR="001C76B2" w:rsidRPr="00E625E1">
        <w:rPr>
          <w:rFonts w:ascii="Times New Roman" w:hAnsi="Times New Roman" w:cs="Times New Roman"/>
          <w:lang w:val="en"/>
        </w:rPr>
        <w:t xml:space="preserve">is still unclear. </w:t>
      </w:r>
      <w:r w:rsidR="000C15B1" w:rsidRPr="00E625E1">
        <w:rPr>
          <w:rFonts w:ascii="Times New Roman" w:hAnsi="Times New Roman" w:cs="Times New Roman"/>
          <w:lang w:val="en"/>
        </w:rPr>
        <w:t>Recently, an opposite effect according to the baseline LDL levels (reduct</w:t>
      </w:r>
      <w:r w:rsidR="001C76B2" w:rsidRPr="00E625E1">
        <w:rPr>
          <w:rFonts w:ascii="Times New Roman" w:hAnsi="Times New Roman" w:cs="Times New Roman"/>
          <w:lang w:val="en"/>
        </w:rPr>
        <w:t>ion when starting LDL-cholester</w:t>
      </w:r>
      <w:r w:rsidR="000C15B1" w:rsidRPr="00E625E1">
        <w:rPr>
          <w:rFonts w:ascii="Times New Roman" w:hAnsi="Times New Roman" w:cs="Times New Roman"/>
          <w:lang w:val="en"/>
        </w:rPr>
        <w:t>ol levels are &gt;120 mg/dl, increase in those with baseline &lt;120 mg/dl) has be</w:t>
      </w:r>
      <w:r w:rsidR="002151B0" w:rsidRPr="00E625E1">
        <w:rPr>
          <w:rFonts w:ascii="Times New Roman" w:hAnsi="Times New Roman" w:cs="Times New Roman"/>
          <w:lang w:val="en"/>
        </w:rPr>
        <w:t>en reported with canagliflozin [</w:t>
      </w:r>
      <w:r w:rsidR="00A8447D" w:rsidRPr="00E625E1">
        <w:rPr>
          <w:rFonts w:ascii="Times New Roman" w:hAnsi="Times New Roman" w:cs="Times New Roman"/>
          <w:lang w:val="en"/>
        </w:rPr>
        <w:t>5</w:t>
      </w:r>
      <w:r w:rsidR="005B7E88" w:rsidRPr="00E625E1">
        <w:rPr>
          <w:rFonts w:ascii="Times New Roman" w:hAnsi="Times New Roman" w:cs="Times New Roman"/>
          <w:lang w:val="en"/>
        </w:rPr>
        <w:t>1</w:t>
      </w:r>
      <w:r w:rsidR="002151B0" w:rsidRPr="00E625E1">
        <w:rPr>
          <w:rFonts w:ascii="Times New Roman" w:hAnsi="Times New Roman" w:cs="Times New Roman"/>
          <w:lang w:val="en"/>
        </w:rPr>
        <w:t>]</w:t>
      </w:r>
      <w:r w:rsidR="0054596C" w:rsidRPr="00E625E1">
        <w:rPr>
          <w:rFonts w:ascii="Times New Roman" w:hAnsi="Times New Roman" w:cs="Times New Roman"/>
          <w:lang w:val="en"/>
        </w:rPr>
        <w:t xml:space="preserve">. </w:t>
      </w:r>
    </w:p>
    <w:p w:rsidR="00795EDE" w:rsidRPr="00E625E1" w:rsidRDefault="000C15B1" w:rsidP="00564898">
      <w:pPr>
        <w:autoSpaceDE w:val="0"/>
        <w:autoSpaceDN w:val="0"/>
        <w:adjustRightInd w:val="0"/>
        <w:spacing w:after="0" w:line="480" w:lineRule="auto"/>
        <w:rPr>
          <w:rFonts w:ascii="Times New Roman" w:hAnsi="Times New Roman" w:cs="Times New Roman"/>
          <w:color w:val="000000" w:themeColor="text1"/>
          <w:lang w:val="en-US"/>
        </w:rPr>
      </w:pPr>
      <w:r w:rsidRPr="00E625E1">
        <w:rPr>
          <w:rFonts w:ascii="Times New Roman" w:hAnsi="Times New Roman" w:cs="Times New Roman"/>
          <w:lang w:val="en-US"/>
        </w:rPr>
        <w:t xml:space="preserve">Another </w:t>
      </w:r>
      <w:r w:rsidR="001C76B2" w:rsidRPr="00E625E1">
        <w:rPr>
          <w:rFonts w:ascii="Times New Roman" w:hAnsi="Times New Roman" w:cs="Times New Roman"/>
          <w:lang w:val="en-US"/>
        </w:rPr>
        <w:t xml:space="preserve">beneficial outcome of a prolonged treatment with SGLT2 inhibitors is </w:t>
      </w:r>
      <w:r w:rsidR="0054596C" w:rsidRPr="00E625E1">
        <w:rPr>
          <w:rFonts w:ascii="Times New Roman" w:hAnsi="Times New Roman" w:cs="Times New Roman"/>
          <w:lang w:val="en-US"/>
        </w:rPr>
        <w:t xml:space="preserve">a reduction of uric acid levels </w:t>
      </w:r>
      <w:r w:rsidRPr="00E625E1">
        <w:rPr>
          <w:rFonts w:ascii="Times New Roman" w:hAnsi="Times New Roman" w:cs="Times New Roman"/>
          <w:lang w:val="en-US"/>
        </w:rPr>
        <w:t>(mean of -40/50</w:t>
      </w:r>
      <w:r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
        </w:rPr>
        <w:t>μ</w:t>
      </w:r>
      <w:r w:rsidR="008F50C5" w:rsidRPr="00E625E1">
        <w:rPr>
          <w:rFonts w:ascii="Times New Roman" w:hAnsi="Times New Roman" w:cs="Times New Roman"/>
          <w:color w:val="000000" w:themeColor="text1"/>
          <w:lang w:val="en-US"/>
        </w:rPr>
        <w:t>mol/l</w:t>
      </w:r>
      <w:r w:rsidR="004D7BD0" w:rsidRPr="00E625E1">
        <w:rPr>
          <w:rFonts w:ascii="Times New Roman" w:hAnsi="Times New Roman" w:cs="Times New Roman"/>
          <w:color w:val="000000" w:themeColor="text1"/>
          <w:lang w:val="en-US"/>
        </w:rPr>
        <w:t>)</w:t>
      </w:r>
      <w:r w:rsidR="0054596C" w:rsidRPr="00E625E1">
        <w:rPr>
          <w:rFonts w:ascii="Times New Roman" w:hAnsi="Times New Roman" w:cs="Times New Roman"/>
          <w:color w:val="000000" w:themeColor="text1"/>
          <w:lang w:val="en-US"/>
        </w:rPr>
        <w:t xml:space="preserve">; such effect </w:t>
      </w:r>
      <w:r w:rsidR="00827956" w:rsidRPr="00E625E1">
        <w:rPr>
          <w:rFonts w:ascii="Times New Roman" w:hAnsi="Times New Roman" w:cs="Times New Roman"/>
          <w:color w:val="FF0000"/>
          <w:lang w:val="en-US"/>
        </w:rPr>
        <w:t xml:space="preserve">might assume relevance in the light of a recent </w:t>
      </w:r>
      <w:r w:rsidR="0093525B" w:rsidRPr="00E625E1">
        <w:rPr>
          <w:rFonts w:ascii="Times New Roman" w:hAnsi="Times New Roman" w:cs="Times New Roman"/>
          <w:color w:val="FF0000"/>
          <w:lang w:val="en-US"/>
        </w:rPr>
        <w:t xml:space="preserve">metanalysis suggesting </w:t>
      </w:r>
      <w:r w:rsidR="00827956" w:rsidRPr="00E625E1">
        <w:rPr>
          <w:rFonts w:ascii="Times New Roman" w:hAnsi="Times New Roman" w:cs="Times New Roman"/>
          <w:color w:val="FF0000"/>
          <w:lang w:val="en-US"/>
        </w:rPr>
        <w:t xml:space="preserve">an </w:t>
      </w:r>
      <w:r w:rsidR="003C0B03" w:rsidRPr="00E625E1">
        <w:rPr>
          <w:rFonts w:ascii="Times New Roman" w:hAnsi="Times New Roman" w:cs="Times New Roman"/>
          <w:color w:val="FF0000"/>
          <w:lang w:val="en-US"/>
        </w:rPr>
        <w:t>increased risk of CV mortality linked to hyperuricemia</w:t>
      </w:r>
      <w:r w:rsidRPr="00E625E1">
        <w:rPr>
          <w:rFonts w:ascii="Times New Roman" w:hAnsi="Times New Roman" w:cs="Times New Roman"/>
          <w:color w:val="FF0000"/>
          <w:lang w:val="en-US"/>
        </w:rPr>
        <w:t xml:space="preserve"> </w:t>
      </w:r>
      <w:r w:rsidR="002151B0" w:rsidRPr="00E625E1">
        <w:rPr>
          <w:rFonts w:ascii="Times New Roman" w:hAnsi="Times New Roman" w:cs="Times New Roman"/>
          <w:lang w:val="en-US"/>
        </w:rPr>
        <w:t>[</w:t>
      </w:r>
      <w:r w:rsidR="0054596C" w:rsidRPr="00E625E1">
        <w:rPr>
          <w:rFonts w:ascii="Times New Roman" w:hAnsi="Times New Roman" w:cs="Times New Roman"/>
          <w:lang w:val="en-US"/>
        </w:rPr>
        <w:t>5</w:t>
      </w:r>
      <w:r w:rsidR="005B7E88" w:rsidRPr="00E625E1">
        <w:rPr>
          <w:rFonts w:ascii="Times New Roman" w:hAnsi="Times New Roman" w:cs="Times New Roman"/>
          <w:lang w:val="en-US"/>
        </w:rPr>
        <w:t>2</w:t>
      </w:r>
      <w:r w:rsidR="002151B0" w:rsidRPr="00E625E1">
        <w:rPr>
          <w:rFonts w:ascii="Times New Roman" w:hAnsi="Times New Roman" w:cs="Times New Roman"/>
          <w:lang w:val="en-US"/>
        </w:rPr>
        <w:t>]</w:t>
      </w:r>
      <w:r w:rsidR="00827956" w:rsidRPr="00E625E1">
        <w:rPr>
          <w:rFonts w:ascii="Times New Roman" w:hAnsi="Times New Roman" w:cs="Times New Roman"/>
          <w:lang w:val="en-US"/>
        </w:rPr>
        <w:t xml:space="preserve">, </w:t>
      </w:r>
      <w:r w:rsidR="00827956" w:rsidRPr="00E625E1">
        <w:rPr>
          <w:rFonts w:ascii="Times New Roman" w:hAnsi="Times New Roman" w:cs="Times New Roman"/>
          <w:color w:val="FF0000"/>
          <w:lang w:val="en-US"/>
        </w:rPr>
        <w:t>even though the causal relationship between uric acid levels and CV risk needs further confirmation</w:t>
      </w:r>
      <w:r w:rsidRPr="00E625E1">
        <w:rPr>
          <w:rFonts w:ascii="Times New Roman" w:hAnsi="Times New Roman" w:cs="Times New Roman"/>
          <w:color w:val="FF0000"/>
          <w:lang w:val="en-US"/>
        </w:rPr>
        <w:t>.</w:t>
      </w:r>
      <w:r w:rsidRPr="00E625E1">
        <w:rPr>
          <w:rFonts w:ascii="Times New Roman" w:hAnsi="Times New Roman" w:cs="Times New Roman"/>
          <w:lang w:val="en-US"/>
        </w:rPr>
        <w:t xml:space="preserve"> </w:t>
      </w:r>
      <w:r w:rsidR="00E44A61" w:rsidRPr="00E625E1">
        <w:rPr>
          <w:rFonts w:ascii="Times New Roman" w:hAnsi="Times New Roman" w:cs="Times New Roman"/>
          <w:color w:val="000000" w:themeColor="text1"/>
          <w:lang w:val="en-US"/>
        </w:rPr>
        <w:t>The hypothesized mechanism is a glycosuria-</w:t>
      </w:r>
      <w:r w:rsidR="00E44A61" w:rsidRPr="00E625E1">
        <w:rPr>
          <w:rFonts w:ascii="Times New Roman" w:hAnsi="Times New Roman" w:cs="Times New Roman"/>
          <w:color w:val="000000" w:themeColor="text1"/>
          <w:lang w:val="en-US"/>
        </w:rPr>
        <w:lastRenderedPageBreak/>
        <w:t>dependent</w:t>
      </w:r>
      <w:r w:rsidRPr="00E625E1">
        <w:rPr>
          <w:rFonts w:ascii="Times New Roman" w:hAnsi="Times New Roman" w:cs="Times New Roman"/>
          <w:color w:val="000000" w:themeColor="text1"/>
          <w:lang w:val="en-US"/>
        </w:rPr>
        <w:t xml:space="preserve"> enhanced uric acid </w:t>
      </w:r>
      <w:r w:rsidR="00E44A61" w:rsidRPr="00E625E1">
        <w:rPr>
          <w:rFonts w:ascii="Times New Roman" w:hAnsi="Times New Roman" w:cs="Times New Roman"/>
          <w:color w:val="000000" w:themeColor="text1"/>
          <w:lang w:val="en-US"/>
        </w:rPr>
        <w:t xml:space="preserve">secretion at the proximal tubule and inhibition of uric acid uptake via GLUT9 isoform 2 at the level of the collecting duct </w:t>
      </w:r>
      <w:r w:rsidR="002151B0" w:rsidRPr="00E625E1">
        <w:rPr>
          <w:rFonts w:ascii="Times New Roman" w:hAnsi="Times New Roman" w:cs="Times New Roman"/>
          <w:color w:val="000000" w:themeColor="text1"/>
          <w:lang w:val="en-US"/>
        </w:rPr>
        <w:t>[</w:t>
      </w:r>
      <w:r w:rsidR="004D7BD0" w:rsidRPr="00E625E1">
        <w:rPr>
          <w:rFonts w:ascii="Times New Roman" w:hAnsi="Times New Roman" w:cs="Times New Roman"/>
          <w:color w:val="000000" w:themeColor="text1"/>
          <w:lang w:val="en-US"/>
        </w:rPr>
        <w:t>5</w:t>
      </w:r>
      <w:r w:rsidR="005B7E88" w:rsidRPr="00E625E1">
        <w:rPr>
          <w:rFonts w:ascii="Times New Roman" w:hAnsi="Times New Roman" w:cs="Times New Roman"/>
          <w:color w:val="000000" w:themeColor="text1"/>
          <w:lang w:val="en-US"/>
        </w:rPr>
        <w:t>3</w:t>
      </w:r>
      <w:r w:rsidR="002151B0" w:rsidRPr="00E625E1">
        <w:rPr>
          <w:rFonts w:ascii="Times New Roman" w:hAnsi="Times New Roman" w:cs="Times New Roman"/>
          <w:color w:val="000000" w:themeColor="text1"/>
          <w:lang w:val="en-US"/>
        </w:rPr>
        <w:t>]</w:t>
      </w:r>
      <w:r w:rsidR="00E44A61" w:rsidRPr="00E625E1">
        <w:rPr>
          <w:rFonts w:ascii="Times New Roman" w:hAnsi="Times New Roman" w:cs="Times New Roman"/>
          <w:color w:val="000000" w:themeColor="text1"/>
          <w:lang w:val="en-US"/>
        </w:rPr>
        <w:t>.</w:t>
      </w:r>
    </w:p>
    <w:p w:rsidR="000016CF" w:rsidRPr="00E625E1" w:rsidRDefault="000016CF" w:rsidP="00564898">
      <w:pPr>
        <w:shd w:val="clear" w:color="auto" w:fill="FFFFFF"/>
        <w:spacing w:after="0" w:line="480" w:lineRule="auto"/>
        <w:rPr>
          <w:rFonts w:ascii="Times New Roman" w:hAnsi="Times New Roman" w:cs="Times New Roman"/>
          <w:lang w:val="en-US"/>
        </w:rPr>
      </w:pPr>
    </w:p>
    <w:p w:rsidR="005C25F4" w:rsidRPr="00E625E1" w:rsidRDefault="00E13851" w:rsidP="00564898">
      <w:pPr>
        <w:pStyle w:val="p"/>
        <w:spacing w:before="0" w:beforeAutospacing="0" w:after="0" w:afterAutospacing="0" w:line="480" w:lineRule="auto"/>
        <w:rPr>
          <w:b/>
          <w:i/>
          <w:sz w:val="22"/>
          <w:szCs w:val="22"/>
          <w:lang w:val="en-US"/>
        </w:rPr>
      </w:pPr>
      <w:r w:rsidRPr="00E625E1">
        <w:rPr>
          <w:b/>
          <w:i/>
          <w:sz w:val="22"/>
          <w:szCs w:val="22"/>
          <w:lang w:val="en-US"/>
        </w:rPr>
        <w:t>Side effects and safety</w:t>
      </w:r>
    </w:p>
    <w:p w:rsidR="004B4D2C" w:rsidRPr="00E625E1" w:rsidRDefault="004B4D2C" w:rsidP="00564898">
      <w:pPr>
        <w:pStyle w:val="p"/>
        <w:spacing w:before="0" w:beforeAutospacing="0" w:after="0" w:afterAutospacing="0" w:line="480" w:lineRule="auto"/>
        <w:rPr>
          <w:b/>
          <w:i/>
          <w:sz w:val="22"/>
          <w:szCs w:val="22"/>
          <w:lang w:val="en-US"/>
        </w:rPr>
      </w:pPr>
    </w:p>
    <w:p w:rsidR="00E13A76" w:rsidRPr="00E625E1" w:rsidRDefault="00F61F73" w:rsidP="00564898">
      <w:pPr>
        <w:pStyle w:val="p"/>
        <w:spacing w:before="0" w:beforeAutospacing="0" w:after="0" w:afterAutospacing="0" w:line="480" w:lineRule="auto"/>
        <w:rPr>
          <w:sz w:val="22"/>
          <w:szCs w:val="22"/>
          <w:lang w:val="en"/>
        </w:rPr>
      </w:pPr>
      <w:r w:rsidRPr="00E625E1">
        <w:rPr>
          <w:sz w:val="22"/>
          <w:szCs w:val="22"/>
          <w:lang w:val="en-US"/>
        </w:rPr>
        <w:t xml:space="preserve">This class of anti-hyperglycemic compounds are well tolerated. A point of strength in their favor is the very low risk to induce hypoglycemia, with a </w:t>
      </w:r>
      <w:r w:rsidR="00E44A61" w:rsidRPr="00E625E1">
        <w:rPr>
          <w:sz w:val="22"/>
          <w:szCs w:val="22"/>
          <w:lang w:val="en-US"/>
        </w:rPr>
        <w:t xml:space="preserve">slightly </w:t>
      </w:r>
      <w:r w:rsidRPr="00E625E1">
        <w:rPr>
          <w:sz w:val="22"/>
          <w:szCs w:val="22"/>
          <w:lang w:val="en-US"/>
        </w:rPr>
        <w:t xml:space="preserve">higher frequency of hypoglycemic episodes </w:t>
      </w:r>
      <w:r w:rsidR="00E44A61" w:rsidRPr="00E625E1">
        <w:rPr>
          <w:sz w:val="22"/>
          <w:szCs w:val="22"/>
          <w:lang w:val="en-US"/>
        </w:rPr>
        <w:t xml:space="preserve">only </w:t>
      </w:r>
      <w:r w:rsidRPr="00E625E1">
        <w:rPr>
          <w:sz w:val="22"/>
          <w:szCs w:val="22"/>
          <w:lang w:val="en-US"/>
        </w:rPr>
        <w:t xml:space="preserve">when they are used as add-on to SU </w:t>
      </w:r>
      <w:r w:rsidR="002151B0" w:rsidRPr="00E625E1">
        <w:rPr>
          <w:sz w:val="22"/>
          <w:szCs w:val="22"/>
          <w:lang w:val="en-US"/>
        </w:rPr>
        <w:t>[</w:t>
      </w:r>
      <w:r w:rsidR="00E44A61" w:rsidRPr="00E625E1">
        <w:rPr>
          <w:sz w:val="22"/>
          <w:szCs w:val="22"/>
          <w:lang w:val="en-US"/>
        </w:rPr>
        <w:t>5</w:t>
      </w:r>
      <w:r w:rsidR="005B7E88" w:rsidRPr="00E625E1">
        <w:rPr>
          <w:sz w:val="22"/>
          <w:szCs w:val="22"/>
          <w:lang w:val="en-US"/>
        </w:rPr>
        <w:t>4</w:t>
      </w:r>
      <w:r w:rsidR="002151B0" w:rsidRPr="00E625E1">
        <w:rPr>
          <w:sz w:val="22"/>
          <w:szCs w:val="22"/>
          <w:lang w:val="en-US"/>
        </w:rPr>
        <w:t>].</w:t>
      </w:r>
      <w:r w:rsidRPr="00E625E1">
        <w:rPr>
          <w:sz w:val="22"/>
          <w:szCs w:val="22"/>
          <w:lang w:val="en-US"/>
        </w:rPr>
        <w:t xml:space="preserve">  </w:t>
      </w:r>
    </w:p>
    <w:p w:rsidR="009321D7" w:rsidRPr="00E625E1" w:rsidRDefault="00F61F73" w:rsidP="00564898">
      <w:pPr>
        <w:shd w:val="clear" w:color="auto" w:fill="FFFFFF"/>
        <w:spacing w:after="0" w:line="480" w:lineRule="auto"/>
        <w:rPr>
          <w:rFonts w:ascii="Times New Roman" w:eastAsia="Times New Roman" w:hAnsi="Times New Roman" w:cs="Times New Roman"/>
          <w:lang w:val="en-US" w:eastAsia="it-IT"/>
        </w:rPr>
      </w:pPr>
      <w:r w:rsidRPr="00E625E1">
        <w:rPr>
          <w:rFonts w:ascii="Times New Roman" w:hAnsi="Times New Roman" w:cs="Times New Roman"/>
          <w:lang w:val="en-US"/>
        </w:rPr>
        <w:t>The most common side effects occurring during long term treatment with SGLT2 inhibitors concern the</w:t>
      </w:r>
      <w:r w:rsidR="00E44A61" w:rsidRPr="00E625E1">
        <w:rPr>
          <w:rFonts w:ascii="Times New Roman" w:hAnsi="Times New Roman" w:cs="Times New Roman"/>
          <w:lang w:val="en-US"/>
        </w:rPr>
        <w:t xml:space="preserve"> genito-urinary apparatus; however, recent metanalyses deny an increased risk of urinary tract infections </w:t>
      </w:r>
      <w:r w:rsidR="00E44A61" w:rsidRPr="00E625E1">
        <w:rPr>
          <w:rFonts w:ascii="Times New Roman" w:hAnsi="Times New Roman" w:cs="Times New Roman"/>
          <w:i/>
          <w:lang w:val="en-US"/>
        </w:rPr>
        <w:t>vs</w:t>
      </w:r>
      <w:r w:rsidR="00E44A61" w:rsidRPr="00E625E1">
        <w:rPr>
          <w:rFonts w:ascii="Times New Roman" w:hAnsi="Times New Roman" w:cs="Times New Roman"/>
          <w:lang w:val="en-US"/>
        </w:rPr>
        <w:t xml:space="preserve"> placebo or active comparators, confirming the increased incidence of genital </w:t>
      </w:r>
      <w:r w:rsidR="00DC73F8" w:rsidRPr="00E625E1">
        <w:rPr>
          <w:rFonts w:ascii="Times New Roman" w:hAnsi="Times New Roman" w:cs="Times New Roman"/>
          <w:lang w:val="en-US"/>
        </w:rPr>
        <w:t xml:space="preserve">mycotic </w:t>
      </w:r>
      <w:r w:rsidR="00E44A61" w:rsidRPr="00E625E1">
        <w:rPr>
          <w:rFonts w:ascii="Times New Roman" w:hAnsi="Times New Roman" w:cs="Times New Roman"/>
          <w:lang w:val="en-US"/>
        </w:rPr>
        <w:t xml:space="preserve">infections, mainly in the </w:t>
      </w:r>
      <w:r w:rsidR="0093525B" w:rsidRPr="00E625E1">
        <w:rPr>
          <w:rFonts w:ascii="Times New Roman" w:hAnsi="Times New Roman" w:cs="Times New Roman"/>
          <w:color w:val="FF0000"/>
          <w:lang w:val="en-US"/>
        </w:rPr>
        <w:t>female</w:t>
      </w:r>
      <w:r w:rsidR="00E44A61" w:rsidRPr="00E625E1">
        <w:rPr>
          <w:rFonts w:ascii="Times New Roman" w:hAnsi="Times New Roman" w:cs="Times New Roman"/>
          <w:lang w:val="en-US"/>
        </w:rPr>
        <w:t xml:space="preserve"> sex </w:t>
      </w:r>
      <w:r w:rsidR="002151B0" w:rsidRPr="00E625E1">
        <w:rPr>
          <w:rFonts w:ascii="Times New Roman" w:hAnsi="Times New Roman" w:cs="Times New Roman"/>
          <w:lang w:val="en-US"/>
        </w:rPr>
        <w:t>[</w:t>
      </w:r>
      <w:r w:rsidR="00E44A61" w:rsidRPr="00E625E1">
        <w:rPr>
          <w:rFonts w:ascii="Times New Roman" w:hAnsi="Times New Roman" w:cs="Times New Roman"/>
          <w:lang w:val="en-US"/>
        </w:rPr>
        <w:t>5</w:t>
      </w:r>
      <w:r w:rsidR="005B7E88" w:rsidRPr="00E625E1">
        <w:rPr>
          <w:rFonts w:ascii="Times New Roman" w:hAnsi="Times New Roman" w:cs="Times New Roman"/>
          <w:lang w:val="en-US"/>
        </w:rPr>
        <w:t>5</w:t>
      </w:r>
      <w:r w:rsidR="00E44A61" w:rsidRPr="00E625E1">
        <w:rPr>
          <w:rFonts w:ascii="Times New Roman" w:hAnsi="Times New Roman" w:cs="Times New Roman"/>
          <w:lang w:val="en-US"/>
        </w:rPr>
        <w:t>, 5</w:t>
      </w:r>
      <w:r w:rsidR="005B7E88" w:rsidRPr="00E625E1">
        <w:rPr>
          <w:rFonts w:ascii="Times New Roman" w:hAnsi="Times New Roman" w:cs="Times New Roman"/>
          <w:lang w:val="en-US"/>
        </w:rPr>
        <w:t>6</w:t>
      </w:r>
      <w:r w:rsidR="002151B0" w:rsidRPr="00E625E1">
        <w:rPr>
          <w:rFonts w:ascii="Times New Roman" w:hAnsi="Times New Roman" w:cs="Times New Roman"/>
          <w:lang w:val="en-US"/>
        </w:rPr>
        <w:t>]</w:t>
      </w:r>
      <w:r w:rsidR="00E44A61" w:rsidRPr="00E625E1">
        <w:rPr>
          <w:rFonts w:ascii="Times New Roman" w:hAnsi="Times New Roman" w:cs="Times New Roman"/>
          <w:lang w:val="en-US"/>
        </w:rPr>
        <w:t xml:space="preserve">. </w:t>
      </w:r>
      <w:r w:rsidR="0055030D" w:rsidRPr="00E625E1">
        <w:rPr>
          <w:rFonts w:ascii="Times New Roman" w:hAnsi="Times New Roman" w:cs="Times New Roman"/>
          <w:lang w:val="en-US"/>
        </w:rPr>
        <w:t>The incidence of such infections seem</w:t>
      </w:r>
      <w:r w:rsidR="00053E77" w:rsidRPr="00E625E1">
        <w:rPr>
          <w:rFonts w:ascii="Times New Roman" w:hAnsi="Times New Roman" w:cs="Times New Roman"/>
          <w:lang w:val="en-US"/>
        </w:rPr>
        <w:t>s</w:t>
      </w:r>
      <w:r w:rsidR="0055030D" w:rsidRPr="00E625E1">
        <w:rPr>
          <w:rFonts w:ascii="Times New Roman" w:hAnsi="Times New Roman" w:cs="Times New Roman"/>
          <w:lang w:val="en-US"/>
        </w:rPr>
        <w:t xml:space="preserve"> also to vary with the ethnicity</w:t>
      </w:r>
      <w:r w:rsidR="00091CF3" w:rsidRPr="00E625E1">
        <w:rPr>
          <w:rFonts w:ascii="Times New Roman" w:hAnsi="Times New Roman" w:cs="Times New Roman"/>
          <w:lang w:val="en-US"/>
        </w:rPr>
        <w:t>.</w:t>
      </w:r>
      <w:r w:rsidR="0055030D" w:rsidRPr="00E625E1">
        <w:rPr>
          <w:rFonts w:ascii="Times New Roman" w:hAnsi="Times New Roman" w:cs="Times New Roman"/>
          <w:lang w:val="en-US"/>
        </w:rPr>
        <w:t xml:space="preserve"> </w:t>
      </w:r>
    </w:p>
    <w:p w:rsidR="00091CF3" w:rsidRPr="00E625E1" w:rsidRDefault="00C42965" w:rsidP="00564898">
      <w:pPr>
        <w:autoSpaceDE w:val="0"/>
        <w:autoSpaceDN w:val="0"/>
        <w:adjustRightInd w:val="0"/>
        <w:spacing w:after="0" w:line="480" w:lineRule="auto"/>
        <w:rPr>
          <w:rFonts w:ascii="Times New Roman" w:hAnsi="Times New Roman" w:cs="Times New Roman"/>
          <w:lang w:val="en-US"/>
        </w:rPr>
      </w:pPr>
      <w:r w:rsidRPr="00E625E1">
        <w:rPr>
          <w:rFonts w:ascii="Times New Roman" w:hAnsi="Times New Roman" w:cs="Times New Roman"/>
          <w:lang w:val="en-US"/>
        </w:rPr>
        <w:t xml:space="preserve">Another potential </w:t>
      </w:r>
      <w:r w:rsidR="00D731AA" w:rsidRPr="00E625E1">
        <w:rPr>
          <w:rFonts w:ascii="Times New Roman" w:hAnsi="Times New Roman" w:cs="Times New Roman"/>
          <w:lang w:val="en-US"/>
        </w:rPr>
        <w:t>un</w:t>
      </w:r>
      <w:r w:rsidR="006D6C9A" w:rsidRPr="00E625E1">
        <w:rPr>
          <w:rFonts w:ascii="Times New Roman" w:hAnsi="Times New Roman" w:cs="Times New Roman"/>
          <w:lang w:val="en-US"/>
        </w:rPr>
        <w:t>desired</w:t>
      </w:r>
      <w:r w:rsidR="000016CF" w:rsidRPr="00E625E1">
        <w:rPr>
          <w:rFonts w:ascii="Times New Roman" w:hAnsi="Times New Roman" w:cs="Times New Roman"/>
          <w:lang w:val="en-US"/>
        </w:rPr>
        <w:t xml:space="preserve"> effect is linked to the osmotic diuresis induced by these compounds</w:t>
      </w:r>
      <w:r w:rsidR="00D731AA" w:rsidRPr="00E625E1">
        <w:rPr>
          <w:rFonts w:ascii="Times New Roman" w:hAnsi="Times New Roman" w:cs="Times New Roman"/>
          <w:lang w:val="en-US"/>
        </w:rPr>
        <w:t>, that might promote a reduction of intravascular volume</w:t>
      </w:r>
      <w:r w:rsidR="00E44A61" w:rsidRPr="00E625E1">
        <w:rPr>
          <w:rFonts w:ascii="Times New Roman" w:hAnsi="Times New Roman" w:cs="Times New Roman"/>
          <w:lang w:val="en-US"/>
        </w:rPr>
        <w:t xml:space="preserve"> (-8-12%, like with  thiazide diuretics), and a small rise in haematocrit value</w:t>
      </w:r>
      <w:r w:rsidR="00D731AA" w:rsidRPr="00E625E1">
        <w:rPr>
          <w:rFonts w:ascii="Times New Roman" w:hAnsi="Times New Roman" w:cs="Times New Roman"/>
          <w:lang w:val="en-US"/>
        </w:rPr>
        <w:t>, back to normal (likely through compensatory mechanisms) durin</w:t>
      </w:r>
      <w:r w:rsidR="00E44A61" w:rsidRPr="00E625E1">
        <w:rPr>
          <w:rFonts w:ascii="Times New Roman" w:hAnsi="Times New Roman" w:cs="Times New Roman"/>
          <w:lang w:val="en-US"/>
        </w:rPr>
        <w:t xml:space="preserve">g a prolonged SGLT2 inhibition </w:t>
      </w:r>
      <w:r w:rsidR="002151B0" w:rsidRPr="00E625E1">
        <w:rPr>
          <w:rFonts w:ascii="Times New Roman" w:hAnsi="Times New Roman" w:cs="Times New Roman"/>
          <w:lang w:val="en-US"/>
        </w:rPr>
        <w:t>[</w:t>
      </w:r>
      <w:r w:rsidR="00E44A61" w:rsidRPr="00E625E1">
        <w:rPr>
          <w:rFonts w:ascii="Times New Roman" w:hAnsi="Times New Roman" w:cs="Times New Roman"/>
          <w:lang w:val="en-US"/>
        </w:rPr>
        <w:t>5</w:t>
      </w:r>
      <w:r w:rsidR="005B7E88" w:rsidRPr="00E625E1">
        <w:rPr>
          <w:rFonts w:ascii="Times New Roman" w:hAnsi="Times New Roman" w:cs="Times New Roman"/>
          <w:lang w:val="en-US"/>
        </w:rPr>
        <w:t>7</w:t>
      </w:r>
      <w:r w:rsidR="002151B0" w:rsidRPr="00E625E1">
        <w:rPr>
          <w:rFonts w:ascii="Times New Roman" w:hAnsi="Times New Roman" w:cs="Times New Roman"/>
          <w:lang w:val="en-US"/>
        </w:rPr>
        <w:t>]</w:t>
      </w:r>
      <w:r w:rsidR="009321D7" w:rsidRPr="00E625E1">
        <w:rPr>
          <w:rFonts w:ascii="Times New Roman" w:hAnsi="Times New Roman" w:cs="Times New Roman"/>
          <w:lang w:val="en-US"/>
        </w:rPr>
        <w:t>.</w:t>
      </w:r>
      <w:r w:rsidR="00E44A61" w:rsidRPr="00E625E1">
        <w:rPr>
          <w:rFonts w:ascii="Times New Roman" w:hAnsi="Times New Roman" w:cs="Times New Roman"/>
          <w:lang w:val="en-US"/>
        </w:rPr>
        <w:t xml:space="preserve"> </w:t>
      </w:r>
      <w:r w:rsidR="00091CF3" w:rsidRPr="00E625E1">
        <w:rPr>
          <w:rFonts w:ascii="Times New Roman" w:hAnsi="Times New Roman" w:cs="Times New Roman"/>
          <w:lang w:val="en-US"/>
        </w:rPr>
        <w:t>Ort</w:t>
      </w:r>
      <w:r w:rsidR="00053E77" w:rsidRPr="00E625E1">
        <w:rPr>
          <w:rFonts w:ascii="Times New Roman" w:hAnsi="Times New Roman" w:cs="Times New Roman"/>
          <w:lang w:val="en-US"/>
        </w:rPr>
        <w:t>h</w:t>
      </w:r>
      <w:r w:rsidR="00091CF3" w:rsidRPr="00E625E1">
        <w:rPr>
          <w:rFonts w:ascii="Times New Roman" w:hAnsi="Times New Roman" w:cs="Times New Roman"/>
          <w:lang w:val="en-US"/>
        </w:rPr>
        <w:t xml:space="preserve">ostatic </w:t>
      </w:r>
      <w:r w:rsidR="00E44A61" w:rsidRPr="00E625E1">
        <w:rPr>
          <w:rFonts w:ascii="Times New Roman" w:hAnsi="Times New Roman" w:cs="Times New Roman"/>
          <w:lang w:val="en-US"/>
        </w:rPr>
        <w:t>hypotension rarely occurs</w:t>
      </w:r>
      <w:r w:rsidR="00091CF3" w:rsidRPr="00E625E1">
        <w:rPr>
          <w:rFonts w:ascii="Times New Roman" w:hAnsi="Times New Roman" w:cs="Times New Roman"/>
          <w:lang w:val="en-US"/>
        </w:rPr>
        <w:t>; nevertheless, caution in using these compounds in elderly people at high risk of dehydration is advisable, and patients particularly sensitive to volume changes should be monitored for signs and symptoms of dehydration and electrolyte abnormalities when SGLT2 inhibitors are combined with diuretics</w:t>
      </w:r>
      <w:r w:rsidR="00E44A61" w:rsidRPr="00E625E1">
        <w:rPr>
          <w:rFonts w:ascii="Times New Roman" w:hAnsi="Times New Roman" w:cs="Times New Roman"/>
          <w:lang w:val="en-US"/>
        </w:rPr>
        <w:t xml:space="preserve">. </w:t>
      </w:r>
      <w:r w:rsidR="00DC73F8" w:rsidRPr="00E625E1">
        <w:rPr>
          <w:rFonts w:ascii="Times New Roman" w:hAnsi="Times New Roman" w:cs="Times New Roman"/>
          <w:lang w:val="en-US"/>
        </w:rPr>
        <w:t xml:space="preserve"> </w:t>
      </w:r>
    </w:p>
    <w:p w:rsidR="00E0247C" w:rsidRPr="00E625E1" w:rsidRDefault="00091CF3" w:rsidP="00564898">
      <w:pPr>
        <w:autoSpaceDE w:val="0"/>
        <w:autoSpaceDN w:val="0"/>
        <w:adjustRightInd w:val="0"/>
        <w:spacing w:after="0" w:line="480" w:lineRule="auto"/>
        <w:rPr>
          <w:rFonts w:ascii="Times New Roman" w:hAnsi="Times New Roman" w:cs="Times New Roman"/>
          <w:shd w:val="clear" w:color="auto" w:fill="FFFFFF"/>
          <w:lang w:val="en-GB"/>
        </w:rPr>
      </w:pPr>
      <w:r w:rsidRPr="00E625E1">
        <w:rPr>
          <w:rFonts w:ascii="Times New Roman" w:hAnsi="Times New Roman" w:cs="Times New Roman"/>
          <w:lang w:val="en-US"/>
        </w:rPr>
        <w:t xml:space="preserve">Recently, </w:t>
      </w:r>
      <w:r w:rsidR="00D731AA" w:rsidRPr="00E625E1">
        <w:rPr>
          <w:rFonts w:ascii="Times New Roman" w:hAnsi="Times New Roman" w:cs="Times New Roman"/>
          <w:lang w:val="en-US"/>
        </w:rPr>
        <w:t xml:space="preserve">cases of </w:t>
      </w:r>
      <w:r w:rsidR="00C47BBD" w:rsidRPr="00E625E1">
        <w:rPr>
          <w:rFonts w:ascii="Times New Roman" w:hAnsi="Times New Roman" w:cs="Times New Roman"/>
          <w:lang w:val="en-US"/>
        </w:rPr>
        <w:t>eu</w:t>
      </w:r>
      <w:r w:rsidR="00206FA8" w:rsidRPr="00E625E1">
        <w:rPr>
          <w:rFonts w:ascii="Times New Roman" w:hAnsi="Times New Roman" w:cs="Times New Roman"/>
          <w:lang w:val="en-US"/>
        </w:rPr>
        <w:t xml:space="preserve">glycemic </w:t>
      </w:r>
      <w:r w:rsidR="00D731AA" w:rsidRPr="00E625E1">
        <w:rPr>
          <w:rFonts w:ascii="Times New Roman" w:hAnsi="Times New Roman" w:cs="Times New Roman"/>
          <w:lang w:val="en-US"/>
        </w:rPr>
        <w:t xml:space="preserve">ketoacidosis have been </w:t>
      </w:r>
      <w:r w:rsidR="00C47BBD" w:rsidRPr="00E625E1">
        <w:rPr>
          <w:rFonts w:ascii="Times New Roman" w:hAnsi="Times New Roman" w:cs="Times New Roman"/>
          <w:lang w:val="en-US"/>
        </w:rPr>
        <w:t xml:space="preserve">reported </w:t>
      </w:r>
      <w:r w:rsidR="00206FA8" w:rsidRPr="00E625E1">
        <w:rPr>
          <w:rFonts w:ascii="Times New Roman" w:hAnsi="Times New Roman" w:cs="Times New Roman"/>
          <w:lang w:val="en-US"/>
        </w:rPr>
        <w:t xml:space="preserve">in patients treated with </w:t>
      </w:r>
      <w:r w:rsidR="009321D7" w:rsidRPr="00E625E1">
        <w:rPr>
          <w:rFonts w:ascii="Times New Roman" w:hAnsi="Times New Roman" w:cs="Times New Roman"/>
          <w:lang w:val="en-US"/>
        </w:rPr>
        <w:t>SGLT2 in</w:t>
      </w:r>
      <w:r w:rsidR="00206FA8" w:rsidRPr="00E625E1">
        <w:rPr>
          <w:rFonts w:ascii="Times New Roman" w:hAnsi="Times New Roman" w:cs="Times New Roman"/>
          <w:lang w:val="en-US"/>
        </w:rPr>
        <w:t>hibitors</w:t>
      </w:r>
      <w:r w:rsidR="009321D7" w:rsidRPr="00E625E1">
        <w:rPr>
          <w:rFonts w:ascii="Times New Roman" w:hAnsi="Times New Roman" w:cs="Times New Roman"/>
          <w:lang w:val="en-US"/>
        </w:rPr>
        <w:t>;</w:t>
      </w:r>
      <w:r w:rsidR="006D6C9A" w:rsidRPr="00E625E1">
        <w:rPr>
          <w:rFonts w:ascii="Times New Roman" w:hAnsi="Times New Roman" w:cs="Times New Roman"/>
          <w:lang w:val="en-US"/>
        </w:rPr>
        <w:t xml:space="preserve"> </w:t>
      </w:r>
      <w:r w:rsidR="00E44A61" w:rsidRPr="00E625E1">
        <w:rPr>
          <w:rFonts w:ascii="Times New Roman" w:hAnsi="Times New Roman" w:cs="Times New Roman"/>
          <w:lang w:val="en-US"/>
        </w:rPr>
        <w:t xml:space="preserve">a </w:t>
      </w:r>
      <w:r w:rsidRPr="00E625E1">
        <w:rPr>
          <w:rFonts w:ascii="Times New Roman" w:hAnsi="Times New Roman" w:cs="Times New Roman"/>
          <w:lang w:val="en-US"/>
        </w:rPr>
        <w:t>detailed</w:t>
      </w:r>
      <w:r w:rsidR="00206FA8" w:rsidRPr="00E625E1">
        <w:rPr>
          <w:rFonts w:ascii="Times New Roman" w:hAnsi="Times New Roman" w:cs="Times New Roman"/>
          <w:lang w:val="en-US"/>
        </w:rPr>
        <w:t xml:space="preserve"> analysis of </w:t>
      </w:r>
      <w:r w:rsidR="00C47BBD" w:rsidRPr="00E625E1">
        <w:rPr>
          <w:rFonts w:ascii="Times New Roman" w:hAnsi="Times New Roman" w:cs="Times New Roman"/>
          <w:lang w:val="en-US"/>
        </w:rPr>
        <w:t>these cases</w:t>
      </w:r>
      <w:r w:rsidR="00D9204D" w:rsidRPr="00E625E1">
        <w:rPr>
          <w:rFonts w:ascii="Times New Roman" w:hAnsi="Times New Roman" w:cs="Times New Roman"/>
          <w:lang w:val="en-US"/>
        </w:rPr>
        <w:t xml:space="preserve">, </w:t>
      </w:r>
      <w:r w:rsidR="00D9204D" w:rsidRPr="00E625E1">
        <w:rPr>
          <w:rFonts w:ascii="Times New Roman" w:hAnsi="Times New Roman" w:cs="Times New Roman"/>
          <w:color w:val="FF0000"/>
          <w:lang w:val="en-US"/>
        </w:rPr>
        <w:t>mainly occurred in canagliflozin registration studies,</w:t>
      </w:r>
      <w:r w:rsidR="00D9204D" w:rsidRPr="00E625E1">
        <w:rPr>
          <w:rFonts w:ascii="Times New Roman" w:hAnsi="Times New Roman" w:cs="Times New Roman"/>
          <w:lang w:val="en-US"/>
        </w:rPr>
        <w:t xml:space="preserve"> </w:t>
      </w:r>
      <w:r w:rsidR="00C47BBD" w:rsidRPr="00E625E1">
        <w:rPr>
          <w:rFonts w:ascii="Times New Roman" w:hAnsi="Times New Roman" w:cs="Times New Roman"/>
          <w:lang w:val="en-US"/>
        </w:rPr>
        <w:t>has pointed out as many of t</w:t>
      </w:r>
      <w:r w:rsidR="00206FA8" w:rsidRPr="00E625E1">
        <w:rPr>
          <w:rFonts w:ascii="Times New Roman" w:hAnsi="Times New Roman" w:cs="Times New Roman"/>
          <w:lang w:val="en-US"/>
        </w:rPr>
        <w:t>hese pat</w:t>
      </w:r>
      <w:r w:rsidR="00E44A61" w:rsidRPr="00E625E1">
        <w:rPr>
          <w:rFonts w:ascii="Times New Roman" w:hAnsi="Times New Roman" w:cs="Times New Roman"/>
          <w:lang w:val="en-US"/>
        </w:rPr>
        <w:t>ients were type 1</w:t>
      </w:r>
      <w:r w:rsidR="006D6C9A" w:rsidRPr="00E625E1">
        <w:rPr>
          <w:rFonts w:ascii="Times New Roman" w:hAnsi="Times New Roman" w:cs="Times New Roman"/>
          <w:lang w:val="en-US"/>
        </w:rPr>
        <w:t xml:space="preserve"> or insulin-</w:t>
      </w:r>
      <w:r w:rsidR="00206FA8" w:rsidRPr="00E625E1">
        <w:rPr>
          <w:rFonts w:ascii="Times New Roman" w:hAnsi="Times New Roman" w:cs="Times New Roman"/>
          <w:lang w:val="en-US"/>
        </w:rPr>
        <w:t>treated T2</w:t>
      </w:r>
      <w:r w:rsidR="00E44A61" w:rsidRPr="00E625E1">
        <w:rPr>
          <w:rFonts w:ascii="Times New Roman" w:hAnsi="Times New Roman" w:cs="Times New Roman"/>
          <w:lang w:val="en-US"/>
        </w:rPr>
        <w:t>DM</w:t>
      </w:r>
      <w:r w:rsidR="00206FA8" w:rsidRPr="00E625E1">
        <w:rPr>
          <w:rFonts w:ascii="Times New Roman" w:hAnsi="Times New Roman" w:cs="Times New Roman"/>
          <w:lang w:val="en-US"/>
        </w:rPr>
        <w:t xml:space="preserve"> with high alcohol consumpt</w:t>
      </w:r>
      <w:r w:rsidR="00053E77" w:rsidRPr="00E625E1">
        <w:rPr>
          <w:rFonts w:ascii="Times New Roman" w:hAnsi="Times New Roman" w:cs="Times New Roman"/>
          <w:lang w:val="en-US"/>
        </w:rPr>
        <w:t xml:space="preserve">ion, in which insulin dosage had been inadequately reduced, or </w:t>
      </w:r>
      <w:r w:rsidR="006D6C9A" w:rsidRPr="00E625E1">
        <w:rPr>
          <w:rFonts w:ascii="Times New Roman" w:hAnsi="Times New Roman" w:cs="Times New Roman"/>
          <w:lang w:val="en-US"/>
        </w:rPr>
        <w:t>with a background diuretic therapy that might</w:t>
      </w:r>
      <w:r w:rsidR="00053E77" w:rsidRPr="00E625E1">
        <w:rPr>
          <w:rFonts w:ascii="Times New Roman" w:hAnsi="Times New Roman" w:cs="Times New Roman"/>
          <w:lang w:val="en-US"/>
        </w:rPr>
        <w:t xml:space="preserve"> have</w:t>
      </w:r>
      <w:r w:rsidR="006D6C9A" w:rsidRPr="00E625E1">
        <w:rPr>
          <w:rFonts w:ascii="Times New Roman" w:hAnsi="Times New Roman" w:cs="Times New Roman"/>
          <w:lang w:val="en-US"/>
        </w:rPr>
        <w:t xml:space="preserve"> magnified the risk of dehydration</w:t>
      </w:r>
      <w:r w:rsidR="00D9204D" w:rsidRPr="00E625E1">
        <w:rPr>
          <w:rFonts w:ascii="Times New Roman" w:hAnsi="Times New Roman" w:cs="Times New Roman"/>
          <w:lang w:val="en-US"/>
        </w:rPr>
        <w:t xml:space="preserve">; </w:t>
      </w:r>
      <w:r w:rsidR="00D9204D" w:rsidRPr="00E625E1">
        <w:rPr>
          <w:rFonts w:ascii="Times New Roman" w:hAnsi="Times New Roman" w:cs="Times New Roman"/>
          <w:color w:val="FF0000"/>
          <w:lang w:val="en-US"/>
        </w:rPr>
        <w:t xml:space="preserve">there were also cases of  latent autoimmune diabetes of adulthood. </w:t>
      </w:r>
      <w:r w:rsidR="00C47BBD" w:rsidRPr="00E625E1">
        <w:rPr>
          <w:rFonts w:ascii="Times New Roman" w:hAnsi="Times New Roman" w:cs="Times New Roman"/>
          <w:lang w:val="en-US"/>
        </w:rPr>
        <w:t xml:space="preserve">In this view, </w:t>
      </w:r>
      <w:r w:rsidR="00C47BBD" w:rsidRPr="00E625E1">
        <w:rPr>
          <w:rFonts w:ascii="Times New Roman" w:hAnsi="Times New Roman" w:cs="Times New Roman"/>
          <w:shd w:val="clear" w:color="auto" w:fill="FFFFFF"/>
          <w:lang w:val="en-GB"/>
        </w:rPr>
        <w:t xml:space="preserve">physicians and patients should be aware as such risk may increase in long-standing T2DM patients with severe </w:t>
      </w:r>
      <w:r w:rsidR="00C47BBD" w:rsidRPr="00E625E1">
        <w:rPr>
          <w:rFonts w:ascii="Times New Roman" w:hAnsi="Times New Roman" w:cs="Times New Roman"/>
          <w:shd w:val="clear" w:color="auto" w:fill="FFFFFF"/>
        </w:rPr>
        <w:t>β</w:t>
      </w:r>
      <w:r w:rsidR="00C47BBD" w:rsidRPr="00E625E1">
        <w:rPr>
          <w:rFonts w:ascii="Times New Roman" w:hAnsi="Times New Roman" w:cs="Times New Roman"/>
          <w:shd w:val="clear" w:color="auto" w:fill="FFFFFF"/>
          <w:lang w:val="en-GB"/>
        </w:rPr>
        <w:t>-cell failure, or during prolonged starvation</w:t>
      </w:r>
      <w:r w:rsidR="00053E77" w:rsidRPr="00E625E1">
        <w:rPr>
          <w:rFonts w:ascii="Times New Roman" w:hAnsi="Times New Roman" w:cs="Times New Roman"/>
          <w:shd w:val="clear" w:color="auto" w:fill="FFFFFF"/>
          <w:lang w:val="en-GB"/>
        </w:rPr>
        <w:t>,</w:t>
      </w:r>
      <w:r w:rsidR="00C47BBD" w:rsidRPr="00E625E1">
        <w:rPr>
          <w:rFonts w:ascii="Times New Roman" w:hAnsi="Times New Roman" w:cs="Times New Roman"/>
          <w:shd w:val="clear" w:color="auto" w:fill="FFFFFF"/>
          <w:lang w:val="en-GB"/>
        </w:rPr>
        <w:t xml:space="preserve"> or concomitant acute illness, or after surgery procedures </w:t>
      </w:r>
      <w:r w:rsidR="002151B0" w:rsidRPr="00E625E1">
        <w:rPr>
          <w:rFonts w:ascii="Times New Roman" w:hAnsi="Times New Roman" w:cs="Times New Roman"/>
          <w:shd w:val="clear" w:color="auto" w:fill="FFFFFF"/>
          <w:lang w:val="en-GB"/>
        </w:rPr>
        <w:t>[5</w:t>
      </w:r>
      <w:r w:rsidR="005B7E88" w:rsidRPr="00E625E1">
        <w:rPr>
          <w:rFonts w:ascii="Times New Roman" w:hAnsi="Times New Roman" w:cs="Times New Roman"/>
          <w:shd w:val="clear" w:color="auto" w:fill="FFFFFF"/>
          <w:lang w:val="en-GB"/>
        </w:rPr>
        <w:t>8</w:t>
      </w:r>
      <w:r w:rsidR="002151B0" w:rsidRPr="00E625E1">
        <w:rPr>
          <w:rFonts w:ascii="Times New Roman" w:hAnsi="Times New Roman" w:cs="Times New Roman"/>
          <w:shd w:val="clear" w:color="auto" w:fill="FFFFFF"/>
          <w:lang w:val="en-GB"/>
        </w:rPr>
        <w:t>].</w:t>
      </w:r>
    </w:p>
    <w:p w:rsidR="00385CE3" w:rsidRPr="00E625E1" w:rsidRDefault="00385CE3" w:rsidP="00564898">
      <w:pPr>
        <w:autoSpaceDE w:val="0"/>
        <w:autoSpaceDN w:val="0"/>
        <w:adjustRightInd w:val="0"/>
        <w:spacing w:after="0" w:line="480" w:lineRule="auto"/>
        <w:rPr>
          <w:rFonts w:ascii="Times New Roman" w:hAnsi="Times New Roman" w:cs="Times New Roman"/>
          <w:shd w:val="clear" w:color="auto" w:fill="FFFFFF"/>
          <w:lang w:val="en-GB"/>
        </w:rPr>
      </w:pPr>
      <w:r w:rsidRPr="00E625E1">
        <w:rPr>
          <w:rFonts w:ascii="Times New Roman" w:hAnsi="Times New Roman" w:cs="Times New Roman"/>
          <w:shd w:val="clear" w:color="auto" w:fill="FFFFFF"/>
          <w:lang w:val="en-GB"/>
        </w:rPr>
        <w:lastRenderedPageBreak/>
        <w:t xml:space="preserve">An increased </w:t>
      </w:r>
      <w:r w:rsidRPr="00E625E1">
        <w:rPr>
          <w:rFonts w:ascii="Times New Roman" w:hAnsi="Times New Roman" w:cs="Times New Roman"/>
          <w:color w:val="2E2E2E"/>
          <w:lang w:val="en-US"/>
        </w:rPr>
        <w:t>cotransport of phosphate and sodium is</w:t>
      </w:r>
      <w:r w:rsidRPr="00E625E1">
        <w:rPr>
          <w:rFonts w:ascii="Times New Roman" w:hAnsi="Times New Roman" w:cs="Times New Roman"/>
          <w:lang w:val="en-US"/>
        </w:rPr>
        <w:t xml:space="preserve"> i</w:t>
      </w:r>
      <w:r w:rsidRPr="00E625E1">
        <w:rPr>
          <w:rFonts w:ascii="Times New Roman" w:hAnsi="Times New Roman" w:cs="Times New Roman"/>
          <w:shd w:val="clear" w:color="auto" w:fill="FFFFFF"/>
          <w:lang w:val="en-GB"/>
        </w:rPr>
        <w:t xml:space="preserve">ntrinsically linked to of SGLT2 inhibition; this might slightly increase serum phosphate and PTH levels, </w:t>
      </w:r>
      <w:r w:rsidR="00D6147E" w:rsidRPr="00E625E1">
        <w:rPr>
          <w:rFonts w:ascii="Times New Roman" w:hAnsi="Times New Roman" w:cs="Times New Roman"/>
          <w:lang w:val="en-US"/>
        </w:rPr>
        <w:t xml:space="preserve">thereby </w:t>
      </w:r>
      <w:r w:rsidRPr="00E625E1">
        <w:rPr>
          <w:rFonts w:ascii="Times New Roman" w:hAnsi="Times New Roman" w:cs="Times New Roman"/>
          <w:lang w:val="en-US"/>
        </w:rPr>
        <w:t>favoring bone resorption</w:t>
      </w:r>
      <w:r w:rsidR="00A5003B" w:rsidRPr="00E625E1">
        <w:rPr>
          <w:rFonts w:ascii="Times New Roman" w:hAnsi="Times New Roman" w:cs="Times New Roman"/>
          <w:lang w:val="en-US"/>
        </w:rPr>
        <w:t xml:space="preserve"> </w:t>
      </w:r>
      <w:r w:rsidR="002151B0" w:rsidRPr="00E625E1">
        <w:rPr>
          <w:rFonts w:ascii="Times New Roman" w:hAnsi="Times New Roman" w:cs="Times New Roman"/>
          <w:lang w:val="en-US"/>
        </w:rPr>
        <w:t>[5</w:t>
      </w:r>
      <w:r w:rsidR="005B7E88" w:rsidRPr="00E625E1">
        <w:rPr>
          <w:rFonts w:ascii="Times New Roman" w:hAnsi="Times New Roman" w:cs="Times New Roman"/>
          <w:lang w:val="en-US"/>
        </w:rPr>
        <w:t>9</w:t>
      </w:r>
      <w:r w:rsidR="002151B0" w:rsidRPr="00E625E1">
        <w:rPr>
          <w:rFonts w:ascii="Times New Roman" w:hAnsi="Times New Roman" w:cs="Times New Roman"/>
          <w:lang w:val="en-US"/>
        </w:rPr>
        <w:t>].</w:t>
      </w:r>
      <w:r w:rsidR="008F50C5" w:rsidRPr="00E625E1">
        <w:rPr>
          <w:rFonts w:ascii="Times New Roman" w:hAnsi="Times New Roman" w:cs="Times New Roman"/>
          <w:lang w:val="en-US"/>
        </w:rPr>
        <w:t xml:space="preserve"> </w:t>
      </w:r>
      <w:r w:rsidR="00D6147E" w:rsidRPr="00E625E1">
        <w:rPr>
          <w:rFonts w:ascii="Times New Roman" w:hAnsi="Times New Roman" w:cs="Times New Roman"/>
          <w:lang w:val="en-US"/>
        </w:rPr>
        <w:t xml:space="preserve">PTH </w:t>
      </w:r>
      <w:r w:rsidRPr="00E625E1">
        <w:rPr>
          <w:rFonts w:ascii="Times New Roman" w:hAnsi="Times New Roman" w:cs="Times New Roman"/>
          <w:lang w:val="en-US"/>
        </w:rPr>
        <w:t>can also increase</w:t>
      </w:r>
      <w:r w:rsidR="00053E77" w:rsidRPr="00E625E1">
        <w:rPr>
          <w:rFonts w:ascii="Times New Roman" w:hAnsi="Times New Roman" w:cs="Times New Roman"/>
          <w:lang w:val="en-US"/>
        </w:rPr>
        <w:t xml:space="preserve"> the secretion of </w:t>
      </w:r>
      <w:r w:rsidR="00D6147E" w:rsidRPr="00E625E1">
        <w:rPr>
          <w:rFonts w:ascii="Times New Roman" w:hAnsi="Times New Roman" w:cs="Times New Roman"/>
          <w:lang w:val="en-US"/>
        </w:rPr>
        <w:t>FGF23 by osteocytes</w:t>
      </w:r>
      <w:r w:rsidR="00053E77" w:rsidRPr="00E625E1">
        <w:rPr>
          <w:rFonts w:ascii="Times New Roman" w:hAnsi="Times New Roman" w:cs="Times New Roman"/>
          <w:lang w:val="en-US"/>
        </w:rPr>
        <w:t>, that</w:t>
      </w:r>
      <w:r w:rsidR="00D6147E" w:rsidRPr="00E625E1">
        <w:rPr>
          <w:rFonts w:ascii="Times New Roman" w:hAnsi="Times New Roman" w:cs="Times New Roman"/>
          <w:lang w:val="en-US"/>
        </w:rPr>
        <w:t xml:space="preserve"> has been associated with bone disease</w:t>
      </w:r>
      <w:r w:rsidR="00A5003B" w:rsidRPr="00E625E1">
        <w:rPr>
          <w:rFonts w:ascii="Times New Roman" w:hAnsi="Times New Roman" w:cs="Times New Roman"/>
          <w:lang w:val="en-US"/>
        </w:rPr>
        <w:t xml:space="preserve"> </w:t>
      </w:r>
      <w:r w:rsidR="002151B0" w:rsidRPr="00E625E1">
        <w:rPr>
          <w:rFonts w:ascii="Times New Roman" w:hAnsi="Times New Roman" w:cs="Times New Roman"/>
          <w:lang w:val="en-US"/>
        </w:rPr>
        <w:t>[</w:t>
      </w:r>
      <w:r w:rsidR="005B7E88" w:rsidRPr="00E625E1">
        <w:rPr>
          <w:rFonts w:ascii="Times New Roman" w:hAnsi="Times New Roman" w:cs="Times New Roman"/>
          <w:lang w:val="en-US"/>
        </w:rPr>
        <w:t>60</w:t>
      </w:r>
      <w:r w:rsidR="002151B0" w:rsidRPr="00E625E1">
        <w:rPr>
          <w:rFonts w:ascii="Times New Roman" w:hAnsi="Times New Roman" w:cs="Times New Roman"/>
          <w:lang w:val="en-US"/>
        </w:rPr>
        <w:t>]</w:t>
      </w:r>
      <w:r w:rsidR="00A5003B" w:rsidRPr="00E625E1">
        <w:rPr>
          <w:rFonts w:ascii="Times New Roman" w:hAnsi="Times New Roman" w:cs="Times New Roman"/>
          <w:lang w:val="en-US"/>
        </w:rPr>
        <w:t>.</w:t>
      </w:r>
      <w:r w:rsidRPr="00E625E1">
        <w:rPr>
          <w:rFonts w:ascii="Times New Roman" w:hAnsi="Times New Roman" w:cs="Times New Roman"/>
          <w:lang w:val="en-US"/>
        </w:rPr>
        <w:t xml:space="preserve"> Increased levels of biochemical markers of bone resorption and formation, </w:t>
      </w:r>
      <w:r w:rsidRPr="00E625E1">
        <w:rPr>
          <w:rFonts w:ascii="Times New Roman" w:hAnsi="Times New Roman" w:cs="Times New Roman"/>
          <w:bdr w:val="none" w:sz="0" w:space="0" w:color="auto" w:frame="1"/>
          <w:lang w:val="en-US"/>
        </w:rPr>
        <w:t xml:space="preserve">and </w:t>
      </w:r>
      <w:r w:rsidRPr="00E625E1">
        <w:rPr>
          <w:rFonts w:ascii="Times New Roman" w:hAnsi="Times New Roman" w:cs="Times New Roman"/>
          <w:lang w:val="en-US"/>
        </w:rPr>
        <w:t>a small reduction in mineral bone density</w:t>
      </w:r>
      <w:r w:rsidR="007C768D" w:rsidRPr="00E625E1">
        <w:rPr>
          <w:rFonts w:ascii="Times New Roman" w:hAnsi="Times New Roman" w:cs="Times New Roman"/>
          <w:lang w:val="en-US"/>
        </w:rPr>
        <w:t xml:space="preserve">, together with an increased risk of bone fractures, </w:t>
      </w:r>
      <w:r w:rsidRPr="00E625E1">
        <w:rPr>
          <w:rFonts w:ascii="Times New Roman" w:hAnsi="Times New Roman" w:cs="Times New Roman"/>
          <w:lang w:val="en-US"/>
        </w:rPr>
        <w:t xml:space="preserve"> have been reported with canagliflozin </w:t>
      </w:r>
      <w:r w:rsidR="00C62AE7" w:rsidRPr="00E625E1">
        <w:rPr>
          <w:rFonts w:ascii="Times New Roman" w:hAnsi="Times New Roman" w:cs="Times New Roman"/>
          <w:lang w:val="en-US"/>
        </w:rPr>
        <w:t>[5</w:t>
      </w:r>
      <w:r w:rsidR="005B7E88" w:rsidRPr="00E625E1">
        <w:rPr>
          <w:rFonts w:ascii="Times New Roman" w:hAnsi="Times New Roman" w:cs="Times New Roman"/>
          <w:lang w:val="en-US"/>
        </w:rPr>
        <w:t>9</w:t>
      </w:r>
      <w:r w:rsidR="007C768D" w:rsidRPr="00E625E1">
        <w:rPr>
          <w:rFonts w:ascii="Times New Roman" w:hAnsi="Times New Roman" w:cs="Times New Roman"/>
          <w:lang w:val="en-US"/>
        </w:rPr>
        <w:t>, 6</w:t>
      </w:r>
      <w:r w:rsidR="005B7E88" w:rsidRPr="00E625E1">
        <w:rPr>
          <w:rFonts w:ascii="Times New Roman" w:hAnsi="Times New Roman" w:cs="Times New Roman"/>
          <w:lang w:val="en-US"/>
        </w:rPr>
        <w:t>1</w:t>
      </w:r>
      <w:r w:rsidR="002151B0" w:rsidRPr="00E625E1">
        <w:rPr>
          <w:rFonts w:ascii="Times New Roman" w:hAnsi="Times New Roman" w:cs="Times New Roman"/>
          <w:lang w:val="en-US"/>
        </w:rPr>
        <w:t>]</w:t>
      </w:r>
      <w:r w:rsidRPr="00E625E1">
        <w:rPr>
          <w:rFonts w:ascii="Times New Roman" w:hAnsi="Times New Roman" w:cs="Times New Roman"/>
          <w:lang w:val="en-US"/>
        </w:rPr>
        <w:t>; further studies are needed to point out whether such a detrimental effect should be cons</w:t>
      </w:r>
      <w:r w:rsidR="00053E77" w:rsidRPr="00E625E1">
        <w:rPr>
          <w:rFonts w:ascii="Times New Roman" w:hAnsi="Times New Roman" w:cs="Times New Roman"/>
          <w:lang w:val="en-US"/>
        </w:rPr>
        <w:t xml:space="preserve">idered a drug class-effect or </w:t>
      </w:r>
      <w:r w:rsidRPr="00E625E1">
        <w:rPr>
          <w:rFonts w:ascii="Times New Roman" w:hAnsi="Times New Roman" w:cs="Times New Roman"/>
          <w:lang w:val="en-US"/>
        </w:rPr>
        <w:t>it is compound-specific.</w:t>
      </w:r>
    </w:p>
    <w:p w:rsidR="005C25F4" w:rsidRPr="00E625E1" w:rsidRDefault="005C25F4" w:rsidP="00564898">
      <w:pPr>
        <w:autoSpaceDE w:val="0"/>
        <w:autoSpaceDN w:val="0"/>
        <w:adjustRightInd w:val="0"/>
        <w:spacing w:after="0" w:line="480" w:lineRule="auto"/>
        <w:rPr>
          <w:rFonts w:ascii="Times New Roman" w:eastAsia="BSGulliver" w:hAnsi="Times New Roman" w:cs="Times New Roman"/>
          <w:color w:val="000000"/>
          <w:lang w:val="en-US"/>
        </w:rPr>
      </w:pPr>
      <w:r w:rsidRPr="00E625E1">
        <w:rPr>
          <w:rFonts w:ascii="Times New Roman" w:eastAsia="BSGulliver" w:hAnsi="Times New Roman" w:cs="Times New Roman"/>
          <w:color w:val="000000"/>
          <w:lang w:val="en-US"/>
        </w:rPr>
        <w:t xml:space="preserve">Overall, prolonged treatment with SGLT2 inhibitors is associated with a </w:t>
      </w:r>
      <w:r w:rsidRPr="00E625E1">
        <w:rPr>
          <w:rFonts w:ascii="Times New Roman" w:hAnsi="Times New Roman" w:cs="Times New Roman"/>
          <w:lang w:val="en"/>
        </w:rPr>
        <w:t xml:space="preserve">high health-related quality-of-life and a great treatment satisfaction </w:t>
      </w:r>
      <w:r w:rsidR="002151B0" w:rsidRPr="00E625E1">
        <w:rPr>
          <w:rFonts w:ascii="Times New Roman" w:hAnsi="Times New Roman" w:cs="Times New Roman"/>
          <w:lang w:val="en"/>
        </w:rPr>
        <w:t>[</w:t>
      </w:r>
      <w:r w:rsidRPr="00E625E1">
        <w:rPr>
          <w:rFonts w:ascii="Times New Roman" w:hAnsi="Times New Roman" w:cs="Times New Roman"/>
          <w:lang w:val="en"/>
        </w:rPr>
        <w:t>6</w:t>
      </w:r>
      <w:r w:rsidR="005B7E88" w:rsidRPr="00E625E1">
        <w:rPr>
          <w:rFonts w:ascii="Times New Roman" w:hAnsi="Times New Roman" w:cs="Times New Roman"/>
          <w:lang w:val="en"/>
        </w:rPr>
        <w:t>2</w:t>
      </w:r>
      <w:r w:rsidR="002151B0" w:rsidRPr="00E625E1">
        <w:rPr>
          <w:rFonts w:ascii="Times New Roman" w:hAnsi="Times New Roman" w:cs="Times New Roman"/>
          <w:lang w:val="en"/>
        </w:rPr>
        <w:t>]</w:t>
      </w:r>
      <w:r w:rsidRPr="00E625E1">
        <w:rPr>
          <w:rFonts w:ascii="Times New Roman" w:hAnsi="Times New Roman" w:cs="Times New Roman"/>
          <w:lang w:val="en"/>
        </w:rPr>
        <w:t>.</w:t>
      </w:r>
    </w:p>
    <w:p w:rsidR="009F094C" w:rsidRPr="00E625E1" w:rsidRDefault="009F094C" w:rsidP="00564898">
      <w:pPr>
        <w:autoSpaceDE w:val="0"/>
        <w:autoSpaceDN w:val="0"/>
        <w:adjustRightInd w:val="0"/>
        <w:spacing w:after="0" w:line="480" w:lineRule="auto"/>
        <w:rPr>
          <w:rFonts w:ascii="Times New Roman" w:eastAsia="BSGulliver" w:hAnsi="Times New Roman" w:cs="Times New Roman"/>
          <w:lang w:val="en-US"/>
        </w:rPr>
      </w:pPr>
      <w:r w:rsidRPr="00E625E1">
        <w:rPr>
          <w:rFonts w:ascii="Times New Roman" w:eastAsia="BSGulliver" w:hAnsi="Times New Roman" w:cs="Times New Roman"/>
          <w:lang w:val="en-US"/>
        </w:rPr>
        <w:t>The relationship between SGLT2 inhibitors and cancer risk remains inconclusive but warrants</w:t>
      </w:r>
    </w:p>
    <w:p w:rsidR="009F094C" w:rsidRPr="00E625E1" w:rsidRDefault="009F094C" w:rsidP="00564898">
      <w:pPr>
        <w:autoSpaceDE w:val="0"/>
        <w:autoSpaceDN w:val="0"/>
        <w:adjustRightInd w:val="0"/>
        <w:spacing w:after="0" w:line="480" w:lineRule="auto"/>
        <w:rPr>
          <w:rFonts w:ascii="Times New Roman" w:eastAsia="BSGulliver" w:hAnsi="Times New Roman" w:cs="Times New Roman"/>
          <w:lang w:val="en-US"/>
        </w:rPr>
      </w:pPr>
      <w:r w:rsidRPr="00E625E1">
        <w:rPr>
          <w:rFonts w:ascii="Times New Roman" w:eastAsia="BSGulliver" w:hAnsi="Times New Roman" w:cs="Times New Roman"/>
          <w:lang w:val="en-US"/>
        </w:rPr>
        <w:t xml:space="preserve">continued surveillance, particularly as the number of treated patients and duration of exposure increases. Updated data from trials performed with </w:t>
      </w:r>
      <w:r w:rsidR="005C25F4" w:rsidRPr="00E625E1">
        <w:rPr>
          <w:rFonts w:ascii="Times New Roman" w:eastAsia="BSGulliver" w:hAnsi="Times New Roman" w:cs="Times New Roman"/>
          <w:lang w:val="en-US"/>
        </w:rPr>
        <w:t xml:space="preserve">SGLT2 inhibitors </w:t>
      </w:r>
      <w:r w:rsidRPr="00E625E1">
        <w:rPr>
          <w:rFonts w:ascii="Times New Roman" w:eastAsia="BSGulliver" w:hAnsi="Times New Roman" w:cs="Times New Roman"/>
          <w:lang w:val="en-US"/>
        </w:rPr>
        <w:t>show no overall imbalance of malignancies; however, some neoplasm</w:t>
      </w:r>
      <w:r w:rsidR="00E13A76" w:rsidRPr="00E625E1">
        <w:rPr>
          <w:rFonts w:ascii="Times New Roman" w:eastAsia="BSGulliver" w:hAnsi="Times New Roman" w:cs="Times New Roman"/>
          <w:lang w:val="en-US"/>
        </w:rPr>
        <w:t>s</w:t>
      </w:r>
      <w:r w:rsidRPr="00E625E1">
        <w:rPr>
          <w:rFonts w:ascii="Times New Roman" w:eastAsia="BSGulliver" w:hAnsi="Times New Roman" w:cs="Times New Roman"/>
          <w:lang w:val="en-US"/>
        </w:rPr>
        <w:t xml:space="preserve"> were more common in dapaglif</w:t>
      </w:r>
      <w:r w:rsidR="005C25F4" w:rsidRPr="00E625E1">
        <w:rPr>
          <w:rFonts w:ascii="Times New Roman" w:eastAsia="BSGulliver" w:hAnsi="Times New Roman" w:cs="Times New Roman"/>
          <w:lang w:val="en-US"/>
        </w:rPr>
        <w:t>lozin-treated individuals, like</w:t>
      </w:r>
      <w:r w:rsidRPr="00E625E1">
        <w:rPr>
          <w:rFonts w:ascii="Times New Roman" w:eastAsia="BSGulliver" w:hAnsi="Times New Roman" w:cs="Times New Roman"/>
          <w:lang w:val="en-US"/>
        </w:rPr>
        <w:t xml:space="preserve"> bladder and brea</w:t>
      </w:r>
      <w:r w:rsidR="00E13A76" w:rsidRPr="00E625E1">
        <w:rPr>
          <w:rFonts w:ascii="Times New Roman" w:eastAsia="BSGulliver" w:hAnsi="Times New Roman" w:cs="Times New Roman"/>
          <w:lang w:val="en-US"/>
        </w:rPr>
        <w:t>s</w:t>
      </w:r>
      <w:r w:rsidRPr="00E625E1">
        <w:rPr>
          <w:rFonts w:ascii="Times New Roman" w:eastAsia="BSGulliver" w:hAnsi="Times New Roman" w:cs="Times New Roman"/>
          <w:lang w:val="en-US"/>
        </w:rPr>
        <w:t>t cancer</w:t>
      </w:r>
      <w:r w:rsidR="005C25F4" w:rsidRPr="00E625E1">
        <w:rPr>
          <w:rFonts w:ascii="Times New Roman" w:eastAsia="BSGulliver" w:hAnsi="Times New Roman" w:cs="Times New Roman"/>
          <w:lang w:val="en-US"/>
        </w:rPr>
        <w:t xml:space="preserve"> </w:t>
      </w:r>
      <w:r w:rsidR="002151B0" w:rsidRPr="00E625E1">
        <w:rPr>
          <w:rFonts w:ascii="Times New Roman" w:eastAsia="BSGulliver" w:hAnsi="Times New Roman" w:cs="Times New Roman"/>
          <w:lang w:val="en-US"/>
        </w:rPr>
        <w:t>[</w:t>
      </w:r>
      <w:r w:rsidR="005C25F4" w:rsidRPr="00E625E1">
        <w:rPr>
          <w:rFonts w:ascii="Times New Roman" w:eastAsia="BSGulliver" w:hAnsi="Times New Roman" w:cs="Times New Roman"/>
          <w:lang w:val="en-US"/>
        </w:rPr>
        <w:t>6</w:t>
      </w:r>
      <w:r w:rsidR="005B7E88" w:rsidRPr="00E625E1">
        <w:rPr>
          <w:rFonts w:ascii="Times New Roman" w:eastAsia="BSGulliver" w:hAnsi="Times New Roman" w:cs="Times New Roman"/>
          <w:lang w:val="en-US"/>
        </w:rPr>
        <w:t>3</w:t>
      </w:r>
      <w:r w:rsidR="002151B0" w:rsidRPr="00E625E1">
        <w:rPr>
          <w:rFonts w:ascii="Times New Roman" w:eastAsia="BSGulliver" w:hAnsi="Times New Roman" w:cs="Times New Roman"/>
          <w:lang w:val="en-US"/>
        </w:rPr>
        <w:t>]</w:t>
      </w:r>
      <w:r w:rsidR="005C25F4" w:rsidRPr="00E625E1">
        <w:rPr>
          <w:rFonts w:ascii="Times New Roman" w:eastAsia="BSGulliver" w:hAnsi="Times New Roman" w:cs="Times New Roman"/>
          <w:lang w:val="en-US"/>
        </w:rPr>
        <w:t xml:space="preserve">, even though such imbalance might be the </w:t>
      </w:r>
      <w:r w:rsidRPr="00E625E1">
        <w:rPr>
          <w:rFonts w:ascii="Times New Roman" w:eastAsia="BSGulliver" w:hAnsi="Times New Roman" w:cs="Times New Roman"/>
          <w:lang w:val="en-US"/>
        </w:rPr>
        <w:t>consequence of increased detection of pre-existing cancer</w:t>
      </w:r>
      <w:r w:rsidR="005C25F4" w:rsidRPr="00E625E1">
        <w:rPr>
          <w:rFonts w:ascii="Times New Roman" w:eastAsia="BSGulliver" w:hAnsi="Times New Roman" w:cs="Times New Roman"/>
          <w:lang w:val="en-US"/>
        </w:rPr>
        <w:t xml:space="preserve"> for the former</w:t>
      </w:r>
      <w:r w:rsidRPr="00E625E1">
        <w:rPr>
          <w:rFonts w:ascii="Times New Roman" w:eastAsia="BSGulliver" w:hAnsi="Times New Roman" w:cs="Times New Roman"/>
          <w:lang w:val="en-US"/>
        </w:rPr>
        <w:t>, and a better detection following weight loss for the latter</w:t>
      </w:r>
      <w:r w:rsidR="005C25F4" w:rsidRPr="00E625E1">
        <w:rPr>
          <w:rFonts w:ascii="Times New Roman" w:eastAsia="BSGulliver" w:hAnsi="Times New Roman" w:cs="Times New Roman"/>
          <w:lang w:val="en-US"/>
        </w:rPr>
        <w:t>.</w:t>
      </w:r>
      <w:r w:rsidR="00A5003B" w:rsidRPr="00E625E1">
        <w:rPr>
          <w:rFonts w:ascii="Times New Roman" w:eastAsia="BSGulliver" w:hAnsi="Times New Roman" w:cs="Times New Roman"/>
          <w:lang w:val="en-US"/>
        </w:rPr>
        <w:t xml:space="preserve"> </w:t>
      </w:r>
    </w:p>
    <w:p w:rsidR="009F094C" w:rsidRPr="00E625E1" w:rsidRDefault="009F094C" w:rsidP="00564898">
      <w:pPr>
        <w:autoSpaceDE w:val="0"/>
        <w:autoSpaceDN w:val="0"/>
        <w:adjustRightInd w:val="0"/>
        <w:spacing w:after="0" w:line="480" w:lineRule="auto"/>
        <w:rPr>
          <w:rFonts w:ascii="Times New Roman" w:eastAsia="BSGulliver" w:hAnsi="Times New Roman" w:cs="Times New Roman"/>
          <w:color w:val="000000"/>
          <w:lang w:val="en-US"/>
        </w:rPr>
      </w:pPr>
    </w:p>
    <w:p w:rsidR="00A60D2B" w:rsidRPr="00E625E1" w:rsidRDefault="006D6C9A" w:rsidP="00564898">
      <w:pPr>
        <w:autoSpaceDE w:val="0"/>
        <w:autoSpaceDN w:val="0"/>
        <w:adjustRightInd w:val="0"/>
        <w:spacing w:after="0" w:line="480" w:lineRule="auto"/>
        <w:rPr>
          <w:rFonts w:ascii="Times New Roman" w:hAnsi="Times New Roman" w:cs="Times New Roman"/>
          <w:lang w:val="en-US"/>
        </w:rPr>
      </w:pPr>
      <w:r w:rsidRPr="00E625E1">
        <w:rPr>
          <w:rFonts w:ascii="Times New Roman" w:hAnsi="Times New Roman" w:cs="Times New Roman"/>
          <w:i/>
          <w:lang w:val="en-US"/>
        </w:rPr>
        <w:t>Cardiovascular safety</w:t>
      </w:r>
      <w:r w:rsidRPr="00E625E1">
        <w:rPr>
          <w:rFonts w:ascii="Times New Roman" w:hAnsi="Times New Roman" w:cs="Times New Roman"/>
          <w:lang w:val="en-US"/>
        </w:rPr>
        <w:t xml:space="preserve"> </w:t>
      </w:r>
      <w:r w:rsidR="000E1103" w:rsidRPr="00E625E1">
        <w:rPr>
          <w:rFonts w:ascii="Times New Roman" w:hAnsi="Times New Roman" w:cs="Times New Roman"/>
          <w:lang w:val="en-US"/>
        </w:rPr>
        <w:t xml:space="preserve">- </w:t>
      </w:r>
      <w:r w:rsidR="007C768D" w:rsidRPr="00E625E1">
        <w:rPr>
          <w:rFonts w:ascii="Times New Roman" w:hAnsi="Times New Roman" w:cs="Times New Roman"/>
          <w:lang w:val="en-US"/>
        </w:rPr>
        <w:t>P</w:t>
      </w:r>
      <w:r w:rsidR="002A79FF" w:rsidRPr="00E625E1">
        <w:rPr>
          <w:rFonts w:ascii="Times New Roman" w:hAnsi="Times New Roman" w:cs="Times New Roman"/>
          <w:lang w:val="en-US"/>
        </w:rPr>
        <w:t xml:space="preserve">re-registrative </w:t>
      </w:r>
      <w:r w:rsidR="007C768D" w:rsidRPr="00E625E1">
        <w:rPr>
          <w:rFonts w:ascii="Times New Roman" w:hAnsi="Times New Roman" w:cs="Times New Roman"/>
          <w:lang w:val="en-US"/>
        </w:rPr>
        <w:t xml:space="preserve">and post-marketing data support </w:t>
      </w:r>
      <w:r w:rsidR="002A79FF" w:rsidRPr="00E625E1">
        <w:rPr>
          <w:rFonts w:ascii="Times New Roman" w:hAnsi="Times New Roman" w:cs="Times New Roman"/>
          <w:lang w:val="en-US"/>
        </w:rPr>
        <w:t xml:space="preserve">a safe </w:t>
      </w:r>
      <w:r w:rsidR="0023321D" w:rsidRPr="00E625E1">
        <w:rPr>
          <w:rFonts w:ascii="Times New Roman" w:hAnsi="Times New Roman" w:cs="Times New Roman"/>
          <w:lang w:val="en-US"/>
        </w:rPr>
        <w:t>cardiovascular (</w:t>
      </w:r>
      <w:r w:rsidR="002A79FF" w:rsidRPr="00E625E1">
        <w:rPr>
          <w:rFonts w:ascii="Times New Roman" w:hAnsi="Times New Roman" w:cs="Times New Roman"/>
          <w:lang w:val="en-US"/>
        </w:rPr>
        <w:t>CV</w:t>
      </w:r>
      <w:r w:rsidR="0023321D" w:rsidRPr="00E625E1">
        <w:rPr>
          <w:rFonts w:ascii="Times New Roman" w:hAnsi="Times New Roman" w:cs="Times New Roman"/>
          <w:lang w:val="en-US"/>
        </w:rPr>
        <w:t>)</w:t>
      </w:r>
      <w:r w:rsidR="002A79FF" w:rsidRPr="00E625E1">
        <w:rPr>
          <w:rFonts w:ascii="Times New Roman" w:hAnsi="Times New Roman" w:cs="Times New Roman"/>
          <w:lang w:val="en-US"/>
        </w:rPr>
        <w:t xml:space="preserve"> risk profile </w:t>
      </w:r>
      <w:r w:rsidR="007C768D" w:rsidRPr="00E625E1">
        <w:rPr>
          <w:rFonts w:ascii="Times New Roman" w:hAnsi="Times New Roman" w:cs="Times New Roman"/>
          <w:lang w:val="en-US"/>
        </w:rPr>
        <w:t xml:space="preserve">of SGLT2 inhibitors </w:t>
      </w:r>
      <w:r w:rsidR="004D621E" w:rsidRPr="00E625E1">
        <w:rPr>
          <w:rFonts w:ascii="Times New Roman" w:hAnsi="Times New Roman" w:cs="Times New Roman"/>
          <w:lang w:val="en-US"/>
        </w:rPr>
        <w:t>[</w:t>
      </w:r>
      <w:r w:rsidR="00165781" w:rsidRPr="00E625E1">
        <w:rPr>
          <w:rFonts w:ascii="Times New Roman" w:hAnsi="Times New Roman" w:cs="Times New Roman"/>
          <w:lang w:val="en-US"/>
        </w:rPr>
        <w:t>6</w:t>
      </w:r>
      <w:r w:rsidR="005B7E88" w:rsidRPr="00E625E1">
        <w:rPr>
          <w:rFonts w:ascii="Times New Roman" w:hAnsi="Times New Roman" w:cs="Times New Roman"/>
          <w:lang w:val="en-US"/>
        </w:rPr>
        <w:t>4</w:t>
      </w:r>
      <w:r w:rsidR="004D621E" w:rsidRPr="00E625E1">
        <w:rPr>
          <w:rFonts w:ascii="Times New Roman" w:hAnsi="Times New Roman" w:cs="Times New Roman"/>
          <w:lang w:val="en-US"/>
        </w:rPr>
        <w:t>]</w:t>
      </w:r>
      <w:r w:rsidR="002A79FF" w:rsidRPr="00E625E1">
        <w:rPr>
          <w:rFonts w:ascii="Times New Roman" w:hAnsi="Times New Roman" w:cs="Times New Roman"/>
          <w:lang w:val="en-US"/>
        </w:rPr>
        <w:t xml:space="preserve">; regarding the relationship between use of SGLT2 inhibitors and occurrence of major CV events, </w:t>
      </w:r>
      <w:r w:rsidR="00D85A8D" w:rsidRPr="00E625E1">
        <w:rPr>
          <w:rFonts w:ascii="Times New Roman" w:hAnsi="Times New Roman" w:cs="Times New Roman"/>
          <w:lang w:val="en-US"/>
        </w:rPr>
        <w:t>international regulatory authorit</w:t>
      </w:r>
      <w:r w:rsidR="002A79FF" w:rsidRPr="00E625E1">
        <w:rPr>
          <w:rFonts w:ascii="Times New Roman" w:hAnsi="Times New Roman" w:cs="Times New Roman"/>
          <w:lang w:val="en-US"/>
        </w:rPr>
        <w:t>ies require post-marketing studies specifically addressing the non-inferiority of these novel anti-hyperglycemic drugs</w:t>
      </w:r>
      <w:r w:rsidR="00D85A8D" w:rsidRPr="00E625E1">
        <w:rPr>
          <w:rFonts w:ascii="Times New Roman" w:hAnsi="Times New Roman" w:cs="Times New Roman"/>
          <w:lang w:val="en-US"/>
        </w:rPr>
        <w:t>,</w:t>
      </w:r>
      <w:r w:rsidR="002A79FF" w:rsidRPr="00E625E1">
        <w:rPr>
          <w:rFonts w:ascii="Times New Roman" w:hAnsi="Times New Roman" w:cs="Times New Roman"/>
          <w:lang w:val="en-US"/>
        </w:rPr>
        <w:t xml:space="preserve"> </w:t>
      </w:r>
      <w:r w:rsidR="002A79FF" w:rsidRPr="00E625E1">
        <w:rPr>
          <w:rFonts w:ascii="Times New Roman" w:hAnsi="Times New Roman" w:cs="Times New Roman"/>
          <w:lang w:val="en"/>
        </w:rPr>
        <w:t xml:space="preserve">respect to those </w:t>
      </w:r>
      <w:r w:rsidR="00EF761F" w:rsidRPr="00E625E1">
        <w:rPr>
          <w:rFonts w:ascii="Times New Roman" w:hAnsi="Times New Roman" w:cs="Times New Roman"/>
          <w:lang w:val="en"/>
        </w:rPr>
        <w:t>in use since a longer time</w:t>
      </w:r>
      <w:r w:rsidR="00D85A8D" w:rsidRPr="00E625E1">
        <w:rPr>
          <w:rFonts w:ascii="Times New Roman" w:hAnsi="Times New Roman" w:cs="Times New Roman"/>
          <w:lang w:val="en"/>
        </w:rPr>
        <w:t xml:space="preserve">, in terms of long-term CV safety and potential beneficial effects on microvascular and macrovascular outcomes. </w:t>
      </w:r>
      <w:r w:rsidR="00006AAB" w:rsidRPr="00E625E1">
        <w:rPr>
          <w:rFonts w:ascii="Times New Roman" w:hAnsi="Times New Roman" w:cs="Times New Roman"/>
          <w:lang w:val="en"/>
        </w:rPr>
        <w:t xml:space="preserve">Several trials are ongoing, but the EMPA-REG OUTCOME </w:t>
      </w:r>
      <w:r w:rsidR="00D85A8D" w:rsidRPr="00E625E1">
        <w:rPr>
          <w:rFonts w:ascii="Times New Roman" w:hAnsi="Times New Roman" w:cs="Times New Roman"/>
          <w:lang w:val="en"/>
        </w:rPr>
        <w:t>Study, performed with empagliflozin, has been concluded</w:t>
      </w:r>
      <w:r w:rsidR="00006AAB" w:rsidRPr="00E625E1">
        <w:rPr>
          <w:rFonts w:ascii="Times New Roman" w:hAnsi="Times New Roman" w:cs="Times New Roman"/>
          <w:lang w:val="en"/>
        </w:rPr>
        <w:t xml:space="preserve"> already, with the recent publication of its striking results </w:t>
      </w:r>
      <w:r w:rsidR="00C156A2" w:rsidRPr="00E625E1">
        <w:rPr>
          <w:rFonts w:ascii="Times New Roman" w:hAnsi="Times New Roman" w:cs="Times New Roman"/>
          <w:lang w:val="en"/>
        </w:rPr>
        <w:t>[</w:t>
      </w:r>
      <w:r w:rsidR="00967F78" w:rsidRPr="00E625E1">
        <w:rPr>
          <w:rFonts w:ascii="Times New Roman" w:hAnsi="Times New Roman" w:cs="Times New Roman"/>
          <w:lang w:val="en"/>
        </w:rPr>
        <w:t>6</w:t>
      </w:r>
      <w:r w:rsidR="005B7E88" w:rsidRPr="00E625E1">
        <w:rPr>
          <w:rFonts w:ascii="Times New Roman" w:hAnsi="Times New Roman" w:cs="Times New Roman"/>
          <w:lang w:val="en"/>
        </w:rPr>
        <w:t>5</w:t>
      </w:r>
      <w:r w:rsidR="00C156A2" w:rsidRPr="00E625E1">
        <w:rPr>
          <w:rFonts w:ascii="Times New Roman" w:hAnsi="Times New Roman" w:cs="Times New Roman"/>
          <w:lang w:val="en"/>
        </w:rPr>
        <w:t>]</w:t>
      </w:r>
      <w:r w:rsidR="00006AAB" w:rsidRPr="00E625E1">
        <w:rPr>
          <w:rFonts w:ascii="Times New Roman" w:hAnsi="Times New Roman" w:cs="Times New Roman"/>
          <w:lang w:val="en"/>
        </w:rPr>
        <w:t xml:space="preserve">. Briefly, </w:t>
      </w:r>
      <w:r w:rsidR="00A60D2B" w:rsidRPr="00E625E1">
        <w:rPr>
          <w:rFonts w:ascii="Times New Roman" w:hAnsi="Times New Roman" w:cs="Times New Roman"/>
          <w:lang w:val="en"/>
        </w:rPr>
        <w:t xml:space="preserve">7020 T2DM patients </w:t>
      </w:r>
      <w:r w:rsidR="00EF761F" w:rsidRPr="00E625E1">
        <w:rPr>
          <w:rFonts w:ascii="Times New Roman" w:hAnsi="Times New Roman" w:cs="Times New Roman"/>
          <w:lang w:val="en"/>
        </w:rPr>
        <w:t xml:space="preserve">with </w:t>
      </w:r>
      <w:r w:rsidR="00A60D2B" w:rsidRPr="00E625E1">
        <w:rPr>
          <w:rFonts w:ascii="Times New Roman" w:hAnsi="Times New Roman" w:cs="Times New Roman"/>
          <w:lang w:val="en"/>
        </w:rPr>
        <w:t xml:space="preserve">previous personal history of </w:t>
      </w:r>
      <w:r w:rsidR="00EF761F" w:rsidRPr="00E625E1">
        <w:rPr>
          <w:rFonts w:ascii="Times New Roman" w:hAnsi="Times New Roman" w:cs="Times New Roman"/>
          <w:lang w:val="en"/>
        </w:rPr>
        <w:t>CV disease (myocardial infarction,</w:t>
      </w:r>
      <w:r w:rsidR="00A60D2B" w:rsidRPr="00E625E1">
        <w:rPr>
          <w:rFonts w:ascii="Times New Roman" w:hAnsi="Times New Roman" w:cs="Times New Roman"/>
          <w:lang w:val="en"/>
        </w:rPr>
        <w:t xml:space="preserve"> stroke, or peripheral arterial disease) were randomized to either 10 mg empagliflozin, 25 mg empagliflozin, or placebo, assessing the occurrence of the primary (death from CV causes, non-fata</w:t>
      </w:r>
      <w:r w:rsidR="0023321D" w:rsidRPr="00E625E1">
        <w:rPr>
          <w:rFonts w:ascii="Times New Roman" w:hAnsi="Times New Roman" w:cs="Times New Roman"/>
          <w:lang w:val="en"/>
        </w:rPr>
        <w:t>l myocardial infarction</w:t>
      </w:r>
      <w:r w:rsidR="00A60D2B" w:rsidRPr="00E625E1">
        <w:rPr>
          <w:rFonts w:ascii="Times New Roman" w:hAnsi="Times New Roman" w:cs="Times New Roman"/>
          <w:lang w:val="en"/>
        </w:rPr>
        <w:t xml:space="preserve">, and non-fatal stroke) and secondary endpoint (hospitalization for unstable angina in addition to the composite primary endpoint ) along a </w:t>
      </w:r>
      <w:r w:rsidR="00A60D2B" w:rsidRPr="00E625E1">
        <w:rPr>
          <w:rFonts w:ascii="Times New Roman" w:hAnsi="Times New Roman" w:cs="Times New Roman"/>
          <w:lang w:val="en-US"/>
        </w:rPr>
        <w:t>median observation time of 3.1 years</w:t>
      </w:r>
      <w:r w:rsidR="00A60D2B" w:rsidRPr="00E625E1">
        <w:rPr>
          <w:rFonts w:ascii="Times New Roman" w:hAnsi="Times New Roman" w:cs="Times New Roman"/>
          <w:lang w:val="en"/>
        </w:rPr>
        <w:t xml:space="preserve">. A significant reduction in the primary endpoint (10.5% vs. </w:t>
      </w:r>
      <w:r w:rsidR="00A60D2B" w:rsidRPr="00E625E1">
        <w:rPr>
          <w:rFonts w:ascii="Times New Roman" w:hAnsi="Times New Roman" w:cs="Times New Roman"/>
          <w:lang w:val="en"/>
        </w:rPr>
        <w:lastRenderedPageBreak/>
        <w:t>12.1% ) was observ</w:t>
      </w:r>
      <w:r w:rsidR="00EF761F" w:rsidRPr="00E625E1">
        <w:rPr>
          <w:rFonts w:ascii="Times New Roman" w:hAnsi="Times New Roman" w:cs="Times New Roman"/>
          <w:lang w:val="en"/>
        </w:rPr>
        <w:t xml:space="preserve">ed in the empagliflozin group </w:t>
      </w:r>
      <w:r w:rsidR="00EF761F" w:rsidRPr="00E625E1">
        <w:rPr>
          <w:rFonts w:ascii="Times New Roman" w:hAnsi="Times New Roman" w:cs="Times New Roman"/>
          <w:i/>
          <w:lang w:val="en"/>
        </w:rPr>
        <w:t>vs</w:t>
      </w:r>
      <w:r w:rsidR="00A60D2B" w:rsidRPr="00E625E1">
        <w:rPr>
          <w:rFonts w:ascii="Times New Roman" w:hAnsi="Times New Roman" w:cs="Times New Roman"/>
          <w:lang w:val="en"/>
        </w:rPr>
        <w:t xml:space="preserve"> the placebo group, with a relat</w:t>
      </w:r>
      <w:r w:rsidR="00EF761F" w:rsidRPr="00E625E1">
        <w:rPr>
          <w:rFonts w:ascii="Times New Roman" w:hAnsi="Times New Roman" w:cs="Times New Roman"/>
          <w:lang w:val="en"/>
        </w:rPr>
        <w:t>ive risk reduction (RRR) of 14% (</w:t>
      </w:r>
      <w:r w:rsidR="00A60D2B" w:rsidRPr="00E625E1">
        <w:rPr>
          <w:rFonts w:ascii="Times New Roman" w:hAnsi="Times New Roman" w:cs="Times New Roman"/>
          <w:lang w:val="en"/>
        </w:rPr>
        <w:t xml:space="preserve"> </w:t>
      </w:r>
      <w:r w:rsidR="00A60D2B" w:rsidRPr="00E625E1">
        <w:rPr>
          <w:rStyle w:val="Enfasicorsivo"/>
          <w:rFonts w:ascii="Times New Roman" w:hAnsi="Times New Roman" w:cs="Times New Roman"/>
          <w:lang w:val="en"/>
        </w:rPr>
        <w:t>P</w:t>
      </w:r>
      <w:r w:rsidR="00A60D2B" w:rsidRPr="00E625E1">
        <w:rPr>
          <w:rFonts w:ascii="Times New Roman" w:hAnsi="Times New Roman" w:cs="Times New Roman"/>
          <w:lang w:val="en"/>
        </w:rPr>
        <w:t xml:space="preserve"> = 0.04). Similarly, a RRR reduction was noted in death from CV causes (RRR 38%), hospitalization for heart failure (RRR 35%) and all-cause death (RRR 32%). </w:t>
      </w:r>
      <w:r w:rsidR="0093525B" w:rsidRPr="00E625E1">
        <w:rPr>
          <w:rFonts w:ascii="Times New Roman" w:hAnsi="Times New Roman" w:cs="Times New Roman"/>
          <w:color w:val="FF0000"/>
          <w:lang w:val="en"/>
        </w:rPr>
        <w:t>The study has also confirmed the safety of empagliflozin, with n</w:t>
      </w:r>
      <w:r w:rsidR="00E625E1" w:rsidRPr="00E625E1">
        <w:rPr>
          <w:rFonts w:ascii="Times New Roman" w:hAnsi="Times New Roman" w:cs="Times New Roman"/>
          <w:color w:val="FF0000"/>
          <w:lang w:val="en"/>
        </w:rPr>
        <w:t>o increase in bone fractures</w:t>
      </w:r>
      <w:r w:rsidR="0093525B" w:rsidRPr="00E625E1">
        <w:rPr>
          <w:rFonts w:ascii="Times New Roman" w:hAnsi="Times New Roman" w:cs="Times New Roman"/>
          <w:color w:val="FF0000"/>
          <w:lang w:val="en"/>
        </w:rPr>
        <w:t xml:space="preserve"> or cancer risk.</w:t>
      </w:r>
    </w:p>
    <w:p w:rsidR="00790AE7" w:rsidRPr="00E625E1" w:rsidRDefault="00A60D2B" w:rsidP="00564898">
      <w:pPr>
        <w:shd w:val="clear" w:color="auto" w:fill="FFFFFF"/>
        <w:spacing w:after="0" w:line="480" w:lineRule="auto"/>
        <w:rPr>
          <w:rFonts w:ascii="Times New Roman" w:eastAsia="Times New Roman" w:hAnsi="Times New Roman" w:cs="Times New Roman"/>
          <w:b/>
          <w:bCs/>
          <w:lang w:val="en" w:eastAsia="it-IT"/>
        </w:rPr>
      </w:pPr>
      <w:r w:rsidRPr="00E625E1">
        <w:rPr>
          <w:rFonts w:ascii="Times New Roman" w:eastAsia="Times New Roman" w:hAnsi="Times New Roman" w:cs="Times New Roman"/>
          <w:lang w:val="en-US" w:eastAsia="it-IT"/>
        </w:rPr>
        <w:t xml:space="preserve">The </w:t>
      </w:r>
      <w:r w:rsidR="00790AE7" w:rsidRPr="00E625E1">
        <w:rPr>
          <w:rFonts w:ascii="Times New Roman" w:hAnsi="Times New Roman" w:cs="Times New Roman"/>
          <w:lang w:val="en-US"/>
        </w:rPr>
        <w:t>Empa-Reg Outcome</w:t>
      </w:r>
      <w:r w:rsidR="00790AE7" w:rsidRPr="00E625E1">
        <w:rPr>
          <w:rFonts w:ascii="Times New Roman" w:hAnsi="Times New Roman" w:cs="Times New Roman"/>
          <w:i/>
          <w:lang w:val="en-US"/>
        </w:rPr>
        <w:t xml:space="preserve"> </w:t>
      </w:r>
      <w:r w:rsidR="00790AE7" w:rsidRPr="00E625E1">
        <w:rPr>
          <w:rFonts w:ascii="Times New Roman" w:hAnsi="Times New Roman" w:cs="Times New Roman"/>
          <w:lang w:val="en-US"/>
        </w:rPr>
        <w:t xml:space="preserve">is a successful clinical study able to open novel scenarios but also leaving open and unsolved several questions, mainly regarding the mechanism(s) underlying such </w:t>
      </w:r>
      <w:r w:rsidR="00006AAB" w:rsidRPr="00E625E1">
        <w:rPr>
          <w:rFonts w:ascii="Times New Roman" w:hAnsi="Times New Roman" w:cs="Times New Roman"/>
          <w:lang w:val="en-US"/>
        </w:rPr>
        <w:t xml:space="preserve">impressive </w:t>
      </w:r>
      <w:r w:rsidR="00790AE7" w:rsidRPr="00E625E1">
        <w:rPr>
          <w:rFonts w:ascii="Times New Roman" w:hAnsi="Times New Roman" w:cs="Times New Roman"/>
          <w:lang w:val="en-US"/>
        </w:rPr>
        <w:t>CV benefit, and the question whether that is a class effect or should be regarded as exclusive of empaglifloz</w:t>
      </w:r>
      <w:r w:rsidR="001F46EF" w:rsidRPr="00E625E1">
        <w:rPr>
          <w:rFonts w:ascii="Times New Roman" w:hAnsi="Times New Roman" w:cs="Times New Roman"/>
          <w:lang w:val="en-US"/>
        </w:rPr>
        <w:t xml:space="preserve">in. Regarding the first point, </w:t>
      </w:r>
      <w:r w:rsidR="00790AE7" w:rsidRPr="00E625E1">
        <w:rPr>
          <w:rFonts w:ascii="Times New Roman" w:hAnsi="Times New Roman" w:cs="Times New Roman"/>
          <w:lang w:val="en-US"/>
        </w:rPr>
        <w:t>several candidates might play a role:</w:t>
      </w:r>
      <w:r w:rsidR="00F231C5" w:rsidRPr="00E625E1">
        <w:rPr>
          <w:rFonts w:ascii="Times New Roman" w:hAnsi="Times New Roman" w:cs="Times New Roman"/>
          <w:lang w:val="en-US"/>
        </w:rPr>
        <w:t xml:space="preserve"> some of them are reported in </w:t>
      </w:r>
      <w:r w:rsidR="008C4695" w:rsidRPr="00E625E1">
        <w:rPr>
          <w:rFonts w:ascii="Times New Roman" w:hAnsi="Times New Roman" w:cs="Times New Roman"/>
          <w:b/>
          <w:lang w:val="en-US"/>
        </w:rPr>
        <w:t>Table 1</w:t>
      </w:r>
      <w:r w:rsidR="0023321D" w:rsidRPr="00E625E1">
        <w:rPr>
          <w:rFonts w:ascii="Times New Roman" w:hAnsi="Times New Roman" w:cs="Times New Roman"/>
          <w:b/>
          <w:lang w:val="en-US"/>
        </w:rPr>
        <w:t xml:space="preserve">. </w:t>
      </w:r>
      <w:r w:rsidR="0023321D" w:rsidRPr="00E625E1">
        <w:rPr>
          <w:rFonts w:ascii="Times New Roman" w:hAnsi="Times New Roman" w:cs="Times New Roman"/>
          <w:lang w:val="en-US"/>
        </w:rPr>
        <w:t>On</w:t>
      </w:r>
      <w:r w:rsidR="00F231C5" w:rsidRPr="00E625E1">
        <w:rPr>
          <w:rFonts w:ascii="Times New Roman" w:hAnsi="Times New Roman" w:cs="Times New Roman"/>
          <w:lang w:val="en-US"/>
        </w:rPr>
        <w:t xml:space="preserve"> the second point, the DECLARE</w:t>
      </w:r>
      <w:r w:rsidR="00467749" w:rsidRPr="00E625E1">
        <w:rPr>
          <w:rFonts w:ascii="Times New Roman" w:hAnsi="Times New Roman" w:cs="Times New Roman"/>
          <w:lang w:val="en-US"/>
        </w:rPr>
        <w:t xml:space="preserve">-TIMI58 trial </w:t>
      </w:r>
      <w:r w:rsidR="0023321D" w:rsidRPr="00E625E1">
        <w:rPr>
          <w:rFonts w:ascii="Times New Roman" w:hAnsi="Times New Roman" w:cs="Times New Roman"/>
          <w:lang w:val="en-US"/>
        </w:rPr>
        <w:t>(</w:t>
      </w:r>
      <w:r w:rsidR="0023321D" w:rsidRPr="00E625E1">
        <w:rPr>
          <w:rFonts w:ascii="Times New Roman" w:eastAsia="Times New Roman" w:hAnsi="Times New Roman" w:cs="Times New Roman"/>
          <w:bCs/>
          <w:lang w:val="en" w:eastAsia="it-IT"/>
        </w:rPr>
        <w:t>ClinicalTrials.gov Identifier:</w:t>
      </w:r>
      <w:r w:rsidR="0023321D" w:rsidRPr="00E625E1">
        <w:rPr>
          <w:rFonts w:ascii="Times New Roman" w:eastAsia="Times New Roman" w:hAnsi="Times New Roman" w:cs="Times New Roman"/>
          <w:b/>
          <w:bCs/>
          <w:lang w:val="en" w:eastAsia="it-IT"/>
        </w:rPr>
        <w:t xml:space="preserve"> </w:t>
      </w:r>
      <w:r w:rsidR="0023321D" w:rsidRPr="00E625E1">
        <w:rPr>
          <w:rFonts w:ascii="Times New Roman" w:eastAsia="Times New Roman" w:hAnsi="Times New Roman" w:cs="Times New Roman"/>
          <w:lang w:val="en" w:eastAsia="it-IT"/>
        </w:rPr>
        <w:t>NCT01730534)</w:t>
      </w:r>
      <w:r w:rsidR="0023321D" w:rsidRPr="00E625E1">
        <w:rPr>
          <w:rFonts w:ascii="Times New Roman" w:eastAsia="Times New Roman" w:hAnsi="Times New Roman" w:cs="Times New Roman"/>
          <w:b/>
          <w:bCs/>
          <w:lang w:val="en" w:eastAsia="it-IT"/>
        </w:rPr>
        <w:t xml:space="preserve">, </w:t>
      </w:r>
      <w:r w:rsidR="00C84B0A" w:rsidRPr="00E625E1">
        <w:rPr>
          <w:rFonts w:ascii="Times New Roman" w:hAnsi="Times New Roman" w:cs="Times New Roman"/>
          <w:lang w:val="en-US"/>
        </w:rPr>
        <w:t>with d</w:t>
      </w:r>
      <w:r w:rsidR="00F231C5" w:rsidRPr="00E625E1">
        <w:rPr>
          <w:rFonts w:ascii="Times New Roman" w:hAnsi="Times New Roman" w:cs="Times New Roman"/>
          <w:lang w:val="en-US"/>
        </w:rPr>
        <w:t xml:space="preserve">apagliflozin, </w:t>
      </w:r>
      <w:r w:rsidR="0023321D" w:rsidRPr="00E625E1">
        <w:rPr>
          <w:rFonts w:ascii="Times New Roman" w:hAnsi="Times New Roman" w:cs="Times New Roman"/>
          <w:lang w:val="en-US"/>
        </w:rPr>
        <w:t xml:space="preserve">more likely </w:t>
      </w:r>
      <w:r w:rsidR="00F231C5" w:rsidRPr="00E625E1">
        <w:rPr>
          <w:rFonts w:ascii="Times New Roman" w:hAnsi="Times New Roman" w:cs="Times New Roman"/>
          <w:lang w:val="en-US"/>
        </w:rPr>
        <w:t xml:space="preserve">focusing on patients in primary prevention) and the CANVAS </w:t>
      </w:r>
      <w:r w:rsidR="005E2AD4" w:rsidRPr="00E625E1">
        <w:rPr>
          <w:rFonts w:ascii="Times New Roman" w:hAnsi="Times New Roman" w:cs="Times New Roman"/>
          <w:lang w:val="en-US"/>
        </w:rPr>
        <w:t>trial</w:t>
      </w:r>
      <w:r w:rsidR="00F231C5" w:rsidRPr="00E625E1">
        <w:rPr>
          <w:rFonts w:ascii="Times New Roman" w:hAnsi="Times New Roman" w:cs="Times New Roman"/>
          <w:lang w:val="en-US"/>
        </w:rPr>
        <w:t xml:space="preserve"> (</w:t>
      </w:r>
      <w:r w:rsidR="005E2AD4" w:rsidRPr="00E625E1">
        <w:rPr>
          <w:rFonts w:ascii="Times New Roman" w:hAnsi="Times New Roman" w:cs="Times New Roman"/>
          <w:lang w:val="en"/>
        </w:rPr>
        <w:t>NCT01032629</w:t>
      </w:r>
      <w:r w:rsidR="00C84B0A" w:rsidRPr="00E625E1">
        <w:rPr>
          <w:rFonts w:ascii="Times New Roman" w:hAnsi="Times New Roman" w:cs="Times New Roman"/>
          <w:lang w:val="en-US"/>
        </w:rPr>
        <w:t>), with c</w:t>
      </w:r>
      <w:r w:rsidR="00F231C5" w:rsidRPr="00E625E1">
        <w:rPr>
          <w:rFonts w:ascii="Times New Roman" w:hAnsi="Times New Roman" w:cs="Times New Roman"/>
          <w:lang w:val="en-US"/>
        </w:rPr>
        <w:t>anagliflozin, running in high CV risk individuals, whose results will be available within a few years, will be hopefully able to confirm the efficacy of SGLT2 inhibitors as a class of anti-hyperglycemic agents able to reduce residual risk of T2DM patients i</w:t>
      </w:r>
      <w:r w:rsidR="005E2AD4" w:rsidRPr="00E625E1">
        <w:rPr>
          <w:rFonts w:ascii="Times New Roman" w:hAnsi="Times New Roman" w:cs="Times New Roman"/>
          <w:lang w:val="en-US"/>
        </w:rPr>
        <w:t xml:space="preserve">rrespective of glucose-lowering </w:t>
      </w:r>
      <w:r w:rsidR="00F231C5" w:rsidRPr="00E625E1">
        <w:rPr>
          <w:rFonts w:ascii="Times New Roman" w:hAnsi="Times New Roman" w:cs="Times New Roman"/>
          <w:lang w:val="en-US"/>
        </w:rPr>
        <w:t>action.</w:t>
      </w:r>
      <w:r w:rsidR="00F231C5" w:rsidRPr="00E625E1">
        <w:rPr>
          <w:rFonts w:ascii="Times New Roman" w:hAnsi="Times New Roman" w:cs="Times New Roman"/>
          <w:b/>
          <w:lang w:val="en-US"/>
        </w:rPr>
        <w:t xml:space="preserve"> </w:t>
      </w:r>
    </w:p>
    <w:p w:rsidR="00F231C5" w:rsidRPr="00E625E1" w:rsidRDefault="00F231C5" w:rsidP="00564898">
      <w:pPr>
        <w:pStyle w:val="Paragrafoelenco"/>
        <w:spacing w:before="0" w:line="480" w:lineRule="auto"/>
        <w:ind w:left="0"/>
        <w:jc w:val="both"/>
        <w:rPr>
          <w:rFonts w:ascii="Times New Roman" w:hAnsi="Times New Roman" w:cs="Times New Roman"/>
          <w:lang w:val="en-US"/>
        </w:rPr>
      </w:pPr>
    </w:p>
    <w:p w:rsidR="00E76DEB" w:rsidRPr="00E625E1" w:rsidRDefault="00E76DEB" w:rsidP="00564898">
      <w:pPr>
        <w:shd w:val="clear" w:color="auto" w:fill="FFFFFF"/>
        <w:spacing w:after="0" w:line="480" w:lineRule="auto"/>
        <w:rPr>
          <w:rFonts w:ascii="Times New Roman" w:hAnsi="Times New Roman" w:cs="Times New Roman"/>
          <w:b/>
          <w:i/>
          <w:lang w:val="en-US"/>
        </w:rPr>
      </w:pPr>
      <w:r w:rsidRPr="00E625E1">
        <w:rPr>
          <w:rFonts w:ascii="Times New Roman" w:hAnsi="Times New Roman" w:cs="Times New Roman"/>
          <w:b/>
          <w:i/>
          <w:lang w:val="en-US"/>
        </w:rPr>
        <w:t xml:space="preserve">SGLT2 inhibitors </w:t>
      </w:r>
      <w:r w:rsidR="00C84B0A" w:rsidRPr="00E625E1">
        <w:rPr>
          <w:rFonts w:ascii="Times New Roman" w:hAnsi="Times New Roman" w:cs="Times New Roman"/>
          <w:b/>
          <w:i/>
          <w:lang w:val="en-US"/>
        </w:rPr>
        <w:t xml:space="preserve">and the kidney: an intriguing relationship  </w:t>
      </w:r>
    </w:p>
    <w:p w:rsidR="006954E8" w:rsidRPr="00E625E1" w:rsidRDefault="006954E8" w:rsidP="00564898">
      <w:pPr>
        <w:shd w:val="clear" w:color="auto" w:fill="FFFFFF"/>
        <w:spacing w:after="0" w:line="480" w:lineRule="auto"/>
        <w:rPr>
          <w:rFonts w:ascii="Times New Roman" w:hAnsi="Times New Roman" w:cs="Times New Roman"/>
          <w:b/>
          <w:i/>
          <w:lang w:val="en-US"/>
        </w:rPr>
      </w:pPr>
    </w:p>
    <w:p w:rsidR="00467749" w:rsidRPr="00E625E1" w:rsidRDefault="00467749" w:rsidP="00564898">
      <w:pPr>
        <w:shd w:val="clear" w:color="auto" w:fill="FFFFFF"/>
        <w:spacing w:after="0" w:line="480" w:lineRule="auto"/>
        <w:rPr>
          <w:rFonts w:ascii="Times New Roman" w:hAnsi="Times New Roman" w:cs="Times New Roman"/>
          <w:lang w:val="en-US"/>
        </w:rPr>
      </w:pPr>
      <w:r w:rsidRPr="00E625E1">
        <w:rPr>
          <w:rFonts w:ascii="Times New Roman" w:hAnsi="Times New Roman" w:cs="Times New Roman"/>
          <w:lang w:val="en"/>
        </w:rPr>
        <w:t>The glycosuric efficacy of SGLT2 inhibitors has two main determinants: plasma glucose levels and glomerular filtrati</w:t>
      </w:r>
      <w:r w:rsidR="006954E8" w:rsidRPr="00E625E1">
        <w:rPr>
          <w:rFonts w:ascii="Times New Roman" w:hAnsi="Times New Roman" w:cs="Times New Roman"/>
          <w:lang w:val="en"/>
        </w:rPr>
        <w:t xml:space="preserve">on rate (GFR); as elegantly shown </w:t>
      </w:r>
      <w:r w:rsidR="00C156A2" w:rsidRPr="00E625E1">
        <w:rPr>
          <w:rFonts w:ascii="Times New Roman" w:hAnsi="Times New Roman" w:cs="Times New Roman"/>
          <w:lang w:val="en"/>
        </w:rPr>
        <w:t>[</w:t>
      </w:r>
      <w:r w:rsidR="001F46EF" w:rsidRPr="00E625E1">
        <w:rPr>
          <w:rFonts w:ascii="Times New Roman" w:hAnsi="Times New Roman" w:cs="Times New Roman"/>
          <w:lang w:val="en"/>
        </w:rPr>
        <w:t>6</w:t>
      </w:r>
      <w:r w:rsidR="005B7E88" w:rsidRPr="00E625E1">
        <w:rPr>
          <w:rFonts w:ascii="Times New Roman" w:hAnsi="Times New Roman" w:cs="Times New Roman"/>
          <w:lang w:val="en"/>
        </w:rPr>
        <w:t>6</w:t>
      </w:r>
      <w:r w:rsidR="00C156A2" w:rsidRPr="00E625E1">
        <w:rPr>
          <w:rFonts w:ascii="Times New Roman" w:hAnsi="Times New Roman" w:cs="Times New Roman"/>
          <w:lang w:val="en"/>
        </w:rPr>
        <w:t>]</w:t>
      </w:r>
      <w:r w:rsidR="006954E8" w:rsidRPr="00E625E1">
        <w:rPr>
          <w:rFonts w:ascii="Times New Roman" w:hAnsi="Times New Roman" w:cs="Times New Roman"/>
          <w:lang w:val="en"/>
        </w:rPr>
        <w:t xml:space="preserve">, at baseline, absorbed glucose linearly depends upon filtered glucose, and glycosuria occurs when </w:t>
      </w:r>
      <w:r w:rsidR="00357E7F" w:rsidRPr="00E625E1">
        <w:rPr>
          <w:rFonts w:ascii="Times New Roman" w:hAnsi="Times New Roman" w:cs="Times New Roman"/>
          <w:color w:val="FF0000"/>
          <w:lang w:val="en"/>
        </w:rPr>
        <w:t>glucose</w:t>
      </w:r>
      <w:r w:rsidR="00357E7F" w:rsidRPr="00E625E1">
        <w:rPr>
          <w:rFonts w:ascii="Times New Roman" w:hAnsi="Times New Roman" w:cs="Times New Roman"/>
          <w:lang w:val="en"/>
        </w:rPr>
        <w:t xml:space="preserve"> </w:t>
      </w:r>
      <w:r w:rsidR="006954E8" w:rsidRPr="00E625E1">
        <w:rPr>
          <w:rFonts w:ascii="Times New Roman" w:hAnsi="Times New Roman" w:cs="Times New Roman"/>
          <w:lang w:val="en"/>
        </w:rPr>
        <w:t xml:space="preserve">filtration rate is approximately </w:t>
      </w:r>
      <w:r w:rsidR="00453E41" w:rsidRPr="00E625E1">
        <w:rPr>
          <w:rFonts w:ascii="Times New Roman" w:hAnsi="Times New Roman" w:cs="Times New Roman"/>
          <w:lang w:val="en-US"/>
        </w:rPr>
        <w:t>225-</w:t>
      </w:r>
      <w:r w:rsidR="00DB4606" w:rsidRPr="00E625E1">
        <w:rPr>
          <w:rFonts w:ascii="Times New Roman" w:hAnsi="Times New Roman" w:cs="Times New Roman"/>
          <w:lang w:val="en-US"/>
        </w:rPr>
        <w:t xml:space="preserve">250 </w:t>
      </w:r>
      <w:r w:rsidR="00DB4606" w:rsidRPr="00E625E1">
        <w:rPr>
          <w:rFonts w:ascii="Times New Roman" w:hAnsi="Times New Roman" w:cs="Times New Roman"/>
          <w:color w:val="FF0000"/>
          <w:lang w:val="en-US"/>
        </w:rPr>
        <w:t>mg</w:t>
      </w:r>
      <w:r w:rsidR="006954E8" w:rsidRPr="00E625E1">
        <w:rPr>
          <w:rFonts w:ascii="Times New Roman" w:hAnsi="Times New Roman" w:cs="Times New Roman"/>
          <w:color w:val="FF0000"/>
          <w:lang w:val="en-US"/>
        </w:rPr>
        <w:t>/min</w:t>
      </w:r>
      <w:r w:rsidR="006954E8" w:rsidRPr="00E625E1">
        <w:rPr>
          <w:rFonts w:ascii="Times New Roman" w:hAnsi="Times New Roman" w:cs="Times New Roman"/>
          <w:lang w:val="en-US"/>
        </w:rPr>
        <w:t>. After SGLT2 inhibition, we observe a reduced absorption and an increased excretion, and that is true for the whole range of glomerular filtration.  Either absorption and excretion increase in a parallel and linear fashion according with the increased GFR, without any clear evidence of a glycosuria</w:t>
      </w:r>
      <w:r w:rsidR="00E8212A" w:rsidRPr="00E625E1">
        <w:rPr>
          <w:rFonts w:ascii="Times New Roman" w:hAnsi="Times New Roman" w:cs="Times New Roman"/>
          <w:lang w:val="en-US"/>
        </w:rPr>
        <w:t xml:space="preserve"> threshold. I</w:t>
      </w:r>
      <w:r w:rsidR="006954E8" w:rsidRPr="00E625E1">
        <w:rPr>
          <w:rFonts w:ascii="Times New Roman" w:hAnsi="Times New Roman" w:cs="Times New Roman"/>
          <w:lang w:val="en-US"/>
        </w:rPr>
        <w:t xml:space="preserve">ndeed, </w:t>
      </w:r>
      <w:r w:rsidR="00E8212A" w:rsidRPr="00E625E1">
        <w:rPr>
          <w:rFonts w:ascii="Times New Roman" w:hAnsi="Times New Roman" w:cs="Times New Roman"/>
          <w:lang w:val="en-US"/>
        </w:rPr>
        <w:t xml:space="preserve">glycosuria </w:t>
      </w:r>
      <w:r w:rsidR="006954E8" w:rsidRPr="00E625E1">
        <w:rPr>
          <w:rFonts w:ascii="Times New Roman" w:hAnsi="Times New Roman" w:cs="Times New Roman"/>
          <w:lang w:val="en-US"/>
        </w:rPr>
        <w:t xml:space="preserve">increases as a function of GFR and glucose levels, and its amount can be reasonably predicted in each individual. As a consequence, the amount of glycosuria and the fractional glucose excretion is significantly lower in patients with GFR&lt;60 ml/min, even in the presence of a remarkable inter-individual variability. However, this does not seem to be the case for </w:t>
      </w:r>
      <w:r w:rsidR="00EF761F" w:rsidRPr="00E625E1">
        <w:rPr>
          <w:rFonts w:ascii="Times New Roman" w:hAnsi="Times New Roman" w:cs="Times New Roman"/>
          <w:lang w:val="en-US"/>
        </w:rPr>
        <w:t xml:space="preserve">BP </w:t>
      </w:r>
      <w:r w:rsidR="006954E8" w:rsidRPr="00E625E1">
        <w:rPr>
          <w:rFonts w:ascii="Times New Roman" w:hAnsi="Times New Roman" w:cs="Times New Roman"/>
          <w:lang w:val="en-US"/>
        </w:rPr>
        <w:t>lowering effect, which is maintained and even magnified in peo</w:t>
      </w:r>
      <w:r w:rsidR="00E8212A" w:rsidRPr="00E625E1">
        <w:rPr>
          <w:rFonts w:ascii="Times New Roman" w:hAnsi="Times New Roman" w:cs="Times New Roman"/>
          <w:lang w:val="en-US"/>
        </w:rPr>
        <w:t>p</w:t>
      </w:r>
      <w:r w:rsidR="006954E8" w:rsidRPr="00E625E1">
        <w:rPr>
          <w:rFonts w:ascii="Times New Roman" w:hAnsi="Times New Roman" w:cs="Times New Roman"/>
          <w:lang w:val="en-US"/>
        </w:rPr>
        <w:t xml:space="preserve">le with CKD </w:t>
      </w:r>
      <w:r w:rsidR="00C156A2" w:rsidRPr="00E625E1">
        <w:rPr>
          <w:rFonts w:ascii="Times New Roman" w:hAnsi="Times New Roman" w:cs="Times New Roman"/>
          <w:lang w:val="en-US"/>
        </w:rPr>
        <w:t>[</w:t>
      </w:r>
      <w:r w:rsidR="002425C5" w:rsidRPr="00E625E1">
        <w:rPr>
          <w:rFonts w:ascii="Times New Roman" w:hAnsi="Times New Roman" w:cs="Times New Roman"/>
          <w:lang w:val="en-US"/>
        </w:rPr>
        <w:t>6</w:t>
      </w:r>
      <w:r w:rsidR="005B7E88" w:rsidRPr="00E625E1">
        <w:rPr>
          <w:rFonts w:ascii="Times New Roman" w:hAnsi="Times New Roman" w:cs="Times New Roman"/>
          <w:lang w:val="en-US"/>
        </w:rPr>
        <w:t>7</w:t>
      </w:r>
      <w:r w:rsidR="00C156A2" w:rsidRPr="00E625E1">
        <w:rPr>
          <w:rFonts w:ascii="Times New Roman" w:hAnsi="Times New Roman" w:cs="Times New Roman"/>
          <w:lang w:val="en-US"/>
        </w:rPr>
        <w:t>]</w:t>
      </w:r>
      <w:r w:rsidR="00453E41" w:rsidRPr="00E625E1">
        <w:rPr>
          <w:rFonts w:ascii="Times New Roman" w:hAnsi="Times New Roman" w:cs="Times New Roman"/>
          <w:lang w:val="en-US"/>
        </w:rPr>
        <w:t>;</w:t>
      </w:r>
      <w:r w:rsidR="002425C5" w:rsidRPr="00E625E1">
        <w:rPr>
          <w:rFonts w:ascii="Times New Roman" w:hAnsi="Times New Roman" w:cs="Times New Roman"/>
          <w:lang w:val="en-US"/>
        </w:rPr>
        <w:t xml:space="preserve"> </w:t>
      </w:r>
      <w:r w:rsidR="00453E41" w:rsidRPr="00E625E1">
        <w:rPr>
          <w:rFonts w:ascii="Times New Roman" w:hAnsi="Times New Roman" w:cs="Times New Roman"/>
          <w:lang w:val="en-US"/>
        </w:rPr>
        <w:t xml:space="preserve">these patients encounter a beneficial effect on body weight too. </w:t>
      </w:r>
    </w:p>
    <w:p w:rsidR="00467749" w:rsidRPr="00E625E1" w:rsidRDefault="00E8212A" w:rsidP="00564898">
      <w:pPr>
        <w:shd w:val="clear" w:color="auto" w:fill="FFFFFF"/>
        <w:spacing w:after="0" w:line="480" w:lineRule="auto"/>
        <w:rPr>
          <w:rFonts w:ascii="Times New Roman" w:hAnsi="Times New Roman" w:cs="Times New Roman"/>
          <w:lang w:val="en"/>
        </w:rPr>
      </w:pPr>
      <w:r w:rsidRPr="00E625E1">
        <w:rPr>
          <w:rFonts w:ascii="Times New Roman" w:hAnsi="Times New Roman" w:cs="Times New Roman"/>
          <w:lang w:val="en-US"/>
        </w:rPr>
        <w:lastRenderedPageBreak/>
        <w:t xml:space="preserve">Apparently at odds with these clinical evidence are multiple recent reports of a nephroprotective effect of SGLT2 inhibitors </w:t>
      </w:r>
      <w:r w:rsidR="00C156A2" w:rsidRPr="00E625E1">
        <w:rPr>
          <w:rFonts w:ascii="Times New Roman" w:hAnsi="Times New Roman" w:cs="Times New Roman"/>
          <w:lang w:val="en-US"/>
        </w:rPr>
        <w:t>[6</w:t>
      </w:r>
      <w:r w:rsidR="005B7E88" w:rsidRPr="00E625E1">
        <w:rPr>
          <w:rFonts w:ascii="Times New Roman" w:hAnsi="Times New Roman" w:cs="Times New Roman"/>
          <w:lang w:val="en-US"/>
        </w:rPr>
        <w:t>8</w:t>
      </w:r>
      <w:r w:rsidR="00C156A2" w:rsidRPr="00E625E1">
        <w:rPr>
          <w:rFonts w:ascii="Times New Roman" w:hAnsi="Times New Roman" w:cs="Times New Roman"/>
          <w:lang w:val="en-US"/>
        </w:rPr>
        <w:t>]</w:t>
      </w:r>
      <w:r w:rsidRPr="00E625E1">
        <w:rPr>
          <w:rFonts w:ascii="Times New Roman" w:hAnsi="Times New Roman" w:cs="Times New Roman"/>
          <w:lang w:val="en-US"/>
        </w:rPr>
        <w:t>.</w:t>
      </w:r>
      <w:r w:rsidR="00453E41" w:rsidRPr="00E625E1">
        <w:rPr>
          <w:rFonts w:ascii="Times New Roman" w:hAnsi="Times New Roman" w:cs="Times New Roman"/>
          <w:lang w:val="en-US"/>
        </w:rPr>
        <w:t xml:space="preserve"> SGLT2 administration seems to promote a recovery of glomerular hyperfiltration</w:t>
      </w:r>
      <w:r w:rsidR="00EB0204" w:rsidRPr="00E625E1">
        <w:rPr>
          <w:rFonts w:ascii="Times New Roman" w:hAnsi="Times New Roman" w:cs="Times New Roman"/>
          <w:lang w:val="en-US"/>
        </w:rPr>
        <w:t xml:space="preserve">, </w:t>
      </w:r>
      <w:r w:rsidR="00567DFF" w:rsidRPr="00E625E1">
        <w:rPr>
          <w:rFonts w:ascii="Times New Roman" w:hAnsi="Times New Roman" w:cs="Times New Roman"/>
          <w:lang w:val="en-US"/>
        </w:rPr>
        <w:t>a determinant of progressive</w:t>
      </w:r>
      <w:r w:rsidR="00EB0204" w:rsidRPr="00E625E1">
        <w:rPr>
          <w:rFonts w:ascii="Times New Roman" w:hAnsi="Times New Roman" w:cs="Times New Roman"/>
          <w:lang w:val="en-US"/>
        </w:rPr>
        <w:t xml:space="preserve"> renal disease in T2DM patients </w:t>
      </w:r>
      <w:r w:rsidR="00C156A2" w:rsidRPr="00E625E1">
        <w:rPr>
          <w:rFonts w:ascii="Times New Roman" w:hAnsi="Times New Roman" w:cs="Times New Roman"/>
          <w:lang w:val="en-US"/>
        </w:rPr>
        <w:t>[6</w:t>
      </w:r>
      <w:r w:rsidR="005B7E88" w:rsidRPr="00E625E1">
        <w:rPr>
          <w:rFonts w:ascii="Times New Roman" w:hAnsi="Times New Roman" w:cs="Times New Roman"/>
          <w:lang w:val="en-US"/>
        </w:rPr>
        <w:t>9</w:t>
      </w:r>
      <w:r w:rsidR="00C156A2" w:rsidRPr="00E625E1">
        <w:rPr>
          <w:rFonts w:ascii="Times New Roman" w:hAnsi="Times New Roman" w:cs="Times New Roman"/>
          <w:lang w:val="en-US"/>
        </w:rPr>
        <w:t>]</w:t>
      </w:r>
      <w:r w:rsidR="00453E41" w:rsidRPr="00E625E1">
        <w:rPr>
          <w:rFonts w:ascii="Times New Roman" w:hAnsi="Times New Roman" w:cs="Times New Roman"/>
          <w:lang w:val="en-US"/>
        </w:rPr>
        <w:t xml:space="preserve">, likely through mechanisms of </w:t>
      </w:r>
      <w:r w:rsidR="00567DFF" w:rsidRPr="00E625E1">
        <w:rPr>
          <w:rFonts w:ascii="Times New Roman" w:hAnsi="Times New Roman" w:cs="Times New Roman"/>
          <w:lang w:val="en"/>
        </w:rPr>
        <w:t>tubular-</w:t>
      </w:r>
      <w:r w:rsidR="00453E41" w:rsidRPr="00E625E1">
        <w:rPr>
          <w:rFonts w:ascii="Times New Roman" w:hAnsi="Times New Roman" w:cs="Times New Roman"/>
          <w:lang w:val="en"/>
        </w:rPr>
        <w:t>glomerular feedback</w:t>
      </w:r>
      <w:r w:rsidR="00567DFF" w:rsidRPr="00E625E1">
        <w:rPr>
          <w:rFonts w:ascii="Times New Roman" w:hAnsi="Times New Roman" w:cs="Times New Roman"/>
          <w:lang w:val="en"/>
        </w:rPr>
        <w:t xml:space="preserve"> </w:t>
      </w:r>
      <w:r w:rsidR="00C156A2" w:rsidRPr="00E625E1">
        <w:rPr>
          <w:rFonts w:ascii="Times New Roman" w:hAnsi="Times New Roman" w:cs="Times New Roman"/>
          <w:lang w:val="en"/>
        </w:rPr>
        <w:t>[</w:t>
      </w:r>
      <w:r w:rsidR="00021A29" w:rsidRPr="00E625E1">
        <w:rPr>
          <w:rFonts w:ascii="Times New Roman" w:hAnsi="Times New Roman" w:cs="Times New Roman"/>
          <w:lang w:val="en"/>
        </w:rPr>
        <w:t>44</w:t>
      </w:r>
      <w:r w:rsidR="00C156A2" w:rsidRPr="00E625E1">
        <w:rPr>
          <w:rFonts w:ascii="Times New Roman" w:hAnsi="Times New Roman" w:cs="Times New Roman"/>
          <w:lang w:val="en"/>
        </w:rPr>
        <w:t>]</w:t>
      </w:r>
      <w:r w:rsidR="00567DFF" w:rsidRPr="00E625E1">
        <w:rPr>
          <w:rFonts w:ascii="Times New Roman" w:hAnsi="Times New Roman" w:cs="Times New Roman"/>
          <w:lang w:val="en"/>
        </w:rPr>
        <w:t xml:space="preserve">; </w:t>
      </w:r>
      <w:r w:rsidR="005243DC" w:rsidRPr="00E625E1">
        <w:rPr>
          <w:rFonts w:ascii="Times New Roman" w:hAnsi="Times New Roman" w:cs="Times New Roman"/>
          <w:lang w:val="en"/>
        </w:rPr>
        <w:t>data on albuminuria are less consistent</w:t>
      </w:r>
      <w:r w:rsidR="00EB0204" w:rsidRPr="00E625E1">
        <w:rPr>
          <w:rFonts w:ascii="Times New Roman" w:hAnsi="Times New Roman" w:cs="Times New Roman"/>
          <w:lang w:val="en"/>
        </w:rPr>
        <w:t xml:space="preserve"> </w:t>
      </w:r>
      <w:r w:rsidR="00C156A2" w:rsidRPr="00E625E1">
        <w:rPr>
          <w:rFonts w:ascii="Times New Roman" w:hAnsi="Times New Roman" w:cs="Times New Roman"/>
          <w:lang w:val="en"/>
        </w:rPr>
        <w:t>[</w:t>
      </w:r>
      <w:r w:rsidR="005B7E88" w:rsidRPr="00E625E1">
        <w:rPr>
          <w:rFonts w:ascii="Times New Roman" w:hAnsi="Times New Roman" w:cs="Times New Roman"/>
          <w:lang w:val="en"/>
        </w:rPr>
        <w:t>70</w:t>
      </w:r>
      <w:r w:rsidR="00C156A2" w:rsidRPr="00E625E1">
        <w:rPr>
          <w:rFonts w:ascii="Times New Roman" w:hAnsi="Times New Roman" w:cs="Times New Roman"/>
          <w:lang w:val="en"/>
        </w:rPr>
        <w:t>]</w:t>
      </w:r>
      <w:r w:rsidR="00453E41" w:rsidRPr="00E625E1">
        <w:rPr>
          <w:rFonts w:ascii="Times New Roman" w:hAnsi="Times New Roman" w:cs="Times New Roman"/>
          <w:lang w:val="en"/>
        </w:rPr>
        <w:t xml:space="preserve">. </w:t>
      </w:r>
    </w:p>
    <w:p w:rsidR="009321D7" w:rsidRPr="00E625E1" w:rsidRDefault="009321D7" w:rsidP="00564898">
      <w:pPr>
        <w:spacing w:after="0" w:line="480" w:lineRule="auto"/>
        <w:rPr>
          <w:rFonts w:ascii="Times New Roman" w:hAnsi="Times New Roman" w:cs="Times New Roman"/>
          <w:b/>
          <w:lang w:val="en-US"/>
        </w:rPr>
      </w:pPr>
    </w:p>
    <w:p w:rsidR="00962129" w:rsidRPr="00E625E1" w:rsidRDefault="00E76DEB" w:rsidP="00564898">
      <w:pPr>
        <w:spacing w:after="0" w:line="480" w:lineRule="auto"/>
        <w:rPr>
          <w:rFonts w:ascii="Times New Roman" w:hAnsi="Times New Roman" w:cs="Times New Roman"/>
          <w:lang w:val="en-US"/>
        </w:rPr>
      </w:pPr>
      <w:r w:rsidRPr="00E625E1">
        <w:rPr>
          <w:rFonts w:ascii="Times New Roman" w:hAnsi="Times New Roman" w:cs="Times New Roman"/>
          <w:b/>
          <w:i/>
          <w:lang w:val="en-US"/>
        </w:rPr>
        <w:t>Conclusive remarks</w:t>
      </w:r>
      <w:r w:rsidRPr="00E625E1">
        <w:rPr>
          <w:rFonts w:ascii="Times New Roman" w:hAnsi="Times New Roman" w:cs="Times New Roman"/>
          <w:i/>
          <w:lang w:val="en-US"/>
        </w:rPr>
        <w:t xml:space="preserve"> </w:t>
      </w:r>
    </w:p>
    <w:p w:rsidR="00962129" w:rsidRPr="00E625E1" w:rsidRDefault="00962129" w:rsidP="00564898">
      <w:pPr>
        <w:spacing w:after="0" w:line="480" w:lineRule="auto"/>
        <w:rPr>
          <w:rFonts w:ascii="Times New Roman" w:hAnsi="Times New Roman" w:cs="Times New Roman"/>
          <w:lang w:val="en-US"/>
        </w:rPr>
      </w:pPr>
    </w:p>
    <w:p w:rsidR="00061871" w:rsidRPr="00E625E1" w:rsidRDefault="00387685" w:rsidP="00564898">
      <w:pPr>
        <w:spacing w:after="0" w:line="480" w:lineRule="auto"/>
        <w:rPr>
          <w:rFonts w:ascii="Times New Roman" w:hAnsi="Times New Roman" w:cs="Times New Roman"/>
          <w:lang w:val="en-US"/>
        </w:rPr>
      </w:pPr>
      <w:r w:rsidRPr="00E625E1">
        <w:rPr>
          <w:rFonts w:ascii="Times New Roman" w:hAnsi="Times New Roman" w:cs="Times New Roman"/>
          <w:lang w:val="en-US"/>
        </w:rPr>
        <w:t>Based on the so far available data (clinical trial and post-marketing experience), SGLT2 inhibitors are effective in treating T2DM either when used as monotherapy and as add-on to any other anti-hyperglycemic drug. Administered once daily, they are well-tolerated and do not show relevant pharmacologic interactions. Their uniquely insulin independent mechanism of action promotes a significant weight loss and a clinically relevant SBP reduction. Risk of hypoglycemia is trivial. For these reasons, such class of drugs is strongly recommended in treating obese and/or hypertensive T2DM individuals, pending a good renal function (if not, the drug would be simply less effective in correcting hyperglycemia)</w:t>
      </w:r>
      <w:r w:rsidR="0002249F" w:rsidRPr="00E625E1">
        <w:rPr>
          <w:rFonts w:ascii="Times New Roman" w:hAnsi="Times New Roman" w:cs="Times New Roman"/>
          <w:lang w:val="en-US"/>
        </w:rPr>
        <w:t xml:space="preserve"> (</w:t>
      </w:r>
      <w:r w:rsidR="0002249F" w:rsidRPr="00E625E1">
        <w:rPr>
          <w:rFonts w:ascii="Times New Roman" w:hAnsi="Times New Roman" w:cs="Times New Roman"/>
          <w:b/>
          <w:lang w:val="en-US"/>
        </w:rPr>
        <w:t>Figure 3</w:t>
      </w:r>
      <w:r w:rsidR="0002249F" w:rsidRPr="00E625E1">
        <w:rPr>
          <w:rFonts w:ascii="Times New Roman" w:hAnsi="Times New Roman" w:cs="Times New Roman"/>
          <w:lang w:val="en-US"/>
        </w:rPr>
        <w:t xml:space="preserve">). </w:t>
      </w:r>
      <w:r w:rsidR="00061871" w:rsidRPr="00E625E1">
        <w:rPr>
          <w:rFonts w:ascii="Times New Roman" w:hAnsi="Times New Roman" w:cs="Times New Roman"/>
          <w:lang w:val="en-US"/>
        </w:rPr>
        <w:t>The more recent algorithm for treating T2DM, suggested</w:t>
      </w:r>
      <w:r w:rsidR="00EF761F" w:rsidRPr="00E625E1">
        <w:rPr>
          <w:rFonts w:ascii="Times New Roman" w:hAnsi="Times New Roman" w:cs="Times New Roman"/>
          <w:lang w:val="en-US"/>
        </w:rPr>
        <w:t xml:space="preserve"> last</w:t>
      </w:r>
      <w:r w:rsidR="00061871" w:rsidRPr="00E625E1">
        <w:rPr>
          <w:rFonts w:ascii="Times New Roman" w:hAnsi="Times New Roman" w:cs="Times New Roman"/>
          <w:lang w:val="en-US"/>
        </w:rPr>
        <w:t xml:space="preserve"> year by </w:t>
      </w:r>
      <w:r w:rsidR="00EF761F" w:rsidRPr="00E625E1">
        <w:rPr>
          <w:rFonts w:ascii="Times New Roman" w:hAnsi="Times New Roman" w:cs="Times New Roman"/>
          <w:lang w:val="en-US"/>
        </w:rPr>
        <w:t xml:space="preserve">the </w:t>
      </w:r>
      <w:r w:rsidR="009321D7" w:rsidRPr="00E625E1">
        <w:rPr>
          <w:rFonts w:ascii="Times New Roman" w:hAnsi="Times New Roman" w:cs="Times New Roman"/>
          <w:lang w:val="en-US"/>
        </w:rPr>
        <w:t xml:space="preserve">American Diabetes Association </w:t>
      </w:r>
      <w:r w:rsidR="00061871" w:rsidRPr="00E625E1">
        <w:rPr>
          <w:rFonts w:ascii="Times New Roman" w:hAnsi="Times New Roman" w:cs="Times New Roman"/>
          <w:lang w:val="en-US"/>
        </w:rPr>
        <w:t xml:space="preserve">and by </w:t>
      </w:r>
      <w:r w:rsidR="00EF761F" w:rsidRPr="00E625E1">
        <w:rPr>
          <w:rFonts w:ascii="Times New Roman" w:hAnsi="Times New Roman" w:cs="Times New Roman"/>
          <w:lang w:val="en-US"/>
        </w:rPr>
        <w:t xml:space="preserve">the </w:t>
      </w:r>
      <w:r w:rsidR="009321D7" w:rsidRPr="00E625E1">
        <w:rPr>
          <w:rFonts w:ascii="Times New Roman" w:hAnsi="Times New Roman" w:cs="Times New Roman"/>
          <w:lang w:val="en-US"/>
        </w:rPr>
        <w:t>European Association for the Study of Diabetes</w:t>
      </w:r>
      <w:r w:rsidR="00EF761F" w:rsidRPr="00E625E1">
        <w:rPr>
          <w:rFonts w:ascii="Times New Roman" w:hAnsi="Times New Roman" w:cs="Times New Roman"/>
          <w:lang w:val="en-US"/>
        </w:rPr>
        <w:t>,</w:t>
      </w:r>
      <w:r w:rsidR="009321D7" w:rsidRPr="00E625E1">
        <w:rPr>
          <w:rFonts w:ascii="Times New Roman" w:hAnsi="Times New Roman" w:cs="Times New Roman"/>
          <w:lang w:val="en-US"/>
        </w:rPr>
        <w:t xml:space="preserve"> </w:t>
      </w:r>
      <w:r w:rsidR="000734D2" w:rsidRPr="00E625E1">
        <w:rPr>
          <w:rFonts w:ascii="Times New Roman" w:hAnsi="Times New Roman" w:cs="Times New Roman"/>
          <w:lang w:val="en-US"/>
        </w:rPr>
        <w:t xml:space="preserve">puts SGLT2 inhibitors </w:t>
      </w:r>
      <w:r w:rsidR="007877C9" w:rsidRPr="00E625E1">
        <w:rPr>
          <w:rFonts w:ascii="Times New Roman" w:hAnsi="Times New Roman" w:cs="Times New Roman"/>
          <w:lang w:val="en-US"/>
        </w:rPr>
        <w:t>after metformin, as any other therapeutic option, included insulin. Reinforcement of therapy is recommended anytime, despite three months of treatment with metformin at the maximal tolerated dosage, the ideal HbA1c target for the patient is not reached. SGLT2 inhibitors can be also considered as first-choice drugs in individuals who do not tolerate metformin, because, as GLP-1 analogues and DPP-IV inhibitors, they do not expose to the risk of hypoglycemia neither induce weight gain. As any other new drug, an adequate clin</w:t>
      </w:r>
      <w:r w:rsidR="00852662" w:rsidRPr="00E625E1">
        <w:rPr>
          <w:rFonts w:ascii="Times New Roman" w:hAnsi="Times New Roman" w:cs="Times New Roman"/>
          <w:lang w:val="en-US"/>
        </w:rPr>
        <w:t>ical experience on their long-t</w:t>
      </w:r>
      <w:r w:rsidR="007877C9" w:rsidRPr="00E625E1">
        <w:rPr>
          <w:rFonts w:ascii="Times New Roman" w:hAnsi="Times New Roman" w:cs="Times New Roman"/>
          <w:lang w:val="en-US"/>
        </w:rPr>
        <w:t xml:space="preserve">erm use is still lacking, mainly in terms of safety; the numerous post-marketing ongoing studies, as well as a growing clinical use, will contribute to enlarge the knowledge in this field. </w:t>
      </w:r>
    </w:p>
    <w:p w:rsidR="009321D7" w:rsidRPr="00E625E1" w:rsidRDefault="007877C9" w:rsidP="00564898">
      <w:pPr>
        <w:spacing w:after="0" w:line="480" w:lineRule="auto"/>
        <w:rPr>
          <w:rFonts w:ascii="Times New Roman" w:hAnsi="Times New Roman" w:cs="Times New Roman"/>
          <w:highlight w:val="yellow"/>
          <w:lang w:val="en-US"/>
        </w:rPr>
      </w:pPr>
      <w:r w:rsidRPr="00E625E1">
        <w:rPr>
          <w:rFonts w:ascii="Times New Roman" w:hAnsi="Times New Roman" w:cs="Times New Roman"/>
          <w:lang w:val="en-US"/>
        </w:rPr>
        <w:t xml:space="preserve">To conclude, it should be pointed out as to combine a safe lifestyle with an adequate and constant adherence to therapy </w:t>
      </w:r>
      <w:r w:rsidR="00C2447E" w:rsidRPr="00E625E1">
        <w:rPr>
          <w:rFonts w:ascii="Times New Roman" w:hAnsi="Times New Roman" w:cs="Times New Roman"/>
          <w:lang w:val="en-US"/>
        </w:rPr>
        <w:t xml:space="preserve">is of crucial importance to assure that the insertion of a novel drug in a whatever therapeutic scheme would be successful. The </w:t>
      </w:r>
      <w:r w:rsidR="009321D7" w:rsidRPr="00E625E1">
        <w:rPr>
          <w:rFonts w:ascii="Times New Roman" w:hAnsi="Times New Roman" w:cs="Times New Roman"/>
          <w:lang w:val="en-US"/>
        </w:rPr>
        <w:t>American Association of Diabetes Educators i</w:t>
      </w:r>
      <w:r w:rsidR="00C2447E" w:rsidRPr="00E625E1">
        <w:rPr>
          <w:rFonts w:ascii="Times New Roman" w:hAnsi="Times New Roman" w:cs="Times New Roman"/>
          <w:lang w:val="en-US"/>
        </w:rPr>
        <w:t xml:space="preserve">dentifies seven critical behaviors in managing a T2DM patient: glycemic self- monitoring, physical activity, healthy diet, a quick facing and solving small daily problems of disease management, learning to manage stress, reducing risk </w:t>
      </w:r>
      <w:r w:rsidR="00C2447E" w:rsidRPr="00E625E1">
        <w:rPr>
          <w:rFonts w:ascii="Times New Roman" w:hAnsi="Times New Roman" w:cs="Times New Roman"/>
          <w:lang w:val="en-US"/>
        </w:rPr>
        <w:lastRenderedPageBreak/>
        <w:t xml:space="preserve">factors </w:t>
      </w:r>
      <w:r w:rsidR="00C156A2" w:rsidRPr="00E625E1">
        <w:rPr>
          <w:rFonts w:ascii="Times New Roman" w:hAnsi="Times New Roman" w:cs="Times New Roman"/>
          <w:lang w:val="en-US"/>
        </w:rPr>
        <w:t>[7</w:t>
      </w:r>
      <w:r w:rsidR="005B7E88" w:rsidRPr="00E625E1">
        <w:rPr>
          <w:rFonts w:ascii="Times New Roman" w:hAnsi="Times New Roman" w:cs="Times New Roman"/>
          <w:lang w:val="en-US"/>
        </w:rPr>
        <w:t>1</w:t>
      </w:r>
      <w:r w:rsidR="00C156A2" w:rsidRPr="00E625E1">
        <w:rPr>
          <w:rFonts w:ascii="Times New Roman" w:hAnsi="Times New Roman" w:cs="Times New Roman"/>
          <w:lang w:val="en-US"/>
        </w:rPr>
        <w:t>]</w:t>
      </w:r>
      <w:r w:rsidR="009321D7" w:rsidRPr="00E625E1">
        <w:rPr>
          <w:rFonts w:ascii="Times New Roman" w:hAnsi="Times New Roman" w:cs="Times New Roman"/>
          <w:lang w:val="en-US"/>
        </w:rPr>
        <w:t>.</w:t>
      </w:r>
      <w:r w:rsidR="00C2447E" w:rsidRPr="00E625E1">
        <w:rPr>
          <w:rFonts w:ascii="Times New Roman" w:hAnsi="Times New Roman" w:cs="Times New Roman"/>
          <w:lang w:val="en-US"/>
        </w:rPr>
        <w:t xml:space="preserve"> Physicians, nurses and all sanitary personnel of diabetes world, together with patient’s family entourage, should play their own role to educate patients, informing them of benefits and risks of the therapy, </w:t>
      </w:r>
      <w:r w:rsidR="009321D7" w:rsidRPr="00E625E1">
        <w:rPr>
          <w:rFonts w:ascii="Times New Roman" w:hAnsi="Times New Roman" w:cs="Times New Roman"/>
          <w:lang w:val="en-US"/>
        </w:rPr>
        <w:t xml:space="preserve"> </w:t>
      </w:r>
      <w:r w:rsidR="00C2447E" w:rsidRPr="00E625E1">
        <w:rPr>
          <w:rFonts w:ascii="Times New Roman" w:hAnsi="Times New Roman" w:cs="Times New Roman"/>
          <w:lang w:val="en-US"/>
        </w:rPr>
        <w:t>sustain them in difficult  phases, encouraging them, all aiming at reaching and maintaining the expected metabolic control</w:t>
      </w:r>
      <w:r w:rsidR="009321D7" w:rsidRPr="00E625E1">
        <w:rPr>
          <w:rFonts w:ascii="Times New Roman" w:hAnsi="Times New Roman" w:cs="Times New Roman"/>
          <w:lang w:val="en-US"/>
        </w:rPr>
        <w:t xml:space="preserve">, </w:t>
      </w:r>
      <w:r w:rsidR="00C2447E" w:rsidRPr="00E625E1">
        <w:rPr>
          <w:rFonts w:ascii="Times New Roman" w:hAnsi="Times New Roman" w:cs="Times New Roman"/>
          <w:lang w:val="en-US"/>
        </w:rPr>
        <w:t xml:space="preserve">reducing complications, ensure to these individuals a long and high quality life. </w:t>
      </w:r>
    </w:p>
    <w:p w:rsidR="00644B20" w:rsidRPr="00E625E1" w:rsidRDefault="00644B20">
      <w:pPr>
        <w:rPr>
          <w:rFonts w:ascii="Times New Roman" w:hAnsi="Times New Roman" w:cs="Times New Roman"/>
          <w:b/>
          <w:lang w:val="en-US"/>
        </w:rPr>
      </w:pPr>
    </w:p>
    <w:p w:rsidR="00D84966" w:rsidRPr="00E625E1" w:rsidRDefault="00644B20">
      <w:pPr>
        <w:rPr>
          <w:rFonts w:ascii="Times New Roman" w:hAnsi="Times New Roman" w:cs="Times New Roman"/>
          <w:lang w:val="en-US"/>
        </w:rPr>
      </w:pPr>
      <w:r w:rsidRPr="00E625E1">
        <w:rPr>
          <w:rFonts w:ascii="Times New Roman" w:hAnsi="Times New Roman" w:cs="Times New Roman"/>
          <w:b/>
          <w:lang w:val="en-US"/>
        </w:rPr>
        <w:t xml:space="preserve">Conflict of Interest: </w:t>
      </w:r>
      <w:r w:rsidRPr="00E625E1">
        <w:rPr>
          <w:rFonts w:ascii="Times New Roman" w:hAnsi="Times New Roman" w:cs="Times New Roman"/>
          <w:lang w:val="en-US"/>
        </w:rPr>
        <w:t>None</w:t>
      </w:r>
    </w:p>
    <w:p w:rsidR="00D84966" w:rsidRDefault="00D84966">
      <w:pPr>
        <w:rPr>
          <w:rFonts w:ascii="Times New Roman" w:hAnsi="Times New Roman" w:cs="Times New Roman"/>
          <w:lang w:val="en-US"/>
        </w:rPr>
      </w:pPr>
    </w:p>
    <w:p w:rsidR="00E625E1" w:rsidRPr="00E625E1" w:rsidRDefault="00E625E1">
      <w:pPr>
        <w:rPr>
          <w:rFonts w:ascii="Times New Roman" w:hAnsi="Times New Roman" w:cs="Times New Roman"/>
          <w:lang w:val="en-US"/>
        </w:rPr>
      </w:pPr>
    </w:p>
    <w:p w:rsidR="00E625E1" w:rsidRPr="00E625E1" w:rsidRDefault="00D84966">
      <w:pPr>
        <w:rPr>
          <w:rFonts w:ascii="Times New Roman" w:hAnsi="Times New Roman" w:cs="Times New Roman"/>
          <w:b/>
          <w:lang w:val="en-US"/>
        </w:rPr>
      </w:pPr>
      <w:r w:rsidRPr="00E625E1">
        <w:rPr>
          <w:rFonts w:ascii="Times New Roman" w:hAnsi="Times New Roman" w:cs="Times New Roman"/>
          <w:b/>
          <w:lang w:val="en-US"/>
        </w:rPr>
        <w:t>Statement of Human and Animal Rights</w:t>
      </w:r>
    </w:p>
    <w:p w:rsidR="00D84966" w:rsidRPr="00E625E1" w:rsidRDefault="00D84966" w:rsidP="00D84966">
      <w:pPr>
        <w:spacing w:after="0" w:line="240" w:lineRule="auto"/>
        <w:rPr>
          <w:rFonts w:ascii="Times New Roman" w:eastAsia="Times New Roman" w:hAnsi="Times New Roman" w:cs="Times New Roman"/>
          <w:color w:val="000000"/>
          <w:lang w:val="en-IN" w:eastAsia="it-IT"/>
        </w:rPr>
      </w:pPr>
      <w:r w:rsidRPr="00E625E1">
        <w:rPr>
          <w:rFonts w:ascii="Times New Roman" w:eastAsia="Times New Roman" w:hAnsi="Times New Roman" w:cs="Times New Roman"/>
          <w:color w:val="000000"/>
          <w:lang w:val="en-IN" w:eastAsia="it-IT"/>
        </w:rPr>
        <w:t xml:space="preserve">This article does not contain any studies with human or animal subjects performed by any of the authors. </w:t>
      </w:r>
    </w:p>
    <w:p w:rsidR="00DA4C04" w:rsidRPr="00E625E1" w:rsidRDefault="00DA4C04">
      <w:pPr>
        <w:rPr>
          <w:rFonts w:ascii="Times New Roman" w:hAnsi="Times New Roman" w:cs="Times New Roman"/>
          <w:b/>
          <w:lang w:val="en-US"/>
        </w:rPr>
      </w:pPr>
      <w:r w:rsidRPr="00E625E1">
        <w:rPr>
          <w:rFonts w:ascii="Times New Roman" w:hAnsi="Times New Roman" w:cs="Times New Roman"/>
          <w:b/>
          <w:lang w:val="en-US"/>
        </w:rPr>
        <w:br w:type="page"/>
      </w:r>
    </w:p>
    <w:p w:rsidR="00B661D1" w:rsidRPr="00E625E1" w:rsidRDefault="00F231C5" w:rsidP="00564898">
      <w:pPr>
        <w:spacing w:after="0" w:line="480" w:lineRule="auto"/>
        <w:rPr>
          <w:rFonts w:ascii="Times New Roman" w:hAnsi="Times New Roman" w:cs="Times New Roman"/>
          <w:b/>
          <w:lang w:val="en-US"/>
        </w:rPr>
      </w:pPr>
      <w:r w:rsidRPr="00E625E1">
        <w:rPr>
          <w:rFonts w:ascii="Times New Roman" w:hAnsi="Times New Roman" w:cs="Times New Roman"/>
          <w:b/>
          <w:lang w:val="en-US"/>
        </w:rPr>
        <w:lastRenderedPageBreak/>
        <w:t>References</w:t>
      </w:r>
    </w:p>
    <w:p w:rsidR="004E467D" w:rsidRPr="00E625E1" w:rsidRDefault="004E467D" w:rsidP="00564898">
      <w:pPr>
        <w:spacing w:after="0" w:line="480" w:lineRule="auto"/>
        <w:ind w:left="284"/>
        <w:rPr>
          <w:rFonts w:ascii="Times New Roman" w:hAnsi="Times New Roman" w:cs="Times New Roman"/>
          <w:b/>
          <w:lang w:val="en-US"/>
        </w:rPr>
      </w:pPr>
    </w:p>
    <w:p w:rsidR="00B661D1" w:rsidRPr="00E625E1" w:rsidRDefault="00B661D1"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eastAsia="UniversLTStd-LightCn" w:hAnsi="Times New Roman" w:cs="Times New Roman"/>
          <w:color w:val="000000" w:themeColor="text1"/>
          <w:lang w:val="en-US"/>
        </w:rPr>
        <w:t>Wright E, Loo D, Hirayama B (2011) Biology of human sodium glucose transporters. Physiol Rev 91:733-794.</w:t>
      </w:r>
    </w:p>
    <w:p w:rsidR="00A46B61" w:rsidRPr="00E625E1" w:rsidRDefault="00A46B61"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Dyer J, Daly K, Salmon KS, Arora DK, Kokrashvili Z, Margolskee RF, Shirazi-Beechey SP (2007) Intestinal glucose sensing and regulation of intestinal glucose absorption. Biochem Soc Trans 35(Pt 5):1191-1194. </w:t>
      </w:r>
    </w:p>
    <w:p w:rsidR="00A46B61" w:rsidRPr="00E625E1" w:rsidRDefault="00A46B61"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eastAsia="UniversLTStd-LightCn" w:hAnsi="Times New Roman" w:cs="Times New Roman"/>
          <w:color w:val="000000" w:themeColor="text1"/>
          <w:lang w:val="en-US"/>
        </w:rPr>
        <w:t>Ferrannini E, Solini A (2012) SGLT2 inhibition in diabetes mellitus: rationale and clinical prospects. Nat Rev Endocrinol 8:495-502.</w:t>
      </w:r>
    </w:p>
    <w:p w:rsidR="00B661D1" w:rsidRPr="00E625E1" w:rsidRDefault="00A46B61"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eastAsia="UniversLTStd-LightCn" w:hAnsi="Times New Roman" w:cs="Times New Roman"/>
          <w:color w:val="000000" w:themeColor="text1"/>
          <w:lang w:val="en-US"/>
        </w:rPr>
        <w:t>Tabatabai NM, Sharma M, Blumenthal SS, Petering DH (2009) Enhanced expressions of sodium-glucose cotransporters in the kidneys of diabetic Zucker rats. Diabetes Res Clin Pract 83:e27-30.</w:t>
      </w:r>
    </w:p>
    <w:p w:rsidR="00D270E8" w:rsidRPr="00E625E1" w:rsidRDefault="00A46B61"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eastAsia="UniversLTStd-LightCn" w:hAnsi="Times New Roman" w:cs="Times New Roman"/>
          <w:color w:val="000000" w:themeColor="text1"/>
          <w:lang w:val="en-US"/>
        </w:rPr>
        <w:t>Freitas HS, Anhe GF, Melo KF, Okamoto MM, Oliveira-Souza M, Bordin S, Machado UF (2008</w:t>
      </w:r>
      <w:r w:rsidR="00021A29" w:rsidRPr="00E625E1">
        <w:rPr>
          <w:rFonts w:ascii="Times New Roman" w:eastAsia="UniversLTStd-LightCn" w:hAnsi="Times New Roman" w:cs="Times New Roman"/>
          <w:color w:val="000000" w:themeColor="text1"/>
          <w:lang w:val="en-US"/>
        </w:rPr>
        <w:t>)</w:t>
      </w:r>
      <w:r w:rsidRPr="00E625E1">
        <w:rPr>
          <w:rFonts w:ascii="Times New Roman" w:eastAsia="UniversLTStd-LightCn" w:hAnsi="Times New Roman" w:cs="Times New Roman"/>
          <w:color w:val="000000" w:themeColor="text1"/>
          <w:lang w:val="en-US"/>
        </w:rPr>
        <w:t xml:space="preserve"> Na(+) -glucose transporter-2 messenger ribonucleic acid expression in kidney of diabetic rats correlates with glycemic levels: involvement of hepatocyte nuclear factor-1alpha expression and activity. Endocrinology 149:717-724.</w:t>
      </w:r>
    </w:p>
    <w:p w:rsidR="001C4984" w:rsidRPr="00E625E1" w:rsidRDefault="00D270E8"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eastAsia="UniversLTStd-LightCn" w:hAnsi="Times New Roman" w:cs="Times New Roman"/>
          <w:color w:val="000000" w:themeColor="text1"/>
          <w:lang w:val="en-US"/>
        </w:rPr>
        <w:t>Rahmoune H, Thompson PW, Ward JM, Smith CD, Hong G, Brown J (2005) Glucose transporters in human renal proximal tubular cells isolated from the urine of patients with non-insulin-dependent diabetes. Diabetes 54:3427-3434.</w:t>
      </w:r>
    </w:p>
    <w:p w:rsidR="001C4984" w:rsidRPr="00E625E1" w:rsidRDefault="001C4984"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eastAsia="UniversLTStd-LightCn" w:hAnsi="Times New Roman" w:cs="Times New Roman"/>
          <w:color w:val="000000" w:themeColor="text1"/>
          <w:lang w:val="en-US"/>
        </w:rPr>
        <w:t>Campos C (2012) Chronic hyperglycemia and glucose toxicity: pathology and clinical sequelae. Postgrad Med 124:90-97.</w:t>
      </w:r>
    </w:p>
    <w:p w:rsidR="00291C30" w:rsidRPr="00E625E1" w:rsidRDefault="001C4984"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eastAsia="UniversLTStd-LightCn" w:hAnsi="Times New Roman" w:cs="Times New Roman"/>
          <w:color w:val="000000" w:themeColor="text1"/>
          <w:lang w:val="en-US"/>
        </w:rPr>
        <w:t>Ehrenkranz J, Lewis N, Kahn C, Roth J (2005) Phlorizin: a review. Diabetes Metab Res Rev 21:31-38.</w:t>
      </w:r>
    </w:p>
    <w:p w:rsidR="005112D0" w:rsidRPr="00E625E1" w:rsidRDefault="005112D0"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Rossetti L, Smith D, Shulman GI, Papachristou D, DeFronzo RA (1987) Correction of</w:t>
      </w:r>
      <w:r w:rsidR="00021A29"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 xml:space="preserve">hyperglycemia with phlorizin normalizes tissue sensitivity to insulin in diabetic rats. J Clin Invest 79:1510-1515. </w:t>
      </w:r>
    </w:p>
    <w:p w:rsidR="00291C30" w:rsidRPr="00E625E1" w:rsidRDefault="00291C30"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Scheen AJ (2014) Evaluating SGLT2 inhibitors for type 2 diabetes: pharmacokinetic</w:t>
      </w:r>
      <w:r w:rsidR="0029517D"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and toxicological considerations. Expert Opin Drug Metab Toxicol 10:647-663.</w:t>
      </w:r>
    </w:p>
    <w:p w:rsidR="007C099B" w:rsidRPr="00E625E1" w:rsidRDefault="005112D0"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Komoroski B, Vachharajani N, Boulton D, Kornhauser D, Geraldes M, Li L, Pfister M (2009) Dapagliflozin, a novel SGLT2 inhibitor, induces dose-dependent glucosuria in healthy subjects. Clin Pharmacol Ther 85:520-526.</w:t>
      </w:r>
    </w:p>
    <w:p w:rsidR="0029517D" w:rsidRPr="00E625E1" w:rsidRDefault="007C099B"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lastRenderedPageBreak/>
        <w:t>Devineni D, Curtin CR, Polidori D, Gutierrez MJ, Murphy J, Rusch S, Rothenberg</w:t>
      </w:r>
      <w:r w:rsidR="0029517D"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PL (2013) Pharmacokinetics and pharmacodynamics of canagliflozin, a sodium glucose</w:t>
      </w:r>
      <w:r w:rsidR="00021A29"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 xml:space="preserve">co-transporter 2 inhibitor, in subjects with type 2 diabetes mellitus. J Clin Pharmacol 53:601-610. </w:t>
      </w:r>
    </w:p>
    <w:p w:rsidR="0029517D" w:rsidRPr="00E625E1" w:rsidRDefault="0029517D" w:rsidP="00564898">
      <w:pPr>
        <w:pStyle w:val="Paragrafoelenco"/>
        <w:numPr>
          <w:ilvl w:val="0"/>
          <w:numId w:val="10"/>
        </w:numPr>
        <w:spacing w:before="0" w:line="480" w:lineRule="auto"/>
        <w:ind w:left="0" w:hanging="357"/>
        <w:rPr>
          <w:rStyle w:val="element-citation"/>
          <w:rFonts w:ascii="Times New Roman" w:hAnsi="Times New Roman" w:cs="Times New Roman"/>
          <w:color w:val="000000" w:themeColor="text1"/>
          <w:lang w:val="en-US"/>
        </w:rPr>
      </w:pPr>
      <w:r w:rsidRPr="00E625E1">
        <w:rPr>
          <w:rStyle w:val="element-citation"/>
          <w:rFonts w:ascii="Times New Roman" w:hAnsi="Times New Roman" w:cs="Times New Roman"/>
          <w:color w:val="000000" w:themeColor="text1"/>
          <w:lang w:val="en"/>
        </w:rPr>
        <w:t xml:space="preserve">Heise T, Seewaldt-Becker E, Macha S, Hantel S, Pinnetti S, Seman L, Woerle HJ (2013) Safety, tolerability, pharmacokinetics and pharmacodynamics following 4 weeks’ treatment with empagliflozin once daily in patients with type 2 diabetes. </w:t>
      </w:r>
      <w:r w:rsidRPr="00E625E1">
        <w:rPr>
          <w:rStyle w:val="ref-journal"/>
          <w:rFonts w:ascii="Times New Roman" w:hAnsi="Times New Roman" w:cs="Times New Roman"/>
          <w:color w:val="000000" w:themeColor="text1"/>
          <w:lang w:val="en"/>
        </w:rPr>
        <w:t xml:space="preserve">Diabetes Obes Metab </w:t>
      </w:r>
      <w:r w:rsidRPr="00E625E1">
        <w:rPr>
          <w:rStyle w:val="ref-vol"/>
          <w:rFonts w:ascii="Times New Roman" w:hAnsi="Times New Roman" w:cs="Times New Roman"/>
          <w:color w:val="000000" w:themeColor="text1"/>
          <w:lang w:val="en"/>
        </w:rPr>
        <w:t>15</w:t>
      </w:r>
      <w:r w:rsidRPr="00E625E1">
        <w:rPr>
          <w:rStyle w:val="element-citation"/>
          <w:rFonts w:ascii="Times New Roman" w:hAnsi="Times New Roman" w:cs="Times New Roman"/>
          <w:color w:val="000000" w:themeColor="text1"/>
          <w:lang w:val="en"/>
        </w:rPr>
        <w:t>:613-621.</w:t>
      </w:r>
    </w:p>
    <w:p w:rsidR="0029517D" w:rsidRPr="00E625E1" w:rsidRDefault="0029517D"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Kasichayanula S, Chang M, Hasegawa M, Liu X, Yamahira N, LaCreta FP, Imai Y, Boulton DW (2011) Pharmacokinetics and pharmacodynamics of dapagliflozin, a novel selective inhibitor of sodium-glucose co-transporter type 2, in Japanese subjects without and with type 2 diabetes mellitus. Diabetes Obes Metab 13:357-365.</w:t>
      </w:r>
    </w:p>
    <w:p w:rsidR="00A11759" w:rsidRPr="00E625E1" w:rsidRDefault="00963A47"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List JF, Whaley JM (2011) </w:t>
      </w:r>
      <w:r w:rsidR="00582E62" w:rsidRPr="00E625E1">
        <w:rPr>
          <w:rFonts w:ascii="Times New Roman" w:hAnsi="Times New Roman" w:cs="Times New Roman"/>
          <w:color w:val="000000" w:themeColor="text1"/>
          <w:lang w:val="en-US"/>
        </w:rPr>
        <w:t>Glucose dynamics and mechanistic implications of SGLT2 inhibitors in animals and humans. Kidney Int (Suppl)120:S20-27.</w:t>
      </w:r>
    </w:p>
    <w:p w:rsidR="006D5D66" w:rsidRPr="00E625E1" w:rsidRDefault="00343054"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Liu JJ,</w:t>
      </w:r>
      <w:r w:rsidR="005B7E88" w:rsidRPr="00E625E1">
        <w:rPr>
          <w:rFonts w:ascii="Times New Roman" w:hAnsi="Times New Roman" w:cs="Times New Roman"/>
          <w:color w:val="000000" w:themeColor="text1"/>
          <w:lang w:val="en-US"/>
        </w:rPr>
        <w:t xml:space="preserve"> Lee T, DeFronzo RA (2012) Why </w:t>
      </w:r>
      <w:r w:rsidR="005B7E88" w:rsidRPr="00E625E1">
        <w:rPr>
          <w:rFonts w:ascii="Times New Roman" w:hAnsi="Times New Roman" w:cs="Times New Roman"/>
          <w:lang w:val="en-US"/>
        </w:rPr>
        <w:t>d</w:t>
      </w:r>
      <w:r w:rsidRPr="00E625E1">
        <w:rPr>
          <w:rFonts w:ascii="Times New Roman" w:hAnsi="Times New Roman" w:cs="Times New Roman"/>
          <w:lang w:val="en-US"/>
        </w:rPr>
        <w:t>o</w:t>
      </w:r>
      <w:r w:rsidRPr="00E625E1">
        <w:rPr>
          <w:rFonts w:ascii="Times New Roman" w:hAnsi="Times New Roman" w:cs="Times New Roman"/>
          <w:color w:val="000000" w:themeColor="text1"/>
          <w:lang w:val="en-US"/>
        </w:rPr>
        <w:t xml:space="preserve"> SGLT2 inhibitors inhibit only 30-50% of</w:t>
      </w:r>
      <w:r w:rsidR="0032118C"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renal glucose reabsorption in humans? Diabetes 61:2199-2204.</w:t>
      </w:r>
    </w:p>
    <w:p w:rsidR="005B7E88" w:rsidRPr="00E625E1" w:rsidRDefault="00963A47" w:rsidP="00564898">
      <w:pPr>
        <w:pStyle w:val="Paragrafoelenco"/>
        <w:numPr>
          <w:ilvl w:val="0"/>
          <w:numId w:val="10"/>
        </w:numPr>
        <w:spacing w:before="0" w:line="480" w:lineRule="auto"/>
        <w:ind w:left="0"/>
        <w:rPr>
          <w:rFonts w:ascii="Times New Roman" w:hAnsi="Times New Roman" w:cs="Times New Roman"/>
          <w:color w:val="FF0000"/>
          <w:lang w:val="en-US"/>
        </w:rPr>
      </w:pPr>
      <w:r w:rsidRPr="00E625E1">
        <w:rPr>
          <w:rFonts w:ascii="Times New Roman" w:hAnsi="Times New Roman" w:cs="Times New Roman"/>
          <w:color w:val="FF0000"/>
          <w:lang w:val="en-US"/>
        </w:rPr>
        <w:t xml:space="preserve">Weinstein AM </w:t>
      </w:r>
      <w:r w:rsidR="005B7E88" w:rsidRPr="00E625E1">
        <w:rPr>
          <w:rFonts w:ascii="Times New Roman" w:hAnsi="Times New Roman" w:cs="Times New Roman"/>
          <w:color w:val="FF0000"/>
          <w:lang w:val="en-US"/>
        </w:rPr>
        <w:t xml:space="preserve">(2015) </w:t>
      </w:r>
      <w:r w:rsidRPr="00E625E1">
        <w:rPr>
          <w:rFonts w:ascii="Times New Roman" w:hAnsi="Times New Roman" w:cs="Times New Roman"/>
          <w:color w:val="FF0000"/>
          <w:lang w:val="en-US"/>
        </w:rPr>
        <w:t>A mathematical model of the rat nephron: glucose transport.</w:t>
      </w:r>
      <w:r w:rsidR="005B7E88" w:rsidRPr="00E625E1">
        <w:rPr>
          <w:rFonts w:ascii="Times New Roman" w:hAnsi="Times New Roman" w:cs="Times New Roman"/>
          <w:color w:val="FF0000"/>
          <w:lang w:val="en-US"/>
        </w:rPr>
        <w:t xml:space="preserve"> Am J Physiol Ren Physiol 308:F1098-F1118</w:t>
      </w:r>
      <w:r w:rsidR="00607EEB" w:rsidRPr="00E625E1">
        <w:rPr>
          <w:rFonts w:ascii="Times New Roman" w:hAnsi="Times New Roman" w:cs="Times New Roman"/>
          <w:color w:val="FF0000"/>
          <w:lang w:val="en-US"/>
        </w:rPr>
        <w:t>.</w:t>
      </w:r>
    </w:p>
    <w:p w:rsidR="006D5D66" w:rsidRPr="00E625E1" w:rsidRDefault="006D5D66"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Gavin JR 3rd, Davies MJ, Davies M, Vijapurkar U, Alba M, Meininger G (2015) The</w:t>
      </w:r>
      <w:r w:rsidR="00021A29"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efficacy and safety of canagliflozin across racial groups in patients with type 2 diabetes mellitus. Curr Med Res Opin 31:1693-7102.</w:t>
      </w:r>
    </w:p>
    <w:p w:rsidR="00A11759" w:rsidRPr="00E625E1" w:rsidRDefault="00DE3FCC"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Riggs MM, Staab A, Seman L, MacGregor TR, Bergsma TT, Gastonguay MR, Macha S (2013) Population pharmacokinetics of empagliflozin, a sodium glucose cotransporter 2</w:t>
      </w:r>
      <w:r w:rsidR="00A11759"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inhibitor, in patients with type 2 diabetes. J Clin Pharmacol 53:1028-1038.</w:t>
      </w:r>
    </w:p>
    <w:p w:rsidR="00A11759" w:rsidRPr="00E625E1" w:rsidRDefault="00567299"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Macha S, Lang B, Pinnetti S, Broedl UC (2014) Pharmacokinetics of empagliflozin, a sodium glucose cotransporter 2 inhibitor, and simvastatin following co-administration in healthy volunteers. Int J Clin Pharmacol Ther 52:973-980</w:t>
      </w:r>
    </w:p>
    <w:p w:rsidR="00567299" w:rsidRPr="00E625E1" w:rsidRDefault="00567299"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Devineni D, Manitpisitkul P, Vaccaro N, Bernard A, Skee D, Mamidi RN, Tian H,  Weiner S, Stieltjes H, Sha S, Rothenberg P (2015) Effect of canagliflozin, a sodium glucose co-transporter 2 inhibitor, on the </w:t>
      </w:r>
      <w:r w:rsidRPr="00E625E1">
        <w:rPr>
          <w:rFonts w:ascii="Times New Roman" w:hAnsi="Times New Roman" w:cs="Times New Roman"/>
          <w:color w:val="000000" w:themeColor="text1"/>
          <w:lang w:val="en-US"/>
        </w:rPr>
        <w:lastRenderedPageBreak/>
        <w:t xml:space="preserve">pharmacokinetics of oral contraceptives, warfarin, and digoxin in healthy participants. Int J Clin Pharmacol Ther 53:41-53. </w:t>
      </w:r>
    </w:p>
    <w:p w:rsidR="00EA7153" w:rsidRPr="00E625E1" w:rsidRDefault="00F76773"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Berhan A, Barker A (2013) Sodium glucose co-transport 2 inhibitors in the treatment of type 2 diabetes mellitus: a meta-analysis of randomized double-blind controlled trials. BMC Endocr Disord 13:58. </w:t>
      </w:r>
    </w:p>
    <w:p w:rsidR="00A11759" w:rsidRPr="00E625E1" w:rsidRDefault="00A11759" w:rsidP="00564898">
      <w:pPr>
        <w:pStyle w:val="Paragrafoelenco"/>
        <w:numPr>
          <w:ilvl w:val="0"/>
          <w:numId w:val="10"/>
        </w:numPr>
        <w:spacing w:before="0" w:line="480" w:lineRule="auto"/>
        <w:ind w:left="0"/>
        <w:rPr>
          <w:rStyle w:val="CitazioneHTML"/>
          <w:rFonts w:ascii="Times New Roman" w:hAnsi="Times New Roman" w:cs="Times New Roman"/>
          <w:i w:val="0"/>
          <w:iCs w:val="0"/>
          <w:color w:val="000000" w:themeColor="text1"/>
          <w:lang w:val="en-US"/>
        </w:rPr>
      </w:pPr>
      <w:r w:rsidRPr="00E625E1">
        <w:rPr>
          <w:rStyle w:val="author"/>
          <w:rFonts w:ascii="Times New Roman" w:hAnsi="Times New Roman" w:cs="Times New Roman"/>
          <w:iCs/>
          <w:color w:val="000000" w:themeColor="text1"/>
          <w:lang w:val="en-US"/>
        </w:rPr>
        <w:t>Ferrannini E</w:t>
      </w:r>
      <w:r w:rsidRPr="00E625E1">
        <w:rPr>
          <w:rStyle w:val="CitazioneHTML"/>
          <w:rFonts w:ascii="Times New Roman" w:hAnsi="Times New Roman" w:cs="Times New Roman"/>
          <w:color w:val="000000" w:themeColor="text1"/>
          <w:lang w:val="en-US"/>
        </w:rPr>
        <w:t xml:space="preserve">, </w:t>
      </w:r>
      <w:r w:rsidRPr="00E625E1">
        <w:rPr>
          <w:rStyle w:val="author"/>
          <w:rFonts w:ascii="Times New Roman" w:hAnsi="Times New Roman" w:cs="Times New Roman"/>
          <w:iCs/>
          <w:color w:val="000000" w:themeColor="text1"/>
          <w:lang w:val="en-US"/>
        </w:rPr>
        <w:t>Ramos SJ</w:t>
      </w:r>
      <w:r w:rsidRPr="00E625E1">
        <w:rPr>
          <w:rStyle w:val="CitazioneHTML"/>
          <w:rFonts w:ascii="Times New Roman" w:hAnsi="Times New Roman" w:cs="Times New Roman"/>
          <w:color w:val="000000" w:themeColor="text1"/>
          <w:lang w:val="en-US"/>
        </w:rPr>
        <w:t xml:space="preserve">, </w:t>
      </w:r>
      <w:r w:rsidRPr="00E625E1">
        <w:rPr>
          <w:rStyle w:val="author"/>
          <w:rFonts w:ascii="Times New Roman" w:hAnsi="Times New Roman" w:cs="Times New Roman"/>
          <w:iCs/>
          <w:color w:val="000000" w:themeColor="text1"/>
          <w:lang w:val="en-US"/>
        </w:rPr>
        <w:t>Salsali A</w:t>
      </w:r>
      <w:r w:rsidR="00E65FD9" w:rsidRPr="00E625E1">
        <w:rPr>
          <w:rStyle w:val="author"/>
          <w:rFonts w:ascii="Times New Roman" w:hAnsi="Times New Roman" w:cs="Times New Roman"/>
          <w:iCs/>
          <w:color w:val="000000" w:themeColor="text1"/>
          <w:lang w:val="en-US"/>
        </w:rPr>
        <w:t>, Tang W, List JF (2010)</w:t>
      </w:r>
      <w:r w:rsidRPr="00E625E1">
        <w:rPr>
          <w:rStyle w:val="CitazioneHTML"/>
          <w:rFonts w:ascii="Times New Roman" w:hAnsi="Times New Roman" w:cs="Times New Roman"/>
          <w:color w:val="000000" w:themeColor="text1"/>
          <w:lang w:val="en-US"/>
        </w:rPr>
        <w:t xml:space="preserve"> </w:t>
      </w:r>
      <w:r w:rsidRPr="00E625E1">
        <w:rPr>
          <w:rStyle w:val="articletitle"/>
          <w:rFonts w:ascii="Times New Roman" w:hAnsi="Times New Roman" w:cs="Times New Roman"/>
          <w:iCs/>
          <w:color w:val="000000" w:themeColor="text1"/>
          <w:lang w:val="en"/>
        </w:rPr>
        <w:t>Dapagliflozin monotherapy in type 2 diabetic patients with inadequate glycemic control by diet and exercise: a randomized, double-blind, placebo-controlled, phase 3 trial</w:t>
      </w:r>
      <w:r w:rsidRPr="00E625E1">
        <w:rPr>
          <w:rStyle w:val="CitazioneHTML"/>
          <w:rFonts w:ascii="Times New Roman" w:hAnsi="Times New Roman" w:cs="Times New Roman"/>
          <w:color w:val="000000" w:themeColor="text1"/>
          <w:lang w:val="en"/>
        </w:rPr>
        <w:t xml:space="preserve">. </w:t>
      </w:r>
      <w:r w:rsidRPr="00E625E1">
        <w:rPr>
          <w:rStyle w:val="journaltitle2"/>
          <w:rFonts w:ascii="Times New Roman" w:hAnsi="Times New Roman" w:cs="Times New Roman"/>
          <w:i w:val="0"/>
          <w:color w:val="000000" w:themeColor="text1"/>
          <w:lang w:val="en"/>
        </w:rPr>
        <w:t>Diabetes Care</w:t>
      </w:r>
      <w:r w:rsidRPr="00E625E1">
        <w:rPr>
          <w:rStyle w:val="CitazioneHTML"/>
          <w:rFonts w:ascii="Times New Roman" w:hAnsi="Times New Roman" w:cs="Times New Roman"/>
          <w:i w:val="0"/>
          <w:color w:val="000000" w:themeColor="text1"/>
          <w:lang w:val="en"/>
        </w:rPr>
        <w:t xml:space="preserve"> </w:t>
      </w:r>
      <w:r w:rsidRPr="00E625E1">
        <w:rPr>
          <w:rStyle w:val="vol2"/>
          <w:rFonts w:ascii="Times New Roman" w:hAnsi="Times New Roman" w:cs="Times New Roman"/>
          <w:b w:val="0"/>
          <w:iCs/>
          <w:color w:val="000000" w:themeColor="text1"/>
          <w:lang w:val="en"/>
        </w:rPr>
        <w:t>33</w:t>
      </w:r>
      <w:r w:rsidR="00E65FD9" w:rsidRPr="00E625E1">
        <w:rPr>
          <w:rStyle w:val="CitazioneHTML"/>
          <w:rFonts w:ascii="Times New Roman" w:hAnsi="Times New Roman" w:cs="Times New Roman"/>
          <w:i w:val="0"/>
          <w:color w:val="000000" w:themeColor="text1"/>
          <w:lang w:val="en"/>
        </w:rPr>
        <w:t>:</w:t>
      </w:r>
      <w:r w:rsidRPr="00E625E1">
        <w:rPr>
          <w:rStyle w:val="pagefirst"/>
          <w:rFonts w:ascii="Times New Roman" w:hAnsi="Times New Roman" w:cs="Times New Roman"/>
          <w:iCs/>
          <w:color w:val="000000" w:themeColor="text1"/>
          <w:lang w:val="en"/>
        </w:rPr>
        <w:t>2217</w:t>
      </w:r>
      <w:r w:rsidR="00E65FD9" w:rsidRPr="00E625E1">
        <w:rPr>
          <w:rStyle w:val="CitazioneHTML"/>
          <w:rFonts w:ascii="Times New Roman" w:hAnsi="Times New Roman" w:cs="Times New Roman"/>
          <w:color w:val="000000" w:themeColor="text1"/>
          <w:lang w:val="en"/>
        </w:rPr>
        <w:t>-</w:t>
      </w:r>
      <w:r w:rsidR="00E65FD9" w:rsidRPr="00E625E1">
        <w:rPr>
          <w:rStyle w:val="CitazioneHTML"/>
          <w:rFonts w:ascii="Times New Roman" w:hAnsi="Times New Roman" w:cs="Times New Roman"/>
          <w:i w:val="0"/>
          <w:color w:val="000000" w:themeColor="text1"/>
          <w:lang w:val="en"/>
        </w:rPr>
        <w:t xml:space="preserve">2224 </w:t>
      </w:r>
    </w:p>
    <w:p w:rsidR="00E65FD9" w:rsidRPr="00E625E1" w:rsidRDefault="00E65FD9" w:rsidP="00564898">
      <w:pPr>
        <w:pStyle w:val="Paragrafoelenco"/>
        <w:numPr>
          <w:ilvl w:val="0"/>
          <w:numId w:val="10"/>
        </w:numPr>
        <w:spacing w:before="0" w:line="480" w:lineRule="auto"/>
        <w:ind w:left="0"/>
        <w:rPr>
          <w:rStyle w:val="CitazioneHTML"/>
          <w:rFonts w:ascii="Times New Roman" w:hAnsi="Times New Roman" w:cs="Times New Roman"/>
          <w:i w:val="0"/>
          <w:iCs w:val="0"/>
          <w:color w:val="000000" w:themeColor="text1"/>
          <w:lang w:val="en-US"/>
        </w:rPr>
      </w:pPr>
      <w:r w:rsidRPr="00E625E1">
        <w:rPr>
          <w:rStyle w:val="author"/>
          <w:rFonts w:ascii="Times New Roman" w:hAnsi="Times New Roman" w:cs="Times New Roman"/>
          <w:iCs/>
          <w:color w:val="000000" w:themeColor="text1"/>
          <w:lang w:val="en"/>
        </w:rPr>
        <w:t>Stenlof K</w:t>
      </w:r>
      <w:r w:rsidRPr="00E625E1">
        <w:rPr>
          <w:rStyle w:val="CitazioneHTML"/>
          <w:rFonts w:ascii="Times New Roman" w:hAnsi="Times New Roman" w:cs="Times New Roman"/>
          <w:color w:val="000000" w:themeColor="text1"/>
          <w:lang w:val="en"/>
        </w:rPr>
        <w:t xml:space="preserve">, </w:t>
      </w:r>
      <w:r w:rsidRPr="00E625E1">
        <w:rPr>
          <w:rStyle w:val="author"/>
          <w:rFonts w:ascii="Times New Roman" w:hAnsi="Times New Roman" w:cs="Times New Roman"/>
          <w:iCs/>
          <w:color w:val="000000" w:themeColor="text1"/>
          <w:lang w:val="en"/>
        </w:rPr>
        <w:t>Cefalu WT</w:t>
      </w:r>
      <w:r w:rsidRPr="00E625E1">
        <w:rPr>
          <w:rStyle w:val="CitazioneHTML"/>
          <w:rFonts w:ascii="Times New Roman" w:hAnsi="Times New Roman" w:cs="Times New Roman"/>
          <w:color w:val="000000" w:themeColor="text1"/>
          <w:lang w:val="en"/>
        </w:rPr>
        <w:t xml:space="preserve">, </w:t>
      </w:r>
      <w:r w:rsidRPr="00E625E1">
        <w:rPr>
          <w:rStyle w:val="author"/>
          <w:rFonts w:ascii="Times New Roman" w:hAnsi="Times New Roman" w:cs="Times New Roman"/>
          <w:iCs/>
          <w:color w:val="000000" w:themeColor="text1"/>
          <w:lang w:val="en"/>
        </w:rPr>
        <w:t>Kim KA</w:t>
      </w:r>
      <w:r w:rsidRPr="00E625E1">
        <w:rPr>
          <w:rStyle w:val="CitazioneHTML"/>
          <w:rFonts w:ascii="Times New Roman" w:hAnsi="Times New Roman" w:cs="Times New Roman"/>
          <w:color w:val="000000" w:themeColor="text1"/>
          <w:lang w:val="en"/>
        </w:rPr>
        <w:t xml:space="preserve">, </w:t>
      </w:r>
      <w:r w:rsidRPr="00E625E1">
        <w:rPr>
          <w:rFonts w:ascii="Times New Roman" w:hAnsi="Times New Roman" w:cs="Times New Roman"/>
          <w:color w:val="000000" w:themeColor="text1"/>
          <w:lang w:val="en-US"/>
        </w:rPr>
        <w:t xml:space="preserve">Alba M, Usiskin K, Tong C, Canovatchel W, Meininger G (2013) </w:t>
      </w:r>
      <w:r w:rsidRPr="00E625E1">
        <w:rPr>
          <w:rStyle w:val="articletitle"/>
          <w:rFonts w:ascii="Times New Roman" w:hAnsi="Times New Roman" w:cs="Times New Roman"/>
          <w:iCs/>
          <w:color w:val="000000" w:themeColor="text1"/>
          <w:lang w:val="en"/>
        </w:rPr>
        <w:t>Efficacy and safety of canagliflozin monotherapy in subjects with type 2 diabetes mellitus inadequately controlled with diet and exercise</w:t>
      </w:r>
      <w:r w:rsidRPr="00E625E1">
        <w:rPr>
          <w:rStyle w:val="CitazioneHTML"/>
          <w:rFonts w:ascii="Times New Roman" w:hAnsi="Times New Roman" w:cs="Times New Roman"/>
          <w:color w:val="000000" w:themeColor="text1"/>
          <w:lang w:val="en"/>
        </w:rPr>
        <w:t xml:space="preserve">. </w:t>
      </w:r>
      <w:r w:rsidRPr="00E625E1">
        <w:rPr>
          <w:rStyle w:val="journaltitle2"/>
          <w:rFonts w:ascii="Times New Roman" w:hAnsi="Times New Roman" w:cs="Times New Roman"/>
          <w:i w:val="0"/>
          <w:color w:val="000000" w:themeColor="text1"/>
          <w:lang w:val="en"/>
        </w:rPr>
        <w:t>Diabetes Obes Metab</w:t>
      </w:r>
      <w:r w:rsidRPr="00E625E1">
        <w:rPr>
          <w:rStyle w:val="CitazioneHTML"/>
          <w:rFonts w:ascii="Times New Roman" w:hAnsi="Times New Roman" w:cs="Times New Roman"/>
          <w:i w:val="0"/>
          <w:color w:val="000000" w:themeColor="text1"/>
          <w:lang w:val="en"/>
        </w:rPr>
        <w:t xml:space="preserve"> </w:t>
      </w:r>
      <w:r w:rsidRPr="00E625E1">
        <w:rPr>
          <w:rStyle w:val="vol2"/>
          <w:rFonts w:ascii="Times New Roman" w:hAnsi="Times New Roman" w:cs="Times New Roman"/>
          <w:b w:val="0"/>
          <w:iCs/>
          <w:color w:val="000000" w:themeColor="text1"/>
          <w:lang w:val="en"/>
        </w:rPr>
        <w:t>15</w:t>
      </w:r>
      <w:r w:rsidRPr="00E625E1">
        <w:rPr>
          <w:rStyle w:val="CitazioneHTML"/>
          <w:rFonts w:ascii="Times New Roman" w:hAnsi="Times New Roman" w:cs="Times New Roman"/>
          <w:i w:val="0"/>
          <w:color w:val="000000" w:themeColor="text1"/>
          <w:lang w:val="en"/>
        </w:rPr>
        <w:t>:</w:t>
      </w:r>
      <w:r w:rsidRPr="00E625E1">
        <w:rPr>
          <w:rStyle w:val="pagefirst"/>
          <w:rFonts w:ascii="Times New Roman" w:hAnsi="Times New Roman" w:cs="Times New Roman"/>
          <w:iCs/>
          <w:color w:val="000000" w:themeColor="text1"/>
          <w:lang w:val="en"/>
        </w:rPr>
        <w:t>372</w:t>
      </w:r>
      <w:r w:rsidRPr="00E625E1">
        <w:rPr>
          <w:rStyle w:val="CitazioneHTML"/>
          <w:rFonts w:ascii="Times New Roman" w:hAnsi="Times New Roman" w:cs="Times New Roman"/>
          <w:color w:val="000000" w:themeColor="text1"/>
          <w:lang w:val="en"/>
        </w:rPr>
        <w:t>-</w:t>
      </w:r>
      <w:r w:rsidRPr="00E625E1">
        <w:rPr>
          <w:rStyle w:val="CitazioneHTML"/>
          <w:rFonts w:ascii="Times New Roman" w:hAnsi="Times New Roman" w:cs="Times New Roman"/>
          <w:i w:val="0"/>
          <w:color w:val="000000" w:themeColor="text1"/>
          <w:lang w:val="en"/>
        </w:rPr>
        <w:t>382.</w:t>
      </w:r>
    </w:p>
    <w:p w:rsidR="00A11759" w:rsidRPr="00E625E1" w:rsidRDefault="00E65FD9" w:rsidP="00564898">
      <w:pPr>
        <w:pStyle w:val="Paragrafoelenco"/>
        <w:numPr>
          <w:ilvl w:val="0"/>
          <w:numId w:val="10"/>
        </w:numPr>
        <w:spacing w:before="0" w:line="480" w:lineRule="auto"/>
        <w:ind w:left="0"/>
        <w:rPr>
          <w:rStyle w:val="CitazioneHTML"/>
          <w:rFonts w:ascii="Times New Roman" w:hAnsi="Times New Roman" w:cs="Times New Roman"/>
          <w:i w:val="0"/>
          <w:iCs w:val="0"/>
          <w:color w:val="000000" w:themeColor="text1"/>
          <w:lang w:val="en-US"/>
        </w:rPr>
      </w:pPr>
      <w:r w:rsidRPr="00E625E1">
        <w:rPr>
          <w:rStyle w:val="CitazioneHTML"/>
          <w:rFonts w:ascii="Times New Roman" w:hAnsi="Times New Roman" w:cs="Times New Roman"/>
          <w:i w:val="0"/>
          <w:color w:val="000000" w:themeColor="text1"/>
          <w:lang w:val="en"/>
        </w:rPr>
        <w:t xml:space="preserve"> </w:t>
      </w:r>
      <w:r w:rsidRPr="00E625E1">
        <w:rPr>
          <w:rStyle w:val="author"/>
          <w:rFonts w:ascii="Times New Roman" w:hAnsi="Times New Roman" w:cs="Times New Roman"/>
          <w:iCs/>
          <w:color w:val="000000" w:themeColor="text1"/>
          <w:lang w:val="en"/>
        </w:rPr>
        <w:t>Roden M</w:t>
      </w:r>
      <w:r w:rsidRPr="00E625E1">
        <w:rPr>
          <w:rStyle w:val="CitazioneHTML"/>
          <w:rFonts w:ascii="Times New Roman" w:hAnsi="Times New Roman" w:cs="Times New Roman"/>
          <w:color w:val="000000" w:themeColor="text1"/>
          <w:lang w:val="en"/>
        </w:rPr>
        <w:t xml:space="preserve">, </w:t>
      </w:r>
      <w:r w:rsidRPr="00E625E1">
        <w:rPr>
          <w:rStyle w:val="author"/>
          <w:rFonts w:ascii="Times New Roman" w:hAnsi="Times New Roman" w:cs="Times New Roman"/>
          <w:iCs/>
          <w:color w:val="000000" w:themeColor="text1"/>
          <w:lang w:val="en"/>
        </w:rPr>
        <w:t>Weng J</w:t>
      </w:r>
      <w:r w:rsidRPr="00E625E1">
        <w:rPr>
          <w:rStyle w:val="CitazioneHTML"/>
          <w:rFonts w:ascii="Times New Roman" w:hAnsi="Times New Roman" w:cs="Times New Roman"/>
          <w:color w:val="000000" w:themeColor="text1"/>
          <w:lang w:val="en"/>
        </w:rPr>
        <w:t xml:space="preserve">, </w:t>
      </w:r>
      <w:r w:rsidRPr="00E625E1">
        <w:rPr>
          <w:rStyle w:val="author"/>
          <w:rFonts w:ascii="Times New Roman" w:hAnsi="Times New Roman" w:cs="Times New Roman"/>
          <w:iCs/>
          <w:color w:val="000000" w:themeColor="text1"/>
          <w:lang w:val="en"/>
        </w:rPr>
        <w:t>Eilbracht J</w:t>
      </w:r>
      <w:r w:rsidRPr="00E625E1">
        <w:rPr>
          <w:rStyle w:val="CitazioneHTML"/>
          <w:rFonts w:ascii="Times New Roman" w:hAnsi="Times New Roman" w:cs="Times New Roman"/>
          <w:i w:val="0"/>
          <w:color w:val="000000" w:themeColor="text1"/>
          <w:lang w:val="en"/>
        </w:rPr>
        <w:t xml:space="preserve">, Delafont B, Kim G, Woerle HJ, Broedl UC; EMPA-REG MONO trial investigators. (2013) </w:t>
      </w:r>
      <w:r w:rsidRPr="00E625E1">
        <w:rPr>
          <w:rStyle w:val="articletitle"/>
          <w:rFonts w:ascii="Times New Roman" w:hAnsi="Times New Roman" w:cs="Times New Roman"/>
          <w:iCs/>
          <w:color w:val="000000" w:themeColor="text1"/>
          <w:lang w:val="en"/>
        </w:rPr>
        <w:t>Empagliflozin monotherapy with sitagliptin as an active comparator in patients with type 2 diabetes: a randomised, double-blind, placebo-controlled, phase</w:t>
      </w:r>
      <w:r w:rsidRPr="00E625E1">
        <w:rPr>
          <w:rStyle w:val="articletitle"/>
          <w:rFonts w:ascii="Times New Roman" w:hAnsi="Times New Roman" w:cs="Times New Roman"/>
          <w:i/>
          <w:iCs/>
          <w:color w:val="000000" w:themeColor="text1"/>
          <w:lang w:val="en"/>
        </w:rPr>
        <w:t xml:space="preserve"> </w:t>
      </w:r>
      <w:r w:rsidRPr="00E625E1">
        <w:rPr>
          <w:rStyle w:val="articletitle"/>
          <w:rFonts w:ascii="Times New Roman" w:hAnsi="Times New Roman" w:cs="Times New Roman"/>
          <w:iCs/>
          <w:color w:val="000000" w:themeColor="text1"/>
          <w:lang w:val="en"/>
        </w:rPr>
        <w:t>3 trial</w:t>
      </w:r>
      <w:r w:rsidRPr="00E625E1">
        <w:rPr>
          <w:rStyle w:val="CitazioneHTML"/>
          <w:rFonts w:ascii="Times New Roman" w:hAnsi="Times New Roman" w:cs="Times New Roman"/>
          <w:color w:val="000000" w:themeColor="text1"/>
          <w:lang w:val="en"/>
        </w:rPr>
        <w:t>.</w:t>
      </w:r>
      <w:r w:rsidRPr="00E625E1">
        <w:rPr>
          <w:rStyle w:val="CitazioneHTML"/>
          <w:rFonts w:ascii="Times New Roman" w:hAnsi="Times New Roman" w:cs="Times New Roman"/>
          <w:i w:val="0"/>
          <w:color w:val="000000" w:themeColor="text1"/>
          <w:lang w:val="en"/>
        </w:rPr>
        <w:t xml:space="preserve"> </w:t>
      </w:r>
      <w:r w:rsidRPr="00E625E1">
        <w:rPr>
          <w:rStyle w:val="journaltitle2"/>
          <w:rFonts w:ascii="Times New Roman" w:hAnsi="Times New Roman" w:cs="Times New Roman"/>
          <w:i w:val="0"/>
          <w:color w:val="000000" w:themeColor="text1"/>
          <w:lang w:val="en"/>
        </w:rPr>
        <w:t>Lancet Diabetes Endocrinol</w:t>
      </w:r>
      <w:r w:rsidRPr="00E625E1">
        <w:rPr>
          <w:rStyle w:val="CitazioneHTML"/>
          <w:rFonts w:ascii="Times New Roman" w:hAnsi="Times New Roman" w:cs="Times New Roman"/>
          <w:i w:val="0"/>
          <w:color w:val="000000" w:themeColor="text1"/>
          <w:lang w:val="en"/>
        </w:rPr>
        <w:t xml:space="preserve"> </w:t>
      </w:r>
      <w:r w:rsidRPr="00E625E1">
        <w:rPr>
          <w:rStyle w:val="vol2"/>
          <w:rFonts w:ascii="Times New Roman" w:hAnsi="Times New Roman" w:cs="Times New Roman"/>
          <w:b w:val="0"/>
          <w:iCs/>
          <w:color w:val="000000" w:themeColor="text1"/>
          <w:lang w:val="en"/>
        </w:rPr>
        <w:t>1</w:t>
      </w:r>
      <w:r w:rsidRPr="00E625E1">
        <w:rPr>
          <w:rStyle w:val="CitazioneHTML"/>
          <w:rFonts w:ascii="Times New Roman" w:hAnsi="Times New Roman" w:cs="Times New Roman"/>
          <w:i w:val="0"/>
          <w:color w:val="000000" w:themeColor="text1"/>
          <w:lang w:val="en"/>
        </w:rPr>
        <w:t>:</w:t>
      </w:r>
      <w:r w:rsidRPr="00E625E1">
        <w:rPr>
          <w:rStyle w:val="pagefirst"/>
          <w:rFonts w:ascii="Times New Roman" w:hAnsi="Times New Roman" w:cs="Times New Roman"/>
          <w:iCs/>
          <w:color w:val="000000" w:themeColor="text1"/>
          <w:lang w:val="en"/>
        </w:rPr>
        <w:t>208</w:t>
      </w:r>
      <w:r w:rsidRPr="00E625E1">
        <w:rPr>
          <w:rStyle w:val="CitazioneHTML"/>
          <w:rFonts w:ascii="Times New Roman" w:hAnsi="Times New Roman" w:cs="Times New Roman"/>
          <w:color w:val="000000" w:themeColor="text1"/>
          <w:lang w:val="en"/>
        </w:rPr>
        <w:t>-</w:t>
      </w:r>
      <w:r w:rsidRPr="00E625E1">
        <w:rPr>
          <w:rStyle w:val="CitazioneHTML"/>
          <w:rFonts w:ascii="Times New Roman" w:hAnsi="Times New Roman" w:cs="Times New Roman"/>
          <w:i w:val="0"/>
          <w:color w:val="000000" w:themeColor="text1"/>
          <w:lang w:val="en"/>
        </w:rPr>
        <w:t>2</w:t>
      </w:r>
      <w:r w:rsidRPr="00E625E1">
        <w:rPr>
          <w:rStyle w:val="pagelast"/>
          <w:rFonts w:ascii="Times New Roman" w:hAnsi="Times New Roman" w:cs="Times New Roman"/>
          <w:iCs/>
          <w:color w:val="000000" w:themeColor="text1"/>
          <w:lang w:val="en"/>
        </w:rPr>
        <w:t>19</w:t>
      </w:r>
      <w:r w:rsidRPr="00E625E1">
        <w:rPr>
          <w:rStyle w:val="CitazioneHTML"/>
          <w:rFonts w:ascii="Times New Roman" w:hAnsi="Times New Roman" w:cs="Times New Roman"/>
          <w:color w:val="000000" w:themeColor="text1"/>
          <w:lang w:val="en"/>
        </w:rPr>
        <w:t>.</w:t>
      </w:r>
    </w:p>
    <w:p w:rsidR="00081DAE" w:rsidRPr="00E625E1" w:rsidRDefault="00FE1C99"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Wilding JP, Woo V, Rohwedder K, Sugg J, Parikh S; Dapagliflozin 006 Study Group</w:t>
      </w:r>
      <w:r w:rsidR="00081DAE" w:rsidRPr="00E625E1">
        <w:rPr>
          <w:rFonts w:ascii="Times New Roman" w:hAnsi="Times New Roman" w:cs="Times New Roman"/>
          <w:color w:val="000000" w:themeColor="text1"/>
          <w:lang w:val="en-US"/>
        </w:rPr>
        <w:t xml:space="preserve"> (2014)</w:t>
      </w:r>
      <w:r w:rsidRPr="00E625E1">
        <w:rPr>
          <w:rFonts w:ascii="Times New Roman" w:hAnsi="Times New Roman" w:cs="Times New Roman"/>
          <w:color w:val="000000" w:themeColor="text1"/>
          <w:lang w:val="en-US"/>
        </w:rPr>
        <w:t xml:space="preserve"> Dapagliflozin in patients with type 2 diabetes receiving high doses of insulin: efficacy and safety over 2 years. Diabetes Obes Metab </w:t>
      </w:r>
      <w:r w:rsidR="00081DAE" w:rsidRPr="00E625E1">
        <w:rPr>
          <w:rFonts w:ascii="Times New Roman" w:hAnsi="Times New Roman" w:cs="Times New Roman"/>
          <w:color w:val="000000" w:themeColor="text1"/>
          <w:lang w:val="en-US"/>
        </w:rPr>
        <w:t>16</w:t>
      </w:r>
      <w:r w:rsidRPr="00E625E1">
        <w:rPr>
          <w:rFonts w:ascii="Times New Roman" w:hAnsi="Times New Roman" w:cs="Times New Roman"/>
          <w:color w:val="000000" w:themeColor="text1"/>
          <w:lang w:val="en-US"/>
        </w:rPr>
        <w:t>:124-</w:t>
      </w:r>
      <w:r w:rsidR="00081DAE" w:rsidRPr="00E625E1">
        <w:rPr>
          <w:rFonts w:ascii="Times New Roman" w:hAnsi="Times New Roman" w:cs="Times New Roman"/>
          <w:color w:val="000000" w:themeColor="text1"/>
          <w:lang w:val="en-US"/>
        </w:rPr>
        <w:t>1</w:t>
      </w:r>
      <w:r w:rsidRPr="00E625E1">
        <w:rPr>
          <w:rFonts w:ascii="Times New Roman" w:hAnsi="Times New Roman" w:cs="Times New Roman"/>
          <w:color w:val="000000" w:themeColor="text1"/>
          <w:lang w:val="en-US"/>
        </w:rPr>
        <w:t>36.</w:t>
      </w:r>
    </w:p>
    <w:p w:rsidR="00FB3DB2" w:rsidRPr="00E625E1" w:rsidRDefault="00FE1C99" w:rsidP="00564898">
      <w:pPr>
        <w:pStyle w:val="Paragrafoelenco"/>
        <w:numPr>
          <w:ilvl w:val="0"/>
          <w:numId w:val="10"/>
        </w:numPr>
        <w:spacing w:before="0" w:line="480" w:lineRule="auto"/>
        <w:ind w:left="0"/>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 </w:t>
      </w:r>
      <w:r w:rsidR="00FB3DB2" w:rsidRPr="00E625E1">
        <w:rPr>
          <w:rFonts w:ascii="Times New Roman" w:hAnsi="Times New Roman" w:cs="Times New Roman"/>
          <w:color w:val="000000" w:themeColor="text1"/>
          <w:lang w:val="en-US"/>
        </w:rPr>
        <w:t>Ahmann A (2015)</w:t>
      </w:r>
      <w:r w:rsidRPr="00E625E1">
        <w:rPr>
          <w:rFonts w:ascii="Times New Roman" w:hAnsi="Times New Roman" w:cs="Times New Roman"/>
          <w:color w:val="000000" w:themeColor="text1"/>
          <w:lang w:val="en-US"/>
        </w:rPr>
        <w:t xml:space="preserve"> Combination therapy in type 2 diabetes mellitus: adding empagliflozin to basal insulin. Drugs Cont</w:t>
      </w:r>
      <w:r w:rsidR="00FB3DB2" w:rsidRPr="00E625E1">
        <w:rPr>
          <w:rFonts w:ascii="Times New Roman" w:hAnsi="Times New Roman" w:cs="Times New Roman"/>
          <w:color w:val="000000" w:themeColor="text1"/>
          <w:lang w:val="en-US"/>
        </w:rPr>
        <w:t xml:space="preserve">ext </w:t>
      </w:r>
      <w:r w:rsidRPr="00E625E1">
        <w:rPr>
          <w:rFonts w:ascii="Times New Roman" w:hAnsi="Times New Roman" w:cs="Times New Roman"/>
          <w:color w:val="000000" w:themeColor="text1"/>
          <w:lang w:val="en-US"/>
        </w:rPr>
        <w:t xml:space="preserve">4:212288. </w:t>
      </w:r>
    </w:p>
    <w:p w:rsidR="00FB3DB2" w:rsidRPr="00E625E1" w:rsidRDefault="00FB3DB2"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Ridderstråle M, Andersen KR, Zeller C, Kim G, Woerle HJ, Broedl UC; EMPA-REG H2H-SU trial investigators (2014) Comparison of empagliflozin and glimepiride as add-on to metformin in patients with type 2 diabetes: a 104-week randomised, active-controlled, double-blind, phase 3 trial. Lancet Diabetes Endocrinol 2:691-700. </w:t>
      </w:r>
    </w:p>
    <w:p w:rsidR="00FB3DB2" w:rsidRPr="00E625E1" w:rsidRDefault="00FB3DB2"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Leiter LA, Yoon KH, Arias P, Langslet G, Xie J, Balis DA, Millington D, Vercruysse F, Canovatchel W, Meininger G (2015) Canagliflozin provides durable glycemic improvements and body weight reduction over 104 weeks versus glimepiride in patients with type 2 diabetes on metformin: a randomized, double-blind, phase 3 study. Diabetes Care 38:355-364. </w:t>
      </w:r>
    </w:p>
    <w:p w:rsidR="00C42F84" w:rsidRPr="00E625E1" w:rsidRDefault="00C42F84"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lastRenderedPageBreak/>
        <w:t xml:space="preserve">Del Prato S, Nauck M, Durán-Garcia S, Maffei L, Rohwedder K, Theuerkauf A, Parikh S (2015) Long-term glycaemic response and tolerability of dapagliflozin versus a sulphonylurea as add-on therapy to metformin in patients with type 2 diabetes: 4-year data. Diabetes Obes Metab 17:581-590. </w:t>
      </w:r>
    </w:p>
    <w:p w:rsidR="00C42F84" w:rsidRPr="00E625E1" w:rsidRDefault="002A5BBA"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Merovci A, Mari A, Solis C, Xiong J, Daniele G, Chavez-Velazquez A, Tripathy D, Urban McCarthy S, Abdul-Ghani M, DeFronzo RA</w:t>
      </w:r>
      <w:r w:rsidR="00515485" w:rsidRPr="00E625E1">
        <w:rPr>
          <w:rFonts w:ascii="Times New Roman" w:hAnsi="Times New Roman" w:cs="Times New Roman"/>
          <w:color w:val="000000" w:themeColor="text1"/>
          <w:lang w:val="en-US"/>
        </w:rPr>
        <w:t xml:space="preserve"> (2015)</w:t>
      </w:r>
      <w:r w:rsidRPr="00E625E1">
        <w:rPr>
          <w:rFonts w:ascii="Times New Roman" w:hAnsi="Times New Roman" w:cs="Times New Roman"/>
          <w:color w:val="000000" w:themeColor="text1"/>
          <w:lang w:val="en-US"/>
        </w:rPr>
        <w:t xml:space="preserve"> Dapagliflozin lowers plasma glucose concentration and improves β-cell function</w:t>
      </w:r>
      <w:r w:rsidR="00515485" w:rsidRPr="00E625E1">
        <w:rPr>
          <w:rFonts w:ascii="Times New Roman" w:hAnsi="Times New Roman" w:cs="Times New Roman"/>
          <w:color w:val="000000" w:themeColor="text1"/>
          <w:lang w:val="en-US"/>
        </w:rPr>
        <w:t>. J Clin Endocrinol Metab 100</w:t>
      </w:r>
      <w:r w:rsidRPr="00E625E1">
        <w:rPr>
          <w:rFonts w:ascii="Times New Roman" w:hAnsi="Times New Roman" w:cs="Times New Roman"/>
          <w:color w:val="000000" w:themeColor="text1"/>
          <w:lang w:val="en-US"/>
        </w:rPr>
        <w:t>:1927-</w:t>
      </w:r>
      <w:r w:rsidR="00515485" w:rsidRPr="00E625E1">
        <w:rPr>
          <w:rFonts w:ascii="Times New Roman" w:hAnsi="Times New Roman" w:cs="Times New Roman"/>
          <w:color w:val="000000" w:themeColor="text1"/>
          <w:lang w:val="en-US"/>
        </w:rPr>
        <w:t>19</w:t>
      </w:r>
      <w:r w:rsidRPr="00E625E1">
        <w:rPr>
          <w:rFonts w:ascii="Times New Roman" w:hAnsi="Times New Roman" w:cs="Times New Roman"/>
          <w:color w:val="000000" w:themeColor="text1"/>
          <w:lang w:val="en-US"/>
        </w:rPr>
        <w:t>32.</w:t>
      </w:r>
    </w:p>
    <w:p w:rsidR="002A5BBA" w:rsidRPr="00E625E1" w:rsidRDefault="002A5BBA"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Polidori D, Mari A, Ferrannini E</w:t>
      </w:r>
      <w:r w:rsidR="00515485" w:rsidRPr="00E625E1">
        <w:rPr>
          <w:rFonts w:ascii="Times New Roman" w:hAnsi="Times New Roman" w:cs="Times New Roman"/>
          <w:color w:val="000000" w:themeColor="text1"/>
          <w:lang w:val="en-US"/>
        </w:rPr>
        <w:t xml:space="preserve"> (2014)</w:t>
      </w:r>
      <w:r w:rsidRPr="00E625E1">
        <w:rPr>
          <w:rFonts w:ascii="Times New Roman" w:hAnsi="Times New Roman" w:cs="Times New Roman"/>
          <w:color w:val="000000" w:themeColor="text1"/>
          <w:lang w:val="en-US"/>
        </w:rPr>
        <w:t xml:space="preserve"> Canagliflozin, a sodium glucose</w:t>
      </w:r>
      <w:r w:rsidR="00515485"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co-transporter 2 inhibitor, improves model-based indices of beta cell function in</w:t>
      </w:r>
      <w:r w:rsidR="00515485"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patients wit</w:t>
      </w:r>
      <w:r w:rsidR="00515485" w:rsidRPr="00E625E1">
        <w:rPr>
          <w:rFonts w:ascii="Times New Roman" w:hAnsi="Times New Roman" w:cs="Times New Roman"/>
          <w:color w:val="000000" w:themeColor="text1"/>
          <w:lang w:val="en-US"/>
        </w:rPr>
        <w:t>h type 2 diabetes. Diabetologia</w:t>
      </w:r>
      <w:r w:rsidRPr="00E625E1">
        <w:rPr>
          <w:rFonts w:ascii="Times New Roman" w:hAnsi="Times New Roman" w:cs="Times New Roman"/>
          <w:color w:val="000000" w:themeColor="text1"/>
          <w:lang w:val="en-US"/>
        </w:rPr>
        <w:t xml:space="preserve"> </w:t>
      </w:r>
      <w:r w:rsidR="00515485" w:rsidRPr="00E625E1">
        <w:rPr>
          <w:rFonts w:ascii="Times New Roman" w:hAnsi="Times New Roman" w:cs="Times New Roman"/>
          <w:color w:val="000000" w:themeColor="text1"/>
          <w:lang w:val="en-US"/>
        </w:rPr>
        <w:t>57</w:t>
      </w:r>
      <w:r w:rsidRPr="00E625E1">
        <w:rPr>
          <w:rFonts w:ascii="Times New Roman" w:hAnsi="Times New Roman" w:cs="Times New Roman"/>
          <w:color w:val="000000" w:themeColor="text1"/>
          <w:lang w:val="en-US"/>
        </w:rPr>
        <w:t>:891-901</w:t>
      </w:r>
      <w:r w:rsidR="00515485" w:rsidRPr="00E625E1">
        <w:rPr>
          <w:rFonts w:ascii="Times New Roman" w:hAnsi="Times New Roman" w:cs="Times New Roman"/>
          <w:color w:val="000000" w:themeColor="text1"/>
          <w:lang w:val="en-US"/>
        </w:rPr>
        <w:t>.</w:t>
      </w:r>
    </w:p>
    <w:p w:rsidR="00EA7153" w:rsidRPr="00E625E1" w:rsidRDefault="00515485"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Merovci A, Solis-Herrera C, Daniele G, Eldor R, Fiorentino TV, Tripathy D, Xiong J, Perez Z, Norton L, Abdul-Ghani MA, DeFronzo RA (2014) Dapagliflozin improves muscle insulin sensitivity but enhances endogenous glucose production. J Clin Invest 124:509-514. doi: Erratum in: J Clin Invest 2014;124:2287.</w:t>
      </w:r>
    </w:p>
    <w:p w:rsidR="009D62EC" w:rsidRPr="00E625E1" w:rsidRDefault="00EA7153"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Bailey CJ, Morales Villegas EC, Woo V, Tang W, Ptaszynska A, List JF (2015) Efficacy</w:t>
      </w:r>
      <w:r w:rsidR="00021A29"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and safety of dapagliflo</w:t>
      </w:r>
      <w:r w:rsidR="00021A29" w:rsidRPr="00E625E1">
        <w:rPr>
          <w:rFonts w:ascii="Times New Roman" w:hAnsi="Times New Roman" w:cs="Times New Roman"/>
          <w:color w:val="000000" w:themeColor="text1"/>
          <w:lang w:val="en-US"/>
        </w:rPr>
        <w:t>zin monotherapy in people with t</w:t>
      </w:r>
      <w:r w:rsidRPr="00E625E1">
        <w:rPr>
          <w:rFonts w:ascii="Times New Roman" w:hAnsi="Times New Roman" w:cs="Times New Roman"/>
          <w:color w:val="000000" w:themeColor="text1"/>
          <w:lang w:val="en-US"/>
        </w:rPr>
        <w:t>ype 2 diabetes: a randomized double-blind placebo-controlled 102-week trial. Diabet Med 32:531-541.</w:t>
      </w:r>
    </w:p>
    <w:p w:rsidR="00D25DE4" w:rsidRPr="00E625E1" w:rsidRDefault="009D62EC"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Häring HU, Merker L, Seewaldt-Becker E, Weimer M, Meinicke T, Broedl UC, Woerle HJ; EMPA-REG MET Trial Investigators (2014) Empagliflozin as add-on to metformin in patients with type 2 diabetes: a 24-week, randomized, double-blind, placebo-controlled trial. Diabetes Care 37:1650-1659.</w:t>
      </w:r>
    </w:p>
    <w:p w:rsidR="0032118C" w:rsidRPr="00E625E1" w:rsidRDefault="00D25DE4"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Strojek K, Yoon KH, Hruba V, Sugg J, Langkilde AM, Parikh S (2014) Dapagliflozin added to glimepiride in patients with type 2 diabetes mellitus sustains glycemic  control and weight loss over 48 weeks: a randomized, double-blind, parallel-group, placebo-controlled trial. Diabetes Ther 5:267-283.</w:t>
      </w:r>
    </w:p>
    <w:p w:rsidR="00C66FD8" w:rsidRPr="00E625E1" w:rsidRDefault="0032118C"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Kovacs CS, Seshiah V, Swallow R, Jones R, Rattunde H, Woerle HJ, Broedl UC; EMPA-REG PIO™ trial investigators (2014) Empagliflozin improves glycaemic and weight control as add-on therapy to pioglitazone or pioglitazone plus metformin in patients with type 2 diabetes: a 24-week, randomized, placebo-controlled trial. Diabetes Obes Metab 16:147-158. </w:t>
      </w:r>
    </w:p>
    <w:p w:rsidR="00C66FD8" w:rsidRPr="00E625E1" w:rsidRDefault="00C66FD8"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Sjöström CD, Hashemi M, Sugg J, Ptaszynska A, Johnsson E (2015) Dapagliflozin-induced weight loss affects 24-week glycated haemoglobin and blood  pressure levels. Diabetes Obes Metab 17:809-812. </w:t>
      </w:r>
    </w:p>
    <w:p w:rsidR="00515485" w:rsidRPr="00E625E1" w:rsidRDefault="00077B84"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Yang XP, Lai D, Zhong XY, Shen HP, Huang YL (2014) Efficacy and safety of canagliflozin in subjects with type 2 diabetes: systematic review and meta-analysis. Eur J Clin Pharmacol 70:1149-1158.</w:t>
      </w:r>
    </w:p>
    <w:p w:rsidR="004E467D" w:rsidRPr="00E625E1" w:rsidRDefault="004E467D"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lastRenderedPageBreak/>
        <w:t xml:space="preserve">Rosenstock J, Jelaska A, Frappin G, Salsali A, Kim G, Woerle HJ, Broedl UC; EMPA-REG MDI Trial Investigators (2014) Improved glucose control with weight loss, lower insulin doses, and no increased hypoglycemia with empagliflozin added to titrated multiple daily injections of insulin in obese inadequately controlled type 2 diabetes. Diabetes Care 37:1815-1823. </w:t>
      </w:r>
    </w:p>
    <w:p w:rsidR="004E467D" w:rsidRPr="00E625E1" w:rsidRDefault="00BB7520"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Bolinder J, Ljunggren Ö, Kullberg J, Johansson L, Wilding J, Langkilde AM, Sugg J, Parikh S (2012) Effects of dapagliflozin on body weight, total fat mass, and regional adipose tissue distribution in patients with type 2 diabetes mellitus with inadequate glycemic control on metformin. J Clin Endocrinol Metab 97:1020-1031. </w:t>
      </w:r>
    </w:p>
    <w:p w:rsidR="00671E4F" w:rsidRPr="00E625E1" w:rsidRDefault="006E05E5"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Ferrannini G, Hach T, Crowe S, Sanghvi A, Hall </w:t>
      </w:r>
      <w:r w:rsidR="00021A29" w:rsidRPr="00E625E1">
        <w:rPr>
          <w:rFonts w:ascii="Times New Roman" w:hAnsi="Times New Roman" w:cs="Times New Roman"/>
          <w:color w:val="000000" w:themeColor="text1"/>
          <w:lang w:val="en-US"/>
        </w:rPr>
        <w:t>KD, Ferrannini E (2015) Energy balance after sodium-glucose cotransporter 2 i</w:t>
      </w:r>
      <w:r w:rsidRPr="00E625E1">
        <w:rPr>
          <w:rFonts w:ascii="Times New Roman" w:hAnsi="Times New Roman" w:cs="Times New Roman"/>
          <w:color w:val="000000" w:themeColor="text1"/>
          <w:lang w:val="en-US"/>
        </w:rPr>
        <w:t>nhibition. Diabetes Care 38:1730-1735.</w:t>
      </w:r>
    </w:p>
    <w:p w:rsidR="00671E4F" w:rsidRPr="00E625E1" w:rsidRDefault="00671E4F"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Cefalu WT, Stenlöf K, Leiter LA, Wilding JP, Blonde L, Polidori D, Xie J, Sullivan D, Usiskin K, Canovatchel W, Meininger G (2015) Effects of canagliflozin on body weight and relationship to HbA1c and blood pressure changes in patients with type 2 diabetes. Diabetologia 58:1183-1187.</w:t>
      </w:r>
    </w:p>
    <w:p w:rsidR="0030442C" w:rsidRPr="00E625E1" w:rsidRDefault="00671E4F"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Sjöström CD, Johansson P, Ptaszynska A, List J, Johnsson E (2015) Dapagliflozin lowers blood pressure in hypertensive and non-hypertensive patients with type 2 diabetes. Diab Vasc Dis Res 12:352-358.</w:t>
      </w:r>
    </w:p>
    <w:p w:rsidR="00070546" w:rsidRPr="00E625E1" w:rsidRDefault="0030442C"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eastAsia="Times New Roman" w:hAnsi="Times New Roman" w:cs="Times New Roman"/>
          <w:color w:val="000000" w:themeColor="text1"/>
          <w:lang w:val="en-US" w:eastAsia="it-IT"/>
        </w:rPr>
        <w:t>Cherney DZI, Perkins BA, Soleymanlou N, Maione M, Lai V, Lee A, Fagan NM, Woerle HJ, Johansen OE, Broedl UC, von Eynatten M (2014) Renal hemodynamic effect of sodium-glucose cotransporter 2 inhibition in patients with type 1</w:t>
      </w:r>
      <w:r w:rsidR="00671E4F" w:rsidRPr="00E625E1">
        <w:rPr>
          <w:rFonts w:ascii="Times New Roman" w:eastAsia="Times New Roman" w:hAnsi="Times New Roman" w:cs="Times New Roman"/>
          <w:color w:val="000000" w:themeColor="text1"/>
          <w:lang w:val="en-US" w:eastAsia="it-IT"/>
        </w:rPr>
        <w:t xml:space="preserve"> diabetes mellitus. Circulation </w:t>
      </w:r>
      <w:r w:rsidRPr="00E625E1">
        <w:rPr>
          <w:rFonts w:ascii="Times New Roman" w:eastAsia="Times New Roman" w:hAnsi="Times New Roman" w:cs="Times New Roman"/>
          <w:color w:val="000000" w:themeColor="text1"/>
          <w:lang w:val="en-US" w:eastAsia="it-IT"/>
        </w:rPr>
        <w:t>129:587-597.</w:t>
      </w:r>
    </w:p>
    <w:p w:rsidR="00A8447D" w:rsidRPr="00E625E1" w:rsidRDefault="00070546"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Tikkanen I, Narko K, Zeller C, Green A, Salsali A, Broedl UC, Woerle HJ; EMPA-REG BP Investigators (2015) Empagliflozin reduces blood pressure in patients with  type 2 diabetes and hypertension. Diabetes Care 38:420-428. </w:t>
      </w:r>
    </w:p>
    <w:p w:rsidR="00A8447D" w:rsidRPr="00E625E1" w:rsidRDefault="00A8447D"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Townsend RR, Machin I, Ren J, Trujillo A, Kawaguchi M, Vijapurkar U, Damaraju CV, Pfeifer M (2015) Reductions in mean 24-hour ambulatory blood pressure after 6-week treatment with canagliflozin in patients with type 2 diabetes mellitus and hypertension. J Clin Hypertens (Greenwich) Dec 10. doi: 10.1111/jch.12747. [Epub ahead of print] PubMed PMID: 26663712.</w:t>
      </w:r>
    </w:p>
    <w:p w:rsidR="00E5625E" w:rsidRPr="00E625E1" w:rsidRDefault="00762974"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Baker WL, Smyth LR, Riche DM, Bourret EM, Chamberlin KW, WhiteWB (2014) Effects of sodium-glucose co-transporter 2 inhibitors on blood pressure: a systematic review and meta-analysis. J Am Soc Hypertens 8:262-275 e9.</w:t>
      </w:r>
    </w:p>
    <w:p w:rsidR="004D7BD0" w:rsidRPr="00E625E1" w:rsidRDefault="00E5625E"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lastRenderedPageBreak/>
        <w:t>Matthaei S, Bowering K, Rohwedder K, Sugg J, Parikh S, Johnsson E; Study 05 Group (2015) Durability and tolerability of dapagliflozin over 52 weeks as add-on to metformin and sulphonylurea in type 2 diabetes. Diabetes Obes Metab 17:1075-1084.</w:t>
      </w:r>
    </w:p>
    <w:p w:rsidR="0054596C" w:rsidRPr="00E625E1" w:rsidRDefault="004D7BD0"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Stenlöf K, Cefalu WT, Kim KA, Jodar E, Alba M, Edwards R, Tong C, Canovatchel  W, Meininger G (2014) Long-term efficacy and safety of canagliflozin monotherapy in patients with type 2 diabetes inadequately controlled with diet and exercise: findings from the 52-week CANTATA-M study. Curr Med Res Opin 30:163-175.</w:t>
      </w:r>
    </w:p>
    <w:p w:rsidR="003C0B03" w:rsidRPr="00E625E1" w:rsidRDefault="0054596C"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Inagaki N, Goda M, Yokota S, Maruyama N, Iijima H (2015) Effects of baseline blood pressure and low-density lipoprotein cholesterol on safety and efficacy of canagliflozin in Japanese patients with type 2 diabetes mellitus. Adv Ther 32:1085-1103. </w:t>
      </w:r>
    </w:p>
    <w:p w:rsidR="004D7BD0" w:rsidRPr="00E625E1" w:rsidRDefault="003C0B03"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Zhao G, Huang L, Song M, Song Y (2013) Baseline serum uric acid level as a predictor of cardiovascular disease related mortality and all-cause mortality: a meta-analysis of prospective studies. Atherosclerosis 23:61-68.</w:t>
      </w:r>
    </w:p>
    <w:p w:rsidR="004D7BD0" w:rsidRPr="00E625E1" w:rsidRDefault="004D7BD0"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Chino Y, Samukawa Y, Sakai S, Nakai Y, Yamaguchi J, Nakanishi T, Tamai I (2014) SGLT2 inhibitor lowers serum uric acid through alteration of uric acid transport activity in renal tubule by increased glycosuria. Biopharm Drug Dispos 35:391-404.</w:t>
      </w:r>
    </w:p>
    <w:p w:rsidR="004D7BD0" w:rsidRPr="00E625E1" w:rsidRDefault="00043864"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Goring S, Hawkins N, Wygant G, Roudaut M, Townsend R, Wood I, Barnett AH (2014) Dapagliflozin compared with other oral anti-diabetes treatments when added to metformin monotherapy: a systematic review and network meta-analysis. Diabetes Obes Metab 16:433-442.</w:t>
      </w:r>
    </w:p>
    <w:p w:rsidR="00515485" w:rsidRPr="00E625E1" w:rsidRDefault="00C66FD8"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GB"/>
        </w:rPr>
        <w:t>Liakos A, Karagiannis T, Athanasiadou E, Sarigianni M, Mainou M, Papatheodorou K, Bekiari E, Tsapas A</w:t>
      </w:r>
      <w:r w:rsidR="00043864" w:rsidRPr="00E625E1">
        <w:rPr>
          <w:rFonts w:ascii="Times New Roman" w:hAnsi="Times New Roman" w:cs="Times New Roman"/>
          <w:color w:val="000000" w:themeColor="text1"/>
          <w:lang w:val="en-GB"/>
        </w:rPr>
        <w:t xml:space="preserve"> (2014)</w:t>
      </w:r>
      <w:r w:rsidRPr="00E625E1">
        <w:rPr>
          <w:rFonts w:ascii="Times New Roman" w:hAnsi="Times New Roman" w:cs="Times New Roman"/>
          <w:color w:val="000000" w:themeColor="text1"/>
          <w:lang w:val="en-GB"/>
        </w:rPr>
        <w:t xml:space="preserve"> </w:t>
      </w:r>
      <w:r w:rsidRPr="00E625E1">
        <w:rPr>
          <w:rFonts w:ascii="Times New Roman" w:hAnsi="Times New Roman" w:cs="Times New Roman"/>
          <w:color w:val="000000" w:themeColor="text1"/>
          <w:lang w:val="en-US"/>
        </w:rPr>
        <w:t>Efficacy and safety of empagliflozin for type 2 diabetes: a systematic review and met</w:t>
      </w:r>
      <w:r w:rsidR="00043864" w:rsidRPr="00E625E1">
        <w:rPr>
          <w:rFonts w:ascii="Times New Roman" w:hAnsi="Times New Roman" w:cs="Times New Roman"/>
          <w:color w:val="000000" w:themeColor="text1"/>
          <w:lang w:val="en-US"/>
        </w:rPr>
        <w:t>a-analysis. Diabetes Obes Metab 16</w:t>
      </w:r>
      <w:r w:rsidRPr="00E625E1">
        <w:rPr>
          <w:rFonts w:ascii="Times New Roman" w:hAnsi="Times New Roman" w:cs="Times New Roman"/>
          <w:color w:val="000000" w:themeColor="text1"/>
          <w:lang w:val="en-US"/>
        </w:rPr>
        <w:t>:984-</w:t>
      </w:r>
      <w:r w:rsidR="00043864" w:rsidRPr="00E625E1">
        <w:rPr>
          <w:rFonts w:ascii="Times New Roman" w:hAnsi="Times New Roman" w:cs="Times New Roman"/>
          <w:color w:val="000000" w:themeColor="text1"/>
          <w:lang w:val="en-US"/>
        </w:rPr>
        <w:t>9</w:t>
      </w:r>
      <w:r w:rsidRPr="00E625E1">
        <w:rPr>
          <w:rFonts w:ascii="Times New Roman" w:hAnsi="Times New Roman" w:cs="Times New Roman"/>
          <w:color w:val="000000" w:themeColor="text1"/>
          <w:lang w:val="en-US"/>
        </w:rPr>
        <w:t>93.</w:t>
      </w:r>
    </w:p>
    <w:p w:rsidR="00DC73F8" w:rsidRPr="00E625E1" w:rsidRDefault="00DC73F8"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Sinclair A, Bode B, Harris S, Vijapurkar U, Mayer C, Fung A, Shaw W, Usiskin K, Desai M, Meininger G (2014) Efficacy and safety of canagliflozin compared with placebo in older patients with type 2 diabetes mellitus: a pooled analysis of clinical studies. BMC Endocr Disord 14:37.</w:t>
      </w:r>
    </w:p>
    <w:p w:rsidR="0004013F" w:rsidRPr="00E625E1" w:rsidRDefault="0004013F"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bCs/>
          <w:color w:val="000000" w:themeColor="text1"/>
          <w:kern w:val="36"/>
          <w:lang w:val="en-US"/>
        </w:rPr>
        <w:t>Lambers Heerspink HJ, de Zeeuw D, Wie L, Leslie B, List J (2013) Dapagliflozin a glucose-regulating drug with diuretic properties in subjects with type 2 diabetes. Diabetes Obes Metab 15: 853-862.</w:t>
      </w:r>
    </w:p>
    <w:p w:rsidR="0004013F" w:rsidRPr="00E625E1" w:rsidRDefault="0004013F"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lastRenderedPageBreak/>
        <w:t>Rosenstock J, Ferrannini E (2015) Euglycemic diabetic ketoacidosis: a predictable, detectable, and preventable safety concern with SGLT2 inhibitors. Diabetes Care 38:1638-1642.</w:t>
      </w:r>
    </w:p>
    <w:p w:rsidR="00A5003B" w:rsidRPr="00E625E1" w:rsidRDefault="00A5003B"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Taylor SI, Blau JE, Rother KI (2015) Possible adverse effects of SGLT2 inhibitors on bone. Lancet Diabetes Endocrinol 3:8-10. </w:t>
      </w:r>
    </w:p>
    <w:p w:rsidR="007C768D" w:rsidRPr="00E625E1" w:rsidRDefault="00A5003B"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Quarles LD (2012) Skeletal secretion of FGF-23 regulates phosphate and vitamin D metabolism. Nat Rev Endocrinol 8:276-286. </w:t>
      </w:r>
    </w:p>
    <w:p w:rsidR="007C768D" w:rsidRPr="00E625E1" w:rsidRDefault="007C768D"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Watts NB, Bilezikian JP, Usiskin K, Edwards R, Desai M, Law G, Meininger G (2016) Effects of canagliflozin on fracture risk in patients with type 2 diabetes mellitus. J Clin Endocrinol Metab 101:157-166. </w:t>
      </w:r>
    </w:p>
    <w:p w:rsidR="005C25F4" w:rsidRPr="00E625E1" w:rsidRDefault="00A5003B"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Grandy S, Sternhufvud C, Ryden A</w:t>
      </w:r>
      <w:r w:rsidR="00C84B0A" w:rsidRPr="00E625E1">
        <w:rPr>
          <w:rFonts w:ascii="Times New Roman" w:hAnsi="Times New Roman" w:cs="Times New Roman"/>
          <w:color w:val="000000" w:themeColor="text1"/>
          <w:lang w:val="en-US"/>
        </w:rPr>
        <w:t>, Sugg J, Rohwedder K (2015)</w:t>
      </w:r>
      <w:r w:rsidRPr="00E625E1">
        <w:rPr>
          <w:rFonts w:ascii="Times New Roman" w:hAnsi="Times New Roman" w:cs="Times New Roman"/>
          <w:color w:val="000000" w:themeColor="text1"/>
          <w:lang w:val="en-US"/>
        </w:rPr>
        <w:t xml:space="preserve"> Patient-reported</w:t>
      </w:r>
      <w:r w:rsidR="00C84B0A"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outcomes among type 2 diabetes mellitus patients treated with d</w:t>
      </w:r>
      <w:r w:rsidR="00C84B0A" w:rsidRPr="00E625E1">
        <w:rPr>
          <w:rFonts w:ascii="Times New Roman" w:hAnsi="Times New Roman" w:cs="Times New Roman"/>
          <w:color w:val="000000" w:themeColor="text1"/>
          <w:lang w:val="en-US"/>
        </w:rPr>
        <w:t xml:space="preserve">apagliflozin in </w:t>
      </w:r>
      <w:r w:rsidRPr="00E625E1">
        <w:rPr>
          <w:rFonts w:ascii="Times New Roman" w:hAnsi="Times New Roman" w:cs="Times New Roman"/>
          <w:color w:val="000000" w:themeColor="text1"/>
          <w:lang w:val="en-US"/>
        </w:rPr>
        <w:t>triple therapy regimen for 52 w</w:t>
      </w:r>
      <w:r w:rsidR="00C84B0A" w:rsidRPr="00E625E1">
        <w:rPr>
          <w:rFonts w:ascii="Times New Roman" w:hAnsi="Times New Roman" w:cs="Times New Roman"/>
          <w:color w:val="000000" w:themeColor="text1"/>
          <w:lang w:val="en-US"/>
        </w:rPr>
        <w:t xml:space="preserve">eeks. Diabetes Obes Metab Nov 5. doi: </w:t>
      </w:r>
      <w:r w:rsidRPr="00E625E1">
        <w:rPr>
          <w:rFonts w:ascii="Times New Roman" w:hAnsi="Times New Roman" w:cs="Times New Roman"/>
          <w:color w:val="000000" w:themeColor="text1"/>
          <w:lang w:val="en-US"/>
        </w:rPr>
        <w:t>10.1111/dom.12604. [Epub ahead of print] PubMed PMID: 26537439.</w:t>
      </w:r>
    </w:p>
    <w:p w:rsidR="005C25F4" w:rsidRPr="00E625E1" w:rsidRDefault="00021A29"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Lin HW, Tseng CH (2014) A review on the r</w:t>
      </w:r>
      <w:r w:rsidR="005C25F4" w:rsidRPr="00E625E1">
        <w:rPr>
          <w:rFonts w:ascii="Times New Roman" w:hAnsi="Times New Roman" w:cs="Times New Roman"/>
          <w:color w:val="000000" w:themeColor="text1"/>
          <w:lang w:val="en-US"/>
        </w:rPr>
        <w:t>elationship between SGLT2 inhibitors and cancer. Int J Endocrinol 2014:719578.</w:t>
      </w:r>
    </w:p>
    <w:p w:rsidR="00165781" w:rsidRPr="00E625E1" w:rsidRDefault="00165781" w:rsidP="00564898">
      <w:pPr>
        <w:pStyle w:val="Paragrafoelenco"/>
        <w:numPr>
          <w:ilvl w:val="0"/>
          <w:numId w:val="10"/>
        </w:numPr>
        <w:spacing w:before="0" w:line="480" w:lineRule="auto"/>
        <w:ind w:left="0" w:hanging="357"/>
        <w:rPr>
          <w:rStyle w:val="element-citation"/>
          <w:rFonts w:ascii="Times New Roman" w:hAnsi="Times New Roman" w:cs="Times New Roman"/>
          <w:color w:val="000000" w:themeColor="text1"/>
          <w:lang w:val="en-US"/>
        </w:rPr>
      </w:pPr>
      <w:r w:rsidRPr="00E625E1">
        <w:rPr>
          <w:rStyle w:val="element-citation"/>
          <w:rFonts w:ascii="Times New Roman" w:hAnsi="Times New Roman" w:cs="Times New Roman"/>
          <w:color w:val="000000" w:themeColor="text1"/>
          <w:lang w:val="en"/>
        </w:rPr>
        <w:t xml:space="preserve">Leiter LA, Cefalu WT, de Bruin TW, Gause-Nilsson I, Sugg J, Parikh SJ (2014) Dapagliflozin added to usual care in individuals with type 2 diabetes mellitus with preexisting cardiovascular disease: a 24-week, multicenter, randomized, double-blind, placebo-controlled study with a 28-week extension. </w:t>
      </w:r>
      <w:r w:rsidRPr="00E625E1">
        <w:rPr>
          <w:rStyle w:val="ref-journal"/>
          <w:rFonts w:ascii="Times New Roman" w:hAnsi="Times New Roman" w:cs="Times New Roman"/>
          <w:color w:val="000000" w:themeColor="text1"/>
          <w:lang w:val="en"/>
        </w:rPr>
        <w:t xml:space="preserve">J Am Geriatr Soc </w:t>
      </w:r>
      <w:r w:rsidRPr="00E625E1">
        <w:rPr>
          <w:rStyle w:val="ref-vol"/>
          <w:rFonts w:ascii="Times New Roman" w:hAnsi="Times New Roman" w:cs="Times New Roman"/>
          <w:color w:val="000000" w:themeColor="text1"/>
          <w:lang w:val="en"/>
        </w:rPr>
        <w:t>62</w:t>
      </w:r>
      <w:r w:rsidRPr="00E625E1">
        <w:rPr>
          <w:rStyle w:val="element-citation"/>
          <w:rFonts w:ascii="Times New Roman" w:hAnsi="Times New Roman" w:cs="Times New Roman"/>
          <w:color w:val="000000" w:themeColor="text1"/>
          <w:lang w:val="en"/>
        </w:rPr>
        <w:t>:1252-1262.</w:t>
      </w:r>
    </w:p>
    <w:p w:rsidR="0054327C" w:rsidRPr="00E625E1" w:rsidRDefault="005C25F4" w:rsidP="00564898">
      <w:pPr>
        <w:pStyle w:val="Paragrafoelenco"/>
        <w:numPr>
          <w:ilvl w:val="0"/>
          <w:numId w:val="10"/>
        </w:numPr>
        <w:spacing w:before="0" w:line="480" w:lineRule="auto"/>
        <w:ind w:left="0" w:hanging="357"/>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Zinman B, Wanner C, Lachin JM, Fitchett D, Bluhmki E, Hantel S, Mattheus M,</w:t>
      </w:r>
      <w:r w:rsidR="00C156A2"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Devins T, Johansen OE, Woerle HJ, Broedl UC, Inzucchi SE; EMPA-REG OUTCOME</w:t>
      </w:r>
      <w:r w:rsidR="00C156A2"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Investigators (2015) Empagliflozin, cardiovascular outcomes, and mortality in type 2</w:t>
      </w:r>
      <w:r w:rsidR="00C156A2"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diabetes. N Engl J Med 373:2117-2128.</w:t>
      </w:r>
    </w:p>
    <w:p w:rsidR="004D4307" w:rsidRPr="00E625E1" w:rsidRDefault="001F46EF" w:rsidP="00564898">
      <w:pPr>
        <w:spacing w:after="0" w:line="480" w:lineRule="auto"/>
        <w:ind w:left="-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6</w:t>
      </w:r>
      <w:r w:rsidR="00963A47" w:rsidRPr="00E625E1">
        <w:rPr>
          <w:rFonts w:ascii="Times New Roman" w:hAnsi="Times New Roman" w:cs="Times New Roman"/>
          <w:color w:val="000000" w:themeColor="text1"/>
          <w:lang w:val="en-US"/>
        </w:rPr>
        <w:t>6</w:t>
      </w:r>
      <w:r w:rsidRPr="00E625E1">
        <w:rPr>
          <w:rFonts w:ascii="Times New Roman" w:hAnsi="Times New Roman" w:cs="Times New Roman"/>
          <w:color w:val="000000" w:themeColor="text1"/>
          <w:lang w:val="en-US"/>
        </w:rPr>
        <w:t>.</w:t>
      </w:r>
      <w:r w:rsidR="004D4307" w:rsidRPr="00E625E1">
        <w:rPr>
          <w:rFonts w:ascii="Times New Roman" w:hAnsi="Times New Roman" w:cs="Times New Roman"/>
          <w:color w:val="000000" w:themeColor="text1"/>
          <w:lang w:val="en-US"/>
        </w:rPr>
        <w:t xml:space="preserve"> Ferrannini E, Veltkamp SA, Smulders RA, Kadokura T (2013) Renal glucose handling:</w:t>
      </w:r>
      <w:r w:rsidR="00C156A2" w:rsidRPr="00E625E1">
        <w:rPr>
          <w:rFonts w:ascii="Times New Roman" w:hAnsi="Times New Roman" w:cs="Times New Roman"/>
          <w:color w:val="000000" w:themeColor="text1"/>
          <w:lang w:val="en-US"/>
        </w:rPr>
        <w:t xml:space="preserve"> impact of chronic </w:t>
      </w:r>
    </w:p>
    <w:p w:rsidR="004D4307" w:rsidRPr="00E625E1" w:rsidRDefault="004D4307" w:rsidP="00C156A2">
      <w:pPr>
        <w:spacing w:after="0" w:line="480" w:lineRule="auto"/>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kidney disease and sodium-glucose cotransporter 2 inhibition in</w:t>
      </w:r>
      <w:r w:rsidR="00C156A2" w:rsidRPr="00E625E1">
        <w:rPr>
          <w:rFonts w:ascii="Times New Roman" w:hAnsi="Times New Roman" w:cs="Times New Roman"/>
          <w:color w:val="000000" w:themeColor="text1"/>
          <w:lang w:val="en-US"/>
        </w:rPr>
        <w:t xml:space="preserve"> patients with type 2 diabetes.</w:t>
      </w:r>
    </w:p>
    <w:p w:rsidR="002425C5" w:rsidRPr="00E625E1" w:rsidRDefault="004D4307" w:rsidP="00C156A2">
      <w:pPr>
        <w:spacing w:after="0" w:line="480" w:lineRule="auto"/>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Diabetes Care 36:1260-1265.</w:t>
      </w:r>
    </w:p>
    <w:p w:rsidR="002425C5" w:rsidRPr="00E625E1" w:rsidRDefault="002425C5" w:rsidP="00564898">
      <w:pPr>
        <w:spacing w:after="0" w:line="480" w:lineRule="auto"/>
        <w:ind w:left="-284"/>
        <w:rPr>
          <w:rFonts w:ascii="Times New Roman" w:eastAsia="Times New Roman" w:hAnsi="Times New Roman" w:cs="Times New Roman"/>
          <w:color w:val="000000" w:themeColor="text1"/>
          <w:lang w:val="en-US" w:eastAsia="it-IT"/>
        </w:rPr>
      </w:pPr>
      <w:r w:rsidRPr="00E625E1">
        <w:rPr>
          <w:rFonts w:ascii="Times New Roman" w:hAnsi="Times New Roman" w:cs="Times New Roman"/>
          <w:color w:val="000000" w:themeColor="text1"/>
          <w:lang w:val="en-US"/>
        </w:rPr>
        <w:t>6</w:t>
      </w:r>
      <w:r w:rsidR="00963A47" w:rsidRPr="00E625E1">
        <w:rPr>
          <w:rFonts w:ascii="Times New Roman" w:hAnsi="Times New Roman" w:cs="Times New Roman"/>
          <w:color w:val="000000" w:themeColor="text1"/>
          <w:lang w:val="en-US"/>
        </w:rPr>
        <w:t>7</w:t>
      </w:r>
      <w:r w:rsidRPr="00E625E1">
        <w:rPr>
          <w:rFonts w:ascii="Times New Roman" w:hAnsi="Times New Roman" w:cs="Times New Roman"/>
          <w:color w:val="000000" w:themeColor="text1"/>
          <w:lang w:val="en-US"/>
        </w:rPr>
        <w:t xml:space="preserve">  </w:t>
      </w:r>
      <w:r w:rsidRPr="00E625E1">
        <w:rPr>
          <w:rFonts w:ascii="Times New Roman" w:eastAsia="Times New Roman" w:hAnsi="Times New Roman" w:cs="Times New Roman"/>
          <w:color w:val="000000" w:themeColor="text1"/>
          <w:lang w:val="en-US" w:eastAsia="it-IT"/>
        </w:rPr>
        <w:t xml:space="preserve">Barnett AH, Mithal A, Manassie J, </w:t>
      </w:r>
      <w:r w:rsidR="00627276" w:rsidRPr="00E625E1">
        <w:rPr>
          <w:rFonts w:ascii="Times New Roman" w:eastAsia="Times New Roman" w:hAnsi="Times New Roman" w:cs="Times New Roman"/>
          <w:color w:val="000000" w:themeColor="text1"/>
          <w:lang w:val="en-US" w:eastAsia="it-IT"/>
        </w:rPr>
        <w:t>J</w:t>
      </w:r>
      <w:r w:rsidRPr="00E625E1">
        <w:rPr>
          <w:rFonts w:ascii="Times New Roman" w:eastAsia="Times New Roman" w:hAnsi="Times New Roman" w:cs="Times New Roman"/>
          <w:color w:val="000000" w:themeColor="text1"/>
          <w:lang w:val="en-US" w:eastAsia="it-IT"/>
        </w:rPr>
        <w:t xml:space="preserve">ones R, Rattunde H, Woerle HJ, Broedl UC; EMPA-REG  </w:t>
      </w:r>
    </w:p>
    <w:p w:rsidR="002425C5" w:rsidRPr="00E625E1" w:rsidRDefault="002425C5" w:rsidP="00564898">
      <w:pPr>
        <w:spacing w:after="0" w:line="480" w:lineRule="auto"/>
        <w:ind w:left="-284"/>
        <w:rPr>
          <w:rFonts w:ascii="Times New Roman" w:eastAsia="Times New Roman" w:hAnsi="Times New Roman" w:cs="Times New Roman"/>
          <w:color w:val="000000" w:themeColor="text1"/>
          <w:lang w:val="en-US" w:eastAsia="it-IT"/>
        </w:rPr>
      </w:pPr>
      <w:r w:rsidRPr="00E625E1">
        <w:rPr>
          <w:rFonts w:ascii="Times New Roman" w:eastAsia="Times New Roman" w:hAnsi="Times New Roman" w:cs="Times New Roman"/>
          <w:color w:val="000000" w:themeColor="text1"/>
          <w:lang w:val="en-US" w:eastAsia="it-IT"/>
        </w:rPr>
        <w:t xml:space="preserve">      RENAL trial investigators (2014) Efficacy and safety of empagliflozin added to existing </w:t>
      </w:r>
    </w:p>
    <w:p w:rsidR="002425C5" w:rsidRPr="00E625E1" w:rsidRDefault="002425C5" w:rsidP="00564898">
      <w:pPr>
        <w:spacing w:after="0" w:line="480" w:lineRule="auto"/>
        <w:ind w:left="-284"/>
        <w:rPr>
          <w:rFonts w:ascii="Times New Roman" w:eastAsia="Times New Roman" w:hAnsi="Times New Roman" w:cs="Times New Roman"/>
          <w:color w:val="000000" w:themeColor="text1"/>
          <w:lang w:val="en-US" w:eastAsia="it-IT"/>
        </w:rPr>
      </w:pPr>
      <w:r w:rsidRPr="00E625E1">
        <w:rPr>
          <w:rFonts w:ascii="Times New Roman" w:eastAsia="Times New Roman" w:hAnsi="Times New Roman" w:cs="Times New Roman"/>
          <w:color w:val="000000" w:themeColor="text1"/>
          <w:lang w:val="en-US" w:eastAsia="it-IT"/>
        </w:rPr>
        <w:t xml:space="preserve">   </w:t>
      </w:r>
      <w:r w:rsidR="00EB0204" w:rsidRPr="00E625E1">
        <w:rPr>
          <w:rFonts w:ascii="Times New Roman" w:eastAsia="Times New Roman" w:hAnsi="Times New Roman" w:cs="Times New Roman"/>
          <w:color w:val="000000" w:themeColor="text1"/>
          <w:lang w:val="en-US" w:eastAsia="it-IT"/>
        </w:rPr>
        <w:t xml:space="preserve">  </w:t>
      </w:r>
      <w:r w:rsidRPr="00E625E1">
        <w:rPr>
          <w:rFonts w:ascii="Times New Roman" w:eastAsia="Times New Roman" w:hAnsi="Times New Roman" w:cs="Times New Roman"/>
          <w:color w:val="000000" w:themeColor="text1"/>
          <w:lang w:val="en-US" w:eastAsia="it-IT"/>
        </w:rPr>
        <w:t xml:space="preserve"> antidiabetes treatment in patients with type 2 diabetes and chronic kidney disease: a randomised,  </w:t>
      </w:r>
    </w:p>
    <w:p w:rsidR="002425C5" w:rsidRPr="00E625E1" w:rsidRDefault="002425C5" w:rsidP="00564898">
      <w:pPr>
        <w:spacing w:after="0" w:line="480" w:lineRule="auto"/>
        <w:ind w:left="-284"/>
        <w:rPr>
          <w:rFonts w:ascii="Times New Roman" w:eastAsia="Times New Roman" w:hAnsi="Times New Roman" w:cs="Times New Roman"/>
          <w:color w:val="000000" w:themeColor="text1"/>
          <w:lang w:val="en-US" w:eastAsia="it-IT"/>
        </w:rPr>
      </w:pPr>
      <w:r w:rsidRPr="00E625E1">
        <w:rPr>
          <w:rFonts w:ascii="Times New Roman" w:eastAsia="Times New Roman" w:hAnsi="Times New Roman" w:cs="Times New Roman"/>
          <w:color w:val="000000" w:themeColor="text1"/>
          <w:lang w:val="en-US" w:eastAsia="it-IT"/>
        </w:rPr>
        <w:t xml:space="preserve">    </w:t>
      </w:r>
      <w:r w:rsidR="00EB0204" w:rsidRPr="00E625E1">
        <w:rPr>
          <w:rFonts w:ascii="Times New Roman" w:eastAsia="Times New Roman" w:hAnsi="Times New Roman" w:cs="Times New Roman"/>
          <w:color w:val="000000" w:themeColor="text1"/>
          <w:lang w:val="en-US" w:eastAsia="it-IT"/>
        </w:rPr>
        <w:t xml:space="preserve">  </w:t>
      </w:r>
      <w:r w:rsidRPr="00E625E1">
        <w:rPr>
          <w:rFonts w:ascii="Times New Roman" w:eastAsia="Times New Roman" w:hAnsi="Times New Roman" w:cs="Times New Roman"/>
          <w:color w:val="000000" w:themeColor="text1"/>
          <w:lang w:val="en-US" w:eastAsia="it-IT"/>
        </w:rPr>
        <w:t>double-blind, placebo-controlled trial. Lancet Diabetes Endocrinol 2:369-384.</w:t>
      </w:r>
    </w:p>
    <w:p w:rsidR="00EB0204" w:rsidRPr="00E625E1" w:rsidRDefault="0054327C" w:rsidP="00564898">
      <w:pPr>
        <w:spacing w:after="0" w:line="480" w:lineRule="auto"/>
        <w:ind w:left="-284"/>
        <w:rPr>
          <w:rFonts w:ascii="Times New Roman" w:hAnsi="Times New Roman" w:cs="Times New Roman"/>
          <w:color w:val="000000" w:themeColor="text1"/>
        </w:rPr>
      </w:pPr>
      <w:r w:rsidRPr="00E625E1">
        <w:rPr>
          <w:rFonts w:ascii="Times New Roman" w:eastAsia="Times New Roman" w:hAnsi="Times New Roman" w:cs="Times New Roman"/>
          <w:color w:val="000000" w:themeColor="text1"/>
          <w:lang w:val="en-US" w:eastAsia="it-IT"/>
        </w:rPr>
        <w:t>6</w:t>
      </w:r>
      <w:r w:rsidR="00963A47" w:rsidRPr="00E625E1">
        <w:rPr>
          <w:rFonts w:ascii="Times New Roman" w:eastAsia="Times New Roman" w:hAnsi="Times New Roman" w:cs="Times New Roman"/>
          <w:color w:val="000000" w:themeColor="text1"/>
          <w:lang w:val="en-US" w:eastAsia="it-IT"/>
        </w:rPr>
        <w:t>8</w:t>
      </w:r>
      <w:r w:rsidR="00EB0204" w:rsidRPr="00E625E1">
        <w:rPr>
          <w:rFonts w:ascii="Times New Roman" w:eastAsia="Times New Roman" w:hAnsi="Times New Roman" w:cs="Times New Roman"/>
          <w:color w:val="000000" w:themeColor="text1"/>
          <w:lang w:val="en-US" w:eastAsia="it-IT"/>
        </w:rPr>
        <w:t xml:space="preserve">. </w:t>
      </w:r>
      <w:r w:rsidR="00EB0204" w:rsidRPr="00E625E1">
        <w:rPr>
          <w:rFonts w:ascii="Times New Roman" w:hAnsi="Times New Roman" w:cs="Times New Roman"/>
          <w:color w:val="000000" w:themeColor="text1"/>
          <w:lang w:val="en-US"/>
        </w:rPr>
        <w:t xml:space="preserve">Solini A (2015) Extra-glycaemic properties of empagliflozin. </w:t>
      </w:r>
      <w:r w:rsidR="00EB0204" w:rsidRPr="00E625E1">
        <w:rPr>
          <w:rFonts w:ascii="Times New Roman" w:hAnsi="Times New Roman" w:cs="Times New Roman"/>
          <w:color w:val="000000" w:themeColor="text1"/>
        </w:rPr>
        <w:t xml:space="preserve">Diabetes Metab Res Rev May 20. </w:t>
      </w:r>
    </w:p>
    <w:p w:rsidR="00A5105F" w:rsidRPr="00E625E1" w:rsidRDefault="00EB0204" w:rsidP="00564898">
      <w:pPr>
        <w:spacing w:after="0" w:line="480" w:lineRule="auto"/>
        <w:ind w:left="-284"/>
        <w:rPr>
          <w:rFonts w:ascii="Times New Roman" w:hAnsi="Times New Roman" w:cs="Times New Roman"/>
          <w:color w:val="000000" w:themeColor="text1"/>
        </w:rPr>
      </w:pPr>
      <w:r w:rsidRPr="00E625E1">
        <w:rPr>
          <w:rFonts w:ascii="Times New Roman" w:hAnsi="Times New Roman" w:cs="Times New Roman"/>
          <w:color w:val="000000" w:themeColor="text1"/>
        </w:rPr>
        <w:lastRenderedPageBreak/>
        <w:t xml:space="preserve">      doi: 10.1002/dmrr.2666.</w:t>
      </w:r>
    </w:p>
    <w:p w:rsidR="00A5105F" w:rsidRPr="00E625E1" w:rsidRDefault="00962129" w:rsidP="00564898">
      <w:pPr>
        <w:spacing w:after="0" w:line="480" w:lineRule="auto"/>
        <w:ind w:left="-284"/>
        <w:rPr>
          <w:rFonts w:ascii="Times New Roman" w:hAnsi="Times New Roman" w:cs="Times New Roman"/>
          <w:color w:val="000000" w:themeColor="text1"/>
        </w:rPr>
      </w:pPr>
      <w:r w:rsidRPr="00E625E1">
        <w:rPr>
          <w:rFonts w:ascii="Times New Roman" w:hAnsi="Times New Roman" w:cs="Times New Roman"/>
          <w:color w:val="000000" w:themeColor="text1"/>
        </w:rPr>
        <w:t>6</w:t>
      </w:r>
      <w:r w:rsidR="00963A47" w:rsidRPr="00E625E1">
        <w:rPr>
          <w:rFonts w:ascii="Times New Roman" w:hAnsi="Times New Roman" w:cs="Times New Roman"/>
          <w:color w:val="000000" w:themeColor="text1"/>
        </w:rPr>
        <w:t>9</w:t>
      </w:r>
      <w:r w:rsidR="00A5105F" w:rsidRPr="00E625E1">
        <w:rPr>
          <w:rFonts w:ascii="Times New Roman" w:hAnsi="Times New Roman" w:cs="Times New Roman"/>
          <w:color w:val="000000" w:themeColor="text1"/>
        </w:rPr>
        <w:t>. Ruggenenti P, Porrini EL, Gaspari F, Motterlini N, Cannata A, Carrara F, Cella C, Ferrari S,</w:t>
      </w:r>
      <w:r w:rsidR="00C62AE7" w:rsidRPr="00E625E1">
        <w:rPr>
          <w:rFonts w:ascii="Times New Roman" w:hAnsi="Times New Roman" w:cs="Times New Roman"/>
          <w:color w:val="000000" w:themeColor="text1"/>
        </w:rPr>
        <w:t xml:space="preserve"> Stucchi N,</w:t>
      </w:r>
    </w:p>
    <w:p w:rsidR="00A5105F" w:rsidRPr="00E625E1" w:rsidRDefault="00A5105F" w:rsidP="00564898">
      <w:pPr>
        <w:spacing w:after="0" w:line="480" w:lineRule="auto"/>
        <w:ind w:left="-284"/>
        <w:rPr>
          <w:rFonts w:ascii="Times New Roman" w:hAnsi="Times New Roman" w:cs="Times New Roman"/>
          <w:color w:val="000000" w:themeColor="text1"/>
        </w:rPr>
      </w:pPr>
      <w:r w:rsidRPr="00E625E1">
        <w:rPr>
          <w:rFonts w:ascii="Times New Roman" w:hAnsi="Times New Roman" w:cs="Times New Roman"/>
          <w:color w:val="000000" w:themeColor="text1"/>
        </w:rPr>
        <w:t xml:space="preserve">      Parvanova A, Iliev I, Dodesini AR, Trevisan R, Bossi A, Zaletel J, Remuzzi G; GFR </w:t>
      </w:r>
      <w:r w:rsidR="00C62AE7" w:rsidRPr="00E625E1">
        <w:rPr>
          <w:rFonts w:ascii="Times New Roman" w:hAnsi="Times New Roman" w:cs="Times New Roman"/>
          <w:color w:val="000000" w:themeColor="text1"/>
        </w:rPr>
        <w:t>Study</w:t>
      </w:r>
    </w:p>
    <w:p w:rsidR="00A5105F" w:rsidRPr="00E625E1" w:rsidRDefault="00A5105F" w:rsidP="00C62AE7">
      <w:pPr>
        <w:spacing w:after="0" w:line="480" w:lineRule="auto"/>
        <w:ind w:left="-284" w:firstLine="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Investigators (2012) Glomerular hyperfiltration and renal disease progression in type 2</w:t>
      </w:r>
      <w:r w:rsidR="00C62AE7" w:rsidRPr="00E625E1">
        <w:rPr>
          <w:rFonts w:ascii="Times New Roman" w:hAnsi="Times New Roman" w:cs="Times New Roman"/>
          <w:color w:val="000000" w:themeColor="text1"/>
          <w:lang w:val="en-US"/>
        </w:rPr>
        <w:t xml:space="preserve"> diabetes. </w:t>
      </w:r>
    </w:p>
    <w:p w:rsidR="005243DC" w:rsidRPr="00E625E1" w:rsidRDefault="00A5105F" w:rsidP="00021A29">
      <w:pPr>
        <w:spacing w:after="0" w:line="480" w:lineRule="auto"/>
        <w:ind w:left="-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      Diabetes Care 35:2061-2068.</w:t>
      </w:r>
    </w:p>
    <w:p w:rsidR="005243DC" w:rsidRPr="00E625E1" w:rsidRDefault="00963A47" w:rsidP="00564898">
      <w:pPr>
        <w:spacing w:after="0" w:line="480" w:lineRule="auto"/>
        <w:ind w:left="-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70</w:t>
      </w:r>
      <w:r w:rsidR="005243DC" w:rsidRPr="00E625E1">
        <w:rPr>
          <w:rFonts w:ascii="Times New Roman" w:hAnsi="Times New Roman" w:cs="Times New Roman"/>
          <w:color w:val="000000" w:themeColor="text1"/>
          <w:lang w:val="en-US"/>
        </w:rPr>
        <w:t xml:space="preserve">. Kohan DE, Fioretto P, Tang W, List JF (2014) Long-term study of patients with type 2 diabetes  </w:t>
      </w:r>
      <w:r w:rsidR="00C62AE7" w:rsidRPr="00E625E1">
        <w:rPr>
          <w:rFonts w:ascii="Times New Roman" w:hAnsi="Times New Roman" w:cs="Times New Roman"/>
          <w:color w:val="000000" w:themeColor="text1"/>
          <w:lang w:val="en-US"/>
        </w:rPr>
        <w:t>and</w:t>
      </w:r>
    </w:p>
    <w:p w:rsidR="005243DC" w:rsidRPr="00E625E1" w:rsidRDefault="00C62AE7" w:rsidP="00564898">
      <w:pPr>
        <w:spacing w:after="0" w:line="480" w:lineRule="auto"/>
        <w:ind w:left="-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      </w:t>
      </w:r>
      <w:r w:rsidR="005243DC" w:rsidRPr="00E625E1">
        <w:rPr>
          <w:rFonts w:ascii="Times New Roman" w:hAnsi="Times New Roman" w:cs="Times New Roman"/>
          <w:color w:val="000000" w:themeColor="text1"/>
          <w:lang w:val="en-US"/>
        </w:rPr>
        <w:t xml:space="preserve">moderate renal impairment shows that dapagliflozin reduces weight and blood pressure but </w:t>
      </w:r>
      <w:r w:rsidRPr="00E625E1">
        <w:rPr>
          <w:rFonts w:ascii="Times New Roman" w:hAnsi="Times New Roman" w:cs="Times New Roman"/>
          <w:color w:val="000000" w:themeColor="text1"/>
          <w:lang w:val="en-US"/>
        </w:rPr>
        <w:t>does not</w:t>
      </w:r>
    </w:p>
    <w:p w:rsidR="005243DC" w:rsidRPr="00E625E1" w:rsidRDefault="005243DC" w:rsidP="00564898">
      <w:pPr>
        <w:spacing w:after="0" w:line="480" w:lineRule="auto"/>
        <w:ind w:left="-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      improve glycemic control. Kidney Int 85:962-971.</w:t>
      </w:r>
    </w:p>
    <w:p w:rsidR="001A02CB" w:rsidRPr="00E625E1" w:rsidRDefault="001A02CB" w:rsidP="00564898">
      <w:pPr>
        <w:spacing w:after="0" w:line="480" w:lineRule="auto"/>
        <w:ind w:left="-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7</w:t>
      </w:r>
      <w:r w:rsidR="00963A47" w:rsidRPr="00E625E1">
        <w:rPr>
          <w:rFonts w:ascii="Times New Roman" w:hAnsi="Times New Roman" w:cs="Times New Roman"/>
          <w:color w:val="000000" w:themeColor="text1"/>
          <w:lang w:val="en-US"/>
        </w:rPr>
        <w:t>1</w:t>
      </w:r>
      <w:r w:rsidRPr="00E625E1">
        <w:rPr>
          <w:rFonts w:ascii="Times New Roman" w:hAnsi="Times New Roman" w:cs="Times New Roman"/>
          <w:color w:val="000000" w:themeColor="text1"/>
          <w:lang w:val="en-US"/>
        </w:rPr>
        <w:t xml:space="preserve">. Powers MA, Bardsley J, Cypress M, Duker P, Funnell MM, Hess Fischl A, Maryniuk MD, </w:t>
      </w:r>
    </w:p>
    <w:p w:rsidR="001A02CB" w:rsidRPr="00E625E1" w:rsidRDefault="001A02CB" w:rsidP="00564898">
      <w:pPr>
        <w:spacing w:after="0" w:line="480" w:lineRule="auto"/>
        <w:ind w:left="-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      Siminer</w:t>
      </w:r>
      <w:r w:rsidR="00C62AE7" w:rsidRPr="00E625E1">
        <w:rPr>
          <w:rFonts w:ascii="Times New Roman" w:hAnsi="Times New Roman" w:cs="Times New Roman"/>
          <w:color w:val="000000" w:themeColor="text1"/>
          <w:lang w:val="en-US"/>
        </w:rPr>
        <w:t>io L, Vivian E (2015) Diabetes self-management education and support in t</w:t>
      </w:r>
      <w:r w:rsidRPr="00E625E1">
        <w:rPr>
          <w:rFonts w:ascii="Times New Roman" w:hAnsi="Times New Roman" w:cs="Times New Roman"/>
          <w:color w:val="000000" w:themeColor="text1"/>
          <w:lang w:val="en-US"/>
        </w:rPr>
        <w:t xml:space="preserve">ype 2 </w:t>
      </w:r>
      <w:r w:rsidR="00C62AE7" w:rsidRPr="00E625E1">
        <w:rPr>
          <w:rFonts w:ascii="Times New Roman" w:hAnsi="Times New Roman" w:cs="Times New Roman"/>
          <w:color w:val="000000" w:themeColor="text1"/>
          <w:lang w:val="en-US"/>
        </w:rPr>
        <w:t>diabetes:</w:t>
      </w:r>
    </w:p>
    <w:p w:rsidR="00C62AE7" w:rsidRPr="00E625E1" w:rsidRDefault="00C62AE7" w:rsidP="00C62AE7">
      <w:pPr>
        <w:spacing w:after="0" w:line="480" w:lineRule="auto"/>
        <w:ind w:left="-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      a joint position s</w:t>
      </w:r>
      <w:r w:rsidR="001A02CB" w:rsidRPr="00E625E1">
        <w:rPr>
          <w:rFonts w:ascii="Times New Roman" w:hAnsi="Times New Roman" w:cs="Times New Roman"/>
          <w:color w:val="000000" w:themeColor="text1"/>
          <w:lang w:val="en-US"/>
        </w:rPr>
        <w:t xml:space="preserve">tatement of the American Diabetes Association, the American Association of Diabetes </w:t>
      </w:r>
    </w:p>
    <w:p w:rsidR="00467749" w:rsidRPr="00E625E1" w:rsidRDefault="00C62AE7" w:rsidP="00C62AE7">
      <w:pPr>
        <w:spacing w:after="0" w:line="480" w:lineRule="auto"/>
        <w:ind w:left="-284"/>
        <w:rPr>
          <w:rFonts w:ascii="Times New Roman" w:hAnsi="Times New Roman" w:cs="Times New Roman"/>
          <w:color w:val="000000" w:themeColor="text1"/>
          <w:lang w:val="en-US"/>
        </w:rPr>
      </w:pPr>
      <w:r w:rsidRPr="00E625E1">
        <w:rPr>
          <w:rFonts w:ascii="Times New Roman" w:hAnsi="Times New Roman" w:cs="Times New Roman"/>
          <w:color w:val="000000" w:themeColor="text1"/>
          <w:lang w:val="en-US"/>
        </w:rPr>
        <w:t xml:space="preserve">    </w:t>
      </w:r>
      <w:r w:rsidR="00963A47" w:rsidRPr="00E625E1">
        <w:rPr>
          <w:rFonts w:ascii="Times New Roman" w:hAnsi="Times New Roman" w:cs="Times New Roman"/>
          <w:color w:val="000000" w:themeColor="text1"/>
          <w:lang w:val="en-US"/>
        </w:rPr>
        <w:t xml:space="preserve"> </w:t>
      </w:r>
      <w:r w:rsidRPr="00E625E1">
        <w:rPr>
          <w:rFonts w:ascii="Times New Roman" w:hAnsi="Times New Roman" w:cs="Times New Roman"/>
          <w:color w:val="000000" w:themeColor="text1"/>
          <w:lang w:val="en-US"/>
        </w:rPr>
        <w:t xml:space="preserve"> </w:t>
      </w:r>
      <w:r w:rsidR="001A02CB" w:rsidRPr="00E625E1">
        <w:rPr>
          <w:rFonts w:ascii="Times New Roman" w:hAnsi="Times New Roman" w:cs="Times New Roman"/>
          <w:color w:val="000000" w:themeColor="text1"/>
          <w:lang w:val="en-US"/>
        </w:rPr>
        <w:t>Educators, and the Academy of Nutrition and Dietetics. Diabetes Care  38:1372-1382.</w:t>
      </w:r>
    </w:p>
    <w:p w:rsidR="00467749" w:rsidRPr="00E625E1" w:rsidRDefault="00467749" w:rsidP="00564898">
      <w:pPr>
        <w:spacing w:after="0" w:line="480" w:lineRule="auto"/>
        <w:rPr>
          <w:rFonts w:ascii="Times New Roman" w:hAnsi="Times New Roman" w:cs="Times New Roman"/>
          <w:color w:val="000000" w:themeColor="text1"/>
          <w:lang w:val="en-US"/>
        </w:rPr>
      </w:pPr>
    </w:p>
    <w:p w:rsidR="00467749" w:rsidRPr="00E625E1" w:rsidRDefault="00467749" w:rsidP="00564898">
      <w:pPr>
        <w:spacing w:after="0" w:line="480" w:lineRule="auto"/>
        <w:rPr>
          <w:rFonts w:ascii="Times New Roman" w:hAnsi="Times New Roman" w:cs="Times New Roman"/>
          <w:color w:val="000000" w:themeColor="text1"/>
          <w:lang w:val="en-US"/>
        </w:rPr>
      </w:pPr>
    </w:p>
    <w:p w:rsidR="001F46EF" w:rsidRPr="00E625E1" w:rsidRDefault="001F46EF" w:rsidP="00564898">
      <w:pPr>
        <w:spacing w:after="0" w:line="480" w:lineRule="auto"/>
        <w:rPr>
          <w:rFonts w:ascii="Times New Roman" w:hAnsi="Times New Roman" w:cs="Times New Roman"/>
          <w:color w:val="000000" w:themeColor="text1"/>
          <w:lang w:val="en-US"/>
        </w:rPr>
      </w:pPr>
    </w:p>
    <w:p w:rsidR="001F46EF" w:rsidRPr="00E625E1" w:rsidRDefault="001F46EF" w:rsidP="00564898">
      <w:pPr>
        <w:spacing w:after="0" w:line="480" w:lineRule="auto"/>
        <w:rPr>
          <w:rFonts w:ascii="Times New Roman" w:hAnsi="Times New Roman" w:cs="Times New Roman"/>
          <w:color w:val="000000" w:themeColor="text1"/>
          <w:lang w:val="en-US"/>
        </w:rPr>
      </w:pPr>
    </w:p>
    <w:p w:rsidR="001F46EF" w:rsidRPr="00E625E1" w:rsidRDefault="001F46EF" w:rsidP="00564898">
      <w:pPr>
        <w:spacing w:after="0" w:line="480" w:lineRule="auto"/>
        <w:rPr>
          <w:rFonts w:ascii="Times New Roman" w:hAnsi="Times New Roman" w:cs="Times New Roman"/>
          <w:color w:val="000000" w:themeColor="text1"/>
          <w:lang w:val="en-US"/>
        </w:rPr>
      </w:pPr>
    </w:p>
    <w:p w:rsidR="008C4695" w:rsidRPr="00E625E1" w:rsidRDefault="008C4695" w:rsidP="00564898">
      <w:pPr>
        <w:spacing w:after="0" w:line="480" w:lineRule="auto"/>
        <w:rPr>
          <w:rFonts w:ascii="Times New Roman" w:hAnsi="Times New Roman" w:cs="Times New Roman"/>
          <w:color w:val="000000" w:themeColor="text1"/>
          <w:lang w:val="en-US"/>
        </w:rPr>
      </w:pPr>
    </w:p>
    <w:p w:rsidR="008C4695" w:rsidRPr="00E625E1" w:rsidRDefault="008C4695" w:rsidP="00564898">
      <w:pPr>
        <w:spacing w:after="0" w:line="480" w:lineRule="auto"/>
        <w:rPr>
          <w:rFonts w:ascii="Times New Roman" w:hAnsi="Times New Roman" w:cs="Times New Roman"/>
          <w:color w:val="000000" w:themeColor="text1"/>
          <w:lang w:val="en-US"/>
        </w:rPr>
      </w:pPr>
    </w:p>
    <w:p w:rsidR="008C4695" w:rsidRPr="00E625E1" w:rsidRDefault="008C4695" w:rsidP="00564898">
      <w:pPr>
        <w:spacing w:after="0" w:line="480" w:lineRule="auto"/>
        <w:rPr>
          <w:rFonts w:ascii="Times New Roman" w:hAnsi="Times New Roman" w:cs="Times New Roman"/>
          <w:color w:val="000000" w:themeColor="text1"/>
          <w:lang w:val="en-US"/>
        </w:rPr>
      </w:pPr>
    </w:p>
    <w:p w:rsidR="008C4695" w:rsidRPr="00E625E1" w:rsidRDefault="008C4695" w:rsidP="00564898">
      <w:pPr>
        <w:spacing w:after="0" w:line="480" w:lineRule="auto"/>
        <w:rPr>
          <w:rFonts w:ascii="Times New Roman" w:hAnsi="Times New Roman" w:cs="Times New Roman"/>
          <w:color w:val="000000" w:themeColor="text1"/>
          <w:lang w:val="en-US"/>
        </w:rPr>
      </w:pPr>
    </w:p>
    <w:p w:rsidR="008C4695" w:rsidRPr="00E625E1" w:rsidRDefault="008C4695" w:rsidP="00564898">
      <w:pPr>
        <w:spacing w:after="0" w:line="480" w:lineRule="auto"/>
        <w:rPr>
          <w:rFonts w:ascii="Times New Roman" w:hAnsi="Times New Roman" w:cs="Times New Roman"/>
          <w:color w:val="000000" w:themeColor="text1"/>
          <w:lang w:val="en-US"/>
        </w:rPr>
      </w:pPr>
    </w:p>
    <w:p w:rsidR="00C62AE7" w:rsidRPr="00E625E1" w:rsidRDefault="00C62AE7" w:rsidP="00564898">
      <w:pPr>
        <w:spacing w:after="0" w:line="480" w:lineRule="auto"/>
        <w:rPr>
          <w:rFonts w:ascii="Times New Roman" w:hAnsi="Times New Roman" w:cs="Times New Roman"/>
          <w:color w:val="000000" w:themeColor="text1"/>
          <w:lang w:val="en-US"/>
        </w:rPr>
      </w:pPr>
    </w:p>
    <w:p w:rsidR="00C62AE7" w:rsidRPr="00E625E1" w:rsidRDefault="00C62AE7" w:rsidP="00564898">
      <w:pPr>
        <w:spacing w:after="0" w:line="480" w:lineRule="auto"/>
        <w:rPr>
          <w:rFonts w:ascii="Times New Roman" w:hAnsi="Times New Roman" w:cs="Times New Roman"/>
          <w:color w:val="000000" w:themeColor="text1"/>
          <w:lang w:val="en-US"/>
        </w:rPr>
      </w:pPr>
    </w:p>
    <w:p w:rsidR="00C62AE7" w:rsidRPr="00E625E1" w:rsidRDefault="00C62AE7" w:rsidP="00564898">
      <w:pPr>
        <w:spacing w:after="0" w:line="480" w:lineRule="auto"/>
        <w:rPr>
          <w:rFonts w:ascii="Times New Roman" w:hAnsi="Times New Roman" w:cs="Times New Roman"/>
          <w:color w:val="000000" w:themeColor="text1"/>
          <w:lang w:val="en-US"/>
        </w:rPr>
      </w:pPr>
    </w:p>
    <w:p w:rsidR="00C62AE7" w:rsidRPr="00E625E1" w:rsidRDefault="00C62AE7" w:rsidP="00564898">
      <w:pPr>
        <w:spacing w:after="0" w:line="480" w:lineRule="auto"/>
        <w:rPr>
          <w:rFonts w:ascii="Times New Roman" w:hAnsi="Times New Roman" w:cs="Times New Roman"/>
          <w:color w:val="000000" w:themeColor="text1"/>
          <w:lang w:val="en-US"/>
        </w:rPr>
      </w:pPr>
    </w:p>
    <w:p w:rsidR="001F46EF" w:rsidRPr="00E625E1" w:rsidRDefault="001F46EF" w:rsidP="00564898">
      <w:pPr>
        <w:spacing w:after="0" w:line="480" w:lineRule="auto"/>
        <w:rPr>
          <w:rFonts w:ascii="Times New Roman" w:hAnsi="Times New Roman" w:cs="Times New Roman"/>
          <w:color w:val="000000" w:themeColor="text1"/>
          <w:lang w:val="en-US"/>
        </w:rPr>
      </w:pPr>
    </w:p>
    <w:p w:rsidR="00E625E1" w:rsidRDefault="00E625E1" w:rsidP="00564898">
      <w:pPr>
        <w:spacing w:after="0" w:line="480" w:lineRule="auto"/>
        <w:rPr>
          <w:rFonts w:ascii="Times New Roman" w:hAnsi="Times New Roman" w:cs="Times New Roman"/>
          <w:b/>
          <w:color w:val="000000" w:themeColor="text1"/>
          <w:lang w:val="en-US"/>
        </w:rPr>
      </w:pPr>
    </w:p>
    <w:p w:rsidR="008C4695" w:rsidRPr="00E625E1" w:rsidRDefault="008C4695" w:rsidP="00564898">
      <w:pPr>
        <w:spacing w:after="0" w:line="480" w:lineRule="auto"/>
        <w:rPr>
          <w:rFonts w:ascii="Times New Roman" w:hAnsi="Times New Roman" w:cs="Times New Roman"/>
          <w:b/>
          <w:color w:val="000000" w:themeColor="text1"/>
          <w:lang w:val="en-US"/>
        </w:rPr>
      </w:pPr>
      <w:r w:rsidRPr="00E625E1">
        <w:rPr>
          <w:rFonts w:ascii="Times New Roman" w:hAnsi="Times New Roman" w:cs="Times New Roman"/>
          <w:b/>
          <w:color w:val="000000" w:themeColor="text1"/>
          <w:lang w:val="en-US"/>
        </w:rPr>
        <w:lastRenderedPageBreak/>
        <w:t>Table 1</w:t>
      </w:r>
    </w:p>
    <w:p w:rsidR="008C4695" w:rsidRPr="00E625E1" w:rsidRDefault="008C4695" w:rsidP="00564898">
      <w:pPr>
        <w:spacing w:after="0" w:line="480" w:lineRule="auto"/>
        <w:rPr>
          <w:rFonts w:ascii="Times New Roman" w:hAnsi="Times New Roman" w:cs="Times New Roman"/>
          <w:lang w:val="en-US"/>
        </w:rPr>
      </w:pPr>
      <w:r w:rsidRPr="00E625E1">
        <w:rPr>
          <w:rFonts w:ascii="Times New Roman" w:hAnsi="Times New Roman" w:cs="Times New Roman"/>
          <w:lang w:val="en-US"/>
        </w:rPr>
        <w:t xml:space="preserve">Some </w:t>
      </w:r>
      <w:r w:rsidR="007A051E" w:rsidRPr="00E625E1">
        <w:rPr>
          <w:rFonts w:ascii="Times New Roman" w:hAnsi="Times New Roman" w:cs="Times New Roman"/>
          <w:lang w:val="en-US"/>
        </w:rPr>
        <w:t xml:space="preserve">potential explanations of </w:t>
      </w:r>
      <w:r w:rsidRPr="00E625E1">
        <w:rPr>
          <w:rFonts w:ascii="Times New Roman" w:hAnsi="Times New Roman" w:cs="Times New Roman"/>
          <w:lang w:val="en-US"/>
        </w:rPr>
        <w:t>the cardiovascular protection observed in the Empa-Reg Outcome Study</w:t>
      </w:r>
    </w:p>
    <w:p w:rsidR="008C4695" w:rsidRPr="00E625E1" w:rsidRDefault="008C4695" w:rsidP="00564898">
      <w:pPr>
        <w:spacing w:after="0" w:line="480" w:lineRule="auto"/>
        <w:rPr>
          <w:rFonts w:ascii="Times New Roman" w:hAnsi="Times New Roman" w:cs="Times New Roman"/>
          <w:lang w:val="en-US"/>
        </w:rPr>
      </w:pPr>
    </w:p>
    <w:tbl>
      <w:tblPr>
        <w:tblStyle w:val="Grigliatabella"/>
        <w:tblW w:w="9922" w:type="dxa"/>
        <w:tblLook w:val="04A0" w:firstRow="1" w:lastRow="0" w:firstColumn="1" w:lastColumn="0" w:noHBand="0" w:noVBand="1"/>
      </w:tblPr>
      <w:tblGrid>
        <w:gridCol w:w="3402"/>
        <w:gridCol w:w="6520"/>
      </w:tblGrid>
      <w:tr w:rsidR="00371250" w:rsidRPr="00E625E1" w:rsidTr="00285D60">
        <w:trPr>
          <w:trHeight w:val="454"/>
        </w:trPr>
        <w:tc>
          <w:tcPr>
            <w:tcW w:w="3402" w:type="dxa"/>
            <w:vAlign w:val="bottom"/>
          </w:tcPr>
          <w:p w:rsidR="00371250" w:rsidRPr="00E625E1" w:rsidRDefault="00371250" w:rsidP="00371250">
            <w:pPr>
              <w:spacing w:line="480" w:lineRule="auto"/>
              <w:jc w:val="center"/>
              <w:rPr>
                <w:rFonts w:ascii="Times New Roman" w:hAnsi="Times New Roman" w:cs="Times New Roman"/>
                <w:b/>
                <w:lang w:val="en-US"/>
              </w:rPr>
            </w:pPr>
            <w:r w:rsidRPr="00E625E1">
              <w:rPr>
                <w:rFonts w:ascii="Times New Roman" w:hAnsi="Times New Roman" w:cs="Times New Roman"/>
                <w:b/>
                <w:lang w:val="en-US"/>
              </w:rPr>
              <w:t>Mechanism</w:t>
            </w:r>
          </w:p>
        </w:tc>
        <w:tc>
          <w:tcPr>
            <w:tcW w:w="6520" w:type="dxa"/>
          </w:tcPr>
          <w:p w:rsidR="00371250" w:rsidRPr="00E625E1" w:rsidRDefault="00285D60" w:rsidP="00371250">
            <w:pPr>
              <w:spacing w:line="480" w:lineRule="auto"/>
              <w:jc w:val="center"/>
              <w:rPr>
                <w:rFonts w:ascii="Times New Roman" w:hAnsi="Times New Roman" w:cs="Times New Roman"/>
                <w:b/>
                <w:lang w:val="en-US"/>
              </w:rPr>
            </w:pPr>
            <w:r w:rsidRPr="00E625E1">
              <w:rPr>
                <w:rFonts w:ascii="Times New Roman" w:hAnsi="Times New Roman" w:cs="Times New Roman"/>
                <w:b/>
                <w:lang w:val="en-US"/>
              </w:rPr>
              <w:t>Brief C</w:t>
            </w:r>
            <w:r w:rsidR="00371250" w:rsidRPr="00E625E1">
              <w:rPr>
                <w:rFonts w:ascii="Times New Roman" w:hAnsi="Times New Roman" w:cs="Times New Roman"/>
                <w:b/>
                <w:lang w:val="en-US"/>
              </w:rPr>
              <w:t>omment</w:t>
            </w:r>
          </w:p>
        </w:tc>
      </w:tr>
      <w:tr w:rsidR="00371250" w:rsidRPr="00E625E1" w:rsidTr="00285D60">
        <w:trPr>
          <w:trHeight w:val="454"/>
        </w:trPr>
        <w:tc>
          <w:tcPr>
            <w:tcW w:w="3402" w:type="dxa"/>
            <w:vAlign w:val="center"/>
          </w:tcPr>
          <w:p w:rsidR="00371250" w:rsidRPr="00E625E1" w:rsidRDefault="00371250" w:rsidP="00371250">
            <w:pPr>
              <w:spacing w:line="480" w:lineRule="auto"/>
              <w:jc w:val="center"/>
              <w:rPr>
                <w:rFonts w:ascii="Times New Roman" w:hAnsi="Times New Roman" w:cs="Times New Roman"/>
                <w:lang w:val="en-US"/>
              </w:rPr>
            </w:pPr>
            <w:r w:rsidRPr="00E625E1">
              <w:rPr>
                <w:rFonts w:ascii="Times New Roman" w:hAnsi="Times New Roman" w:cs="Times New Roman"/>
                <w:lang w:val="en-US"/>
              </w:rPr>
              <w:t>Anti-hyperglycemic effect</w:t>
            </w:r>
          </w:p>
        </w:tc>
        <w:tc>
          <w:tcPr>
            <w:tcW w:w="6520" w:type="dxa"/>
            <w:vAlign w:val="center"/>
          </w:tcPr>
          <w:p w:rsidR="00371250" w:rsidRPr="00E625E1" w:rsidRDefault="00371250" w:rsidP="00371250">
            <w:pPr>
              <w:rPr>
                <w:rFonts w:ascii="Times New Roman" w:hAnsi="Times New Roman" w:cs="Times New Roman"/>
                <w:b/>
                <w:lang w:val="en-US"/>
              </w:rPr>
            </w:pPr>
            <w:r w:rsidRPr="00E625E1">
              <w:rPr>
                <w:rFonts w:ascii="Times New Roman" w:hAnsi="Times New Roman" w:cs="Times New Roman"/>
                <w:lang w:val="en-US"/>
              </w:rPr>
              <w:t>Improbable (small difference in HbA1c between treatment and placebo; too fast development of the protective effect in empagliflozin arms)</w:t>
            </w:r>
          </w:p>
        </w:tc>
      </w:tr>
      <w:tr w:rsidR="00371250" w:rsidRPr="00E625E1" w:rsidTr="00285D60">
        <w:trPr>
          <w:trHeight w:val="454"/>
        </w:trPr>
        <w:tc>
          <w:tcPr>
            <w:tcW w:w="3402" w:type="dxa"/>
            <w:vAlign w:val="bottom"/>
          </w:tcPr>
          <w:p w:rsidR="00371250" w:rsidRPr="00E625E1" w:rsidRDefault="00371250" w:rsidP="00371250">
            <w:pPr>
              <w:spacing w:line="480" w:lineRule="auto"/>
              <w:jc w:val="center"/>
              <w:rPr>
                <w:rFonts w:ascii="Times New Roman" w:hAnsi="Times New Roman" w:cs="Times New Roman"/>
                <w:lang w:val="en-US"/>
              </w:rPr>
            </w:pPr>
            <w:r w:rsidRPr="00E625E1">
              <w:rPr>
                <w:rFonts w:ascii="Times New Roman" w:hAnsi="Times New Roman" w:cs="Times New Roman"/>
                <w:lang w:val="en-US"/>
              </w:rPr>
              <w:t>Weight loss</w:t>
            </w:r>
          </w:p>
        </w:tc>
        <w:tc>
          <w:tcPr>
            <w:tcW w:w="6520" w:type="dxa"/>
          </w:tcPr>
          <w:p w:rsidR="00371250" w:rsidRPr="00E625E1" w:rsidRDefault="00285D60" w:rsidP="00285D60">
            <w:pPr>
              <w:spacing w:line="480" w:lineRule="auto"/>
              <w:rPr>
                <w:rFonts w:ascii="Times New Roman" w:hAnsi="Times New Roman" w:cs="Times New Roman"/>
                <w:b/>
                <w:lang w:val="en-US"/>
              </w:rPr>
            </w:pPr>
            <w:r w:rsidRPr="00E625E1">
              <w:rPr>
                <w:rFonts w:ascii="Times New Roman" w:hAnsi="Times New Roman" w:cs="Times New Roman"/>
                <w:lang w:val="en-US"/>
              </w:rPr>
              <w:t>Exiguous quantitative difference among the groups</w:t>
            </w:r>
          </w:p>
        </w:tc>
      </w:tr>
      <w:tr w:rsidR="00371250" w:rsidRPr="00E625E1" w:rsidTr="00285D60">
        <w:trPr>
          <w:trHeight w:val="454"/>
        </w:trPr>
        <w:tc>
          <w:tcPr>
            <w:tcW w:w="3402" w:type="dxa"/>
            <w:vAlign w:val="bottom"/>
          </w:tcPr>
          <w:p w:rsidR="00371250" w:rsidRPr="00E625E1" w:rsidRDefault="00371250" w:rsidP="00371250">
            <w:pPr>
              <w:spacing w:line="480" w:lineRule="auto"/>
              <w:jc w:val="center"/>
              <w:rPr>
                <w:rFonts w:ascii="Times New Roman" w:hAnsi="Times New Roman" w:cs="Times New Roman"/>
                <w:lang w:val="en-US"/>
              </w:rPr>
            </w:pPr>
            <w:r w:rsidRPr="00E625E1">
              <w:rPr>
                <w:rFonts w:ascii="Times New Roman" w:hAnsi="Times New Roman" w:cs="Times New Roman"/>
                <w:lang w:val="en-US"/>
              </w:rPr>
              <w:t>BP reduction</w:t>
            </w:r>
          </w:p>
        </w:tc>
        <w:tc>
          <w:tcPr>
            <w:tcW w:w="6520" w:type="dxa"/>
          </w:tcPr>
          <w:p w:rsidR="00371250" w:rsidRPr="00E625E1" w:rsidRDefault="00285D60" w:rsidP="00285D60">
            <w:pPr>
              <w:rPr>
                <w:rFonts w:ascii="Times New Roman" w:hAnsi="Times New Roman" w:cs="Times New Roman"/>
                <w:b/>
                <w:lang w:val="en-US"/>
              </w:rPr>
            </w:pPr>
            <w:r w:rsidRPr="00E625E1">
              <w:rPr>
                <w:rFonts w:ascii="Times New Roman" w:hAnsi="Times New Roman" w:cs="Times New Roman"/>
                <w:lang w:val="en-US"/>
              </w:rPr>
              <w:t xml:space="preserve">This clinical </w:t>
            </w:r>
            <w:r w:rsidR="00371250" w:rsidRPr="00E625E1">
              <w:rPr>
                <w:rFonts w:ascii="Times New Roman" w:hAnsi="Times New Roman" w:cs="Times New Roman"/>
                <w:lang w:val="en-US"/>
              </w:rPr>
              <w:t xml:space="preserve">action might have played a role; </w:t>
            </w:r>
            <w:r w:rsidRPr="00E625E1">
              <w:rPr>
                <w:rFonts w:ascii="Times New Roman" w:hAnsi="Times New Roman" w:cs="Times New Roman"/>
                <w:lang w:val="en-US"/>
              </w:rPr>
              <w:t>a trend toward an increased risk for non-fatal stroke contradicts such hypothesis</w:t>
            </w:r>
          </w:p>
        </w:tc>
      </w:tr>
      <w:tr w:rsidR="00371250" w:rsidRPr="00E625E1" w:rsidTr="00285D60">
        <w:trPr>
          <w:trHeight w:val="454"/>
        </w:trPr>
        <w:tc>
          <w:tcPr>
            <w:tcW w:w="3402" w:type="dxa"/>
            <w:vAlign w:val="bottom"/>
          </w:tcPr>
          <w:p w:rsidR="00371250" w:rsidRPr="00E625E1" w:rsidRDefault="00371250" w:rsidP="00371250">
            <w:pPr>
              <w:spacing w:line="480" w:lineRule="auto"/>
              <w:jc w:val="center"/>
              <w:rPr>
                <w:rFonts w:ascii="Times New Roman" w:hAnsi="Times New Roman" w:cs="Times New Roman"/>
                <w:lang w:val="en-US"/>
              </w:rPr>
            </w:pPr>
            <w:r w:rsidRPr="00E625E1">
              <w:rPr>
                <w:rFonts w:ascii="Times New Roman" w:hAnsi="Times New Roman" w:cs="Times New Roman"/>
                <w:lang w:val="en-US"/>
              </w:rPr>
              <w:t>Uricosuric effect</w:t>
            </w:r>
          </w:p>
        </w:tc>
        <w:tc>
          <w:tcPr>
            <w:tcW w:w="6520" w:type="dxa"/>
          </w:tcPr>
          <w:p w:rsidR="00371250" w:rsidRPr="00E625E1" w:rsidRDefault="00285D60" w:rsidP="00285D60">
            <w:pPr>
              <w:spacing w:line="480" w:lineRule="auto"/>
              <w:rPr>
                <w:rFonts w:ascii="Times New Roman" w:hAnsi="Times New Roman" w:cs="Times New Roman"/>
                <w:lang w:val="en-US"/>
              </w:rPr>
            </w:pPr>
            <w:r w:rsidRPr="00E625E1">
              <w:rPr>
                <w:rFonts w:ascii="Times New Roman" w:hAnsi="Times New Roman" w:cs="Times New Roman"/>
                <w:lang w:val="en-US"/>
              </w:rPr>
              <w:t>Interesting potential candidate, likely not the only one</w:t>
            </w:r>
          </w:p>
        </w:tc>
      </w:tr>
      <w:tr w:rsidR="00371250" w:rsidRPr="00E625E1" w:rsidTr="00285D60">
        <w:trPr>
          <w:trHeight w:val="454"/>
        </w:trPr>
        <w:tc>
          <w:tcPr>
            <w:tcW w:w="3402" w:type="dxa"/>
            <w:vAlign w:val="center"/>
          </w:tcPr>
          <w:p w:rsidR="00371250" w:rsidRPr="00E625E1" w:rsidRDefault="00371250" w:rsidP="00371250">
            <w:pPr>
              <w:spacing w:line="480" w:lineRule="auto"/>
              <w:jc w:val="center"/>
              <w:rPr>
                <w:rFonts w:ascii="Times New Roman" w:hAnsi="Times New Roman" w:cs="Times New Roman"/>
                <w:lang w:val="en-US"/>
              </w:rPr>
            </w:pPr>
            <w:r w:rsidRPr="00E625E1">
              <w:rPr>
                <w:rFonts w:ascii="Times New Roman" w:hAnsi="Times New Roman" w:cs="Times New Roman"/>
                <w:lang w:val="en-US"/>
              </w:rPr>
              <w:t>Anti-inflammatory effect</w:t>
            </w:r>
          </w:p>
        </w:tc>
        <w:tc>
          <w:tcPr>
            <w:tcW w:w="6520" w:type="dxa"/>
          </w:tcPr>
          <w:p w:rsidR="00285D60" w:rsidRPr="00E625E1" w:rsidRDefault="00371250" w:rsidP="00371250">
            <w:pPr>
              <w:rPr>
                <w:rFonts w:ascii="Times New Roman" w:hAnsi="Times New Roman" w:cs="Times New Roman"/>
                <w:lang w:val="en-US"/>
              </w:rPr>
            </w:pPr>
            <w:r w:rsidRPr="00E625E1">
              <w:rPr>
                <w:rFonts w:ascii="Times New Roman" w:hAnsi="Times New Roman" w:cs="Times New Roman"/>
                <w:lang w:val="en-US"/>
              </w:rPr>
              <w:t xml:space="preserve">The effects of SGLT2 inhibition on systemic inflammation is, </w:t>
            </w:r>
          </w:p>
          <w:p w:rsidR="00371250" w:rsidRPr="00E625E1" w:rsidRDefault="00371250" w:rsidP="00371250">
            <w:pPr>
              <w:rPr>
                <w:rFonts w:ascii="Times New Roman" w:hAnsi="Times New Roman" w:cs="Times New Roman"/>
                <w:lang w:val="en-US"/>
              </w:rPr>
            </w:pPr>
            <w:r w:rsidRPr="00E625E1">
              <w:rPr>
                <w:rFonts w:ascii="Times New Roman" w:hAnsi="Times New Roman" w:cs="Times New Roman"/>
                <w:lang w:val="en-US"/>
              </w:rPr>
              <w:t>so far, unknown</w:t>
            </w:r>
          </w:p>
        </w:tc>
      </w:tr>
      <w:tr w:rsidR="00371250" w:rsidRPr="00E625E1" w:rsidTr="00285D60">
        <w:trPr>
          <w:trHeight w:val="454"/>
        </w:trPr>
        <w:tc>
          <w:tcPr>
            <w:tcW w:w="3402" w:type="dxa"/>
            <w:vAlign w:val="bottom"/>
          </w:tcPr>
          <w:p w:rsidR="00371250" w:rsidRPr="00E625E1" w:rsidRDefault="00371250" w:rsidP="00371250">
            <w:pPr>
              <w:spacing w:line="480" w:lineRule="auto"/>
              <w:jc w:val="center"/>
              <w:rPr>
                <w:rFonts w:ascii="Times New Roman" w:hAnsi="Times New Roman" w:cs="Times New Roman"/>
                <w:lang w:val="en-US"/>
              </w:rPr>
            </w:pPr>
            <w:r w:rsidRPr="00E625E1">
              <w:rPr>
                <w:rFonts w:ascii="Times New Roman" w:hAnsi="Times New Roman" w:cs="Times New Roman"/>
                <w:lang w:val="en-US"/>
              </w:rPr>
              <w:t>Osmotic diuresis</w:t>
            </w:r>
          </w:p>
        </w:tc>
        <w:tc>
          <w:tcPr>
            <w:tcW w:w="6520" w:type="dxa"/>
          </w:tcPr>
          <w:p w:rsidR="00371250" w:rsidRPr="00E625E1" w:rsidRDefault="00285D60" w:rsidP="00371250">
            <w:pPr>
              <w:spacing w:line="480" w:lineRule="auto"/>
              <w:rPr>
                <w:rFonts w:ascii="Times New Roman" w:hAnsi="Times New Roman" w:cs="Times New Roman"/>
                <w:lang w:val="en-US"/>
              </w:rPr>
            </w:pPr>
            <w:r w:rsidRPr="00E625E1">
              <w:rPr>
                <w:rFonts w:ascii="Times New Roman" w:hAnsi="Times New Roman" w:cs="Times New Roman"/>
                <w:lang w:val="en-US"/>
              </w:rPr>
              <w:t xml:space="preserve">This action </w:t>
            </w:r>
            <w:r w:rsidR="00371250" w:rsidRPr="00E625E1">
              <w:rPr>
                <w:rFonts w:ascii="Times New Roman" w:hAnsi="Times New Roman" w:cs="Times New Roman"/>
                <w:lang w:val="en-US"/>
              </w:rPr>
              <w:t>improve</w:t>
            </w:r>
            <w:r w:rsidRPr="00E625E1">
              <w:rPr>
                <w:rFonts w:ascii="Times New Roman" w:hAnsi="Times New Roman" w:cs="Times New Roman"/>
                <w:lang w:val="en-US"/>
              </w:rPr>
              <w:t>s</w:t>
            </w:r>
            <w:r w:rsidR="00371250" w:rsidRPr="00E625E1">
              <w:rPr>
                <w:rFonts w:ascii="Times New Roman" w:hAnsi="Times New Roman" w:cs="Times New Roman"/>
                <w:lang w:val="en-US"/>
              </w:rPr>
              <w:t xml:space="preserve"> ventricular function</w:t>
            </w:r>
          </w:p>
        </w:tc>
      </w:tr>
      <w:tr w:rsidR="00371250" w:rsidRPr="00E625E1" w:rsidTr="00285D60">
        <w:trPr>
          <w:trHeight w:val="454"/>
        </w:trPr>
        <w:tc>
          <w:tcPr>
            <w:tcW w:w="3402" w:type="dxa"/>
            <w:vAlign w:val="bottom"/>
          </w:tcPr>
          <w:p w:rsidR="00371250" w:rsidRPr="00E625E1" w:rsidRDefault="00371250" w:rsidP="00371250">
            <w:pPr>
              <w:spacing w:line="480" w:lineRule="auto"/>
              <w:jc w:val="center"/>
              <w:rPr>
                <w:rFonts w:ascii="Times New Roman" w:hAnsi="Times New Roman" w:cs="Times New Roman"/>
                <w:lang w:val="en-US"/>
              </w:rPr>
            </w:pPr>
            <w:r w:rsidRPr="00E625E1">
              <w:rPr>
                <w:rFonts w:ascii="Times New Roman" w:hAnsi="Times New Roman" w:cs="Times New Roman"/>
                <w:lang w:val="en-US"/>
              </w:rPr>
              <w:t>Anti-arrhythmic effect</w:t>
            </w:r>
          </w:p>
        </w:tc>
        <w:tc>
          <w:tcPr>
            <w:tcW w:w="6520" w:type="dxa"/>
          </w:tcPr>
          <w:p w:rsidR="00371250" w:rsidRPr="00E625E1" w:rsidRDefault="00371250" w:rsidP="00371250">
            <w:pPr>
              <w:spacing w:line="480" w:lineRule="auto"/>
              <w:rPr>
                <w:rFonts w:ascii="Times New Roman" w:hAnsi="Times New Roman" w:cs="Times New Roman"/>
                <w:lang w:val="en-US"/>
              </w:rPr>
            </w:pPr>
            <w:r w:rsidRPr="00E625E1">
              <w:rPr>
                <w:rFonts w:ascii="Times New Roman" w:hAnsi="Times New Roman" w:cs="Times New Roman"/>
                <w:lang w:val="en-US"/>
              </w:rPr>
              <w:t xml:space="preserve">Glucagon might mediate such kind of protection </w:t>
            </w:r>
          </w:p>
        </w:tc>
      </w:tr>
    </w:tbl>
    <w:p w:rsidR="008C4695" w:rsidRPr="00E625E1" w:rsidRDefault="008C4695" w:rsidP="00371250">
      <w:pPr>
        <w:spacing w:after="0" w:line="480" w:lineRule="auto"/>
        <w:jc w:val="center"/>
        <w:rPr>
          <w:rFonts w:ascii="Times New Roman" w:hAnsi="Times New Roman" w:cs="Times New Roman"/>
          <w:lang w:val="en-US"/>
        </w:rPr>
      </w:pPr>
    </w:p>
    <w:p w:rsidR="008C4695" w:rsidRPr="00E625E1" w:rsidRDefault="008C4695" w:rsidP="008C4695">
      <w:pPr>
        <w:jc w:val="center"/>
        <w:rPr>
          <w:rFonts w:ascii="Times New Roman" w:hAnsi="Times New Roman" w:cs="Times New Roman"/>
          <w:lang w:val="en-US"/>
        </w:rPr>
      </w:pPr>
      <w:r w:rsidRPr="00E625E1">
        <w:rPr>
          <w:rFonts w:ascii="Times New Roman" w:hAnsi="Times New Roman" w:cs="Times New Roman"/>
          <w:lang w:val="en-US"/>
        </w:rPr>
        <w:br w:type="page"/>
      </w:r>
    </w:p>
    <w:p w:rsidR="001F46EF" w:rsidRPr="00E625E1" w:rsidRDefault="0002249F" w:rsidP="00564898">
      <w:pPr>
        <w:spacing w:after="0" w:line="480" w:lineRule="auto"/>
        <w:rPr>
          <w:rFonts w:ascii="Times New Roman" w:hAnsi="Times New Roman" w:cs="Times New Roman"/>
          <w:b/>
          <w:lang w:val="en-US"/>
        </w:rPr>
      </w:pPr>
      <w:r w:rsidRPr="00E625E1">
        <w:rPr>
          <w:rFonts w:ascii="Times New Roman" w:hAnsi="Times New Roman" w:cs="Times New Roman"/>
          <w:b/>
          <w:lang w:val="en-US"/>
        </w:rPr>
        <w:lastRenderedPageBreak/>
        <w:t>Legend for Figures</w:t>
      </w:r>
    </w:p>
    <w:p w:rsidR="004A5B39" w:rsidRPr="00E625E1" w:rsidRDefault="004A5B39" w:rsidP="00564898">
      <w:pPr>
        <w:spacing w:after="0" w:line="480" w:lineRule="auto"/>
        <w:rPr>
          <w:rFonts w:ascii="Times New Roman" w:hAnsi="Times New Roman" w:cs="Times New Roman"/>
          <w:b/>
          <w:lang w:val="en-US"/>
        </w:rPr>
      </w:pPr>
    </w:p>
    <w:p w:rsidR="0002249F" w:rsidRPr="00E625E1" w:rsidRDefault="0002249F" w:rsidP="00564898">
      <w:pPr>
        <w:spacing w:after="0" w:line="480" w:lineRule="auto"/>
        <w:rPr>
          <w:rFonts w:ascii="Times New Roman" w:hAnsi="Times New Roman" w:cs="Times New Roman"/>
          <w:lang w:val="en-US"/>
        </w:rPr>
      </w:pPr>
    </w:p>
    <w:p w:rsidR="0002249F" w:rsidRPr="00E625E1" w:rsidRDefault="0002249F" w:rsidP="00564898">
      <w:pPr>
        <w:shd w:val="clear" w:color="auto" w:fill="FFFFFF"/>
        <w:spacing w:after="0" w:line="480" w:lineRule="auto"/>
        <w:rPr>
          <w:rFonts w:ascii="Times New Roman" w:eastAsia="Times New Roman" w:hAnsi="Times New Roman" w:cs="Times New Roman"/>
          <w:lang w:val="en-US"/>
        </w:rPr>
      </w:pPr>
      <w:r w:rsidRPr="00E625E1">
        <w:rPr>
          <w:rFonts w:ascii="Times New Roman" w:hAnsi="Times New Roman" w:cs="Times New Roman"/>
          <w:b/>
          <w:lang w:val="en-US"/>
        </w:rPr>
        <w:t>Figure 1</w:t>
      </w:r>
      <w:r w:rsidRPr="00E625E1">
        <w:rPr>
          <w:rFonts w:ascii="Times New Roman" w:hAnsi="Times New Roman" w:cs="Times New Roman"/>
          <w:b/>
          <w:lang w:val="en-US"/>
        </w:rPr>
        <w:tab/>
      </w:r>
      <w:r w:rsidR="004A5B39" w:rsidRPr="00E625E1">
        <w:rPr>
          <w:rFonts w:ascii="Times New Roman" w:hAnsi="Times New Roman" w:cs="Times New Roman"/>
          <w:lang w:val="en-US"/>
        </w:rPr>
        <w:t>Relationship between glucose plasma concentration and renal glucose reabsorption in normoglycemic individuals.</w:t>
      </w:r>
      <w:r w:rsidR="004A5B39" w:rsidRPr="00E625E1">
        <w:rPr>
          <w:rFonts w:ascii="Times New Roman" w:hAnsi="Times New Roman" w:cs="Times New Roman"/>
          <w:b/>
          <w:lang w:val="en-US"/>
        </w:rPr>
        <w:t xml:space="preserve"> </w:t>
      </w:r>
      <w:r w:rsidR="004A5B39" w:rsidRPr="00E625E1">
        <w:rPr>
          <w:rFonts w:ascii="Times New Roman" w:eastAsia="Times New Roman" w:hAnsi="Times New Roman" w:cs="Times New Roman"/>
          <w:lang w:val="en-US" w:eastAsia="it-IT"/>
        </w:rPr>
        <w:t xml:space="preserve">The red dotted line and the grey area represent the hypothetical trend of glucose excretion  when its reabsorption is reduced by </w:t>
      </w:r>
      <w:r w:rsidR="004A5B39" w:rsidRPr="00E625E1">
        <w:rPr>
          <w:rFonts w:ascii="Times New Roman" w:eastAsia="Times New Roman" w:hAnsi="Times New Roman" w:cs="Times New Roman"/>
          <w:lang w:val="en-US"/>
        </w:rPr>
        <w:t>SGLT2 inhibitors.</w:t>
      </w:r>
      <w:r w:rsidR="00033D55" w:rsidRPr="00E625E1">
        <w:rPr>
          <w:rFonts w:ascii="Times New Roman" w:eastAsia="Times New Roman" w:hAnsi="Times New Roman" w:cs="Times New Roman"/>
          <w:lang w:val="en-US"/>
        </w:rPr>
        <w:t xml:space="preserve">     </w:t>
      </w:r>
    </w:p>
    <w:p w:rsidR="004A5B39" w:rsidRPr="00E625E1" w:rsidRDefault="004A5B39" w:rsidP="00564898">
      <w:pPr>
        <w:spacing w:after="0" w:line="480" w:lineRule="auto"/>
        <w:rPr>
          <w:rFonts w:ascii="Times New Roman" w:hAnsi="Times New Roman" w:cs="Times New Roman"/>
          <w:b/>
          <w:lang w:val="en-US"/>
        </w:rPr>
      </w:pPr>
    </w:p>
    <w:p w:rsidR="0002249F" w:rsidRPr="00E625E1" w:rsidRDefault="0002249F" w:rsidP="00564898">
      <w:pPr>
        <w:spacing w:after="0" w:line="480" w:lineRule="auto"/>
        <w:rPr>
          <w:rFonts w:ascii="Times New Roman" w:hAnsi="Times New Roman" w:cs="Times New Roman"/>
          <w:b/>
          <w:lang w:val="en-US"/>
        </w:rPr>
      </w:pPr>
      <w:r w:rsidRPr="00E625E1">
        <w:rPr>
          <w:rFonts w:ascii="Times New Roman" w:hAnsi="Times New Roman" w:cs="Times New Roman"/>
          <w:b/>
          <w:lang w:val="en-US"/>
        </w:rPr>
        <w:t>Figure 2</w:t>
      </w:r>
      <w:r w:rsidRPr="00E625E1">
        <w:rPr>
          <w:rFonts w:ascii="Times New Roman" w:hAnsi="Times New Roman" w:cs="Times New Roman"/>
          <w:b/>
          <w:lang w:val="en-US"/>
        </w:rPr>
        <w:tab/>
      </w:r>
      <w:r w:rsidR="00033D55" w:rsidRPr="00E625E1">
        <w:rPr>
          <w:rFonts w:ascii="Times New Roman" w:hAnsi="Times New Roman" w:cs="Times New Roman"/>
          <w:lang w:val="en-US"/>
        </w:rPr>
        <w:t>Glucose renal reabsorption through sodium-glucose cotransporters (SGLT1 an</w:t>
      </w:r>
      <w:r w:rsidR="00962129" w:rsidRPr="00E625E1">
        <w:rPr>
          <w:rFonts w:ascii="Times New Roman" w:hAnsi="Times New Roman" w:cs="Times New Roman"/>
          <w:lang w:val="en-US"/>
        </w:rPr>
        <w:t>d SGLT2) in the proximal tubule.</w:t>
      </w:r>
      <w:r w:rsidR="00033D55" w:rsidRPr="00E625E1">
        <w:rPr>
          <w:rFonts w:ascii="Times New Roman" w:hAnsi="Times New Roman" w:cs="Times New Roman"/>
          <w:b/>
          <w:lang w:val="en-US"/>
        </w:rPr>
        <w:t xml:space="preserve"> </w:t>
      </w:r>
    </w:p>
    <w:p w:rsidR="004A5B39" w:rsidRPr="00E625E1" w:rsidRDefault="004A5B39" w:rsidP="00564898">
      <w:pPr>
        <w:spacing w:after="0" w:line="480" w:lineRule="auto"/>
        <w:rPr>
          <w:rFonts w:ascii="Times New Roman" w:hAnsi="Times New Roman" w:cs="Times New Roman"/>
          <w:b/>
          <w:lang w:val="en-US"/>
        </w:rPr>
      </w:pPr>
    </w:p>
    <w:p w:rsidR="0002249F" w:rsidRPr="00E625E1" w:rsidRDefault="0002249F" w:rsidP="00564898">
      <w:pPr>
        <w:spacing w:after="0" w:line="480" w:lineRule="auto"/>
        <w:rPr>
          <w:rFonts w:ascii="Times New Roman" w:hAnsi="Times New Roman" w:cs="Times New Roman"/>
          <w:b/>
          <w:lang w:val="en-US"/>
        </w:rPr>
      </w:pPr>
      <w:r w:rsidRPr="00E625E1">
        <w:rPr>
          <w:rFonts w:ascii="Times New Roman" w:hAnsi="Times New Roman" w:cs="Times New Roman"/>
          <w:b/>
          <w:lang w:val="en-US"/>
        </w:rPr>
        <w:t>Figure 3</w:t>
      </w:r>
      <w:r w:rsidRPr="00E625E1">
        <w:rPr>
          <w:rFonts w:ascii="Times New Roman" w:hAnsi="Times New Roman" w:cs="Times New Roman"/>
          <w:b/>
          <w:lang w:val="en-US"/>
        </w:rPr>
        <w:tab/>
      </w:r>
      <w:r w:rsidRPr="00E625E1">
        <w:rPr>
          <w:rFonts w:ascii="Times New Roman" w:hAnsi="Times New Roman" w:cs="Times New Roman"/>
          <w:lang w:val="en-US"/>
        </w:rPr>
        <w:t>The scheme summarizes as SGLT2 inhibitors can meet several clinical needs in obese T2DM individuals</w:t>
      </w:r>
      <w:r w:rsidR="00962129" w:rsidRPr="00E625E1">
        <w:rPr>
          <w:rFonts w:ascii="Times New Roman" w:hAnsi="Times New Roman" w:cs="Times New Roman"/>
          <w:lang w:val="en-US"/>
        </w:rPr>
        <w:t>.</w:t>
      </w:r>
    </w:p>
    <w:p w:rsidR="0002249F" w:rsidRPr="00E625E1" w:rsidRDefault="0002249F" w:rsidP="00564898">
      <w:pPr>
        <w:spacing w:after="0" w:line="480" w:lineRule="auto"/>
        <w:rPr>
          <w:rFonts w:ascii="Times New Roman" w:hAnsi="Times New Roman" w:cs="Times New Roman"/>
          <w:lang w:val="en-US"/>
        </w:rPr>
      </w:pPr>
    </w:p>
    <w:p w:rsidR="0002249F" w:rsidRPr="00E625E1" w:rsidRDefault="0002249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64898">
      <w:pPr>
        <w:spacing w:after="0" w:line="480" w:lineRule="auto"/>
        <w:rPr>
          <w:rFonts w:ascii="Times New Roman" w:hAnsi="Times New Roman" w:cs="Times New Roman"/>
          <w:lang w:val="en-US"/>
        </w:rPr>
      </w:pPr>
    </w:p>
    <w:p w:rsidR="001F46EF" w:rsidRPr="00E625E1" w:rsidRDefault="001F46EF" w:rsidP="005C25F4">
      <w:pPr>
        <w:spacing w:after="0" w:line="240" w:lineRule="auto"/>
        <w:rPr>
          <w:rFonts w:ascii="Times New Roman" w:hAnsi="Times New Roman" w:cs="Times New Roman"/>
          <w:lang w:val="en-US"/>
        </w:rPr>
      </w:pPr>
    </w:p>
    <w:p w:rsidR="001F46EF" w:rsidRPr="00E625E1" w:rsidRDefault="001F46EF" w:rsidP="005C25F4">
      <w:pPr>
        <w:spacing w:after="0" w:line="240" w:lineRule="auto"/>
        <w:rPr>
          <w:rFonts w:ascii="Times New Roman" w:hAnsi="Times New Roman" w:cs="Times New Roman"/>
          <w:lang w:val="en-US"/>
        </w:rPr>
      </w:pPr>
    </w:p>
    <w:p w:rsidR="001F46EF" w:rsidRPr="00E625E1" w:rsidRDefault="001F46EF" w:rsidP="005C25F4">
      <w:pPr>
        <w:spacing w:after="0" w:line="240" w:lineRule="auto"/>
        <w:rPr>
          <w:rFonts w:ascii="Times New Roman" w:hAnsi="Times New Roman" w:cs="Times New Roman"/>
          <w:lang w:val="en-US"/>
        </w:rPr>
      </w:pPr>
    </w:p>
    <w:sectPr w:rsidR="001F46EF" w:rsidRPr="00E625E1" w:rsidSect="00DB4606">
      <w:footerReference w:type="default" r:id="rId10"/>
      <w:pgSz w:w="11906" w:h="16838"/>
      <w:pgMar w:top="1417" w:right="1134" w:bottom="1134" w:left="1134"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6B50" w:rsidRDefault="002E6B50" w:rsidP="00DB4606">
      <w:pPr>
        <w:spacing w:after="0" w:line="240" w:lineRule="auto"/>
      </w:pPr>
      <w:r>
        <w:separator/>
      </w:r>
    </w:p>
  </w:endnote>
  <w:endnote w:type="continuationSeparator" w:id="0">
    <w:p w:rsidR="002E6B50" w:rsidRDefault="002E6B50" w:rsidP="00DB46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ISans-Regular">
    <w:altName w:val="MS Gothic"/>
    <w:panose1 w:val="00000000000000000000"/>
    <w:charset w:val="80"/>
    <w:family w:val="swiss"/>
    <w:notTrueType/>
    <w:pitch w:val="default"/>
    <w:sig w:usb0="00000003" w:usb1="08070000" w:usb2="00000010" w:usb3="00000000" w:csb0="00020001" w:csb1="00000000"/>
  </w:font>
  <w:font w:name="BSGulliver">
    <w:altName w:val="MS Mincho"/>
    <w:panose1 w:val="00000000000000000000"/>
    <w:charset w:val="80"/>
    <w:family w:val="auto"/>
    <w:notTrueType/>
    <w:pitch w:val="default"/>
    <w:sig w:usb0="00000000" w:usb1="08070000" w:usb2="00000010" w:usb3="00000000" w:csb0="00020000" w:csb1="00000000"/>
  </w:font>
  <w:font w:name="UniversLTStd-LightC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6736528"/>
      <w:docPartObj>
        <w:docPartGallery w:val="Page Numbers (Bottom of Page)"/>
        <w:docPartUnique/>
      </w:docPartObj>
    </w:sdtPr>
    <w:sdtEndPr/>
    <w:sdtContent>
      <w:p w:rsidR="00DB4606" w:rsidRDefault="00DB4606">
        <w:pPr>
          <w:pStyle w:val="Pidipagina"/>
          <w:jc w:val="right"/>
        </w:pPr>
        <w:r>
          <w:fldChar w:fldCharType="begin"/>
        </w:r>
        <w:r>
          <w:instrText>PAGE   \* MERGEFORMAT</w:instrText>
        </w:r>
        <w:r>
          <w:fldChar w:fldCharType="separate"/>
        </w:r>
        <w:r w:rsidR="006E0D29">
          <w:rPr>
            <w:noProof/>
          </w:rPr>
          <w:t>1</w:t>
        </w:r>
        <w:r>
          <w:fldChar w:fldCharType="end"/>
        </w:r>
      </w:p>
    </w:sdtContent>
  </w:sdt>
  <w:p w:rsidR="00DB4606" w:rsidRDefault="00DB460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6B50" w:rsidRDefault="002E6B50" w:rsidP="00DB4606">
      <w:pPr>
        <w:spacing w:after="0" w:line="240" w:lineRule="auto"/>
      </w:pPr>
      <w:r>
        <w:separator/>
      </w:r>
    </w:p>
  </w:footnote>
  <w:footnote w:type="continuationSeparator" w:id="0">
    <w:p w:rsidR="002E6B50" w:rsidRDefault="002E6B50" w:rsidP="00DB460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8579B"/>
    <w:multiLevelType w:val="hybridMultilevel"/>
    <w:tmpl w:val="283ABE4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6FD462F"/>
    <w:multiLevelType w:val="hybridMultilevel"/>
    <w:tmpl w:val="772A065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BFF6E21"/>
    <w:multiLevelType w:val="hybridMultilevel"/>
    <w:tmpl w:val="89EA4174"/>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103A2A2E"/>
    <w:multiLevelType w:val="hybridMultilevel"/>
    <w:tmpl w:val="B1C8D4C4"/>
    <w:lvl w:ilvl="0" w:tplc="8658427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0C451A0"/>
    <w:multiLevelType w:val="hybridMultilevel"/>
    <w:tmpl w:val="0CB2654E"/>
    <w:lvl w:ilvl="0" w:tplc="0410000F">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1B5B370B"/>
    <w:multiLevelType w:val="hybridMultilevel"/>
    <w:tmpl w:val="F35E139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1FB639A1"/>
    <w:multiLevelType w:val="hybridMultilevel"/>
    <w:tmpl w:val="38488A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8307D20"/>
    <w:multiLevelType w:val="hybridMultilevel"/>
    <w:tmpl w:val="1CDA3788"/>
    <w:lvl w:ilvl="0" w:tplc="D3B8BFBC">
      <w:start w:val="1"/>
      <w:numFmt w:val="decimal"/>
      <w:lvlText w:val="%1."/>
      <w:lvlJc w:val="left"/>
      <w:pPr>
        <w:ind w:left="720" w:hanging="360"/>
      </w:pPr>
      <w:rPr>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FEE4DC3"/>
    <w:multiLevelType w:val="hybridMultilevel"/>
    <w:tmpl w:val="EB26B574"/>
    <w:lvl w:ilvl="0" w:tplc="8658427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72A608D"/>
    <w:multiLevelType w:val="hybridMultilevel"/>
    <w:tmpl w:val="9C5C0FA6"/>
    <w:lvl w:ilvl="0" w:tplc="8658427A">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47D332D4"/>
    <w:multiLevelType w:val="multilevel"/>
    <w:tmpl w:val="53A2C1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00C236C"/>
    <w:multiLevelType w:val="hybridMultilevel"/>
    <w:tmpl w:val="42CE3F2A"/>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53C6080E"/>
    <w:multiLevelType w:val="hybridMultilevel"/>
    <w:tmpl w:val="8284888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5DC62C75"/>
    <w:multiLevelType w:val="hybridMultilevel"/>
    <w:tmpl w:val="F7809BF2"/>
    <w:lvl w:ilvl="0" w:tplc="0410000F">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69940ED5"/>
    <w:multiLevelType w:val="hybridMultilevel"/>
    <w:tmpl w:val="11184A7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76417475"/>
    <w:multiLevelType w:val="multilevel"/>
    <w:tmpl w:val="118207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8791E98"/>
    <w:multiLevelType w:val="hybridMultilevel"/>
    <w:tmpl w:val="11184A7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7984128D"/>
    <w:multiLevelType w:val="hybridMultilevel"/>
    <w:tmpl w:val="11184A7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6"/>
  </w:num>
  <w:num w:numId="2">
    <w:abstractNumId w:val="0"/>
  </w:num>
  <w:num w:numId="3">
    <w:abstractNumId w:val="3"/>
  </w:num>
  <w:num w:numId="4">
    <w:abstractNumId w:val="9"/>
  </w:num>
  <w:num w:numId="5">
    <w:abstractNumId w:val="8"/>
  </w:num>
  <w:num w:numId="6">
    <w:abstractNumId w:val="13"/>
  </w:num>
  <w:num w:numId="7">
    <w:abstractNumId w:val="4"/>
  </w:num>
  <w:num w:numId="8">
    <w:abstractNumId w:val="12"/>
  </w:num>
  <w:num w:numId="9">
    <w:abstractNumId w:val="11"/>
  </w:num>
  <w:num w:numId="10">
    <w:abstractNumId w:val="7"/>
  </w:num>
  <w:num w:numId="11">
    <w:abstractNumId w:val="14"/>
  </w:num>
  <w:num w:numId="12">
    <w:abstractNumId w:val="17"/>
  </w:num>
  <w:num w:numId="13">
    <w:abstractNumId w:val="10"/>
  </w:num>
  <w:num w:numId="14">
    <w:abstractNumId w:val="2"/>
  </w:num>
  <w:num w:numId="15">
    <w:abstractNumId w:val="16"/>
  </w:num>
  <w:num w:numId="16">
    <w:abstractNumId w:val="15"/>
  </w:num>
  <w:num w:numId="17">
    <w:abstractNumId w:val="1"/>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40E"/>
    <w:rsid w:val="000011E2"/>
    <w:rsid w:val="000016CF"/>
    <w:rsid w:val="00006AAB"/>
    <w:rsid w:val="00021A29"/>
    <w:rsid w:val="0002249F"/>
    <w:rsid w:val="00025AD1"/>
    <w:rsid w:val="00026C9D"/>
    <w:rsid w:val="00033D55"/>
    <w:rsid w:val="0004013F"/>
    <w:rsid w:val="00043864"/>
    <w:rsid w:val="00045342"/>
    <w:rsid w:val="00053E77"/>
    <w:rsid w:val="00061871"/>
    <w:rsid w:val="00070546"/>
    <w:rsid w:val="000734D2"/>
    <w:rsid w:val="00077B84"/>
    <w:rsid w:val="00081DAE"/>
    <w:rsid w:val="00091CF3"/>
    <w:rsid w:val="000C15B1"/>
    <w:rsid w:val="000E1103"/>
    <w:rsid w:val="00165781"/>
    <w:rsid w:val="00175F35"/>
    <w:rsid w:val="00180698"/>
    <w:rsid w:val="001A02CB"/>
    <w:rsid w:val="001C4984"/>
    <w:rsid w:val="001C76B2"/>
    <w:rsid w:val="001E2430"/>
    <w:rsid w:val="001F46EF"/>
    <w:rsid w:val="00206FA8"/>
    <w:rsid w:val="002151B0"/>
    <w:rsid w:val="0023321D"/>
    <w:rsid w:val="002425C5"/>
    <w:rsid w:val="00285D60"/>
    <w:rsid w:val="0029099C"/>
    <w:rsid w:val="00291C30"/>
    <w:rsid w:val="0029517D"/>
    <w:rsid w:val="002A5BBA"/>
    <w:rsid w:val="002A79FF"/>
    <w:rsid w:val="002D669B"/>
    <w:rsid w:val="002E6B50"/>
    <w:rsid w:val="0030442C"/>
    <w:rsid w:val="00314B3A"/>
    <w:rsid w:val="0032118C"/>
    <w:rsid w:val="003234FD"/>
    <w:rsid w:val="00330977"/>
    <w:rsid w:val="00340E35"/>
    <w:rsid w:val="00343054"/>
    <w:rsid w:val="00357E7F"/>
    <w:rsid w:val="00371250"/>
    <w:rsid w:val="00385CE3"/>
    <w:rsid w:val="00387685"/>
    <w:rsid w:val="00397306"/>
    <w:rsid w:val="003C0B03"/>
    <w:rsid w:val="0045040E"/>
    <w:rsid w:val="00453E41"/>
    <w:rsid w:val="00467749"/>
    <w:rsid w:val="00482DFD"/>
    <w:rsid w:val="0049022E"/>
    <w:rsid w:val="004A5B39"/>
    <w:rsid w:val="004B4D2C"/>
    <w:rsid w:val="004D4307"/>
    <w:rsid w:val="004D621E"/>
    <w:rsid w:val="004D7BD0"/>
    <w:rsid w:val="004E467D"/>
    <w:rsid w:val="004F6A55"/>
    <w:rsid w:val="005112D0"/>
    <w:rsid w:val="00515485"/>
    <w:rsid w:val="005243DC"/>
    <w:rsid w:val="0054327C"/>
    <w:rsid w:val="0054596C"/>
    <w:rsid w:val="0055030D"/>
    <w:rsid w:val="00564898"/>
    <w:rsid w:val="00567299"/>
    <w:rsid w:val="00567DFF"/>
    <w:rsid w:val="00582E62"/>
    <w:rsid w:val="005B7E88"/>
    <w:rsid w:val="005C25F4"/>
    <w:rsid w:val="005E2AD4"/>
    <w:rsid w:val="00607EEB"/>
    <w:rsid w:val="00627276"/>
    <w:rsid w:val="00644B20"/>
    <w:rsid w:val="00671E4F"/>
    <w:rsid w:val="00682A27"/>
    <w:rsid w:val="00691A00"/>
    <w:rsid w:val="006954E8"/>
    <w:rsid w:val="006D5D66"/>
    <w:rsid w:val="006D6C9A"/>
    <w:rsid w:val="006E05E5"/>
    <w:rsid w:val="006E0D29"/>
    <w:rsid w:val="00721EA7"/>
    <w:rsid w:val="00746F22"/>
    <w:rsid w:val="00762974"/>
    <w:rsid w:val="007877C9"/>
    <w:rsid w:val="00790AE7"/>
    <w:rsid w:val="00795EDE"/>
    <w:rsid w:val="007A051E"/>
    <w:rsid w:val="007C099B"/>
    <w:rsid w:val="007C768D"/>
    <w:rsid w:val="007D6E3B"/>
    <w:rsid w:val="007E54EB"/>
    <w:rsid w:val="00807910"/>
    <w:rsid w:val="008156E1"/>
    <w:rsid w:val="00827956"/>
    <w:rsid w:val="00842677"/>
    <w:rsid w:val="00845293"/>
    <w:rsid w:val="0084676D"/>
    <w:rsid w:val="00852662"/>
    <w:rsid w:val="008642E4"/>
    <w:rsid w:val="00877A30"/>
    <w:rsid w:val="00882D97"/>
    <w:rsid w:val="008C1BF5"/>
    <w:rsid w:val="008C4695"/>
    <w:rsid w:val="008F50C5"/>
    <w:rsid w:val="00902592"/>
    <w:rsid w:val="009321D7"/>
    <w:rsid w:val="00935096"/>
    <w:rsid w:val="0093525B"/>
    <w:rsid w:val="00940C1B"/>
    <w:rsid w:val="00942997"/>
    <w:rsid w:val="009450E8"/>
    <w:rsid w:val="00962129"/>
    <w:rsid w:val="00963A47"/>
    <w:rsid w:val="00967F78"/>
    <w:rsid w:val="0098274A"/>
    <w:rsid w:val="00987F84"/>
    <w:rsid w:val="009D62EC"/>
    <w:rsid w:val="009F094C"/>
    <w:rsid w:val="009F0A18"/>
    <w:rsid w:val="00A11759"/>
    <w:rsid w:val="00A11DC3"/>
    <w:rsid w:val="00A46B61"/>
    <w:rsid w:val="00A5003B"/>
    <w:rsid w:val="00A5105F"/>
    <w:rsid w:val="00A60D2B"/>
    <w:rsid w:val="00A8447D"/>
    <w:rsid w:val="00AF3371"/>
    <w:rsid w:val="00B4052B"/>
    <w:rsid w:val="00B661D1"/>
    <w:rsid w:val="00B70993"/>
    <w:rsid w:val="00B87F5E"/>
    <w:rsid w:val="00B9313F"/>
    <w:rsid w:val="00BA0D3B"/>
    <w:rsid w:val="00BB7520"/>
    <w:rsid w:val="00BE555B"/>
    <w:rsid w:val="00C011E2"/>
    <w:rsid w:val="00C1453C"/>
    <w:rsid w:val="00C156A2"/>
    <w:rsid w:val="00C234ED"/>
    <w:rsid w:val="00C2447E"/>
    <w:rsid w:val="00C32E56"/>
    <w:rsid w:val="00C42965"/>
    <w:rsid w:val="00C42F84"/>
    <w:rsid w:val="00C47BBD"/>
    <w:rsid w:val="00C62AE7"/>
    <w:rsid w:val="00C66FD8"/>
    <w:rsid w:val="00C67A98"/>
    <w:rsid w:val="00C84B0A"/>
    <w:rsid w:val="00C867A5"/>
    <w:rsid w:val="00CA0416"/>
    <w:rsid w:val="00CD12B6"/>
    <w:rsid w:val="00CF0D1B"/>
    <w:rsid w:val="00CF7272"/>
    <w:rsid w:val="00D25DE4"/>
    <w:rsid w:val="00D270E8"/>
    <w:rsid w:val="00D6147E"/>
    <w:rsid w:val="00D6595F"/>
    <w:rsid w:val="00D731AA"/>
    <w:rsid w:val="00D84966"/>
    <w:rsid w:val="00D85A8D"/>
    <w:rsid w:val="00D9204D"/>
    <w:rsid w:val="00DA4C04"/>
    <w:rsid w:val="00DB002A"/>
    <w:rsid w:val="00DB4606"/>
    <w:rsid w:val="00DC3863"/>
    <w:rsid w:val="00DC73F8"/>
    <w:rsid w:val="00DE3FCC"/>
    <w:rsid w:val="00E0247C"/>
    <w:rsid w:val="00E13851"/>
    <w:rsid w:val="00E13A76"/>
    <w:rsid w:val="00E44A61"/>
    <w:rsid w:val="00E5625E"/>
    <w:rsid w:val="00E625E1"/>
    <w:rsid w:val="00E65FD9"/>
    <w:rsid w:val="00E76DEB"/>
    <w:rsid w:val="00E8212A"/>
    <w:rsid w:val="00E868E0"/>
    <w:rsid w:val="00EA7153"/>
    <w:rsid w:val="00EB0204"/>
    <w:rsid w:val="00EE467E"/>
    <w:rsid w:val="00EF3192"/>
    <w:rsid w:val="00EF761F"/>
    <w:rsid w:val="00F231C5"/>
    <w:rsid w:val="00F360DB"/>
    <w:rsid w:val="00F52010"/>
    <w:rsid w:val="00F53BFF"/>
    <w:rsid w:val="00F60913"/>
    <w:rsid w:val="00F61F73"/>
    <w:rsid w:val="00F76773"/>
    <w:rsid w:val="00F80642"/>
    <w:rsid w:val="00F92817"/>
    <w:rsid w:val="00FB3DB2"/>
    <w:rsid w:val="00FE1C9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3">
    <w:name w:val="heading 3"/>
    <w:basedOn w:val="Normale"/>
    <w:link w:val="Titolo3Carattere"/>
    <w:uiPriority w:val="9"/>
    <w:qFormat/>
    <w:rsid w:val="00091CF3"/>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45040E"/>
  </w:style>
  <w:style w:type="paragraph" w:styleId="Paragrafoelenco">
    <w:name w:val="List Paragraph"/>
    <w:basedOn w:val="Normale"/>
    <w:uiPriority w:val="34"/>
    <w:qFormat/>
    <w:rsid w:val="0045040E"/>
    <w:pPr>
      <w:spacing w:before="120" w:after="0" w:line="340" w:lineRule="exact"/>
      <w:ind w:left="720"/>
      <w:contextualSpacing/>
    </w:pPr>
  </w:style>
  <w:style w:type="paragraph" w:customStyle="1" w:styleId="default">
    <w:name w:val="default"/>
    <w:basedOn w:val="Normale"/>
    <w:rsid w:val="009321D7"/>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p">
    <w:name w:val="p"/>
    <w:basedOn w:val="Normale"/>
    <w:rsid w:val="009321D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label3">
    <w:name w:val="label3"/>
    <w:basedOn w:val="Carpredefinitoparagrafo"/>
    <w:rsid w:val="00CD12B6"/>
    <w:rPr>
      <w:b/>
      <w:bCs/>
    </w:rPr>
  </w:style>
  <w:style w:type="paragraph" w:customStyle="1" w:styleId="downloadtopowerpoint1">
    <w:name w:val="downloadtopowerpoint1"/>
    <w:basedOn w:val="Normale"/>
    <w:rsid w:val="00CD12B6"/>
    <w:pPr>
      <w:spacing w:after="100" w:afterAutospacing="1" w:line="360" w:lineRule="atLeast"/>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CD12B6"/>
    <w:rPr>
      <w:i/>
      <w:iCs/>
    </w:rPr>
  </w:style>
  <w:style w:type="paragraph" w:styleId="Testofumetto">
    <w:name w:val="Balloon Text"/>
    <w:basedOn w:val="Normale"/>
    <w:link w:val="TestofumettoCarattere"/>
    <w:uiPriority w:val="99"/>
    <w:semiHidden/>
    <w:unhideWhenUsed/>
    <w:rsid w:val="00CD12B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D12B6"/>
    <w:rPr>
      <w:rFonts w:ascii="Tahoma" w:hAnsi="Tahoma" w:cs="Tahoma"/>
      <w:sz w:val="16"/>
      <w:szCs w:val="16"/>
    </w:rPr>
  </w:style>
  <w:style w:type="character" w:styleId="Collegamentoipertestuale">
    <w:name w:val="Hyperlink"/>
    <w:basedOn w:val="Carpredefinitoparagrafo"/>
    <w:unhideWhenUsed/>
    <w:rsid w:val="00F53BFF"/>
    <w:rPr>
      <w:color w:val="0000FF"/>
      <w:u w:val="single"/>
    </w:rPr>
  </w:style>
  <w:style w:type="character" w:customStyle="1" w:styleId="current-selection">
    <w:name w:val="current-selection"/>
    <w:basedOn w:val="Carpredefinitoparagrafo"/>
    <w:rsid w:val="0055030D"/>
  </w:style>
  <w:style w:type="character" w:customStyle="1" w:styleId="a">
    <w:name w:val="_"/>
    <w:basedOn w:val="Carpredefinitoparagrafo"/>
    <w:rsid w:val="0055030D"/>
  </w:style>
  <w:style w:type="character" w:customStyle="1" w:styleId="enhanced-reference">
    <w:name w:val="enhanced-reference"/>
    <w:basedOn w:val="Carpredefinitoparagrafo"/>
    <w:rsid w:val="0055030D"/>
  </w:style>
  <w:style w:type="character" w:customStyle="1" w:styleId="Titolo3Carattere">
    <w:name w:val="Titolo 3 Carattere"/>
    <w:basedOn w:val="Carpredefinitoparagrafo"/>
    <w:link w:val="Titolo3"/>
    <w:uiPriority w:val="9"/>
    <w:rsid w:val="00091CF3"/>
    <w:rPr>
      <w:rFonts w:ascii="Times New Roman" w:eastAsia="Times New Roman" w:hAnsi="Times New Roman" w:cs="Times New Roman"/>
      <w:b/>
      <w:bCs/>
      <w:sz w:val="27"/>
      <w:szCs w:val="27"/>
      <w:lang w:eastAsia="it-IT"/>
    </w:rPr>
  </w:style>
  <w:style w:type="character" w:customStyle="1" w:styleId="element-citation">
    <w:name w:val="element-citation"/>
    <w:basedOn w:val="Carpredefinitoparagrafo"/>
    <w:rsid w:val="0029517D"/>
  </w:style>
  <w:style w:type="character" w:customStyle="1" w:styleId="ref-journal">
    <w:name w:val="ref-journal"/>
    <w:basedOn w:val="Carpredefinitoparagrafo"/>
    <w:rsid w:val="0029517D"/>
  </w:style>
  <w:style w:type="character" w:customStyle="1" w:styleId="ref-vol">
    <w:name w:val="ref-vol"/>
    <w:basedOn w:val="Carpredefinitoparagrafo"/>
    <w:rsid w:val="0029517D"/>
  </w:style>
  <w:style w:type="character" w:styleId="CitazioneHTML">
    <w:name w:val="HTML Cite"/>
    <w:basedOn w:val="Carpredefinitoparagrafo"/>
    <w:uiPriority w:val="99"/>
    <w:semiHidden/>
    <w:unhideWhenUsed/>
    <w:rsid w:val="00A11759"/>
    <w:rPr>
      <w:i/>
      <w:iCs/>
    </w:rPr>
  </w:style>
  <w:style w:type="character" w:customStyle="1" w:styleId="author">
    <w:name w:val="author"/>
    <w:basedOn w:val="Carpredefinitoparagrafo"/>
    <w:rsid w:val="00A11759"/>
  </w:style>
  <w:style w:type="character" w:customStyle="1" w:styleId="articletitle">
    <w:name w:val="articletitle"/>
    <w:basedOn w:val="Carpredefinitoparagrafo"/>
    <w:rsid w:val="00A11759"/>
  </w:style>
  <w:style w:type="character" w:customStyle="1" w:styleId="journaltitle2">
    <w:name w:val="journaltitle2"/>
    <w:basedOn w:val="Carpredefinitoparagrafo"/>
    <w:rsid w:val="00A11759"/>
    <w:rPr>
      <w:i/>
      <w:iCs/>
    </w:rPr>
  </w:style>
  <w:style w:type="character" w:customStyle="1" w:styleId="pubyear">
    <w:name w:val="pubyear"/>
    <w:basedOn w:val="Carpredefinitoparagrafo"/>
    <w:rsid w:val="00A11759"/>
  </w:style>
  <w:style w:type="character" w:customStyle="1" w:styleId="vol2">
    <w:name w:val="vol2"/>
    <w:basedOn w:val="Carpredefinitoparagrafo"/>
    <w:rsid w:val="00A11759"/>
    <w:rPr>
      <w:b/>
      <w:bCs/>
    </w:rPr>
  </w:style>
  <w:style w:type="character" w:customStyle="1" w:styleId="pagefirst">
    <w:name w:val="pagefirst"/>
    <w:basedOn w:val="Carpredefinitoparagrafo"/>
    <w:rsid w:val="00A11759"/>
  </w:style>
  <w:style w:type="character" w:customStyle="1" w:styleId="pagelast">
    <w:name w:val="pagelast"/>
    <w:basedOn w:val="Carpredefinitoparagrafo"/>
    <w:rsid w:val="00A11759"/>
  </w:style>
  <w:style w:type="character" w:customStyle="1" w:styleId="highlight2">
    <w:name w:val="highlight2"/>
    <w:basedOn w:val="Carpredefinitoparagrafo"/>
    <w:rsid w:val="00FB3DB2"/>
  </w:style>
  <w:style w:type="character" w:styleId="Collegamentovisitato">
    <w:name w:val="FollowedHyperlink"/>
    <w:basedOn w:val="Carpredefinitoparagrafo"/>
    <w:uiPriority w:val="99"/>
    <w:semiHidden/>
    <w:unhideWhenUsed/>
    <w:rsid w:val="0030442C"/>
    <w:rPr>
      <w:color w:val="800080" w:themeColor="followedHyperlink"/>
      <w:u w:val="single"/>
    </w:rPr>
  </w:style>
  <w:style w:type="character" w:customStyle="1" w:styleId="pdficonsmall1">
    <w:name w:val="pdficonsmall1"/>
    <w:basedOn w:val="Carpredefinitoparagrafo"/>
    <w:rsid w:val="00A5003B"/>
    <w:rPr>
      <w:sz w:val="24"/>
      <w:szCs w:val="24"/>
      <w:bdr w:val="none" w:sz="0" w:space="0" w:color="auto" w:frame="1"/>
      <w:vertAlign w:val="baseline"/>
    </w:rPr>
  </w:style>
  <w:style w:type="character" w:customStyle="1" w:styleId="citedby">
    <w:name w:val="citedby_"/>
    <w:basedOn w:val="Carpredefinitoparagrafo"/>
    <w:rsid w:val="00A5003B"/>
    <w:rPr>
      <w:sz w:val="24"/>
      <w:szCs w:val="24"/>
      <w:bdr w:val="none" w:sz="0" w:space="0" w:color="auto" w:frame="1"/>
      <w:vertAlign w:val="baseline"/>
    </w:rPr>
  </w:style>
  <w:style w:type="paragraph" w:styleId="NormaleWeb">
    <w:name w:val="Normal (Web)"/>
    <w:basedOn w:val="Normale"/>
    <w:uiPriority w:val="99"/>
    <w:semiHidden/>
    <w:unhideWhenUsed/>
    <w:rsid w:val="00A60D2B"/>
    <w:pPr>
      <w:spacing w:before="100" w:beforeAutospacing="1" w:after="100" w:afterAutospacing="1" w:line="240" w:lineRule="auto"/>
    </w:pPr>
    <w:rPr>
      <w:rFonts w:ascii="Times New Roman" w:eastAsia="Times New Roman" w:hAnsi="Times New Roman" w:cs="Times New Roman"/>
      <w:sz w:val="24"/>
      <w:szCs w:val="24"/>
      <w:lang w:eastAsia="it-IT"/>
    </w:rPr>
  </w:style>
  <w:style w:type="table" w:styleId="Grigliatabella">
    <w:name w:val="Table Grid"/>
    <w:basedOn w:val="Tabellanormale"/>
    <w:uiPriority w:val="59"/>
    <w:rsid w:val="008C46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normale">
    <w:name w:val="Plain Text"/>
    <w:basedOn w:val="Normale"/>
    <w:link w:val="TestonormaleCarattere"/>
    <w:uiPriority w:val="99"/>
    <w:semiHidden/>
    <w:unhideWhenUsed/>
    <w:rsid w:val="00D84966"/>
    <w:pPr>
      <w:spacing w:after="0" w:line="240" w:lineRule="auto"/>
    </w:pPr>
    <w:rPr>
      <w:rFonts w:ascii="Calibri" w:eastAsia="Times New Roman" w:hAnsi="Calibri" w:cs="Times New Roman"/>
      <w:lang w:eastAsia="it-IT"/>
    </w:rPr>
  </w:style>
  <w:style w:type="character" w:customStyle="1" w:styleId="TestonormaleCarattere">
    <w:name w:val="Testo normale Carattere"/>
    <w:basedOn w:val="Carpredefinitoparagrafo"/>
    <w:link w:val="Testonormale"/>
    <w:uiPriority w:val="99"/>
    <w:semiHidden/>
    <w:rsid w:val="00D84966"/>
    <w:rPr>
      <w:rFonts w:ascii="Calibri" w:eastAsia="Times New Roman" w:hAnsi="Calibri" w:cs="Times New Roman"/>
      <w:lang w:eastAsia="it-IT"/>
    </w:rPr>
  </w:style>
  <w:style w:type="paragraph" w:styleId="Intestazione">
    <w:name w:val="header"/>
    <w:basedOn w:val="Normale"/>
    <w:link w:val="IntestazioneCarattere"/>
    <w:uiPriority w:val="99"/>
    <w:unhideWhenUsed/>
    <w:rsid w:val="00DB460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B4606"/>
  </w:style>
  <w:style w:type="paragraph" w:styleId="Pidipagina">
    <w:name w:val="footer"/>
    <w:basedOn w:val="Normale"/>
    <w:link w:val="PidipaginaCarattere"/>
    <w:uiPriority w:val="99"/>
    <w:unhideWhenUsed/>
    <w:rsid w:val="00DB460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B460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3">
    <w:name w:val="heading 3"/>
    <w:basedOn w:val="Normale"/>
    <w:link w:val="Titolo3Carattere"/>
    <w:uiPriority w:val="9"/>
    <w:qFormat/>
    <w:rsid w:val="00091CF3"/>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45040E"/>
  </w:style>
  <w:style w:type="paragraph" w:styleId="Paragrafoelenco">
    <w:name w:val="List Paragraph"/>
    <w:basedOn w:val="Normale"/>
    <w:uiPriority w:val="34"/>
    <w:qFormat/>
    <w:rsid w:val="0045040E"/>
    <w:pPr>
      <w:spacing w:before="120" w:after="0" w:line="340" w:lineRule="exact"/>
      <w:ind w:left="720"/>
      <w:contextualSpacing/>
    </w:pPr>
  </w:style>
  <w:style w:type="paragraph" w:customStyle="1" w:styleId="default">
    <w:name w:val="default"/>
    <w:basedOn w:val="Normale"/>
    <w:rsid w:val="009321D7"/>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p">
    <w:name w:val="p"/>
    <w:basedOn w:val="Normale"/>
    <w:rsid w:val="009321D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label3">
    <w:name w:val="label3"/>
    <w:basedOn w:val="Carpredefinitoparagrafo"/>
    <w:rsid w:val="00CD12B6"/>
    <w:rPr>
      <w:b/>
      <w:bCs/>
    </w:rPr>
  </w:style>
  <w:style w:type="paragraph" w:customStyle="1" w:styleId="downloadtopowerpoint1">
    <w:name w:val="downloadtopowerpoint1"/>
    <w:basedOn w:val="Normale"/>
    <w:rsid w:val="00CD12B6"/>
    <w:pPr>
      <w:spacing w:after="100" w:afterAutospacing="1" w:line="360" w:lineRule="atLeast"/>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CD12B6"/>
    <w:rPr>
      <w:i/>
      <w:iCs/>
    </w:rPr>
  </w:style>
  <w:style w:type="paragraph" w:styleId="Testofumetto">
    <w:name w:val="Balloon Text"/>
    <w:basedOn w:val="Normale"/>
    <w:link w:val="TestofumettoCarattere"/>
    <w:uiPriority w:val="99"/>
    <w:semiHidden/>
    <w:unhideWhenUsed/>
    <w:rsid w:val="00CD12B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D12B6"/>
    <w:rPr>
      <w:rFonts w:ascii="Tahoma" w:hAnsi="Tahoma" w:cs="Tahoma"/>
      <w:sz w:val="16"/>
      <w:szCs w:val="16"/>
    </w:rPr>
  </w:style>
  <w:style w:type="character" w:styleId="Collegamentoipertestuale">
    <w:name w:val="Hyperlink"/>
    <w:basedOn w:val="Carpredefinitoparagrafo"/>
    <w:unhideWhenUsed/>
    <w:rsid w:val="00F53BFF"/>
    <w:rPr>
      <w:color w:val="0000FF"/>
      <w:u w:val="single"/>
    </w:rPr>
  </w:style>
  <w:style w:type="character" w:customStyle="1" w:styleId="current-selection">
    <w:name w:val="current-selection"/>
    <w:basedOn w:val="Carpredefinitoparagrafo"/>
    <w:rsid w:val="0055030D"/>
  </w:style>
  <w:style w:type="character" w:customStyle="1" w:styleId="a">
    <w:name w:val="_"/>
    <w:basedOn w:val="Carpredefinitoparagrafo"/>
    <w:rsid w:val="0055030D"/>
  </w:style>
  <w:style w:type="character" w:customStyle="1" w:styleId="enhanced-reference">
    <w:name w:val="enhanced-reference"/>
    <w:basedOn w:val="Carpredefinitoparagrafo"/>
    <w:rsid w:val="0055030D"/>
  </w:style>
  <w:style w:type="character" w:customStyle="1" w:styleId="Titolo3Carattere">
    <w:name w:val="Titolo 3 Carattere"/>
    <w:basedOn w:val="Carpredefinitoparagrafo"/>
    <w:link w:val="Titolo3"/>
    <w:uiPriority w:val="9"/>
    <w:rsid w:val="00091CF3"/>
    <w:rPr>
      <w:rFonts w:ascii="Times New Roman" w:eastAsia="Times New Roman" w:hAnsi="Times New Roman" w:cs="Times New Roman"/>
      <w:b/>
      <w:bCs/>
      <w:sz w:val="27"/>
      <w:szCs w:val="27"/>
      <w:lang w:eastAsia="it-IT"/>
    </w:rPr>
  </w:style>
  <w:style w:type="character" w:customStyle="1" w:styleId="element-citation">
    <w:name w:val="element-citation"/>
    <w:basedOn w:val="Carpredefinitoparagrafo"/>
    <w:rsid w:val="0029517D"/>
  </w:style>
  <w:style w:type="character" w:customStyle="1" w:styleId="ref-journal">
    <w:name w:val="ref-journal"/>
    <w:basedOn w:val="Carpredefinitoparagrafo"/>
    <w:rsid w:val="0029517D"/>
  </w:style>
  <w:style w:type="character" w:customStyle="1" w:styleId="ref-vol">
    <w:name w:val="ref-vol"/>
    <w:basedOn w:val="Carpredefinitoparagrafo"/>
    <w:rsid w:val="0029517D"/>
  </w:style>
  <w:style w:type="character" w:styleId="CitazioneHTML">
    <w:name w:val="HTML Cite"/>
    <w:basedOn w:val="Carpredefinitoparagrafo"/>
    <w:uiPriority w:val="99"/>
    <w:semiHidden/>
    <w:unhideWhenUsed/>
    <w:rsid w:val="00A11759"/>
    <w:rPr>
      <w:i/>
      <w:iCs/>
    </w:rPr>
  </w:style>
  <w:style w:type="character" w:customStyle="1" w:styleId="author">
    <w:name w:val="author"/>
    <w:basedOn w:val="Carpredefinitoparagrafo"/>
    <w:rsid w:val="00A11759"/>
  </w:style>
  <w:style w:type="character" w:customStyle="1" w:styleId="articletitle">
    <w:name w:val="articletitle"/>
    <w:basedOn w:val="Carpredefinitoparagrafo"/>
    <w:rsid w:val="00A11759"/>
  </w:style>
  <w:style w:type="character" w:customStyle="1" w:styleId="journaltitle2">
    <w:name w:val="journaltitle2"/>
    <w:basedOn w:val="Carpredefinitoparagrafo"/>
    <w:rsid w:val="00A11759"/>
    <w:rPr>
      <w:i/>
      <w:iCs/>
    </w:rPr>
  </w:style>
  <w:style w:type="character" w:customStyle="1" w:styleId="pubyear">
    <w:name w:val="pubyear"/>
    <w:basedOn w:val="Carpredefinitoparagrafo"/>
    <w:rsid w:val="00A11759"/>
  </w:style>
  <w:style w:type="character" w:customStyle="1" w:styleId="vol2">
    <w:name w:val="vol2"/>
    <w:basedOn w:val="Carpredefinitoparagrafo"/>
    <w:rsid w:val="00A11759"/>
    <w:rPr>
      <w:b/>
      <w:bCs/>
    </w:rPr>
  </w:style>
  <w:style w:type="character" w:customStyle="1" w:styleId="pagefirst">
    <w:name w:val="pagefirst"/>
    <w:basedOn w:val="Carpredefinitoparagrafo"/>
    <w:rsid w:val="00A11759"/>
  </w:style>
  <w:style w:type="character" w:customStyle="1" w:styleId="pagelast">
    <w:name w:val="pagelast"/>
    <w:basedOn w:val="Carpredefinitoparagrafo"/>
    <w:rsid w:val="00A11759"/>
  </w:style>
  <w:style w:type="character" w:customStyle="1" w:styleId="highlight2">
    <w:name w:val="highlight2"/>
    <w:basedOn w:val="Carpredefinitoparagrafo"/>
    <w:rsid w:val="00FB3DB2"/>
  </w:style>
  <w:style w:type="character" w:styleId="Collegamentovisitato">
    <w:name w:val="FollowedHyperlink"/>
    <w:basedOn w:val="Carpredefinitoparagrafo"/>
    <w:uiPriority w:val="99"/>
    <w:semiHidden/>
    <w:unhideWhenUsed/>
    <w:rsid w:val="0030442C"/>
    <w:rPr>
      <w:color w:val="800080" w:themeColor="followedHyperlink"/>
      <w:u w:val="single"/>
    </w:rPr>
  </w:style>
  <w:style w:type="character" w:customStyle="1" w:styleId="pdficonsmall1">
    <w:name w:val="pdficonsmall1"/>
    <w:basedOn w:val="Carpredefinitoparagrafo"/>
    <w:rsid w:val="00A5003B"/>
    <w:rPr>
      <w:sz w:val="24"/>
      <w:szCs w:val="24"/>
      <w:bdr w:val="none" w:sz="0" w:space="0" w:color="auto" w:frame="1"/>
      <w:vertAlign w:val="baseline"/>
    </w:rPr>
  </w:style>
  <w:style w:type="character" w:customStyle="1" w:styleId="citedby">
    <w:name w:val="citedby_"/>
    <w:basedOn w:val="Carpredefinitoparagrafo"/>
    <w:rsid w:val="00A5003B"/>
    <w:rPr>
      <w:sz w:val="24"/>
      <w:szCs w:val="24"/>
      <w:bdr w:val="none" w:sz="0" w:space="0" w:color="auto" w:frame="1"/>
      <w:vertAlign w:val="baseline"/>
    </w:rPr>
  </w:style>
  <w:style w:type="paragraph" w:styleId="NormaleWeb">
    <w:name w:val="Normal (Web)"/>
    <w:basedOn w:val="Normale"/>
    <w:uiPriority w:val="99"/>
    <w:semiHidden/>
    <w:unhideWhenUsed/>
    <w:rsid w:val="00A60D2B"/>
    <w:pPr>
      <w:spacing w:before="100" w:beforeAutospacing="1" w:after="100" w:afterAutospacing="1" w:line="240" w:lineRule="auto"/>
    </w:pPr>
    <w:rPr>
      <w:rFonts w:ascii="Times New Roman" w:eastAsia="Times New Roman" w:hAnsi="Times New Roman" w:cs="Times New Roman"/>
      <w:sz w:val="24"/>
      <w:szCs w:val="24"/>
      <w:lang w:eastAsia="it-IT"/>
    </w:rPr>
  </w:style>
  <w:style w:type="table" w:styleId="Grigliatabella">
    <w:name w:val="Table Grid"/>
    <w:basedOn w:val="Tabellanormale"/>
    <w:uiPriority w:val="59"/>
    <w:rsid w:val="008C46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normale">
    <w:name w:val="Plain Text"/>
    <w:basedOn w:val="Normale"/>
    <w:link w:val="TestonormaleCarattere"/>
    <w:uiPriority w:val="99"/>
    <w:semiHidden/>
    <w:unhideWhenUsed/>
    <w:rsid w:val="00D84966"/>
    <w:pPr>
      <w:spacing w:after="0" w:line="240" w:lineRule="auto"/>
    </w:pPr>
    <w:rPr>
      <w:rFonts w:ascii="Calibri" w:eastAsia="Times New Roman" w:hAnsi="Calibri" w:cs="Times New Roman"/>
      <w:lang w:eastAsia="it-IT"/>
    </w:rPr>
  </w:style>
  <w:style w:type="character" w:customStyle="1" w:styleId="TestonormaleCarattere">
    <w:name w:val="Testo normale Carattere"/>
    <w:basedOn w:val="Carpredefinitoparagrafo"/>
    <w:link w:val="Testonormale"/>
    <w:uiPriority w:val="99"/>
    <w:semiHidden/>
    <w:rsid w:val="00D84966"/>
    <w:rPr>
      <w:rFonts w:ascii="Calibri" w:eastAsia="Times New Roman" w:hAnsi="Calibri" w:cs="Times New Roman"/>
      <w:lang w:eastAsia="it-IT"/>
    </w:rPr>
  </w:style>
  <w:style w:type="paragraph" w:styleId="Intestazione">
    <w:name w:val="header"/>
    <w:basedOn w:val="Normale"/>
    <w:link w:val="IntestazioneCarattere"/>
    <w:uiPriority w:val="99"/>
    <w:unhideWhenUsed/>
    <w:rsid w:val="00DB460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B4606"/>
  </w:style>
  <w:style w:type="paragraph" w:styleId="Pidipagina">
    <w:name w:val="footer"/>
    <w:basedOn w:val="Normale"/>
    <w:link w:val="PidipaginaCarattere"/>
    <w:uiPriority w:val="99"/>
    <w:unhideWhenUsed/>
    <w:rsid w:val="00DB460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B46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18114">
      <w:bodyDiv w:val="1"/>
      <w:marLeft w:val="0"/>
      <w:marRight w:val="0"/>
      <w:marTop w:val="0"/>
      <w:marBottom w:val="0"/>
      <w:divBdr>
        <w:top w:val="none" w:sz="0" w:space="0" w:color="auto"/>
        <w:left w:val="none" w:sz="0" w:space="0" w:color="auto"/>
        <w:bottom w:val="none" w:sz="0" w:space="0" w:color="auto"/>
        <w:right w:val="none" w:sz="0" w:space="0" w:color="auto"/>
      </w:divBdr>
    </w:div>
    <w:div w:id="253831532">
      <w:bodyDiv w:val="1"/>
      <w:marLeft w:val="0"/>
      <w:marRight w:val="0"/>
      <w:marTop w:val="0"/>
      <w:marBottom w:val="0"/>
      <w:divBdr>
        <w:top w:val="none" w:sz="0" w:space="0" w:color="auto"/>
        <w:left w:val="none" w:sz="0" w:space="0" w:color="auto"/>
        <w:bottom w:val="none" w:sz="0" w:space="0" w:color="auto"/>
        <w:right w:val="none" w:sz="0" w:space="0" w:color="auto"/>
      </w:divBdr>
      <w:divsChild>
        <w:div w:id="2108844473">
          <w:marLeft w:val="0"/>
          <w:marRight w:val="0"/>
          <w:marTop w:val="0"/>
          <w:marBottom w:val="0"/>
          <w:divBdr>
            <w:top w:val="single" w:sz="2" w:space="0" w:color="2E2E2E"/>
            <w:left w:val="single" w:sz="2" w:space="0" w:color="2E2E2E"/>
            <w:bottom w:val="single" w:sz="2" w:space="0" w:color="2E2E2E"/>
            <w:right w:val="single" w:sz="2" w:space="0" w:color="2E2E2E"/>
          </w:divBdr>
          <w:divsChild>
            <w:div w:id="435448512">
              <w:marLeft w:val="0"/>
              <w:marRight w:val="0"/>
              <w:marTop w:val="0"/>
              <w:marBottom w:val="0"/>
              <w:divBdr>
                <w:top w:val="single" w:sz="6" w:space="0" w:color="C9C9C9"/>
                <w:left w:val="none" w:sz="0" w:space="0" w:color="auto"/>
                <w:bottom w:val="none" w:sz="0" w:space="0" w:color="auto"/>
                <w:right w:val="none" w:sz="0" w:space="0" w:color="auto"/>
              </w:divBdr>
              <w:divsChild>
                <w:div w:id="813915637">
                  <w:marLeft w:val="0"/>
                  <w:marRight w:val="0"/>
                  <w:marTop w:val="0"/>
                  <w:marBottom w:val="0"/>
                  <w:divBdr>
                    <w:top w:val="none" w:sz="0" w:space="0" w:color="auto"/>
                    <w:left w:val="none" w:sz="0" w:space="0" w:color="auto"/>
                    <w:bottom w:val="none" w:sz="0" w:space="0" w:color="auto"/>
                    <w:right w:val="none" w:sz="0" w:space="0" w:color="auto"/>
                  </w:divBdr>
                  <w:divsChild>
                    <w:div w:id="1879706059">
                      <w:marLeft w:val="0"/>
                      <w:marRight w:val="0"/>
                      <w:marTop w:val="0"/>
                      <w:marBottom w:val="0"/>
                      <w:divBdr>
                        <w:top w:val="none" w:sz="0" w:space="0" w:color="auto"/>
                        <w:left w:val="none" w:sz="0" w:space="0" w:color="auto"/>
                        <w:bottom w:val="none" w:sz="0" w:space="0" w:color="auto"/>
                        <w:right w:val="none" w:sz="0" w:space="0" w:color="auto"/>
                      </w:divBdr>
                      <w:divsChild>
                        <w:div w:id="1679842837">
                          <w:marLeft w:val="0"/>
                          <w:marRight w:val="0"/>
                          <w:marTop w:val="0"/>
                          <w:marBottom w:val="0"/>
                          <w:divBdr>
                            <w:top w:val="none" w:sz="0" w:space="0" w:color="auto"/>
                            <w:left w:val="none" w:sz="0" w:space="0" w:color="auto"/>
                            <w:bottom w:val="none" w:sz="0" w:space="0" w:color="auto"/>
                            <w:right w:val="none" w:sz="0" w:space="0" w:color="auto"/>
                          </w:divBdr>
                          <w:divsChild>
                            <w:div w:id="1628319506">
                              <w:marLeft w:val="0"/>
                              <w:marRight w:val="0"/>
                              <w:marTop w:val="0"/>
                              <w:marBottom w:val="0"/>
                              <w:divBdr>
                                <w:top w:val="none" w:sz="0" w:space="0" w:color="auto"/>
                                <w:left w:val="none" w:sz="0" w:space="0" w:color="auto"/>
                                <w:bottom w:val="none" w:sz="0" w:space="0" w:color="auto"/>
                                <w:right w:val="none" w:sz="0" w:space="0" w:color="auto"/>
                              </w:divBdr>
                              <w:divsChild>
                                <w:div w:id="1766530272">
                                  <w:marLeft w:val="0"/>
                                  <w:marRight w:val="0"/>
                                  <w:marTop w:val="0"/>
                                  <w:marBottom w:val="0"/>
                                  <w:divBdr>
                                    <w:top w:val="none" w:sz="0" w:space="0" w:color="auto"/>
                                    <w:left w:val="none" w:sz="0" w:space="0" w:color="auto"/>
                                    <w:bottom w:val="none" w:sz="0" w:space="0" w:color="auto"/>
                                    <w:right w:val="none" w:sz="0" w:space="0" w:color="auto"/>
                                  </w:divBdr>
                                </w:div>
                                <w:div w:id="1258828815">
                                  <w:marLeft w:val="0"/>
                                  <w:marRight w:val="0"/>
                                  <w:marTop w:val="0"/>
                                  <w:marBottom w:val="0"/>
                                  <w:divBdr>
                                    <w:top w:val="none" w:sz="0" w:space="0" w:color="auto"/>
                                    <w:left w:val="none" w:sz="0" w:space="0" w:color="auto"/>
                                    <w:bottom w:val="none" w:sz="0" w:space="0" w:color="auto"/>
                                    <w:right w:val="none" w:sz="0" w:space="0" w:color="auto"/>
                                  </w:divBdr>
                                </w:div>
                                <w:div w:id="834027621">
                                  <w:marLeft w:val="0"/>
                                  <w:marRight w:val="0"/>
                                  <w:marTop w:val="0"/>
                                  <w:marBottom w:val="0"/>
                                  <w:divBdr>
                                    <w:top w:val="none" w:sz="0" w:space="0" w:color="auto"/>
                                    <w:left w:val="none" w:sz="0" w:space="0" w:color="auto"/>
                                    <w:bottom w:val="none" w:sz="0" w:space="0" w:color="auto"/>
                                    <w:right w:val="none" w:sz="0" w:space="0" w:color="auto"/>
                                  </w:divBdr>
                                </w:div>
                                <w:div w:id="199788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0894647">
      <w:bodyDiv w:val="1"/>
      <w:marLeft w:val="0"/>
      <w:marRight w:val="0"/>
      <w:marTop w:val="0"/>
      <w:marBottom w:val="0"/>
      <w:divBdr>
        <w:top w:val="none" w:sz="0" w:space="0" w:color="auto"/>
        <w:left w:val="none" w:sz="0" w:space="0" w:color="auto"/>
        <w:bottom w:val="none" w:sz="0" w:space="0" w:color="auto"/>
        <w:right w:val="none" w:sz="0" w:space="0" w:color="auto"/>
      </w:divBdr>
      <w:divsChild>
        <w:div w:id="1368480852">
          <w:marLeft w:val="0"/>
          <w:marRight w:val="0"/>
          <w:marTop w:val="0"/>
          <w:marBottom w:val="0"/>
          <w:divBdr>
            <w:top w:val="none" w:sz="0" w:space="0" w:color="auto"/>
            <w:left w:val="none" w:sz="0" w:space="0" w:color="auto"/>
            <w:bottom w:val="none" w:sz="0" w:space="0" w:color="auto"/>
            <w:right w:val="none" w:sz="0" w:space="0" w:color="auto"/>
          </w:divBdr>
          <w:divsChild>
            <w:div w:id="1012688218">
              <w:marLeft w:val="0"/>
              <w:marRight w:val="0"/>
              <w:marTop w:val="0"/>
              <w:marBottom w:val="0"/>
              <w:divBdr>
                <w:top w:val="none" w:sz="0" w:space="0" w:color="auto"/>
                <w:left w:val="none" w:sz="0" w:space="0" w:color="auto"/>
                <w:bottom w:val="none" w:sz="0" w:space="0" w:color="auto"/>
                <w:right w:val="none" w:sz="0" w:space="0" w:color="auto"/>
              </w:divBdr>
              <w:divsChild>
                <w:div w:id="563873714">
                  <w:marLeft w:val="0"/>
                  <w:marRight w:val="0"/>
                  <w:marTop w:val="0"/>
                  <w:marBottom w:val="0"/>
                  <w:divBdr>
                    <w:top w:val="none" w:sz="0" w:space="0" w:color="auto"/>
                    <w:left w:val="none" w:sz="0" w:space="0" w:color="auto"/>
                    <w:bottom w:val="none" w:sz="0" w:space="0" w:color="auto"/>
                    <w:right w:val="none" w:sz="0" w:space="0" w:color="auto"/>
                  </w:divBdr>
                  <w:divsChild>
                    <w:div w:id="594677238">
                      <w:marLeft w:val="0"/>
                      <w:marRight w:val="0"/>
                      <w:marTop w:val="0"/>
                      <w:marBottom w:val="0"/>
                      <w:divBdr>
                        <w:top w:val="none" w:sz="0" w:space="0" w:color="auto"/>
                        <w:left w:val="none" w:sz="0" w:space="0" w:color="auto"/>
                        <w:bottom w:val="none" w:sz="0" w:space="0" w:color="auto"/>
                        <w:right w:val="none" w:sz="0" w:space="0" w:color="auto"/>
                      </w:divBdr>
                      <w:divsChild>
                        <w:div w:id="1313558765">
                          <w:marLeft w:val="0"/>
                          <w:marRight w:val="0"/>
                          <w:marTop w:val="0"/>
                          <w:marBottom w:val="0"/>
                          <w:divBdr>
                            <w:top w:val="none" w:sz="0" w:space="0" w:color="auto"/>
                            <w:left w:val="none" w:sz="0" w:space="0" w:color="auto"/>
                            <w:bottom w:val="none" w:sz="0" w:space="0" w:color="auto"/>
                            <w:right w:val="none" w:sz="0" w:space="0" w:color="auto"/>
                          </w:divBdr>
                          <w:divsChild>
                            <w:div w:id="309136644">
                              <w:marLeft w:val="0"/>
                              <w:marRight w:val="0"/>
                              <w:marTop w:val="0"/>
                              <w:marBottom w:val="0"/>
                              <w:divBdr>
                                <w:top w:val="none" w:sz="0" w:space="0" w:color="auto"/>
                                <w:left w:val="none" w:sz="0" w:space="0" w:color="auto"/>
                                <w:bottom w:val="none" w:sz="0" w:space="0" w:color="auto"/>
                                <w:right w:val="none" w:sz="0" w:space="0" w:color="auto"/>
                              </w:divBdr>
                              <w:divsChild>
                                <w:div w:id="46924974">
                                  <w:marLeft w:val="0"/>
                                  <w:marRight w:val="0"/>
                                  <w:marTop w:val="0"/>
                                  <w:marBottom w:val="0"/>
                                  <w:divBdr>
                                    <w:top w:val="none" w:sz="0" w:space="0" w:color="auto"/>
                                    <w:left w:val="none" w:sz="0" w:space="0" w:color="auto"/>
                                    <w:bottom w:val="none" w:sz="0" w:space="0" w:color="auto"/>
                                    <w:right w:val="none" w:sz="0" w:space="0" w:color="auto"/>
                                  </w:divBdr>
                                  <w:divsChild>
                                    <w:div w:id="1035689714">
                                      <w:marLeft w:val="0"/>
                                      <w:marRight w:val="0"/>
                                      <w:marTop w:val="0"/>
                                      <w:marBottom w:val="0"/>
                                      <w:divBdr>
                                        <w:top w:val="none" w:sz="0" w:space="0" w:color="auto"/>
                                        <w:left w:val="none" w:sz="0" w:space="0" w:color="auto"/>
                                        <w:bottom w:val="none" w:sz="0" w:space="0" w:color="auto"/>
                                        <w:right w:val="none" w:sz="0" w:space="0" w:color="auto"/>
                                      </w:divBdr>
                                      <w:divsChild>
                                        <w:div w:id="262493365">
                                          <w:marLeft w:val="0"/>
                                          <w:marRight w:val="0"/>
                                          <w:marTop w:val="0"/>
                                          <w:marBottom w:val="0"/>
                                          <w:divBdr>
                                            <w:top w:val="none" w:sz="0" w:space="0" w:color="auto"/>
                                            <w:left w:val="none" w:sz="0" w:space="0" w:color="auto"/>
                                            <w:bottom w:val="none" w:sz="0" w:space="0" w:color="auto"/>
                                            <w:right w:val="none" w:sz="0" w:space="0" w:color="auto"/>
                                          </w:divBdr>
                                          <w:divsChild>
                                            <w:div w:id="156268816">
                                              <w:marLeft w:val="0"/>
                                              <w:marRight w:val="0"/>
                                              <w:marTop w:val="0"/>
                                              <w:marBottom w:val="0"/>
                                              <w:divBdr>
                                                <w:top w:val="none" w:sz="0" w:space="0" w:color="auto"/>
                                                <w:left w:val="none" w:sz="0" w:space="0" w:color="auto"/>
                                                <w:bottom w:val="none" w:sz="0" w:space="0" w:color="auto"/>
                                                <w:right w:val="none" w:sz="0" w:space="0" w:color="auto"/>
                                              </w:divBdr>
                                              <w:divsChild>
                                                <w:div w:id="2007899592">
                                                  <w:marLeft w:val="0"/>
                                                  <w:marRight w:val="0"/>
                                                  <w:marTop w:val="0"/>
                                                  <w:marBottom w:val="0"/>
                                                  <w:divBdr>
                                                    <w:top w:val="none" w:sz="0" w:space="0" w:color="auto"/>
                                                    <w:left w:val="none" w:sz="0" w:space="0" w:color="auto"/>
                                                    <w:bottom w:val="none" w:sz="0" w:space="0" w:color="auto"/>
                                                    <w:right w:val="none" w:sz="0" w:space="0" w:color="auto"/>
                                                  </w:divBdr>
                                                  <w:divsChild>
                                                    <w:div w:id="93089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67498026">
      <w:bodyDiv w:val="1"/>
      <w:marLeft w:val="0"/>
      <w:marRight w:val="0"/>
      <w:marTop w:val="0"/>
      <w:marBottom w:val="0"/>
      <w:divBdr>
        <w:top w:val="none" w:sz="0" w:space="0" w:color="auto"/>
        <w:left w:val="none" w:sz="0" w:space="0" w:color="auto"/>
        <w:bottom w:val="none" w:sz="0" w:space="0" w:color="auto"/>
        <w:right w:val="none" w:sz="0" w:space="0" w:color="auto"/>
      </w:divBdr>
      <w:divsChild>
        <w:div w:id="1869248358">
          <w:marLeft w:val="0"/>
          <w:marRight w:val="0"/>
          <w:marTop w:val="0"/>
          <w:marBottom w:val="0"/>
          <w:divBdr>
            <w:top w:val="none" w:sz="0" w:space="0" w:color="auto"/>
            <w:left w:val="none" w:sz="0" w:space="0" w:color="auto"/>
            <w:bottom w:val="none" w:sz="0" w:space="0" w:color="auto"/>
            <w:right w:val="none" w:sz="0" w:space="0" w:color="auto"/>
          </w:divBdr>
          <w:divsChild>
            <w:div w:id="1241066155">
              <w:marLeft w:val="0"/>
              <w:marRight w:val="0"/>
              <w:marTop w:val="0"/>
              <w:marBottom w:val="0"/>
              <w:divBdr>
                <w:top w:val="none" w:sz="0" w:space="0" w:color="auto"/>
                <w:left w:val="none" w:sz="0" w:space="0" w:color="auto"/>
                <w:bottom w:val="none" w:sz="0" w:space="0" w:color="auto"/>
                <w:right w:val="none" w:sz="0" w:space="0" w:color="auto"/>
              </w:divBdr>
              <w:divsChild>
                <w:div w:id="903565376">
                  <w:marLeft w:val="0"/>
                  <w:marRight w:val="0"/>
                  <w:marTop w:val="0"/>
                  <w:marBottom w:val="0"/>
                  <w:divBdr>
                    <w:top w:val="none" w:sz="0" w:space="0" w:color="auto"/>
                    <w:left w:val="none" w:sz="0" w:space="0" w:color="auto"/>
                    <w:bottom w:val="none" w:sz="0" w:space="0" w:color="auto"/>
                    <w:right w:val="none" w:sz="0" w:space="0" w:color="auto"/>
                  </w:divBdr>
                  <w:divsChild>
                    <w:div w:id="1323461197">
                      <w:marLeft w:val="0"/>
                      <w:marRight w:val="0"/>
                      <w:marTop w:val="0"/>
                      <w:marBottom w:val="0"/>
                      <w:divBdr>
                        <w:top w:val="none" w:sz="0" w:space="0" w:color="auto"/>
                        <w:left w:val="none" w:sz="0" w:space="0" w:color="auto"/>
                        <w:bottom w:val="none" w:sz="0" w:space="0" w:color="auto"/>
                        <w:right w:val="none" w:sz="0" w:space="0" w:color="auto"/>
                      </w:divBdr>
                      <w:divsChild>
                        <w:div w:id="1994480108">
                          <w:marLeft w:val="0"/>
                          <w:marRight w:val="0"/>
                          <w:marTop w:val="0"/>
                          <w:marBottom w:val="0"/>
                          <w:divBdr>
                            <w:top w:val="none" w:sz="0" w:space="0" w:color="auto"/>
                            <w:left w:val="none" w:sz="0" w:space="0" w:color="auto"/>
                            <w:bottom w:val="none" w:sz="0" w:space="0" w:color="auto"/>
                            <w:right w:val="none" w:sz="0" w:space="0" w:color="auto"/>
                          </w:divBdr>
                          <w:divsChild>
                            <w:div w:id="331102325">
                              <w:marLeft w:val="0"/>
                              <w:marRight w:val="0"/>
                              <w:marTop w:val="0"/>
                              <w:marBottom w:val="0"/>
                              <w:divBdr>
                                <w:top w:val="none" w:sz="0" w:space="0" w:color="auto"/>
                                <w:left w:val="none" w:sz="0" w:space="0" w:color="auto"/>
                                <w:bottom w:val="none" w:sz="0" w:space="0" w:color="auto"/>
                                <w:right w:val="none" w:sz="0" w:space="0" w:color="auto"/>
                              </w:divBdr>
                              <w:divsChild>
                                <w:div w:id="1876580382">
                                  <w:marLeft w:val="0"/>
                                  <w:marRight w:val="0"/>
                                  <w:marTop w:val="0"/>
                                  <w:marBottom w:val="0"/>
                                  <w:divBdr>
                                    <w:top w:val="none" w:sz="0" w:space="0" w:color="auto"/>
                                    <w:left w:val="none" w:sz="0" w:space="0" w:color="auto"/>
                                    <w:bottom w:val="none" w:sz="0" w:space="0" w:color="auto"/>
                                    <w:right w:val="none" w:sz="0" w:space="0" w:color="auto"/>
                                  </w:divBdr>
                                  <w:divsChild>
                                    <w:div w:id="1697122167">
                                      <w:marLeft w:val="0"/>
                                      <w:marRight w:val="0"/>
                                      <w:marTop w:val="0"/>
                                      <w:marBottom w:val="0"/>
                                      <w:divBdr>
                                        <w:top w:val="none" w:sz="0" w:space="0" w:color="auto"/>
                                        <w:left w:val="none" w:sz="0" w:space="0" w:color="auto"/>
                                        <w:bottom w:val="none" w:sz="0" w:space="0" w:color="auto"/>
                                        <w:right w:val="none" w:sz="0" w:space="0" w:color="auto"/>
                                      </w:divBdr>
                                      <w:divsChild>
                                        <w:div w:id="1837066587">
                                          <w:marLeft w:val="0"/>
                                          <w:marRight w:val="0"/>
                                          <w:marTop w:val="0"/>
                                          <w:marBottom w:val="0"/>
                                          <w:divBdr>
                                            <w:top w:val="none" w:sz="0" w:space="0" w:color="auto"/>
                                            <w:left w:val="none" w:sz="0" w:space="0" w:color="auto"/>
                                            <w:bottom w:val="none" w:sz="0" w:space="0" w:color="auto"/>
                                            <w:right w:val="none" w:sz="0" w:space="0" w:color="auto"/>
                                          </w:divBdr>
                                          <w:divsChild>
                                            <w:div w:id="146672350">
                                              <w:marLeft w:val="0"/>
                                              <w:marRight w:val="0"/>
                                              <w:marTop w:val="0"/>
                                              <w:marBottom w:val="0"/>
                                              <w:divBdr>
                                                <w:top w:val="none" w:sz="0" w:space="0" w:color="auto"/>
                                                <w:left w:val="none" w:sz="0" w:space="0" w:color="auto"/>
                                                <w:bottom w:val="none" w:sz="0" w:space="0" w:color="auto"/>
                                                <w:right w:val="none" w:sz="0" w:space="0" w:color="auto"/>
                                              </w:divBdr>
                                              <w:divsChild>
                                                <w:div w:id="66559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2616311">
      <w:bodyDiv w:val="1"/>
      <w:marLeft w:val="0"/>
      <w:marRight w:val="0"/>
      <w:marTop w:val="0"/>
      <w:marBottom w:val="0"/>
      <w:divBdr>
        <w:top w:val="none" w:sz="0" w:space="0" w:color="auto"/>
        <w:left w:val="none" w:sz="0" w:space="0" w:color="auto"/>
        <w:bottom w:val="none" w:sz="0" w:space="0" w:color="auto"/>
        <w:right w:val="none" w:sz="0" w:space="0" w:color="auto"/>
      </w:divBdr>
      <w:divsChild>
        <w:div w:id="1412851493">
          <w:marLeft w:val="0"/>
          <w:marRight w:val="0"/>
          <w:marTop w:val="270"/>
          <w:marBottom w:val="90"/>
          <w:divBdr>
            <w:top w:val="single" w:sz="6" w:space="18" w:color="CCCCCC"/>
            <w:left w:val="single" w:sz="6" w:space="14" w:color="CCCCCC"/>
            <w:bottom w:val="single" w:sz="6" w:space="11" w:color="CCCCCC"/>
            <w:right w:val="single" w:sz="6" w:space="14" w:color="CCCCCC"/>
          </w:divBdr>
          <w:divsChild>
            <w:div w:id="1910383527">
              <w:marLeft w:val="0"/>
              <w:marRight w:val="0"/>
              <w:marTop w:val="0"/>
              <w:marBottom w:val="0"/>
              <w:divBdr>
                <w:top w:val="none" w:sz="0" w:space="0" w:color="auto"/>
                <w:left w:val="none" w:sz="0" w:space="0" w:color="auto"/>
                <w:bottom w:val="none" w:sz="0" w:space="0" w:color="auto"/>
                <w:right w:val="none" w:sz="0" w:space="0" w:color="auto"/>
              </w:divBdr>
              <w:divsChild>
                <w:div w:id="964045877">
                  <w:marLeft w:val="0"/>
                  <w:marRight w:val="90"/>
                  <w:marTop w:val="0"/>
                  <w:marBottom w:val="0"/>
                  <w:divBdr>
                    <w:top w:val="none" w:sz="0" w:space="0" w:color="auto"/>
                    <w:left w:val="none" w:sz="0" w:space="0" w:color="auto"/>
                    <w:bottom w:val="none" w:sz="0" w:space="0" w:color="auto"/>
                    <w:right w:val="none" w:sz="0" w:space="0" w:color="auto"/>
                  </w:divBdr>
                  <w:divsChild>
                    <w:div w:id="154033514">
                      <w:marLeft w:val="0"/>
                      <w:marRight w:val="0"/>
                      <w:marTop w:val="0"/>
                      <w:marBottom w:val="0"/>
                      <w:divBdr>
                        <w:top w:val="none" w:sz="0" w:space="0" w:color="auto"/>
                        <w:left w:val="none" w:sz="0" w:space="0" w:color="auto"/>
                        <w:bottom w:val="none" w:sz="0" w:space="0" w:color="auto"/>
                        <w:right w:val="none" w:sz="0" w:space="0" w:color="auto"/>
                      </w:divBdr>
                    </w:div>
                    <w:div w:id="1212694083">
                      <w:marLeft w:val="0"/>
                      <w:marRight w:val="0"/>
                      <w:marTop w:val="0"/>
                      <w:marBottom w:val="135"/>
                      <w:divBdr>
                        <w:top w:val="none" w:sz="0" w:space="0" w:color="auto"/>
                        <w:left w:val="none" w:sz="0" w:space="0" w:color="auto"/>
                        <w:bottom w:val="none" w:sz="0" w:space="0" w:color="auto"/>
                        <w:right w:val="none" w:sz="0" w:space="0" w:color="auto"/>
                      </w:divBdr>
                    </w:div>
                  </w:divsChild>
                </w:div>
              </w:divsChild>
            </w:div>
          </w:divsChild>
        </w:div>
      </w:divsChild>
    </w:div>
    <w:div w:id="740717787">
      <w:bodyDiv w:val="1"/>
      <w:marLeft w:val="0"/>
      <w:marRight w:val="0"/>
      <w:marTop w:val="0"/>
      <w:marBottom w:val="0"/>
      <w:divBdr>
        <w:top w:val="none" w:sz="0" w:space="0" w:color="auto"/>
        <w:left w:val="none" w:sz="0" w:space="0" w:color="auto"/>
        <w:bottom w:val="none" w:sz="0" w:space="0" w:color="auto"/>
        <w:right w:val="none" w:sz="0" w:space="0" w:color="auto"/>
      </w:divBdr>
      <w:divsChild>
        <w:div w:id="69012188">
          <w:marLeft w:val="0"/>
          <w:marRight w:val="0"/>
          <w:marTop w:val="0"/>
          <w:marBottom w:val="0"/>
          <w:divBdr>
            <w:top w:val="none" w:sz="0" w:space="0" w:color="auto"/>
            <w:left w:val="none" w:sz="0" w:space="0" w:color="auto"/>
            <w:bottom w:val="none" w:sz="0" w:space="0" w:color="auto"/>
            <w:right w:val="none" w:sz="0" w:space="0" w:color="auto"/>
          </w:divBdr>
          <w:divsChild>
            <w:div w:id="270404695">
              <w:marLeft w:val="0"/>
              <w:marRight w:val="0"/>
              <w:marTop w:val="0"/>
              <w:marBottom w:val="0"/>
              <w:divBdr>
                <w:top w:val="none" w:sz="0" w:space="0" w:color="auto"/>
                <w:left w:val="none" w:sz="0" w:space="0" w:color="auto"/>
                <w:bottom w:val="none" w:sz="0" w:space="0" w:color="auto"/>
                <w:right w:val="none" w:sz="0" w:space="0" w:color="auto"/>
              </w:divBdr>
              <w:divsChild>
                <w:div w:id="832986075">
                  <w:marLeft w:val="0"/>
                  <w:marRight w:val="0"/>
                  <w:marTop w:val="0"/>
                  <w:marBottom w:val="0"/>
                  <w:divBdr>
                    <w:top w:val="none" w:sz="0" w:space="0" w:color="auto"/>
                    <w:left w:val="none" w:sz="0" w:space="0" w:color="auto"/>
                    <w:bottom w:val="none" w:sz="0" w:space="0" w:color="auto"/>
                    <w:right w:val="none" w:sz="0" w:space="0" w:color="auto"/>
                  </w:divBdr>
                  <w:divsChild>
                    <w:div w:id="1213883590">
                      <w:marLeft w:val="0"/>
                      <w:marRight w:val="0"/>
                      <w:marTop w:val="0"/>
                      <w:marBottom w:val="0"/>
                      <w:divBdr>
                        <w:top w:val="none" w:sz="0" w:space="0" w:color="auto"/>
                        <w:left w:val="none" w:sz="0" w:space="0" w:color="auto"/>
                        <w:bottom w:val="none" w:sz="0" w:space="0" w:color="auto"/>
                        <w:right w:val="none" w:sz="0" w:space="0" w:color="auto"/>
                      </w:divBdr>
                      <w:divsChild>
                        <w:div w:id="236936490">
                          <w:marLeft w:val="0"/>
                          <w:marRight w:val="0"/>
                          <w:marTop w:val="0"/>
                          <w:marBottom w:val="0"/>
                          <w:divBdr>
                            <w:top w:val="none" w:sz="0" w:space="0" w:color="auto"/>
                            <w:left w:val="none" w:sz="0" w:space="0" w:color="auto"/>
                            <w:bottom w:val="none" w:sz="0" w:space="0" w:color="auto"/>
                            <w:right w:val="none" w:sz="0" w:space="0" w:color="auto"/>
                          </w:divBdr>
                          <w:divsChild>
                            <w:div w:id="1891264393">
                              <w:marLeft w:val="0"/>
                              <w:marRight w:val="0"/>
                              <w:marTop w:val="0"/>
                              <w:marBottom w:val="0"/>
                              <w:divBdr>
                                <w:top w:val="none" w:sz="0" w:space="0" w:color="auto"/>
                                <w:left w:val="none" w:sz="0" w:space="0" w:color="auto"/>
                                <w:bottom w:val="none" w:sz="0" w:space="0" w:color="auto"/>
                                <w:right w:val="none" w:sz="0" w:space="0" w:color="auto"/>
                              </w:divBdr>
                              <w:divsChild>
                                <w:div w:id="332880425">
                                  <w:marLeft w:val="0"/>
                                  <w:marRight w:val="0"/>
                                  <w:marTop w:val="0"/>
                                  <w:marBottom w:val="0"/>
                                  <w:divBdr>
                                    <w:top w:val="none" w:sz="0" w:space="0" w:color="auto"/>
                                    <w:left w:val="none" w:sz="0" w:space="0" w:color="auto"/>
                                    <w:bottom w:val="none" w:sz="0" w:space="0" w:color="auto"/>
                                    <w:right w:val="none" w:sz="0" w:space="0" w:color="auto"/>
                                  </w:divBdr>
                                  <w:divsChild>
                                    <w:div w:id="541212710">
                                      <w:marLeft w:val="0"/>
                                      <w:marRight w:val="0"/>
                                      <w:marTop w:val="0"/>
                                      <w:marBottom w:val="0"/>
                                      <w:divBdr>
                                        <w:top w:val="none" w:sz="0" w:space="0" w:color="auto"/>
                                        <w:left w:val="none" w:sz="0" w:space="0" w:color="auto"/>
                                        <w:bottom w:val="none" w:sz="0" w:space="0" w:color="auto"/>
                                        <w:right w:val="none" w:sz="0" w:space="0" w:color="auto"/>
                                      </w:divBdr>
                                      <w:divsChild>
                                        <w:div w:id="627053530">
                                          <w:marLeft w:val="0"/>
                                          <w:marRight w:val="0"/>
                                          <w:marTop w:val="0"/>
                                          <w:marBottom w:val="0"/>
                                          <w:divBdr>
                                            <w:top w:val="none" w:sz="0" w:space="0" w:color="auto"/>
                                            <w:left w:val="none" w:sz="0" w:space="0" w:color="auto"/>
                                            <w:bottom w:val="none" w:sz="0" w:space="0" w:color="auto"/>
                                            <w:right w:val="none" w:sz="0" w:space="0" w:color="auto"/>
                                          </w:divBdr>
                                          <w:divsChild>
                                            <w:div w:id="1633704078">
                                              <w:marLeft w:val="0"/>
                                              <w:marRight w:val="0"/>
                                              <w:marTop w:val="0"/>
                                              <w:marBottom w:val="0"/>
                                              <w:divBdr>
                                                <w:top w:val="none" w:sz="0" w:space="0" w:color="auto"/>
                                                <w:left w:val="none" w:sz="0" w:space="0" w:color="auto"/>
                                                <w:bottom w:val="none" w:sz="0" w:space="0" w:color="auto"/>
                                                <w:right w:val="none" w:sz="0" w:space="0" w:color="auto"/>
                                              </w:divBdr>
                                            </w:div>
                                            <w:div w:id="1786995306">
                                              <w:marLeft w:val="0"/>
                                              <w:marRight w:val="0"/>
                                              <w:marTop w:val="480"/>
                                              <w:marBottom w:val="480"/>
                                              <w:divBdr>
                                                <w:top w:val="none" w:sz="0" w:space="0" w:color="auto"/>
                                                <w:left w:val="none" w:sz="0" w:space="0" w:color="auto"/>
                                                <w:bottom w:val="none" w:sz="0" w:space="0" w:color="auto"/>
                                                <w:right w:val="none" w:sz="0" w:space="0" w:color="auto"/>
                                              </w:divBdr>
                                              <w:divsChild>
                                                <w:div w:id="1699350458">
                                                  <w:marLeft w:val="0"/>
                                                  <w:marRight w:val="0"/>
                                                  <w:marTop w:val="0"/>
                                                  <w:marBottom w:val="0"/>
                                                  <w:divBdr>
                                                    <w:top w:val="none" w:sz="0" w:space="0" w:color="auto"/>
                                                    <w:left w:val="none" w:sz="0" w:space="0" w:color="auto"/>
                                                    <w:bottom w:val="none" w:sz="0" w:space="0" w:color="auto"/>
                                                    <w:right w:val="none" w:sz="0" w:space="0" w:color="auto"/>
                                                  </w:divBdr>
                                                </w:div>
                                              </w:divsChild>
                                            </w:div>
                                            <w:div w:id="57921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10633997">
      <w:bodyDiv w:val="1"/>
      <w:marLeft w:val="0"/>
      <w:marRight w:val="0"/>
      <w:marTop w:val="0"/>
      <w:marBottom w:val="0"/>
      <w:divBdr>
        <w:top w:val="none" w:sz="0" w:space="0" w:color="auto"/>
        <w:left w:val="none" w:sz="0" w:space="0" w:color="auto"/>
        <w:bottom w:val="none" w:sz="0" w:space="0" w:color="auto"/>
        <w:right w:val="none" w:sz="0" w:space="0" w:color="auto"/>
      </w:divBdr>
      <w:divsChild>
        <w:div w:id="1658151527">
          <w:marLeft w:val="0"/>
          <w:marRight w:val="0"/>
          <w:marTop w:val="0"/>
          <w:marBottom w:val="0"/>
          <w:divBdr>
            <w:top w:val="single" w:sz="2" w:space="0" w:color="2E2E2E"/>
            <w:left w:val="single" w:sz="2" w:space="0" w:color="2E2E2E"/>
            <w:bottom w:val="single" w:sz="2" w:space="0" w:color="2E2E2E"/>
            <w:right w:val="single" w:sz="2" w:space="0" w:color="2E2E2E"/>
          </w:divBdr>
          <w:divsChild>
            <w:div w:id="287667314">
              <w:marLeft w:val="0"/>
              <w:marRight w:val="0"/>
              <w:marTop w:val="0"/>
              <w:marBottom w:val="0"/>
              <w:divBdr>
                <w:top w:val="single" w:sz="6" w:space="0" w:color="C9C9C9"/>
                <w:left w:val="none" w:sz="0" w:space="0" w:color="auto"/>
                <w:bottom w:val="none" w:sz="0" w:space="0" w:color="auto"/>
                <w:right w:val="none" w:sz="0" w:space="0" w:color="auto"/>
              </w:divBdr>
              <w:divsChild>
                <w:div w:id="419957401">
                  <w:marLeft w:val="0"/>
                  <w:marRight w:val="0"/>
                  <w:marTop w:val="0"/>
                  <w:marBottom w:val="0"/>
                  <w:divBdr>
                    <w:top w:val="none" w:sz="0" w:space="0" w:color="auto"/>
                    <w:left w:val="none" w:sz="0" w:space="0" w:color="auto"/>
                    <w:bottom w:val="none" w:sz="0" w:space="0" w:color="auto"/>
                    <w:right w:val="none" w:sz="0" w:space="0" w:color="auto"/>
                  </w:divBdr>
                  <w:divsChild>
                    <w:div w:id="127749933">
                      <w:marLeft w:val="0"/>
                      <w:marRight w:val="0"/>
                      <w:marTop w:val="0"/>
                      <w:marBottom w:val="0"/>
                      <w:divBdr>
                        <w:top w:val="none" w:sz="0" w:space="0" w:color="auto"/>
                        <w:left w:val="none" w:sz="0" w:space="0" w:color="auto"/>
                        <w:bottom w:val="none" w:sz="0" w:space="0" w:color="auto"/>
                        <w:right w:val="none" w:sz="0" w:space="0" w:color="auto"/>
                      </w:divBdr>
                      <w:divsChild>
                        <w:div w:id="1700005248">
                          <w:marLeft w:val="0"/>
                          <w:marRight w:val="0"/>
                          <w:marTop w:val="0"/>
                          <w:marBottom w:val="0"/>
                          <w:divBdr>
                            <w:top w:val="none" w:sz="0" w:space="0" w:color="auto"/>
                            <w:left w:val="none" w:sz="0" w:space="0" w:color="auto"/>
                            <w:bottom w:val="none" w:sz="0" w:space="0" w:color="auto"/>
                            <w:right w:val="none" w:sz="0" w:space="0" w:color="auto"/>
                          </w:divBdr>
                          <w:divsChild>
                            <w:div w:id="961232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7689576">
      <w:bodyDiv w:val="1"/>
      <w:marLeft w:val="0"/>
      <w:marRight w:val="0"/>
      <w:marTop w:val="0"/>
      <w:marBottom w:val="0"/>
      <w:divBdr>
        <w:top w:val="none" w:sz="0" w:space="0" w:color="auto"/>
        <w:left w:val="none" w:sz="0" w:space="0" w:color="auto"/>
        <w:bottom w:val="none" w:sz="0" w:space="0" w:color="auto"/>
        <w:right w:val="none" w:sz="0" w:space="0" w:color="auto"/>
      </w:divBdr>
      <w:divsChild>
        <w:div w:id="87048191">
          <w:marLeft w:val="0"/>
          <w:marRight w:val="0"/>
          <w:marTop w:val="0"/>
          <w:marBottom w:val="0"/>
          <w:divBdr>
            <w:top w:val="none" w:sz="0" w:space="0" w:color="auto"/>
            <w:left w:val="none" w:sz="0" w:space="0" w:color="auto"/>
            <w:bottom w:val="none" w:sz="0" w:space="0" w:color="auto"/>
            <w:right w:val="none" w:sz="0" w:space="0" w:color="auto"/>
          </w:divBdr>
          <w:divsChild>
            <w:div w:id="307126122">
              <w:marLeft w:val="0"/>
              <w:marRight w:val="0"/>
              <w:marTop w:val="0"/>
              <w:marBottom w:val="0"/>
              <w:divBdr>
                <w:top w:val="none" w:sz="0" w:space="0" w:color="auto"/>
                <w:left w:val="none" w:sz="0" w:space="0" w:color="auto"/>
                <w:bottom w:val="none" w:sz="0" w:space="0" w:color="auto"/>
                <w:right w:val="none" w:sz="0" w:space="0" w:color="auto"/>
              </w:divBdr>
              <w:divsChild>
                <w:div w:id="2058815702">
                  <w:marLeft w:val="0"/>
                  <w:marRight w:val="0"/>
                  <w:marTop w:val="181"/>
                  <w:marBottom w:val="181"/>
                  <w:divBdr>
                    <w:top w:val="none" w:sz="0" w:space="0" w:color="auto"/>
                    <w:left w:val="none" w:sz="0" w:space="0" w:color="auto"/>
                    <w:bottom w:val="none" w:sz="0" w:space="0" w:color="auto"/>
                    <w:right w:val="none" w:sz="0" w:space="0" w:color="auto"/>
                  </w:divBdr>
                  <w:divsChild>
                    <w:div w:id="1477837504">
                      <w:marLeft w:val="0"/>
                      <w:marRight w:val="0"/>
                      <w:marTop w:val="0"/>
                      <w:marBottom w:val="0"/>
                      <w:divBdr>
                        <w:top w:val="none" w:sz="0" w:space="0" w:color="auto"/>
                        <w:left w:val="none" w:sz="0" w:space="0" w:color="auto"/>
                        <w:bottom w:val="none" w:sz="0" w:space="0" w:color="auto"/>
                        <w:right w:val="none" w:sz="0" w:space="0" w:color="auto"/>
                      </w:divBdr>
                      <w:divsChild>
                        <w:div w:id="1455906130">
                          <w:marLeft w:val="0"/>
                          <w:marRight w:val="0"/>
                          <w:marTop w:val="0"/>
                          <w:marBottom w:val="0"/>
                          <w:divBdr>
                            <w:top w:val="none" w:sz="0" w:space="0" w:color="auto"/>
                            <w:left w:val="none" w:sz="0" w:space="0" w:color="auto"/>
                            <w:bottom w:val="none" w:sz="0" w:space="0" w:color="auto"/>
                            <w:right w:val="none" w:sz="0" w:space="0" w:color="auto"/>
                          </w:divBdr>
                        </w:div>
                        <w:div w:id="948125630">
                          <w:marLeft w:val="0"/>
                          <w:marRight w:val="0"/>
                          <w:marTop w:val="0"/>
                          <w:marBottom w:val="0"/>
                          <w:divBdr>
                            <w:top w:val="none" w:sz="0" w:space="0" w:color="auto"/>
                            <w:left w:val="none" w:sz="0" w:space="0" w:color="auto"/>
                            <w:bottom w:val="none" w:sz="0" w:space="0" w:color="auto"/>
                            <w:right w:val="none" w:sz="0" w:space="0" w:color="auto"/>
                          </w:divBdr>
                        </w:div>
                        <w:div w:id="1839691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0875647">
      <w:bodyDiv w:val="1"/>
      <w:marLeft w:val="0"/>
      <w:marRight w:val="0"/>
      <w:marTop w:val="0"/>
      <w:marBottom w:val="0"/>
      <w:divBdr>
        <w:top w:val="none" w:sz="0" w:space="0" w:color="auto"/>
        <w:left w:val="none" w:sz="0" w:space="0" w:color="auto"/>
        <w:bottom w:val="none" w:sz="0" w:space="0" w:color="auto"/>
        <w:right w:val="none" w:sz="0" w:space="0" w:color="auto"/>
      </w:divBdr>
      <w:divsChild>
        <w:div w:id="1631588515">
          <w:marLeft w:val="0"/>
          <w:marRight w:val="0"/>
          <w:marTop w:val="0"/>
          <w:marBottom w:val="0"/>
          <w:divBdr>
            <w:top w:val="single" w:sz="2" w:space="0" w:color="2E2E2E"/>
            <w:left w:val="single" w:sz="2" w:space="0" w:color="2E2E2E"/>
            <w:bottom w:val="single" w:sz="2" w:space="0" w:color="2E2E2E"/>
            <w:right w:val="single" w:sz="2" w:space="0" w:color="2E2E2E"/>
          </w:divBdr>
          <w:divsChild>
            <w:div w:id="1729919247">
              <w:marLeft w:val="0"/>
              <w:marRight w:val="0"/>
              <w:marTop w:val="0"/>
              <w:marBottom w:val="0"/>
              <w:divBdr>
                <w:top w:val="single" w:sz="6" w:space="0" w:color="C9C9C9"/>
                <w:left w:val="none" w:sz="0" w:space="0" w:color="auto"/>
                <w:bottom w:val="none" w:sz="0" w:space="0" w:color="auto"/>
                <w:right w:val="none" w:sz="0" w:space="0" w:color="auto"/>
              </w:divBdr>
              <w:divsChild>
                <w:div w:id="895896350">
                  <w:marLeft w:val="0"/>
                  <w:marRight w:val="0"/>
                  <w:marTop w:val="0"/>
                  <w:marBottom w:val="0"/>
                  <w:divBdr>
                    <w:top w:val="none" w:sz="0" w:space="0" w:color="auto"/>
                    <w:left w:val="none" w:sz="0" w:space="0" w:color="auto"/>
                    <w:bottom w:val="none" w:sz="0" w:space="0" w:color="auto"/>
                    <w:right w:val="none" w:sz="0" w:space="0" w:color="auto"/>
                  </w:divBdr>
                  <w:divsChild>
                    <w:div w:id="321200312">
                      <w:marLeft w:val="0"/>
                      <w:marRight w:val="0"/>
                      <w:marTop w:val="0"/>
                      <w:marBottom w:val="0"/>
                      <w:divBdr>
                        <w:top w:val="none" w:sz="0" w:space="0" w:color="auto"/>
                        <w:left w:val="none" w:sz="0" w:space="0" w:color="auto"/>
                        <w:bottom w:val="none" w:sz="0" w:space="0" w:color="auto"/>
                        <w:right w:val="none" w:sz="0" w:space="0" w:color="auto"/>
                      </w:divBdr>
                      <w:divsChild>
                        <w:div w:id="1578586405">
                          <w:marLeft w:val="0"/>
                          <w:marRight w:val="0"/>
                          <w:marTop w:val="0"/>
                          <w:marBottom w:val="0"/>
                          <w:divBdr>
                            <w:top w:val="none" w:sz="0" w:space="0" w:color="auto"/>
                            <w:left w:val="none" w:sz="0" w:space="0" w:color="auto"/>
                            <w:bottom w:val="none" w:sz="0" w:space="0" w:color="auto"/>
                            <w:right w:val="none" w:sz="0" w:space="0" w:color="auto"/>
                          </w:divBdr>
                          <w:divsChild>
                            <w:div w:id="1012219837">
                              <w:marLeft w:val="0"/>
                              <w:marRight w:val="0"/>
                              <w:marTop w:val="0"/>
                              <w:marBottom w:val="0"/>
                              <w:divBdr>
                                <w:top w:val="none" w:sz="0" w:space="0" w:color="auto"/>
                                <w:left w:val="none" w:sz="0" w:space="0" w:color="auto"/>
                                <w:bottom w:val="none" w:sz="0" w:space="0" w:color="auto"/>
                                <w:right w:val="none" w:sz="0" w:space="0" w:color="auto"/>
                              </w:divBdr>
                              <w:divsChild>
                                <w:div w:id="203726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6328370">
      <w:bodyDiv w:val="1"/>
      <w:marLeft w:val="0"/>
      <w:marRight w:val="0"/>
      <w:marTop w:val="0"/>
      <w:marBottom w:val="0"/>
      <w:divBdr>
        <w:top w:val="none" w:sz="0" w:space="0" w:color="auto"/>
        <w:left w:val="none" w:sz="0" w:space="0" w:color="auto"/>
        <w:bottom w:val="none" w:sz="0" w:space="0" w:color="auto"/>
        <w:right w:val="none" w:sz="0" w:space="0" w:color="auto"/>
      </w:divBdr>
      <w:divsChild>
        <w:div w:id="918716387">
          <w:marLeft w:val="0"/>
          <w:marRight w:val="0"/>
          <w:marTop w:val="0"/>
          <w:marBottom w:val="0"/>
          <w:divBdr>
            <w:top w:val="none" w:sz="0" w:space="0" w:color="auto"/>
            <w:left w:val="none" w:sz="0" w:space="0" w:color="auto"/>
            <w:bottom w:val="none" w:sz="0" w:space="0" w:color="auto"/>
            <w:right w:val="none" w:sz="0" w:space="0" w:color="auto"/>
          </w:divBdr>
          <w:divsChild>
            <w:div w:id="147098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anna.solini@med.unipi.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C00A2B-4816-43EB-ABB4-C727B46A1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6552</Words>
  <Characters>37348</Characters>
  <Application>Microsoft Office Word</Application>
  <DocSecurity>0</DocSecurity>
  <Lines>311</Lines>
  <Paragraphs>87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Solini</dc:creator>
  <cp:lastModifiedBy>Raffaella</cp:lastModifiedBy>
  <cp:revision>2</cp:revision>
  <dcterms:created xsi:type="dcterms:W3CDTF">2017-05-29T11:48:00Z</dcterms:created>
  <dcterms:modified xsi:type="dcterms:W3CDTF">2017-05-29T11:48:00Z</dcterms:modified>
</cp:coreProperties>
</file>