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48E6C6" w14:textId="5B4715EF" w:rsidR="000A2015" w:rsidRPr="008844DB" w:rsidRDefault="008844DB" w:rsidP="00086AD2">
      <w:pPr>
        <w:pStyle w:val="Title"/>
        <w:spacing w:line="360" w:lineRule="auto"/>
        <w:jc w:val="both"/>
        <w:rPr>
          <w:rFonts w:asciiTheme="minorHAnsi" w:hAnsiTheme="minorHAnsi" w:cstheme="minorHAnsi"/>
          <w:sz w:val="36"/>
        </w:rPr>
      </w:pPr>
      <w:r w:rsidRPr="008844DB">
        <w:rPr>
          <w:rFonts w:asciiTheme="minorHAnsi" w:hAnsiTheme="minorHAnsi" w:cstheme="minorHAnsi"/>
          <w:noProof/>
          <w:sz w:val="36"/>
          <w:lang w:val="en-GB"/>
        </w:rPr>
        <w:t>A Mendelian randomization study of the effects of known and putative risk factors on pancreatic cancer</w:t>
      </w:r>
      <w:r w:rsidR="00093656" w:rsidRPr="004B08E4">
        <w:rPr>
          <w:rFonts w:asciiTheme="minorHAnsi" w:hAnsiTheme="minorHAnsi" w:cstheme="minorHAnsi"/>
          <w:noProof/>
          <w:sz w:val="36"/>
          <w:lang w:val="en-GB"/>
        </w:rPr>
        <w:t xml:space="preserve"> </w:t>
      </w:r>
    </w:p>
    <w:p w14:paraId="0ABB4498" w14:textId="74D9B42C" w:rsidR="002A56D7" w:rsidRDefault="002A56D7" w:rsidP="00086AD2">
      <w:pPr>
        <w:spacing w:line="360" w:lineRule="auto"/>
        <w:jc w:val="both"/>
        <w:rPr>
          <w:rFonts w:asciiTheme="minorHAnsi" w:hAnsiTheme="minorHAnsi" w:cstheme="minorHAnsi"/>
          <w:lang w:val="en-GB"/>
        </w:rPr>
      </w:pPr>
    </w:p>
    <w:p w14:paraId="15E0B226" w14:textId="04C2718C" w:rsidR="00C4442B" w:rsidRPr="00763C38" w:rsidRDefault="0037434E" w:rsidP="00086AD2">
      <w:pPr>
        <w:spacing w:line="360" w:lineRule="auto"/>
        <w:jc w:val="both"/>
        <w:rPr>
          <w:rFonts w:asciiTheme="minorHAnsi" w:hAnsiTheme="minorHAnsi" w:cstheme="minorHAnsi"/>
          <w:b/>
          <w:lang w:val="it-IT"/>
        </w:rPr>
      </w:pPr>
      <w:r w:rsidRPr="00763C38">
        <w:rPr>
          <w:rFonts w:asciiTheme="minorHAnsi" w:hAnsiTheme="minorHAnsi" w:cstheme="minorHAnsi"/>
          <w:lang w:val="it-IT"/>
        </w:rPr>
        <w:t>Ye Lu</w:t>
      </w:r>
      <w:r w:rsidRPr="00763C38">
        <w:rPr>
          <w:rFonts w:asciiTheme="minorHAnsi" w:hAnsiTheme="minorHAnsi" w:cstheme="minorHAnsi"/>
          <w:vertAlign w:val="superscript"/>
          <w:lang w:val="it-IT"/>
        </w:rPr>
        <w:t>1</w:t>
      </w:r>
      <w:r w:rsidR="00662D65" w:rsidRPr="00763C38">
        <w:rPr>
          <w:rFonts w:asciiTheme="minorHAnsi" w:hAnsiTheme="minorHAnsi" w:cstheme="minorHAnsi"/>
          <w:vertAlign w:val="superscript"/>
          <w:lang w:val="it-IT"/>
        </w:rPr>
        <w:t>,2</w:t>
      </w:r>
      <w:r w:rsidRPr="00763C38">
        <w:rPr>
          <w:rFonts w:asciiTheme="minorHAnsi" w:hAnsiTheme="minorHAnsi" w:cstheme="minorHAnsi"/>
          <w:vertAlign w:val="superscript"/>
          <w:lang w:val="it-IT"/>
        </w:rPr>
        <w:t>*</w:t>
      </w:r>
      <w:r w:rsidRPr="00763C38">
        <w:rPr>
          <w:rFonts w:asciiTheme="minorHAnsi" w:hAnsiTheme="minorHAnsi" w:cstheme="minorHAnsi"/>
          <w:lang w:val="it-IT"/>
        </w:rPr>
        <w:t xml:space="preserve">, </w:t>
      </w:r>
      <w:r w:rsidR="00255DD5" w:rsidRPr="00763C38">
        <w:rPr>
          <w:rFonts w:asciiTheme="minorHAnsi" w:hAnsiTheme="minorHAnsi" w:cstheme="minorHAnsi"/>
          <w:lang w:val="it-IT"/>
        </w:rPr>
        <w:t>Manuel Gentiluomo</w:t>
      </w:r>
      <w:r w:rsidR="00662D65" w:rsidRPr="00763C38">
        <w:rPr>
          <w:rFonts w:asciiTheme="minorHAnsi" w:hAnsiTheme="minorHAnsi" w:cstheme="minorHAnsi"/>
          <w:vertAlign w:val="superscript"/>
          <w:lang w:val="it-IT"/>
        </w:rPr>
        <w:t>3</w:t>
      </w:r>
      <w:r w:rsidR="001F1E88" w:rsidRPr="00763C38">
        <w:rPr>
          <w:rFonts w:asciiTheme="minorHAnsi" w:hAnsiTheme="minorHAnsi" w:cstheme="minorHAnsi"/>
          <w:vertAlign w:val="superscript"/>
          <w:lang w:val="it-IT"/>
        </w:rPr>
        <w:t>*</w:t>
      </w:r>
      <w:r w:rsidR="00255DD5" w:rsidRPr="00763C38">
        <w:rPr>
          <w:rFonts w:asciiTheme="minorHAnsi" w:hAnsiTheme="minorHAnsi" w:cstheme="minorHAnsi"/>
          <w:lang w:val="it-IT"/>
        </w:rPr>
        <w:t xml:space="preserve">, </w:t>
      </w:r>
      <w:r w:rsidR="008844DB" w:rsidRPr="00763C38">
        <w:rPr>
          <w:rFonts w:asciiTheme="minorHAnsi" w:hAnsiTheme="minorHAnsi" w:cstheme="minorHAnsi"/>
          <w:lang w:val="it-IT"/>
        </w:rPr>
        <w:t>Justo Lorenzo-Bermejo</w:t>
      </w:r>
      <w:r w:rsidR="008844DB" w:rsidRPr="00763C38">
        <w:rPr>
          <w:rFonts w:asciiTheme="minorHAnsi" w:hAnsiTheme="minorHAnsi" w:cstheme="minorHAnsi"/>
          <w:vertAlign w:val="superscript"/>
          <w:lang w:val="it-IT"/>
        </w:rPr>
        <w:t>4</w:t>
      </w:r>
      <w:r w:rsidR="008844DB" w:rsidRPr="00763C38">
        <w:rPr>
          <w:rFonts w:asciiTheme="minorHAnsi" w:hAnsiTheme="minorHAnsi" w:cstheme="minorHAnsi"/>
          <w:lang w:val="it-IT"/>
        </w:rPr>
        <w:t xml:space="preserve">, </w:t>
      </w:r>
      <w:r w:rsidR="00207DF8" w:rsidRPr="00763C38">
        <w:rPr>
          <w:rFonts w:asciiTheme="minorHAnsi" w:hAnsiTheme="minorHAnsi" w:cstheme="minorHAnsi"/>
          <w:lang w:val="it-IT"/>
        </w:rPr>
        <w:t>Luca Morelli</w:t>
      </w:r>
      <w:r w:rsidR="00662D65" w:rsidRPr="00763C38">
        <w:rPr>
          <w:rFonts w:asciiTheme="minorHAnsi" w:hAnsiTheme="minorHAnsi" w:cstheme="minorHAnsi"/>
          <w:vertAlign w:val="superscript"/>
          <w:lang w:val="it-IT"/>
        </w:rPr>
        <w:t>5</w:t>
      </w:r>
      <w:r w:rsidR="008844DB" w:rsidRPr="00763C38">
        <w:rPr>
          <w:rFonts w:asciiTheme="minorHAnsi" w:hAnsiTheme="minorHAnsi" w:cstheme="minorHAnsi"/>
          <w:vertAlign w:val="superscript"/>
          <w:lang w:val="it-IT"/>
        </w:rPr>
        <w:t>,6</w:t>
      </w:r>
      <w:r w:rsidR="00207DF8" w:rsidRPr="00763C38">
        <w:rPr>
          <w:rFonts w:asciiTheme="minorHAnsi" w:hAnsiTheme="minorHAnsi" w:cstheme="minorHAnsi"/>
          <w:lang w:val="it-IT"/>
        </w:rPr>
        <w:t xml:space="preserve">, </w:t>
      </w:r>
      <w:r w:rsidR="005B734C" w:rsidRPr="00763C38">
        <w:rPr>
          <w:rFonts w:asciiTheme="minorHAnsi" w:hAnsiTheme="minorHAnsi" w:cstheme="minorHAnsi"/>
          <w:lang w:val="it-IT"/>
        </w:rPr>
        <w:t>Ofure Obazee</w:t>
      </w:r>
      <w:r w:rsidR="005B734C" w:rsidRPr="00763C38">
        <w:rPr>
          <w:rFonts w:asciiTheme="minorHAnsi" w:hAnsiTheme="minorHAnsi" w:cstheme="minorHAnsi"/>
          <w:vertAlign w:val="superscript"/>
          <w:lang w:val="it-IT"/>
        </w:rPr>
        <w:t>1</w:t>
      </w:r>
      <w:r w:rsidR="005B734C" w:rsidRPr="00763C38">
        <w:rPr>
          <w:rFonts w:asciiTheme="minorHAnsi" w:hAnsiTheme="minorHAnsi" w:cstheme="minorHAnsi"/>
          <w:lang w:val="it-IT"/>
        </w:rPr>
        <w:t xml:space="preserve">, </w:t>
      </w:r>
      <w:r w:rsidR="00255DD5" w:rsidRPr="00763C38">
        <w:rPr>
          <w:rFonts w:asciiTheme="minorHAnsi" w:hAnsiTheme="minorHAnsi" w:cstheme="minorHAnsi"/>
          <w:lang w:val="it-IT"/>
        </w:rPr>
        <w:t>Daniele Campa</w:t>
      </w:r>
      <w:r w:rsidR="00662D65" w:rsidRPr="00763C38">
        <w:rPr>
          <w:rFonts w:asciiTheme="minorHAnsi" w:hAnsiTheme="minorHAnsi" w:cstheme="minorHAnsi"/>
          <w:vertAlign w:val="superscript"/>
          <w:lang w:val="it-IT"/>
        </w:rPr>
        <w:t>3</w:t>
      </w:r>
      <w:r w:rsidR="001F1E88" w:rsidRPr="00763C38">
        <w:rPr>
          <w:rFonts w:asciiTheme="minorHAnsi" w:hAnsiTheme="minorHAnsi" w:cstheme="minorHAnsi"/>
          <w:vertAlign w:val="superscript"/>
          <w:lang w:val="it-IT"/>
        </w:rPr>
        <w:t>**</w:t>
      </w:r>
      <w:r w:rsidR="00255DD5" w:rsidRPr="00763C38">
        <w:rPr>
          <w:rFonts w:asciiTheme="minorHAnsi" w:hAnsiTheme="minorHAnsi" w:cstheme="minorHAnsi"/>
          <w:lang w:val="it-IT"/>
        </w:rPr>
        <w:t>, Federico Canzian</w:t>
      </w:r>
      <w:r w:rsidRPr="00763C38">
        <w:rPr>
          <w:rFonts w:asciiTheme="minorHAnsi" w:hAnsiTheme="minorHAnsi" w:cstheme="minorHAnsi"/>
          <w:vertAlign w:val="superscript"/>
          <w:lang w:val="it-IT"/>
        </w:rPr>
        <w:t>1</w:t>
      </w:r>
      <w:r w:rsidR="001F1E88" w:rsidRPr="00763C38">
        <w:rPr>
          <w:rFonts w:asciiTheme="minorHAnsi" w:hAnsiTheme="minorHAnsi" w:cstheme="minorHAnsi"/>
          <w:vertAlign w:val="superscript"/>
          <w:lang w:val="it-IT"/>
        </w:rPr>
        <w:t>**</w:t>
      </w:r>
    </w:p>
    <w:p w14:paraId="3F2A3E9B" w14:textId="77777777" w:rsidR="00C02BA9" w:rsidRPr="00763C38" w:rsidRDefault="00C02BA9" w:rsidP="00C02BA9">
      <w:pPr>
        <w:spacing w:line="360" w:lineRule="auto"/>
        <w:jc w:val="both"/>
        <w:rPr>
          <w:rFonts w:asciiTheme="minorHAnsi" w:hAnsiTheme="minorHAnsi" w:cstheme="minorHAnsi"/>
          <w:lang w:val="it-IT"/>
        </w:rPr>
      </w:pPr>
    </w:p>
    <w:p w14:paraId="24D79277" w14:textId="27F50556" w:rsidR="00255DD5" w:rsidRPr="004B08E4" w:rsidRDefault="0037434E" w:rsidP="004D0C53">
      <w:pPr>
        <w:tabs>
          <w:tab w:val="left" w:pos="142"/>
        </w:tabs>
        <w:spacing w:line="360" w:lineRule="auto"/>
        <w:ind w:left="142" w:hanging="142"/>
        <w:jc w:val="both"/>
        <w:rPr>
          <w:rFonts w:asciiTheme="minorHAnsi" w:hAnsiTheme="minorHAnsi" w:cstheme="minorHAnsi"/>
          <w:lang w:val="en-GB"/>
        </w:rPr>
      </w:pPr>
      <w:r w:rsidRPr="004B08E4">
        <w:rPr>
          <w:rFonts w:asciiTheme="minorHAnsi" w:hAnsiTheme="minorHAnsi" w:cstheme="minorHAnsi"/>
          <w:vertAlign w:val="superscript"/>
          <w:lang w:val="en-GB"/>
        </w:rPr>
        <w:t>1</w:t>
      </w:r>
      <w:r w:rsidR="004D0C53">
        <w:rPr>
          <w:rFonts w:asciiTheme="minorHAnsi" w:hAnsiTheme="minorHAnsi" w:cstheme="minorHAnsi"/>
        </w:rPr>
        <w:tab/>
      </w:r>
      <w:r w:rsidR="003B0B02" w:rsidRPr="004B08E4">
        <w:rPr>
          <w:rFonts w:asciiTheme="minorHAnsi" w:hAnsiTheme="minorHAnsi" w:cstheme="minorHAnsi"/>
          <w:noProof/>
          <w:lang w:val="en-GB"/>
        </w:rPr>
        <w:t>Genomic Epidemiology Group, G</w:t>
      </w:r>
      <w:r w:rsidR="00255DD5" w:rsidRPr="004B08E4">
        <w:rPr>
          <w:rFonts w:asciiTheme="minorHAnsi" w:hAnsiTheme="minorHAnsi" w:cstheme="minorHAnsi"/>
          <w:noProof/>
          <w:lang w:val="en-GB"/>
        </w:rPr>
        <w:t>erman Cancer Research Center (DKFZ</w:t>
      </w:r>
      <w:r w:rsidR="00255DD5" w:rsidRPr="004B08E4">
        <w:rPr>
          <w:rFonts w:asciiTheme="minorHAnsi" w:hAnsiTheme="minorHAnsi" w:cstheme="minorHAnsi"/>
          <w:lang w:val="en-GB"/>
        </w:rPr>
        <w:t>), Heidelberg, Germany</w:t>
      </w:r>
    </w:p>
    <w:p w14:paraId="0D9EEDDE" w14:textId="4436310D" w:rsidR="008508EC" w:rsidRPr="004B08E4" w:rsidRDefault="00662D65" w:rsidP="004D0C53">
      <w:pPr>
        <w:tabs>
          <w:tab w:val="left" w:pos="142"/>
        </w:tabs>
        <w:spacing w:line="360" w:lineRule="auto"/>
        <w:ind w:left="142" w:hanging="142"/>
        <w:jc w:val="both"/>
        <w:rPr>
          <w:rFonts w:asciiTheme="minorHAnsi" w:hAnsiTheme="minorHAnsi" w:cstheme="minorHAnsi"/>
        </w:rPr>
      </w:pPr>
      <w:r w:rsidRPr="004B08E4">
        <w:rPr>
          <w:rFonts w:asciiTheme="minorHAnsi" w:hAnsiTheme="minorHAnsi" w:cstheme="minorHAnsi"/>
          <w:vertAlign w:val="superscript"/>
        </w:rPr>
        <w:t>2</w:t>
      </w:r>
      <w:r w:rsidR="004D0C53">
        <w:rPr>
          <w:rFonts w:asciiTheme="minorHAnsi" w:hAnsiTheme="minorHAnsi" w:cstheme="minorHAnsi"/>
        </w:rPr>
        <w:tab/>
      </w:r>
      <w:r w:rsidRPr="004B08E4">
        <w:rPr>
          <w:rFonts w:asciiTheme="minorHAnsi" w:hAnsiTheme="minorHAnsi" w:cstheme="minorHAnsi"/>
        </w:rPr>
        <w:t>Medical Faculty Heidelberg, University of Heidelberg, Heidelberg, Germany</w:t>
      </w:r>
    </w:p>
    <w:p w14:paraId="4D24A83F" w14:textId="421F3400" w:rsidR="0037434E" w:rsidRPr="004B08E4" w:rsidRDefault="00662D65" w:rsidP="004D0C53">
      <w:pPr>
        <w:tabs>
          <w:tab w:val="left" w:pos="142"/>
        </w:tabs>
        <w:spacing w:line="360" w:lineRule="auto"/>
        <w:ind w:left="142" w:hanging="142"/>
        <w:jc w:val="both"/>
        <w:rPr>
          <w:rFonts w:asciiTheme="minorHAnsi" w:hAnsiTheme="minorHAnsi" w:cstheme="minorHAnsi"/>
          <w:lang w:val="en-GB"/>
        </w:rPr>
      </w:pPr>
      <w:r w:rsidRPr="004B08E4">
        <w:rPr>
          <w:rFonts w:asciiTheme="minorHAnsi" w:hAnsiTheme="minorHAnsi" w:cstheme="minorHAnsi"/>
          <w:vertAlign w:val="superscript"/>
          <w:lang w:val="en-GB"/>
        </w:rPr>
        <w:t>3</w:t>
      </w:r>
      <w:r w:rsidR="004D0C53">
        <w:rPr>
          <w:rFonts w:asciiTheme="minorHAnsi" w:hAnsiTheme="minorHAnsi" w:cstheme="minorHAnsi"/>
        </w:rPr>
        <w:tab/>
      </w:r>
      <w:r w:rsidR="0037434E" w:rsidRPr="004B08E4">
        <w:rPr>
          <w:rFonts w:asciiTheme="minorHAnsi" w:hAnsiTheme="minorHAnsi" w:cstheme="minorHAnsi"/>
          <w:lang w:val="en-GB"/>
        </w:rPr>
        <w:t>Department of Biology, University of Pisa, Pisa, Italy</w:t>
      </w:r>
    </w:p>
    <w:p w14:paraId="3A94D45C" w14:textId="328AB75D" w:rsidR="008844DB" w:rsidRDefault="00662D65" w:rsidP="004D0C53">
      <w:pPr>
        <w:tabs>
          <w:tab w:val="left" w:pos="142"/>
        </w:tabs>
        <w:spacing w:line="360" w:lineRule="auto"/>
        <w:ind w:left="142" w:hanging="142"/>
        <w:jc w:val="both"/>
        <w:rPr>
          <w:rFonts w:asciiTheme="minorHAnsi" w:hAnsiTheme="minorHAnsi" w:cstheme="minorHAnsi"/>
          <w:lang w:val="en-GB"/>
        </w:rPr>
      </w:pPr>
      <w:r w:rsidRPr="004B08E4">
        <w:rPr>
          <w:rFonts w:asciiTheme="minorHAnsi" w:hAnsiTheme="minorHAnsi" w:cstheme="minorHAnsi"/>
          <w:vertAlign w:val="superscript"/>
          <w:lang w:val="en-GB"/>
        </w:rPr>
        <w:t>4</w:t>
      </w:r>
      <w:r w:rsidR="004D0C53">
        <w:rPr>
          <w:rFonts w:asciiTheme="minorHAnsi" w:hAnsiTheme="minorHAnsi" w:cstheme="minorHAnsi"/>
        </w:rPr>
        <w:tab/>
      </w:r>
      <w:r w:rsidR="004D0C53" w:rsidRPr="004D0C53">
        <w:rPr>
          <w:rFonts w:asciiTheme="minorHAnsi" w:hAnsiTheme="minorHAnsi" w:cstheme="minorHAnsi"/>
          <w:lang w:val="en-GB"/>
        </w:rPr>
        <w:t>Statistical Genetics Group, Institute of Medical Biometry and Informatics, University of</w:t>
      </w:r>
      <w:r w:rsidR="004D0C53">
        <w:rPr>
          <w:rFonts w:asciiTheme="minorHAnsi" w:hAnsiTheme="minorHAnsi" w:cstheme="minorHAnsi"/>
          <w:lang w:val="en-GB"/>
        </w:rPr>
        <w:t xml:space="preserve"> </w:t>
      </w:r>
      <w:r w:rsidR="004D0C53" w:rsidRPr="004D0C53">
        <w:rPr>
          <w:rFonts w:asciiTheme="minorHAnsi" w:hAnsiTheme="minorHAnsi" w:cstheme="minorHAnsi"/>
          <w:lang w:val="en-GB"/>
        </w:rPr>
        <w:t>Heidelberg, Germany</w:t>
      </w:r>
    </w:p>
    <w:p w14:paraId="325A6737" w14:textId="64136E74" w:rsidR="00207DF8" w:rsidRPr="004B08E4" w:rsidRDefault="008844DB" w:rsidP="004D0C53">
      <w:pPr>
        <w:tabs>
          <w:tab w:val="left" w:pos="142"/>
        </w:tabs>
        <w:spacing w:line="360" w:lineRule="auto"/>
        <w:ind w:left="142" w:hanging="142"/>
        <w:jc w:val="both"/>
        <w:rPr>
          <w:rFonts w:asciiTheme="minorHAnsi" w:hAnsiTheme="minorHAnsi" w:cstheme="minorHAnsi"/>
          <w:lang w:val="en-GB"/>
        </w:rPr>
      </w:pPr>
      <w:r w:rsidRPr="004B08E4">
        <w:rPr>
          <w:rFonts w:asciiTheme="minorHAnsi" w:hAnsiTheme="minorHAnsi" w:cstheme="minorHAnsi"/>
          <w:vertAlign w:val="superscript"/>
          <w:lang w:val="en-GB"/>
        </w:rPr>
        <w:t>5</w:t>
      </w:r>
      <w:r w:rsidR="004D0C53">
        <w:rPr>
          <w:rFonts w:asciiTheme="minorHAnsi" w:hAnsiTheme="minorHAnsi" w:cstheme="minorHAnsi"/>
        </w:rPr>
        <w:tab/>
        <w:t xml:space="preserve">General </w:t>
      </w:r>
      <w:r w:rsidR="00C02BA9" w:rsidRPr="004B08E4">
        <w:rPr>
          <w:rFonts w:asciiTheme="minorHAnsi" w:hAnsiTheme="minorHAnsi" w:cstheme="minorHAnsi"/>
          <w:lang w:val="en-GB"/>
        </w:rPr>
        <w:t>Surgery, Department of Surgery, Translational and New Technologies</w:t>
      </w:r>
      <w:r w:rsidR="00207DF8" w:rsidRPr="004B08E4">
        <w:rPr>
          <w:rFonts w:asciiTheme="minorHAnsi" w:hAnsiTheme="minorHAnsi" w:cstheme="minorHAnsi"/>
          <w:lang w:val="en-GB"/>
        </w:rPr>
        <w:t>, University of Pisa, Pisa, Italy</w:t>
      </w:r>
    </w:p>
    <w:p w14:paraId="6DF88E05" w14:textId="0EA94AC6" w:rsidR="00C02BA9" w:rsidRPr="004B08E4" w:rsidRDefault="008844DB" w:rsidP="004D0C53">
      <w:pPr>
        <w:tabs>
          <w:tab w:val="left" w:pos="142"/>
        </w:tabs>
        <w:spacing w:line="360" w:lineRule="auto"/>
        <w:ind w:left="142" w:hanging="142"/>
        <w:jc w:val="both"/>
        <w:rPr>
          <w:rFonts w:asciiTheme="minorHAnsi" w:hAnsiTheme="minorHAnsi" w:cstheme="minorHAnsi"/>
          <w:lang w:val="en-GB"/>
        </w:rPr>
      </w:pPr>
      <w:r>
        <w:rPr>
          <w:rFonts w:asciiTheme="minorHAnsi" w:hAnsiTheme="minorHAnsi" w:cstheme="minorHAnsi"/>
          <w:vertAlign w:val="superscript"/>
          <w:lang w:val="en-GB"/>
        </w:rPr>
        <w:t>6</w:t>
      </w:r>
      <w:r w:rsidR="004D0C53">
        <w:rPr>
          <w:rFonts w:asciiTheme="minorHAnsi" w:hAnsiTheme="minorHAnsi" w:cstheme="minorHAnsi"/>
        </w:rPr>
        <w:tab/>
      </w:r>
      <w:r w:rsidR="00C02BA9" w:rsidRPr="004B08E4">
        <w:rPr>
          <w:rFonts w:asciiTheme="minorHAnsi" w:hAnsiTheme="minorHAnsi" w:cstheme="minorHAnsi"/>
          <w:lang w:val="en-GB"/>
        </w:rPr>
        <w:t>EndoCAS (Center for Computer Assisted Surgery), University of Pisa, Pisa, Italy</w:t>
      </w:r>
    </w:p>
    <w:p w14:paraId="47F8C127" w14:textId="77777777" w:rsidR="00C02BA9" w:rsidRPr="004B08E4" w:rsidRDefault="00C02BA9" w:rsidP="00C02BA9">
      <w:pPr>
        <w:spacing w:line="360" w:lineRule="auto"/>
        <w:ind w:left="142" w:hanging="142"/>
        <w:jc w:val="both"/>
        <w:rPr>
          <w:rFonts w:asciiTheme="minorHAnsi" w:hAnsiTheme="minorHAnsi" w:cstheme="minorHAnsi"/>
          <w:lang w:val="en-GB"/>
        </w:rPr>
      </w:pPr>
    </w:p>
    <w:p w14:paraId="43CCE0C4" w14:textId="13D1C114" w:rsidR="00255DD5" w:rsidRPr="004B08E4" w:rsidRDefault="001F1E88" w:rsidP="00086AD2">
      <w:pPr>
        <w:spacing w:line="360" w:lineRule="auto"/>
        <w:jc w:val="both"/>
        <w:rPr>
          <w:rFonts w:asciiTheme="minorHAnsi" w:hAnsiTheme="minorHAnsi" w:cstheme="minorHAnsi"/>
          <w:lang w:val="en-GB"/>
        </w:rPr>
      </w:pPr>
      <w:r w:rsidRPr="004B08E4">
        <w:rPr>
          <w:rFonts w:asciiTheme="minorHAnsi" w:hAnsiTheme="minorHAnsi" w:cstheme="minorHAnsi"/>
          <w:lang w:val="en-GB"/>
        </w:rPr>
        <w:t>* These authors share first authorship</w:t>
      </w:r>
    </w:p>
    <w:p w14:paraId="250A364C" w14:textId="5DAB588B" w:rsidR="001F1E88" w:rsidRPr="004B08E4" w:rsidRDefault="001F1E88" w:rsidP="00086AD2">
      <w:pPr>
        <w:spacing w:line="360" w:lineRule="auto"/>
        <w:jc w:val="both"/>
        <w:rPr>
          <w:rFonts w:asciiTheme="minorHAnsi" w:hAnsiTheme="minorHAnsi" w:cstheme="minorHAnsi"/>
          <w:lang w:val="en-GB"/>
        </w:rPr>
      </w:pPr>
      <w:r w:rsidRPr="004B08E4">
        <w:rPr>
          <w:rFonts w:asciiTheme="minorHAnsi" w:hAnsiTheme="minorHAnsi" w:cstheme="minorHAnsi"/>
          <w:lang w:val="en-GB"/>
        </w:rPr>
        <w:t xml:space="preserve">** These authors share </w:t>
      </w:r>
      <w:r w:rsidRPr="004B08E4">
        <w:rPr>
          <w:rFonts w:asciiTheme="minorHAnsi" w:hAnsiTheme="minorHAnsi" w:cstheme="minorHAnsi"/>
          <w:noProof/>
          <w:lang w:val="en-GB"/>
        </w:rPr>
        <w:t>last</w:t>
      </w:r>
      <w:r w:rsidRPr="004B08E4">
        <w:rPr>
          <w:rFonts w:asciiTheme="minorHAnsi" w:hAnsiTheme="minorHAnsi" w:cstheme="minorHAnsi"/>
          <w:lang w:val="en-GB"/>
        </w:rPr>
        <w:t xml:space="preserve"> authorship</w:t>
      </w:r>
    </w:p>
    <w:p w14:paraId="5E22A107" w14:textId="77777777" w:rsidR="001F1E88" w:rsidRPr="004B08E4" w:rsidRDefault="001F1E88" w:rsidP="00086AD2">
      <w:pPr>
        <w:spacing w:line="360" w:lineRule="auto"/>
        <w:jc w:val="both"/>
        <w:rPr>
          <w:rFonts w:asciiTheme="minorHAnsi" w:hAnsiTheme="minorHAnsi" w:cstheme="minorHAnsi"/>
          <w:lang w:val="en-GB"/>
        </w:rPr>
      </w:pPr>
    </w:p>
    <w:p w14:paraId="7D4D9A4B" w14:textId="68C0B458" w:rsidR="00C4442B" w:rsidRPr="004B08E4" w:rsidRDefault="00C4442B" w:rsidP="00086AD2">
      <w:pPr>
        <w:spacing w:line="360" w:lineRule="auto"/>
        <w:jc w:val="both"/>
        <w:rPr>
          <w:rFonts w:asciiTheme="minorHAnsi" w:hAnsiTheme="minorHAnsi" w:cstheme="minorHAnsi"/>
          <w:lang w:val="en-GB"/>
        </w:rPr>
      </w:pPr>
      <w:r w:rsidRPr="004B08E4">
        <w:rPr>
          <w:rFonts w:asciiTheme="minorHAnsi" w:hAnsiTheme="minorHAnsi" w:cstheme="minorHAnsi"/>
          <w:b/>
          <w:lang w:val="en-GB"/>
        </w:rPr>
        <w:t xml:space="preserve">Running title: </w:t>
      </w:r>
      <w:r w:rsidR="005E777D" w:rsidRPr="004B08E4">
        <w:rPr>
          <w:rFonts w:asciiTheme="minorHAnsi" w:hAnsiTheme="minorHAnsi" w:cstheme="minorHAnsi"/>
          <w:lang w:val="en-GB"/>
        </w:rPr>
        <w:t>MR of risk factors for pancreatic cancer</w:t>
      </w:r>
    </w:p>
    <w:p w14:paraId="10114845" w14:textId="020E4979" w:rsidR="00C4442B" w:rsidRPr="004B08E4" w:rsidRDefault="00C4442B" w:rsidP="00086AD2">
      <w:pPr>
        <w:spacing w:line="360" w:lineRule="auto"/>
        <w:jc w:val="both"/>
        <w:rPr>
          <w:rFonts w:asciiTheme="minorHAnsi" w:hAnsiTheme="minorHAnsi" w:cstheme="minorHAnsi"/>
          <w:lang w:val="en-GB"/>
        </w:rPr>
      </w:pPr>
    </w:p>
    <w:p w14:paraId="2B2A6D8F" w14:textId="1DBFB0A3" w:rsidR="00C4442B" w:rsidRPr="004B08E4" w:rsidRDefault="00C4442B" w:rsidP="008844DB">
      <w:pPr>
        <w:spacing w:line="360" w:lineRule="auto"/>
        <w:jc w:val="both"/>
        <w:rPr>
          <w:rFonts w:asciiTheme="minorHAnsi" w:hAnsiTheme="minorHAnsi" w:cstheme="minorHAnsi"/>
          <w:b/>
          <w:lang w:val="en-GB"/>
        </w:rPr>
      </w:pPr>
      <w:r w:rsidRPr="004B08E4">
        <w:rPr>
          <w:rFonts w:asciiTheme="minorHAnsi" w:hAnsiTheme="minorHAnsi" w:cstheme="minorHAnsi"/>
          <w:b/>
          <w:lang w:val="en-GB"/>
        </w:rPr>
        <w:t xml:space="preserve">Keywords: </w:t>
      </w:r>
      <w:r w:rsidR="005E777D" w:rsidRPr="004B08E4">
        <w:rPr>
          <w:rFonts w:asciiTheme="minorHAnsi" w:hAnsiTheme="minorHAnsi" w:cstheme="minorHAnsi"/>
          <w:lang w:val="en-GB"/>
        </w:rPr>
        <w:t xml:space="preserve">Pancreatic cancer, Mendelian </w:t>
      </w:r>
      <w:r w:rsidR="005E777D" w:rsidRPr="004B08E4">
        <w:rPr>
          <w:rFonts w:asciiTheme="minorHAnsi" w:hAnsiTheme="minorHAnsi" w:cstheme="minorHAnsi"/>
          <w:noProof/>
          <w:lang w:val="en-GB"/>
        </w:rPr>
        <w:t>randomization</w:t>
      </w:r>
      <w:r w:rsidR="005E777D" w:rsidRPr="004B08E4">
        <w:rPr>
          <w:rFonts w:asciiTheme="minorHAnsi" w:hAnsiTheme="minorHAnsi" w:cstheme="minorHAnsi"/>
          <w:lang w:val="en-GB"/>
        </w:rPr>
        <w:t>, genetic polymorphisms, risk factors</w:t>
      </w:r>
    </w:p>
    <w:p w14:paraId="79256897" w14:textId="15B9C55E" w:rsidR="00C4442B" w:rsidRPr="004B08E4" w:rsidRDefault="00C4442B" w:rsidP="008844DB">
      <w:pPr>
        <w:spacing w:line="360" w:lineRule="auto"/>
        <w:jc w:val="both"/>
        <w:rPr>
          <w:rFonts w:asciiTheme="minorHAnsi" w:hAnsiTheme="minorHAnsi" w:cstheme="minorHAnsi"/>
          <w:lang w:val="en-GB"/>
        </w:rPr>
      </w:pPr>
    </w:p>
    <w:p w14:paraId="01CFC556" w14:textId="084E2281" w:rsidR="00C4442B" w:rsidRPr="004B08E4" w:rsidRDefault="00C4442B" w:rsidP="008844DB">
      <w:pPr>
        <w:spacing w:line="360" w:lineRule="auto"/>
        <w:jc w:val="both"/>
        <w:rPr>
          <w:rFonts w:asciiTheme="minorHAnsi" w:hAnsiTheme="minorHAnsi" w:cstheme="minorHAnsi"/>
          <w:lang w:val="en-GB"/>
        </w:rPr>
      </w:pPr>
      <w:r w:rsidRPr="004B08E4">
        <w:rPr>
          <w:rFonts w:asciiTheme="minorHAnsi" w:hAnsiTheme="minorHAnsi" w:cstheme="minorHAnsi"/>
          <w:b/>
          <w:lang w:val="en-GB"/>
        </w:rPr>
        <w:t>Corresponding author:</w:t>
      </w:r>
      <w:r w:rsidR="00255DD5" w:rsidRPr="004B08E4">
        <w:rPr>
          <w:rFonts w:asciiTheme="minorHAnsi" w:hAnsiTheme="minorHAnsi" w:cstheme="minorHAnsi"/>
          <w:lang w:val="en-GB"/>
        </w:rPr>
        <w:t xml:space="preserve"> Daniele</w:t>
      </w:r>
      <w:r w:rsidR="0037434E" w:rsidRPr="004B08E4">
        <w:rPr>
          <w:rFonts w:asciiTheme="minorHAnsi" w:hAnsiTheme="minorHAnsi" w:cstheme="minorHAnsi"/>
          <w:lang w:val="en-GB"/>
        </w:rPr>
        <w:t xml:space="preserve"> Campa</w:t>
      </w:r>
    </w:p>
    <w:p w14:paraId="0CF4041A" w14:textId="49F20EAE" w:rsidR="0037434E" w:rsidRPr="004B08E4" w:rsidRDefault="0037434E" w:rsidP="008844DB">
      <w:pPr>
        <w:spacing w:line="360" w:lineRule="auto"/>
        <w:jc w:val="both"/>
        <w:rPr>
          <w:rFonts w:asciiTheme="minorHAnsi" w:hAnsiTheme="minorHAnsi" w:cstheme="minorHAnsi"/>
          <w:lang w:val="en-GB"/>
        </w:rPr>
      </w:pPr>
      <w:r w:rsidRPr="004B08E4">
        <w:rPr>
          <w:rFonts w:asciiTheme="minorHAnsi" w:hAnsiTheme="minorHAnsi" w:cstheme="minorHAnsi"/>
          <w:lang w:val="en-GB"/>
        </w:rPr>
        <w:t>Department of Biology</w:t>
      </w:r>
    </w:p>
    <w:p w14:paraId="388E6629" w14:textId="77B219A3" w:rsidR="0037434E" w:rsidRPr="00763C38" w:rsidRDefault="0037434E" w:rsidP="008844DB">
      <w:pPr>
        <w:spacing w:line="360" w:lineRule="auto"/>
        <w:jc w:val="both"/>
        <w:rPr>
          <w:rFonts w:asciiTheme="minorHAnsi" w:hAnsiTheme="minorHAnsi" w:cstheme="minorHAnsi"/>
          <w:lang w:val="it-IT"/>
        </w:rPr>
      </w:pPr>
      <w:r w:rsidRPr="00763C38">
        <w:rPr>
          <w:rFonts w:asciiTheme="minorHAnsi" w:hAnsiTheme="minorHAnsi" w:cstheme="minorHAnsi"/>
          <w:lang w:val="it-IT"/>
        </w:rPr>
        <w:t>University of Pisa</w:t>
      </w:r>
    </w:p>
    <w:p w14:paraId="662A169B" w14:textId="23E637EE" w:rsidR="0037434E" w:rsidRPr="00763C38" w:rsidRDefault="0037434E" w:rsidP="008844DB">
      <w:pPr>
        <w:spacing w:line="360" w:lineRule="auto"/>
        <w:jc w:val="both"/>
        <w:rPr>
          <w:rFonts w:asciiTheme="minorHAnsi" w:hAnsiTheme="minorHAnsi" w:cstheme="minorHAnsi"/>
          <w:lang w:val="it-IT"/>
        </w:rPr>
      </w:pPr>
      <w:r w:rsidRPr="00763C38">
        <w:rPr>
          <w:rFonts w:asciiTheme="minorHAnsi" w:hAnsiTheme="minorHAnsi" w:cstheme="minorHAnsi"/>
          <w:lang w:val="it-IT"/>
        </w:rPr>
        <w:t>Via Derna 1</w:t>
      </w:r>
    </w:p>
    <w:p w14:paraId="068E808C" w14:textId="0F9121CB" w:rsidR="0037434E" w:rsidRPr="00763C38" w:rsidRDefault="0037434E" w:rsidP="008844DB">
      <w:pPr>
        <w:spacing w:line="360" w:lineRule="auto"/>
        <w:jc w:val="both"/>
        <w:rPr>
          <w:rFonts w:asciiTheme="minorHAnsi" w:hAnsiTheme="minorHAnsi" w:cstheme="minorHAnsi"/>
          <w:lang w:val="it-IT"/>
        </w:rPr>
      </w:pPr>
      <w:r w:rsidRPr="00763C38">
        <w:rPr>
          <w:rFonts w:asciiTheme="minorHAnsi" w:hAnsiTheme="minorHAnsi" w:cstheme="minorHAnsi"/>
          <w:lang w:val="it-IT"/>
        </w:rPr>
        <w:t>5</w:t>
      </w:r>
      <w:r w:rsidR="000E1D57" w:rsidRPr="00763C38">
        <w:rPr>
          <w:rFonts w:asciiTheme="minorHAnsi" w:hAnsiTheme="minorHAnsi" w:cstheme="minorHAnsi"/>
          <w:lang w:val="it-IT"/>
        </w:rPr>
        <w:t>6126</w:t>
      </w:r>
      <w:r w:rsidRPr="00763C38">
        <w:rPr>
          <w:rFonts w:asciiTheme="minorHAnsi" w:hAnsiTheme="minorHAnsi" w:cstheme="minorHAnsi"/>
          <w:lang w:val="it-IT"/>
        </w:rPr>
        <w:t xml:space="preserve"> Pisa</w:t>
      </w:r>
    </w:p>
    <w:p w14:paraId="51FC5A5C" w14:textId="3CE96D3C" w:rsidR="0037434E" w:rsidRPr="008A2620" w:rsidRDefault="0037434E" w:rsidP="008844DB">
      <w:pPr>
        <w:spacing w:line="360" w:lineRule="auto"/>
        <w:jc w:val="both"/>
        <w:rPr>
          <w:rFonts w:asciiTheme="minorHAnsi" w:hAnsiTheme="minorHAnsi" w:cstheme="minorHAnsi"/>
          <w:lang w:val="it-IT"/>
        </w:rPr>
      </w:pPr>
      <w:r w:rsidRPr="008A2620">
        <w:rPr>
          <w:rFonts w:asciiTheme="minorHAnsi" w:hAnsiTheme="minorHAnsi" w:cstheme="minorHAnsi"/>
          <w:lang w:val="it-IT"/>
        </w:rPr>
        <w:t>Italy</w:t>
      </w:r>
    </w:p>
    <w:p w14:paraId="62106C23" w14:textId="5801826A" w:rsidR="0037434E" w:rsidRPr="008A2620" w:rsidRDefault="0037434E" w:rsidP="008844DB">
      <w:pPr>
        <w:spacing w:line="360" w:lineRule="auto"/>
        <w:jc w:val="both"/>
        <w:rPr>
          <w:rFonts w:asciiTheme="minorHAnsi" w:hAnsiTheme="minorHAnsi" w:cstheme="minorHAnsi"/>
          <w:lang w:val="it-IT"/>
        </w:rPr>
      </w:pPr>
      <w:r w:rsidRPr="008A2620">
        <w:rPr>
          <w:rFonts w:asciiTheme="minorHAnsi" w:hAnsiTheme="minorHAnsi" w:cstheme="minorHAnsi"/>
          <w:lang w:val="it-IT"/>
        </w:rPr>
        <w:t>Telephone: +39-050-2211050</w:t>
      </w:r>
    </w:p>
    <w:p w14:paraId="2402664E" w14:textId="433459E1" w:rsidR="00946755" w:rsidRPr="008A2620" w:rsidRDefault="0037434E" w:rsidP="008844DB">
      <w:pPr>
        <w:spacing w:line="360" w:lineRule="auto"/>
        <w:jc w:val="both"/>
        <w:rPr>
          <w:rFonts w:asciiTheme="minorHAnsi" w:hAnsiTheme="minorHAnsi" w:cstheme="minorHAnsi"/>
          <w:lang w:val="it-IT"/>
        </w:rPr>
      </w:pPr>
      <w:r w:rsidRPr="008A2620">
        <w:rPr>
          <w:rFonts w:asciiTheme="minorHAnsi" w:hAnsiTheme="minorHAnsi" w:cstheme="minorHAnsi"/>
          <w:lang w:val="it-IT"/>
        </w:rPr>
        <w:t xml:space="preserve">E-mail: </w:t>
      </w:r>
      <w:r w:rsidR="00946755" w:rsidRPr="008A2620">
        <w:rPr>
          <w:rFonts w:asciiTheme="minorHAnsi" w:hAnsiTheme="minorHAnsi" w:cstheme="minorHAnsi"/>
          <w:lang w:val="it-IT"/>
        </w:rPr>
        <w:t>daniele.campa@unipi.it</w:t>
      </w:r>
    </w:p>
    <w:p w14:paraId="11CCDF90" w14:textId="3E7184DA" w:rsidR="00C4442B" w:rsidRPr="008A2620" w:rsidRDefault="00C4442B" w:rsidP="008844DB">
      <w:pPr>
        <w:spacing w:line="360" w:lineRule="auto"/>
        <w:jc w:val="both"/>
        <w:rPr>
          <w:rFonts w:asciiTheme="minorHAnsi" w:hAnsiTheme="minorHAnsi" w:cstheme="minorHAnsi"/>
          <w:b/>
          <w:lang w:val="it-IT"/>
        </w:rPr>
      </w:pPr>
      <w:r w:rsidRPr="008A2620">
        <w:rPr>
          <w:rFonts w:asciiTheme="minorHAnsi" w:hAnsiTheme="minorHAnsi" w:cstheme="minorHAnsi"/>
          <w:b/>
          <w:lang w:val="it-IT"/>
        </w:rPr>
        <w:br w:type="page"/>
      </w:r>
    </w:p>
    <w:p w14:paraId="13A7A8F5" w14:textId="77777777" w:rsidR="00C4442B" w:rsidRPr="004B08E4" w:rsidRDefault="00C4442B" w:rsidP="00086AD2">
      <w:pPr>
        <w:pStyle w:val="Heading1"/>
        <w:rPr>
          <w:rFonts w:asciiTheme="minorHAnsi" w:hAnsiTheme="minorHAnsi" w:cstheme="minorHAnsi"/>
          <w:lang w:val="en-GB"/>
        </w:rPr>
      </w:pPr>
      <w:r w:rsidRPr="004B08E4">
        <w:rPr>
          <w:rFonts w:asciiTheme="minorHAnsi" w:hAnsiTheme="minorHAnsi" w:cstheme="minorHAnsi"/>
          <w:lang w:val="en-GB"/>
        </w:rPr>
        <w:lastRenderedPageBreak/>
        <w:t>Abstract</w:t>
      </w:r>
    </w:p>
    <w:p w14:paraId="2F028DA2" w14:textId="09921084" w:rsidR="00A75212" w:rsidRDefault="00A75212" w:rsidP="00FC57C7">
      <w:pPr>
        <w:spacing w:line="480" w:lineRule="auto"/>
        <w:jc w:val="both"/>
        <w:rPr>
          <w:rFonts w:asciiTheme="minorHAnsi" w:eastAsia="DengXian" w:hAnsiTheme="minorHAnsi" w:cstheme="minorHAnsi"/>
          <w:color w:val="000000"/>
        </w:rPr>
      </w:pPr>
      <w:bookmarkStart w:id="0" w:name="OLE_LINK13"/>
      <w:bookmarkStart w:id="1" w:name="OLE_LINK14"/>
      <w:bookmarkStart w:id="2" w:name="OLE_LINK38"/>
      <w:bookmarkStart w:id="3" w:name="OLE_LINK41"/>
      <w:r>
        <w:rPr>
          <w:rFonts w:asciiTheme="minorHAnsi" w:hAnsiTheme="minorHAnsi" w:cstheme="minorHAnsi"/>
          <w:lang w:val="en-GB"/>
        </w:rPr>
        <w:t>BACKGROUND</w:t>
      </w:r>
      <w:r w:rsidR="00FC57C7" w:rsidRPr="001657C4">
        <w:rPr>
          <w:rFonts w:asciiTheme="minorHAnsi" w:hAnsiTheme="minorHAnsi" w:cstheme="minorHAnsi"/>
          <w:lang w:val="en-GB"/>
        </w:rPr>
        <w:t>:</w:t>
      </w:r>
      <w:r w:rsidR="008F5BCD" w:rsidRPr="001657C4">
        <w:rPr>
          <w:rFonts w:asciiTheme="minorHAnsi" w:hAnsiTheme="minorHAnsi" w:cstheme="minorHAnsi"/>
          <w:lang w:val="en-GB"/>
        </w:rPr>
        <w:t xml:space="preserve"> </w:t>
      </w:r>
      <w:r w:rsidR="00630074" w:rsidRPr="001657C4">
        <w:rPr>
          <w:rFonts w:asciiTheme="minorHAnsi" w:eastAsia="DengXian" w:hAnsiTheme="minorHAnsi" w:cstheme="minorHAnsi"/>
          <w:color w:val="000000"/>
        </w:rPr>
        <w:t xml:space="preserve">Observational studies have reported multiple risk factors for </w:t>
      </w:r>
      <w:r w:rsidR="00B475B3" w:rsidRPr="001C52E3">
        <w:rPr>
          <w:rFonts w:asciiTheme="minorHAnsi" w:hAnsiTheme="minorHAnsi"/>
          <w:lang w:val="en-GB"/>
        </w:rPr>
        <w:t>p</w:t>
      </w:r>
      <w:r w:rsidR="001657C4" w:rsidRPr="001C52E3">
        <w:rPr>
          <w:rFonts w:asciiTheme="minorHAnsi" w:hAnsiTheme="minorHAnsi"/>
          <w:lang w:val="en-GB"/>
        </w:rPr>
        <w:t xml:space="preserve">ancreatic </w:t>
      </w:r>
      <w:r w:rsidR="001657C4" w:rsidRPr="001657C4">
        <w:rPr>
          <w:rFonts w:asciiTheme="minorHAnsi" w:hAnsiTheme="minorHAnsi" w:cstheme="minorHAnsi"/>
          <w:lang w:val="en-GB"/>
        </w:rPr>
        <w:t>ductal adenocarcinoma (PDAC)</w:t>
      </w:r>
      <w:r w:rsidR="00630074" w:rsidRPr="004B08E4">
        <w:rPr>
          <w:rFonts w:asciiTheme="minorHAnsi" w:eastAsia="DengXian" w:hAnsiTheme="minorHAnsi" w:cstheme="minorHAnsi"/>
          <w:color w:val="000000"/>
        </w:rPr>
        <w:t xml:space="preserve">. Some are well established, like </w:t>
      </w:r>
      <w:r w:rsidR="00630074">
        <w:rPr>
          <w:rFonts w:asciiTheme="minorHAnsi" w:eastAsia="DengXian" w:hAnsiTheme="minorHAnsi" w:cstheme="minorHAnsi"/>
          <w:color w:val="000000"/>
        </w:rPr>
        <w:t xml:space="preserve">tobacco </w:t>
      </w:r>
      <w:r w:rsidR="00630074" w:rsidRPr="004B08E4">
        <w:rPr>
          <w:rFonts w:asciiTheme="minorHAnsi" w:eastAsia="DengXian" w:hAnsiTheme="minorHAnsi" w:cstheme="minorHAnsi"/>
          <w:color w:val="000000"/>
        </w:rPr>
        <w:t xml:space="preserve">smoking, </w:t>
      </w:r>
      <w:r w:rsidR="00630074">
        <w:rPr>
          <w:rFonts w:asciiTheme="minorHAnsi" w:eastAsia="DengXian" w:hAnsiTheme="minorHAnsi" w:cstheme="minorHAnsi"/>
          <w:color w:val="000000"/>
        </w:rPr>
        <w:t xml:space="preserve">alcohol </w:t>
      </w:r>
      <w:r w:rsidR="00630074" w:rsidRPr="004B08E4">
        <w:rPr>
          <w:rFonts w:asciiTheme="minorHAnsi" w:eastAsia="DengXian" w:hAnsiTheme="minorHAnsi" w:cstheme="minorHAnsi"/>
          <w:color w:val="000000"/>
        </w:rPr>
        <w:t xml:space="preserve">drinking, obesity and type 2 diabetes, whereas some others are putative, such as allergy and dietary factors. </w:t>
      </w:r>
      <w:r w:rsidR="00DE7530" w:rsidRPr="001657C4">
        <w:rPr>
          <w:rFonts w:asciiTheme="minorHAnsi" w:eastAsia="DengXian" w:hAnsiTheme="minorHAnsi" w:cstheme="minorHAnsi"/>
          <w:color w:val="000000"/>
        </w:rPr>
        <w:t xml:space="preserve">Identifying causal risk </w:t>
      </w:r>
      <w:r w:rsidR="00DE7530">
        <w:rPr>
          <w:rFonts w:asciiTheme="minorHAnsi" w:eastAsia="DengXian" w:hAnsiTheme="minorHAnsi" w:cstheme="minorHAnsi"/>
          <w:color w:val="000000"/>
        </w:rPr>
        <w:t xml:space="preserve">factors </w:t>
      </w:r>
      <w:r w:rsidR="00DE7530" w:rsidRPr="001657C4">
        <w:rPr>
          <w:rFonts w:asciiTheme="minorHAnsi" w:eastAsia="DengXian" w:hAnsiTheme="minorHAnsi" w:cstheme="minorHAnsi"/>
          <w:color w:val="000000"/>
        </w:rPr>
        <w:t xml:space="preserve">can help </w:t>
      </w:r>
      <w:r w:rsidR="00DE7530">
        <w:rPr>
          <w:rFonts w:asciiTheme="minorHAnsi" w:eastAsia="DengXian" w:hAnsiTheme="minorHAnsi" w:cstheme="minorHAnsi"/>
          <w:color w:val="000000"/>
        </w:rPr>
        <w:t>establishing</w:t>
      </w:r>
      <w:r w:rsidR="00DE7530" w:rsidRPr="001657C4">
        <w:rPr>
          <w:rFonts w:asciiTheme="minorHAnsi" w:eastAsia="DengXian" w:hAnsiTheme="minorHAnsi" w:cstheme="minorHAnsi"/>
          <w:color w:val="000000"/>
        </w:rPr>
        <w:t xml:space="preserve"> </w:t>
      </w:r>
      <w:r w:rsidR="00DE7530">
        <w:rPr>
          <w:rFonts w:asciiTheme="minorHAnsi" w:eastAsia="DengXian" w:hAnsiTheme="minorHAnsi" w:cstheme="minorHAnsi"/>
          <w:color w:val="000000"/>
        </w:rPr>
        <w:t>those that</w:t>
      </w:r>
      <w:r w:rsidR="00DE7530" w:rsidRPr="001657C4">
        <w:rPr>
          <w:rFonts w:asciiTheme="minorHAnsi" w:eastAsia="DengXian" w:hAnsiTheme="minorHAnsi" w:cstheme="minorHAnsi"/>
          <w:color w:val="000000"/>
        </w:rPr>
        <w:t xml:space="preserve"> can be targeted to </w:t>
      </w:r>
      <w:r w:rsidR="00E847AE">
        <w:rPr>
          <w:rFonts w:asciiTheme="minorHAnsi" w:eastAsia="DengXian" w:hAnsiTheme="minorHAnsi" w:cstheme="minorHAnsi"/>
          <w:color w:val="000000"/>
        </w:rPr>
        <w:t>contribute to</w:t>
      </w:r>
      <w:r w:rsidR="00E847AE" w:rsidRPr="001657C4">
        <w:rPr>
          <w:rFonts w:asciiTheme="minorHAnsi" w:eastAsia="DengXian" w:hAnsiTheme="minorHAnsi" w:cstheme="minorHAnsi"/>
          <w:color w:val="000000"/>
        </w:rPr>
        <w:t xml:space="preserve"> </w:t>
      </w:r>
      <w:r w:rsidR="00DE7530" w:rsidRPr="001657C4">
        <w:rPr>
          <w:rFonts w:asciiTheme="minorHAnsi" w:eastAsia="DengXian" w:hAnsiTheme="minorHAnsi" w:cstheme="minorHAnsi"/>
          <w:color w:val="000000"/>
        </w:rPr>
        <w:t>prevent PDAC.</w:t>
      </w:r>
      <w:r w:rsidR="00DE7530">
        <w:rPr>
          <w:rFonts w:asciiTheme="minorHAnsi" w:eastAsia="DengXian" w:hAnsiTheme="minorHAnsi" w:cstheme="minorHAnsi"/>
          <w:color w:val="000000"/>
        </w:rPr>
        <w:t xml:space="preserve"> </w:t>
      </w:r>
    </w:p>
    <w:p w14:paraId="1CE3F5C3" w14:textId="31F64A2D" w:rsidR="008F5BCD" w:rsidRPr="004B08E4" w:rsidRDefault="00A75212" w:rsidP="00FC57C7">
      <w:pPr>
        <w:spacing w:line="480" w:lineRule="auto"/>
        <w:jc w:val="both"/>
        <w:rPr>
          <w:rFonts w:asciiTheme="minorHAnsi" w:hAnsiTheme="minorHAnsi" w:cstheme="minorHAnsi"/>
          <w:lang w:val="en-GB"/>
        </w:rPr>
      </w:pPr>
      <w:r>
        <w:rPr>
          <w:rFonts w:asciiTheme="minorHAnsi" w:eastAsia="DengXian" w:hAnsiTheme="minorHAnsi" w:cstheme="minorHAnsi"/>
          <w:color w:val="000000"/>
        </w:rPr>
        <w:t xml:space="preserve">OBJECTIVE: </w:t>
      </w:r>
      <w:r w:rsidR="00DA5FF7">
        <w:rPr>
          <w:rFonts w:asciiTheme="minorHAnsi" w:eastAsia="DengXian" w:hAnsiTheme="minorHAnsi" w:cstheme="minorHAnsi"/>
          <w:color w:val="000000"/>
        </w:rPr>
        <w:t>We sought</w:t>
      </w:r>
      <w:r w:rsidR="008F5BCD" w:rsidRPr="004B08E4">
        <w:rPr>
          <w:rFonts w:asciiTheme="minorHAnsi" w:eastAsia="DengXian" w:hAnsiTheme="minorHAnsi" w:cstheme="minorHAnsi"/>
          <w:color w:val="000000"/>
        </w:rPr>
        <w:t xml:space="preserve"> to investigate the possible causal </w:t>
      </w:r>
      <w:r w:rsidR="00023D03">
        <w:rPr>
          <w:rFonts w:asciiTheme="minorHAnsi" w:eastAsia="DengXian" w:hAnsiTheme="minorHAnsi" w:cstheme="minorHAnsi"/>
          <w:color w:val="000000"/>
        </w:rPr>
        <w:t xml:space="preserve">effects of established and putative factors </w:t>
      </w:r>
      <w:r w:rsidR="008F5BCD" w:rsidRPr="004B08E4">
        <w:rPr>
          <w:rFonts w:asciiTheme="minorHAnsi" w:eastAsia="DengXian" w:hAnsiTheme="minorHAnsi" w:cstheme="minorHAnsi"/>
          <w:color w:val="000000"/>
        </w:rPr>
        <w:t xml:space="preserve">on </w:t>
      </w:r>
      <w:r w:rsidR="004F51D8">
        <w:rPr>
          <w:rFonts w:asciiTheme="minorHAnsi" w:eastAsia="DengXian" w:hAnsiTheme="minorHAnsi" w:cstheme="minorHAnsi"/>
          <w:color w:val="000000"/>
        </w:rPr>
        <w:t>PDAC</w:t>
      </w:r>
      <w:r w:rsidR="00023D03">
        <w:rPr>
          <w:rFonts w:asciiTheme="minorHAnsi" w:eastAsia="DengXian" w:hAnsiTheme="minorHAnsi" w:cstheme="minorHAnsi"/>
          <w:color w:val="000000"/>
        </w:rPr>
        <w:t xml:space="preserve"> risk</w:t>
      </w:r>
      <w:r w:rsidR="008F5BCD" w:rsidRPr="004B08E4">
        <w:rPr>
          <w:rFonts w:asciiTheme="minorHAnsi" w:eastAsia="DengXian" w:hAnsiTheme="minorHAnsi" w:cstheme="minorHAnsi"/>
          <w:color w:val="000000"/>
        </w:rPr>
        <w:t>.</w:t>
      </w:r>
      <w:bookmarkEnd w:id="0"/>
      <w:bookmarkEnd w:id="1"/>
    </w:p>
    <w:p w14:paraId="4D41C2D1" w14:textId="3AAFCB5A" w:rsidR="00FC57C7" w:rsidRPr="004B08E4" w:rsidRDefault="00FC57C7" w:rsidP="00FC57C7">
      <w:pPr>
        <w:spacing w:line="480" w:lineRule="auto"/>
        <w:jc w:val="both"/>
        <w:rPr>
          <w:rFonts w:asciiTheme="minorHAnsi" w:hAnsiTheme="minorHAnsi" w:cstheme="minorHAnsi"/>
        </w:rPr>
      </w:pPr>
      <w:r w:rsidRPr="004B08E4">
        <w:rPr>
          <w:rFonts w:asciiTheme="minorHAnsi" w:hAnsiTheme="minorHAnsi" w:cstheme="minorHAnsi"/>
          <w:lang w:val="en-GB"/>
        </w:rPr>
        <w:t>MET</w:t>
      </w:r>
      <w:r w:rsidR="00556285" w:rsidRPr="004B08E4">
        <w:rPr>
          <w:rFonts w:asciiTheme="minorHAnsi" w:hAnsiTheme="minorHAnsi" w:cstheme="minorHAnsi"/>
          <w:lang w:val="en-GB"/>
        </w:rPr>
        <w:t>H</w:t>
      </w:r>
      <w:r w:rsidRPr="004B08E4">
        <w:rPr>
          <w:rFonts w:asciiTheme="minorHAnsi" w:hAnsiTheme="minorHAnsi" w:cstheme="minorHAnsi"/>
          <w:lang w:val="en-GB"/>
        </w:rPr>
        <w:t>ODS:</w:t>
      </w:r>
      <w:r w:rsidR="008F5BCD" w:rsidRPr="004B08E4">
        <w:rPr>
          <w:rFonts w:asciiTheme="minorHAnsi" w:hAnsiTheme="minorHAnsi" w:cstheme="minorHAnsi"/>
          <w:lang w:val="en-GB"/>
        </w:rPr>
        <w:t xml:space="preserve"> </w:t>
      </w:r>
      <w:r w:rsidR="00954DB6" w:rsidRPr="004B08E4">
        <w:rPr>
          <w:rFonts w:asciiTheme="minorHAnsi" w:hAnsiTheme="minorHAnsi" w:cstheme="minorHAnsi"/>
          <w:lang w:val="en-GB"/>
        </w:rPr>
        <w:t xml:space="preserve">We conducted a </w:t>
      </w:r>
      <w:r w:rsidR="00023D03">
        <w:rPr>
          <w:rFonts w:asciiTheme="minorHAnsi" w:hAnsiTheme="minorHAnsi" w:cstheme="minorHAnsi"/>
          <w:lang w:val="en-GB"/>
        </w:rPr>
        <w:t>t</w:t>
      </w:r>
      <w:r w:rsidR="00954DB6" w:rsidRPr="004B08E4">
        <w:rPr>
          <w:rFonts w:asciiTheme="minorHAnsi" w:hAnsiTheme="minorHAnsi" w:cstheme="minorHAnsi"/>
          <w:lang w:val="en-GB"/>
        </w:rPr>
        <w:t>wo-sample M</w:t>
      </w:r>
      <w:r w:rsidR="00494389" w:rsidRPr="004B08E4">
        <w:rPr>
          <w:rFonts w:asciiTheme="minorHAnsi" w:hAnsiTheme="minorHAnsi" w:cstheme="minorHAnsi"/>
          <w:lang w:val="en-GB"/>
        </w:rPr>
        <w:t>endelian randomization</w:t>
      </w:r>
      <w:r w:rsidR="00954DB6" w:rsidRPr="004B08E4">
        <w:rPr>
          <w:rFonts w:asciiTheme="minorHAnsi" w:hAnsiTheme="minorHAnsi" w:cstheme="minorHAnsi"/>
          <w:lang w:val="en-GB"/>
        </w:rPr>
        <w:t xml:space="preserve"> </w:t>
      </w:r>
      <w:r w:rsidR="00494389" w:rsidRPr="004B08E4">
        <w:rPr>
          <w:rFonts w:asciiTheme="minorHAnsi" w:hAnsiTheme="minorHAnsi" w:cstheme="minorHAnsi"/>
          <w:lang w:val="en-GB"/>
        </w:rPr>
        <w:t xml:space="preserve">(MR) </w:t>
      </w:r>
      <w:r w:rsidR="00023D03">
        <w:rPr>
          <w:rFonts w:asciiTheme="minorHAnsi" w:hAnsiTheme="minorHAnsi" w:cstheme="minorHAnsi"/>
          <w:lang w:val="en-GB"/>
        </w:rPr>
        <w:t xml:space="preserve">study </w:t>
      </w:r>
      <w:r w:rsidR="00954DB6" w:rsidRPr="004B08E4">
        <w:rPr>
          <w:rFonts w:asciiTheme="minorHAnsi" w:hAnsiTheme="minorHAnsi" w:cstheme="minorHAnsi"/>
          <w:lang w:val="en-GB"/>
        </w:rPr>
        <w:t xml:space="preserve">using publicly available data </w:t>
      </w:r>
      <w:r w:rsidR="00023D03">
        <w:rPr>
          <w:rFonts w:asciiTheme="minorHAnsi" w:hAnsiTheme="minorHAnsi" w:cstheme="minorHAnsi"/>
          <w:lang w:val="en-GB"/>
        </w:rPr>
        <w:t xml:space="preserve">for </w:t>
      </w:r>
      <w:r w:rsidR="00954DB6" w:rsidRPr="004B08E4">
        <w:rPr>
          <w:rFonts w:asciiTheme="minorHAnsi" w:hAnsiTheme="minorHAnsi" w:cstheme="minorHAnsi"/>
          <w:lang w:val="en-GB"/>
        </w:rPr>
        <w:t xml:space="preserve">genetic variants associated with </w:t>
      </w:r>
      <w:r w:rsidR="00023D03">
        <w:rPr>
          <w:rFonts w:asciiTheme="minorHAnsi" w:hAnsiTheme="minorHAnsi" w:cstheme="minorHAnsi"/>
          <w:lang w:val="en-GB"/>
        </w:rPr>
        <w:t xml:space="preserve">the factors of </w:t>
      </w:r>
      <w:r w:rsidR="00954DB6" w:rsidRPr="004B08E4">
        <w:rPr>
          <w:rFonts w:asciiTheme="minorHAnsi" w:hAnsiTheme="minorHAnsi" w:cstheme="minorHAnsi"/>
          <w:lang w:val="en-GB"/>
        </w:rPr>
        <w:t xml:space="preserve">interest, and summary genetic data from genome-wide association studies (GWAS) of </w:t>
      </w:r>
      <w:r w:rsidR="00DA5FF7" w:rsidRPr="00DA5FF7">
        <w:rPr>
          <w:rFonts w:asciiTheme="minorHAnsi" w:hAnsiTheme="minorHAnsi" w:cstheme="minorHAnsi"/>
          <w:lang w:val="en-GB"/>
        </w:rPr>
        <w:t>the Pancreatic Cancer Cohort Consortium (PanScan) and the Pancreatic Cancer Case-Control Consortium (PanC4)</w:t>
      </w:r>
      <w:r w:rsidR="00DA5FF7">
        <w:rPr>
          <w:rFonts w:asciiTheme="minorHAnsi" w:hAnsiTheme="minorHAnsi" w:cstheme="minorHAnsi"/>
          <w:lang w:val="en-GB"/>
        </w:rPr>
        <w:t>,</w:t>
      </w:r>
      <w:r w:rsidR="00DA5FF7">
        <w:rPr>
          <w:rFonts w:asciiTheme="minorHAnsi" w:hAnsiTheme="minorHAnsi" w:cstheme="minorHAnsi" w:hint="eastAsia"/>
          <w:lang w:val="en-GB"/>
        </w:rPr>
        <w:t xml:space="preserve"> </w:t>
      </w:r>
      <w:r w:rsidR="00DC595B">
        <w:rPr>
          <w:rFonts w:asciiTheme="minorHAnsi" w:hAnsiTheme="minorHAnsi" w:cstheme="minorHAnsi"/>
          <w:lang w:val="en-GB"/>
        </w:rPr>
        <w:t xml:space="preserve">including in </w:t>
      </w:r>
      <w:r w:rsidR="00DA5FF7">
        <w:rPr>
          <w:rFonts w:asciiTheme="minorHAnsi" w:hAnsiTheme="minorHAnsi" w:cstheme="minorHAnsi" w:hint="eastAsia"/>
          <w:lang w:val="en-GB"/>
        </w:rPr>
        <w:t>total</w:t>
      </w:r>
      <w:r w:rsidR="00DA5FF7">
        <w:rPr>
          <w:rFonts w:asciiTheme="minorHAnsi" w:hAnsiTheme="minorHAnsi" w:cstheme="minorHAnsi"/>
        </w:rPr>
        <w:t xml:space="preserve"> </w:t>
      </w:r>
      <w:r w:rsidR="00954DB6" w:rsidRPr="004B08E4">
        <w:rPr>
          <w:rFonts w:asciiTheme="minorHAnsi" w:hAnsiTheme="minorHAnsi" w:cstheme="minorHAnsi"/>
          <w:lang w:val="en-GB"/>
        </w:rPr>
        <w:t xml:space="preserve">8,769 cases and 7,055 controls. </w:t>
      </w:r>
      <w:r w:rsidR="00DC595B">
        <w:rPr>
          <w:rFonts w:asciiTheme="minorHAnsi" w:hAnsiTheme="minorHAnsi" w:cstheme="minorHAnsi"/>
          <w:lang w:val="en-GB"/>
        </w:rPr>
        <w:t xml:space="preserve">Causality was assessed </w:t>
      </w:r>
      <w:r w:rsidR="00954DB6" w:rsidRPr="004B08E4">
        <w:rPr>
          <w:rFonts w:asciiTheme="minorHAnsi" w:hAnsiTheme="minorHAnsi" w:cstheme="minorHAnsi"/>
          <w:lang w:val="en-GB"/>
        </w:rPr>
        <w:t xml:space="preserve">using inverse-variance weighted (IVW), MR-Egger regression and weighted median methods, complemented with sensitivity </w:t>
      </w:r>
      <w:r w:rsidR="00DC595B">
        <w:rPr>
          <w:rFonts w:asciiTheme="minorHAnsi" w:hAnsiTheme="minorHAnsi" w:cstheme="minorHAnsi"/>
          <w:lang w:val="en-GB"/>
        </w:rPr>
        <w:t>and r</w:t>
      </w:r>
      <w:r w:rsidR="00954DB6" w:rsidRPr="004B08E4">
        <w:rPr>
          <w:rFonts w:asciiTheme="minorHAnsi" w:hAnsiTheme="minorHAnsi" w:cstheme="minorHAnsi"/>
          <w:lang w:val="en-GB"/>
        </w:rPr>
        <w:t>adial</w:t>
      </w:r>
      <w:r w:rsidR="00494389" w:rsidRPr="004B08E4">
        <w:rPr>
          <w:rFonts w:asciiTheme="minorHAnsi" w:hAnsiTheme="minorHAnsi" w:cstheme="minorHAnsi"/>
          <w:lang w:val="en-GB"/>
        </w:rPr>
        <w:t xml:space="preserve"> </w:t>
      </w:r>
      <w:r w:rsidR="00DC595B">
        <w:rPr>
          <w:rFonts w:asciiTheme="minorHAnsi" w:hAnsiTheme="minorHAnsi" w:cstheme="minorHAnsi"/>
          <w:lang w:val="en-GB"/>
        </w:rPr>
        <w:t xml:space="preserve">MR </w:t>
      </w:r>
      <w:r w:rsidR="00954DB6" w:rsidRPr="004B08E4">
        <w:rPr>
          <w:rFonts w:asciiTheme="minorHAnsi" w:hAnsiTheme="minorHAnsi" w:cstheme="minorHAnsi"/>
          <w:lang w:val="en-GB"/>
        </w:rPr>
        <w:t>analys</w:t>
      </w:r>
      <w:r w:rsidR="00DC595B">
        <w:rPr>
          <w:rFonts w:asciiTheme="minorHAnsi" w:hAnsiTheme="minorHAnsi" w:cstheme="minorHAnsi"/>
          <w:lang w:val="en-GB"/>
        </w:rPr>
        <w:t>e</w:t>
      </w:r>
      <w:r w:rsidR="00954DB6" w:rsidRPr="004B08E4">
        <w:rPr>
          <w:rFonts w:asciiTheme="minorHAnsi" w:hAnsiTheme="minorHAnsi" w:cstheme="minorHAnsi"/>
          <w:lang w:val="en-GB"/>
        </w:rPr>
        <w:t>s.</w:t>
      </w:r>
    </w:p>
    <w:p w14:paraId="29990100" w14:textId="68AEACA1" w:rsidR="00FC57C7" w:rsidRPr="004B08E4" w:rsidRDefault="00FC57C7" w:rsidP="00FC57C7">
      <w:pPr>
        <w:spacing w:line="480" w:lineRule="auto"/>
        <w:jc w:val="both"/>
        <w:rPr>
          <w:rFonts w:asciiTheme="minorHAnsi" w:hAnsiTheme="minorHAnsi" w:cstheme="minorHAnsi"/>
          <w:lang w:val="en-GB"/>
        </w:rPr>
      </w:pPr>
      <w:r w:rsidRPr="004B08E4">
        <w:rPr>
          <w:rFonts w:asciiTheme="minorHAnsi" w:hAnsiTheme="minorHAnsi" w:cstheme="minorHAnsi"/>
          <w:lang w:val="en-GB"/>
        </w:rPr>
        <w:t>RESULTS:</w:t>
      </w:r>
      <w:r w:rsidR="008F5BCD" w:rsidRPr="004B08E4">
        <w:rPr>
          <w:rFonts w:asciiTheme="minorHAnsi" w:hAnsiTheme="minorHAnsi" w:cstheme="minorHAnsi"/>
          <w:lang w:val="en-GB"/>
        </w:rPr>
        <w:t xml:space="preserve"> </w:t>
      </w:r>
      <w:r w:rsidR="00DC595B">
        <w:rPr>
          <w:rFonts w:asciiTheme="minorHAnsi" w:hAnsiTheme="minorHAnsi" w:cstheme="minorHAnsi"/>
          <w:lang w:val="en-GB"/>
        </w:rPr>
        <w:t xml:space="preserve">We found evidence for a causal effect of </w:t>
      </w:r>
      <w:r w:rsidR="00954DB6" w:rsidRPr="004B08E4">
        <w:rPr>
          <w:rFonts w:asciiTheme="minorHAnsi" w:hAnsiTheme="minorHAnsi" w:cstheme="minorHAnsi"/>
          <w:lang w:val="en-GB"/>
        </w:rPr>
        <w:t>body mass index (BMI)</w:t>
      </w:r>
      <w:r w:rsidR="00637973" w:rsidRPr="004B08E4">
        <w:rPr>
          <w:rFonts w:asciiTheme="minorHAnsi" w:hAnsiTheme="minorHAnsi" w:cstheme="minorHAnsi"/>
          <w:lang w:val="en-GB"/>
        </w:rPr>
        <w:t xml:space="preserve"> </w:t>
      </w:r>
      <w:r w:rsidR="00DC595B">
        <w:rPr>
          <w:rFonts w:asciiTheme="minorHAnsi" w:hAnsiTheme="minorHAnsi" w:cstheme="minorHAnsi"/>
          <w:lang w:val="en-GB"/>
        </w:rPr>
        <w:t xml:space="preserve">on </w:t>
      </w:r>
      <w:r w:rsidR="004F51D8">
        <w:rPr>
          <w:rFonts w:asciiTheme="minorHAnsi" w:hAnsiTheme="minorHAnsi" w:cstheme="minorHAnsi"/>
          <w:lang w:val="en-GB"/>
        </w:rPr>
        <w:t>PDAC</w:t>
      </w:r>
      <w:r w:rsidR="00DA5FF7">
        <w:rPr>
          <w:rFonts w:asciiTheme="minorHAnsi" w:hAnsiTheme="minorHAnsi" w:cstheme="minorHAnsi"/>
          <w:lang w:val="en-GB"/>
        </w:rPr>
        <w:t xml:space="preserve"> </w:t>
      </w:r>
      <w:r w:rsidR="00DC595B">
        <w:rPr>
          <w:rFonts w:asciiTheme="minorHAnsi" w:hAnsiTheme="minorHAnsi" w:cstheme="minorHAnsi"/>
          <w:lang w:val="en-GB"/>
        </w:rPr>
        <w:t xml:space="preserve">risk </w:t>
      </w:r>
      <w:r w:rsidR="00DA5FF7">
        <w:rPr>
          <w:rFonts w:asciiTheme="minorHAnsi" w:hAnsiTheme="minorHAnsi" w:cstheme="minorHAnsi"/>
          <w:lang w:val="en-GB"/>
        </w:rPr>
        <w:t>(</w:t>
      </w:r>
      <w:r w:rsidR="00637973" w:rsidRPr="004B08E4">
        <w:rPr>
          <w:rFonts w:asciiTheme="minorHAnsi" w:hAnsiTheme="minorHAnsi" w:cstheme="minorHAnsi"/>
          <w:lang w:val="en-GB"/>
        </w:rPr>
        <w:t>OR</w:t>
      </w:r>
      <w:r w:rsidR="00DA5FF7">
        <w:rPr>
          <w:rFonts w:asciiTheme="minorHAnsi" w:hAnsiTheme="minorHAnsi" w:cstheme="minorHAnsi"/>
          <w:lang w:val="en-GB"/>
        </w:rPr>
        <w:t>=</w:t>
      </w:r>
      <w:r w:rsidR="00637973" w:rsidRPr="004B08E4">
        <w:rPr>
          <w:rFonts w:asciiTheme="minorHAnsi" w:hAnsiTheme="minorHAnsi" w:cstheme="minorHAnsi"/>
          <w:lang w:val="en-GB"/>
        </w:rPr>
        <w:t>1.43</w:t>
      </w:r>
      <w:r w:rsidR="004F51D8">
        <w:rPr>
          <w:rFonts w:asciiTheme="minorHAnsi" w:hAnsiTheme="minorHAnsi" w:cstheme="minorHAnsi"/>
          <w:lang w:val="en-GB"/>
        </w:rPr>
        <w:t>,</w:t>
      </w:r>
      <w:r w:rsidR="00637973" w:rsidRPr="004B08E4">
        <w:rPr>
          <w:rFonts w:asciiTheme="minorHAnsi" w:hAnsiTheme="minorHAnsi" w:cstheme="minorHAnsi"/>
          <w:lang w:val="en-GB"/>
        </w:rPr>
        <w:t xml:space="preserve"> 95%</w:t>
      </w:r>
      <w:r w:rsidR="00195451" w:rsidRPr="004B08E4">
        <w:rPr>
          <w:rFonts w:asciiTheme="minorHAnsi" w:hAnsiTheme="minorHAnsi" w:cstheme="minorHAnsi"/>
          <w:lang w:val="en-GB"/>
        </w:rPr>
        <w:t>CI</w:t>
      </w:r>
      <w:r w:rsidR="004F51D8">
        <w:rPr>
          <w:rFonts w:asciiTheme="minorHAnsi" w:hAnsiTheme="minorHAnsi" w:cstheme="minorHAnsi"/>
          <w:lang w:val="en-GB"/>
        </w:rPr>
        <w:t>=</w:t>
      </w:r>
      <w:r w:rsidR="00637973" w:rsidRPr="004B08E4">
        <w:rPr>
          <w:rFonts w:asciiTheme="minorHAnsi" w:hAnsiTheme="minorHAnsi" w:cstheme="minorHAnsi"/>
          <w:lang w:val="en-GB"/>
        </w:rPr>
        <w:t>1.20</w:t>
      </w:r>
      <w:r w:rsidR="004F51D8">
        <w:rPr>
          <w:rFonts w:asciiTheme="minorHAnsi" w:hAnsiTheme="minorHAnsi" w:cstheme="minorHAnsi"/>
          <w:lang w:val="en-GB"/>
        </w:rPr>
        <w:t>-</w:t>
      </w:r>
      <w:r w:rsidR="00637973" w:rsidRPr="004B08E4">
        <w:rPr>
          <w:rFonts w:asciiTheme="minorHAnsi" w:hAnsiTheme="minorHAnsi" w:cstheme="minorHAnsi"/>
          <w:lang w:val="en-GB"/>
        </w:rPr>
        <w:t>1.71</w:t>
      </w:r>
      <w:r w:rsidR="00E0744C">
        <w:rPr>
          <w:rFonts w:asciiTheme="minorHAnsi" w:hAnsiTheme="minorHAnsi" w:cstheme="minorHAnsi"/>
          <w:lang w:val="en-GB"/>
        </w:rPr>
        <w:t>,</w:t>
      </w:r>
      <w:r w:rsidR="00F56097" w:rsidRPr="00F56097">
        <w:rPr>
          <w:rFonts w:asciiTheme="minorHAnsi" w:hAnsiTheme="minorHAnsi" w:cstheme="minorHAnsi"/>
          <w:i/>
          <w:lang w:val="en-GB"/>
        </w:rPr>
        <w:t xml:space="preserve"> </w:t>
      </w:r>
      <w:r w:rsidR="00F56097" w:rsidRPr="004B08E4">
        <w:rPr>
          <w:rFonts w:asciiTheme="minorHAnsi" w:hAnsiTheme="minorHAnsi" w:cstheme="minorHAnsi"/>
          <w:i/>
          <w:lang w:val="en-GB"/>
        </w:rPr>
        <w:t>P</w:t>
      </w:r>
      <w:r w:rsidR="00F56097" w:rsidRPr="004B08E4">
        <w:rPr>
          <w:rFonts w:asciiTheme="minorHAnsi" w:hAnsiTheme="minorHAnsi" w:cstheme="minorHAnsi"/>
          <w:lang w:val="en-GB"/>
        </w:rPr>
        <w:t>=8.43</w:t>
      </w:r>
      <w:r w:rsidR="00F56097">
        <w:rPr>
          <w:rFonts w:asciiTheme="minorHAnsi" w:hAnsiTheme="minorHAnsi" w:cstheme="minorHAnsi"/>
          <w:lang w:val="en-GB"/>
        </w:rPr>
        <w:t>x10</w:t>
      </w:r>
      <w:r w:rsidR="00F56097" w:rsidRPr="006E25F4">
        <w:rPr>
          <w:rFonts w:asciiTheme="minorHAnsi" w:hAnsiTheme="minorHAnsi" w:cstheme="minorHAnsi"/>
          <w:vertAlign w:val="superscript"/>
          <w:lang w:val="en-GB"/>
        </w:rPr>
        <w:t>-5</w:t>
      </w:r>
      <w:r w:rsidR="00637973" w:rsidRPr="004B08E4">
        <w:rPr>
          <w:rFonts w:asciiTheme="minorHAnsi" w:hAnsiTheme="minorHAnsi" w:cstheme="minorHAnsi"/>
          <w:lang w:val="en-GB"/>
        </w:rPr>
        <w:t>).</w:t>
      </w:r>
      <w:r w:rsidR="00DC595B">
        <w:rPr>
          <w:rFonts w:asciiTheme="minorHAnsi" w:hAnsiTheme="minorHAnsi" w:cstheme="minorHAnsi"/>
          <w:lang w:val="en-GB"/>
        </w:rPr>
        <w:t xml:space="preserve"> </w:t>
      </w:r>
      <w:r w:rsidR="00C61605">
        <w:rPr>
          <w:rFonts w:asciiTheme="minorHAnsi" w:hAnsiTheme="minorHAnsi" w:cstheme="minorHAnsi" w:hint="eastAsia"/>
          <w:lang w:val="en-GB"/>
        </w:rPr>
        <w:t>Fasting</w:t>
      </w:r>
      <w:r w:rsidR="00C61605">
        <w:rPr>
          <w:rFonts w:asciiTheme="minorHAnsi" w:hAnsiTheme="minorHAnsi" w:cstheme="minorHAnsi"/>
          <w:lang w:val="en-GB"/>
        </w:rPr>
        <w:t xml:space="preserve"> </w:t>
      </w:r>
      <w:r w:rsidR="00C61605">
        <w:rPr>
          <w:rFonts w:asciiTheme="minorHAnsi" w:hAnsiTheme="minorHAnsi" w:cstheme="minorHAnsi" w:hint="eastAsia"/>
          <w:lang w:val="en-GB"/>
        </w:rPr>
        <w:t>insulin</w:t>
      </w:r>
      <w:r w:rsidR="00F17674">
        <w:rPr>
          <w:rFonts w:asciiTheme="minorHAnsi" w:hAnsiTheme="minorHAnsi" w:cstheme="minorHAnsi"/>
          <w:lang w:val="en-GB"/>
        </w:rPr>
        <w:t xml:space="preserve"> (</w:t>
      </w:r>
      <w:r w:rsidR="00F17674" w:rsidRPr="004B08E4">
        <w:rPr>
          <w:rFonts w:asciiTheme="minorHAnsi" w:hAnsiTheme="minorHAnsi" w:cstheme="minorHAnsi"/>
          <w:lang w:val="en-GB"/>
        </w:rPr>
        <w:t>OR</w:t>
      </w:r>
      <w:r w:rsidR="00F17674">
        <w:rPr>
          <w:rFonts w:asciiTheme="minorHAnsi" w:hAnsiTheme="minorHAnsi" w:cstheme="minorHAnsi"/>
          <w:lang w:val="en-GB"/>
        </w:rPr>
        <w:t>=</w:t>
      </w:r>
      <w:r w:rsidR="00DE7530">
        <w:rPr>
          <w:rFonts w:asciiTheme="minorHAnsi" w:hAnsiTheme="minorHAnsi" w:cstheme="minorHAnsi"/>
          <w:lang w:val="en-GB"/>
        </w:rPr>
        <w:t>2</w:t>
      </w:r>
      <w:r w:rsidR="00C55035">
        <w:rPr>
          <w:rFonts w:asciiTheme="minorHAnsi" w:hAnsiTheme="minorHAnsi" w:cstheme="minorHAnsi"/>
          <w:lang w:val="en-GB"/>
        </w:rPr>
        <w:t>.</w:t>
      </w:r>
      <w:r w:rsidR="00DE7530">
        <w:rPr>
          <w:rFonts w:asciiTheme="minorHAnsi" w:hAnsiTheme="minorHAnsi" w:cstheme="minorHAnsi"/>
          <w:lang w:val="en-GB"/>
        </w:rPr>
        <w:t>84</w:t>
      </w:r>
      <w:r w:rsidR="00F17674">
        <w:rPr>
          <w:rFonts w:asciiTheme="minorHAnsi" w:hAnsiTheme="minorHAnsi" w:cstheme="minorHAnsi"/>
          <w:lang w:val="en-GB"/>
        </w:rPr>
        <w:t>,</w:t>
      </w:r>
      <w:r w:rsidR="00F17674" w:rsidRPr="004B08E4">
        <w:rPr>
          <w:rFonts w:asciiTheme="minorHAnsi" w:hAnsiTheme="minorHAnsi" w:cstheme="minorHAnsi"/>
          <w:lang w:val="en-GB"/>
        </w:rPr>
        <w:t xml:space="preserve"> 95%CI</w:t>
      </w:r>
      <w:r w:rsidR="00F17674">
        <w:rPr>
          <w:rFonts w:asciiTheme="minorHAnsi" w:hAnsiTheme="minorHAnsi" w:cstheme="minorHAnsi"/>
          <w:lang w:val="en-GB"/>
        </w:rPr>
        <w:t>=</w:t>
      </w:r>
      <w:r w:rsidR="00C55035">
        <w:rPr>
          <w:rFonts w:asciiTheme="minorHAnsi" w:hAnsiTheme="minorHAnsi" w:cstheme="minorHAnsi"/>
          <w:lang w:val="en-GB"/>
        </w:rPr>
        <w:t>1.</w:t>
      </w:r>
      <w:r w:rsidR="00DE7530">
        <w:rPr>
          <w:rFonts w:asciiTheme="minorHAnsi" w:hAnsiTheme="minorHAnsi" w:cstheme="minorHAnsi"/>
          <w:lang w:val="en-GB"/>
        </w:rPr>
        <w:t>23</w:t>
      </w:r>
      <w:r w:rsidR="00F17674">
        <w:rPr>
          <w:rFonts w:asciiTheme="minorHAnsi" w:hAnsiTheme="minorHAnsi" w:cstheme="minorHAnsi"/>
          <w:lang w:val="en-GB"/>
        </w:rPr>
        <w:t>-</w:t>
      </w:r>
      <w:r w:rsidR="00DE7530">
        <w:rPr>
          <w:rFonts w:asciiTheme="minorHAnsi" w:hAnsiTheme="minorHAnsi" w:cstheme="minorHAnsi"/>
          <w:lang w:val="en-GB"/>
        </w:rPr>
        <w:t>6</w:t>
      </w:r>
      <w:r w:rsidR="00C55035">
        <w:rPr>
          <w:rFonts w:asciiTheme="minorHAnsi" w:hAnsiTheme="minorHAnsi" w:cstheme="minorHAnsi"/>
          <w:lang w:val="en-GB"/>
        </w:rPr>
        <w:t>.</w:t>
      </w:r>
      <w:r w:rsidR="00DE7530">
        <w:rPr>
          <w:rFonts w:asciiTheme="minorHAnsi" w:hAnsiTheme="minorHAnsi" w:cstheme="minorHAnsi"/>
          <w:lang w:val="en-GB"/>
        </w:rPr>
        <w:t>56</w:t>
      </w:r>
      <w:r w:rsidR="00F17674">
        <w:rPr>
          <w:rFonts w:asciiTheme="minorHAnsi" w:hAnsiTheme="minorHAnsi" w:cstheme="minorHAnsi"/>
          <w:lang w:val="en-GB"/>
        </w:rPr>
        <w:t>,</w:t>
      </w:r>
      <w:r w:rsidR="00F17674" w:rsidRPr="00F56097">
        <w:rPr>
          <w:rFonts w:asciiTheme="minorHAnsi" w:hAnsiTheme="minorHAnsi" w:cstheme="minorHAnsi"/>
          <w:i/>
          <w:lang w:val="en-GB"/>
        </w:rPr>
        <w:t xml:space="preserve"> </w:t>
      </w:r>
      <w:r w:rsidR="00F17674" w:rsidRPr="004B08E4">
        <w:rPr>
          <w:rFonts w:asciiTheme="minorHAnsi" w:hAnsiTheme="minorHAnsi" w:cstheme="minorHAnsi"/>
          <w:i/>
          <w:lang w:val="en-GB"/>
        </w:rPr>
        <w:t>P</w:t>
      </w:r>
      <w:r w:rsidR="00F17674" w:rsidRPr="004B08E4">
        <w:rPr>
          <w:rFonts w:asciiTheme="minorHAnsi" w:hAnsiTheme="minorHAnsi" w:cstheme="minorHAnsi"/>
          <w:lang w:val="en-GB"/>
        </w:rPr>
        <w:t>=</w:t>
      </w:r>
      <w:r w:rsidR="00C55035">
        <w:rPr>
          <w:rFonts w:asciiTheme="minorHAnsi" w:hAnsiTheme="minorHAnsi" w:cstheme="minorHAnsi"/>
          <w:lang w:val="en-GB"/>
        </w:rPr>
        <w:t>0.0</w:t>
      </w:r>
      <w:r w:rsidR="00DE7530">
        <w:rPr>
          <w:rFonts w:asciiTheme="minorHAnsi" w:hAnsiTheme="minorHAnsi" w:cstheme="minorHAnsi"/>
          <w:lang w:val="en-GB"/>
        </w:rPr>
        <w:t>1</w:t>
      </w:r>
      <w:r w:rsidR="00F17674" w:rsidRPr="004B08E4">
        <w:rPr>
          <w:rFonts w:asciiTheme="minorHAnsi" w:hAnsiTheme="minorHAnsi" w:cstheme="minorHAnsi"/>
          <w:lang w:val="en-GB"/>
        </w:rPr>
        <w:t>)</w:t>
      </w:r>
      <w:r w:rsidR="00A90CC3">
        <w:rPr>
          <w:rFonts w:asciiTheme="minorHAnsi" w:hAnsiTheme="minorHAnsi" w:cstheme="minorHAnsi"/>
          <w:lang w:val="en-GB"/>
        </w:rPr>
        <w:t>,</w:t>
      </w:r>
      <w:r w:rsidR="00C61605" w:rsidRPr="00C61605">
        <w:rPr>
          <w:rFonts w:asciiTheme="minorHAnsi" w:hAnsiTheme="minorHAnsi" w:cstheme="minorHAnsi"/>
          <w:lang w:val="en-GB"/>
        </w:rPr>
        <w:t xml:space="preserve"> </w:t>
      </w:r>
      <w:r w:rsidR="00486EE1" w:rsidRPr="00C61605">
        <w:rPr>
          <w:rFonts w:asciiTheme="minorHAnsi" w:hAnsiTheme="minorHAnsi" w:cstheme="minorHAnsi"/>
          <w:lang w:val="en-GB"/>
        </w:rPr>
        <w:t xml:space="preserve">LDL cholesterol </w:t>
      </w:r>
      <w:r w:rsidR="00F17674">
        <w:rPr>
          <w:rFonts w:asciiTheme="minorHAnsi" w:hAnsiTheme="minorHAnsi" w:cstheme="minorHAnsi"/>
          <w:lang w:val="en-GB"/>
        </w:rPr>
        <w:t>(</w:t>
      </w:r>
      <w:r w:rsidR="00F17674" w:rsidRPr="004B08E4">
        <w:rPr>
          <w:rFonts w:asciiTheme="minorHAnsi" w:hAnsiTheme="minorHAnsi" w:cstheme="minorHAnsi"/>
          <w:lang w:val="en-GB"/>
        </w:rPr>
        <w:t>OR</w:t>
      </w:r>
      <w:r w:rsidR="00F17674">
        <w:rPr>
          <w:rFonts w:asciiTheme="minorHAnsi" w:hAnsiTheme="minorHAnsi" w:cstheme="minorHAnsi"/>
          <w:lang w:val="en-GB"/>
        </w:rPr>
        <w:t>=</w:t>
      </w:r>
      <w:r w:rsidR="00C55035">
        <w:rPr>
          <w:rFonts w:asciiTheme="minorHAnsi" w:hAnsiTheme="minorHAnsi" w:cstheme="minorHAnsi"/>
          <w:lang w:val="en-GB"/>
        </w:rPr>
        <w:t>1.16</w:t>
      </w:r>
      <w:r w:rsidR="00F17674">
        <w:rPr>
          <w:rFonts w:asciiTheme="minorHAnsi" w:hAnsiTheme="minorHAnsi" w:cstheme="minorHAnsi"/>
          <w:lang w:val="en-GB"/>
        </w:rPr>
        <w:t>,</w:t>
      </w:r>
      <w:r w:rsidR="00F17674" w:rsidRPr="004B08E4">
        <w:rPr>
          <w:rFonts w:asciiTheme="minorHAnsi" w:hAnsiTheme="minorHAnsi" w:cstheme="minorHAnsi"/>
          <w:lang w:val="en-GB"/>
        </w:rPr>
        <w:t xml:space="preserve"> 95%CI</w:t>
      </w:r>
      <w:r w:rsidR="00F17674">
        <w:rPr>
          <w:rFonts w:asciiTheme="minorHAnsi" w:hAnsiTheme="minorHAnsi" w:cstheme="minorHAnsi"/>
          <w:lang w:val="en-GB"/>
        </w:rPr>
        <w:t>=</w:t>
      </w:r>
      <w:r w:rsidR="00C55035">
        <w:rPr>
          <w:rFonts w:asciiTheme="minorHAnsi" w:hAnsiTheme="minorHAnsi" w:cstheme="minorHAnsi"/>
          <w:lang w:val="en-GB"/>
        </w:rPr>
        <w:t>1.02</w:t>
      </w:r>
      <w:r w:rsidR="00F17674">
        <w:rPr>
          <w:rFonts w:asciiTheme="minorHAnsi" w:hAnsiTheme="minorHAnsi" w:cstheme="minorHAnsi"/>
          <w:lang w:val="en-GB"/>
        </w:rPr>
        <w:t>-</w:t>
      </w:r>
      <w:r w:rsidR="00F17674" w:rsidRPr="004B08E4">
        <w:rPr>
          <w:rFonts w:asciiTheme="minorHAnsi" w:hAnsiTheme="minorHAnsi" w:cstheme="minorHAnsi"/>
          <w:lang w:val="en-GB"/>
        </w:rPr>
        <w:t>1.</w:t>
      </w:r>
      <w:r w:rsidR="00C55035">
        <w:rPr>
          <w:rFonts w:asciiTheme="minorHAnsi" w:hAnsiTheme="minorHAnsi" w:cstheme="minorHAnsi"/>
          <w:lang w:val="en-GB"/>
        </w:rPr>
        <w:t>32</w:t>
      </w:r>
      <w:r w:rsidR="00F17674">
        <w:rPr>
          <w:rFonts w:asciiTheme="minorHAnsi" w:hAnsiTheme="minorHAnsi" w:cstheme="minorHAnsi"/>
          <w:lang w:val="en-GB"/>
        </w:rPr>
        <w:t>,</w:t>
      </w:r>
      <w:r w:rsidR="00F17674" w:rsidRPr="00F56097">
        <w:rPr>
          <w:rFonts w:asciiTheme="minorHAnsi" w:hAnsiTheme="minorHAnsi" w:cstheme="minorHAnsi"/>
          <w:i/>
          <w:lang w:val="en-GB"/>
        </w:rPr>
        <w:t xml:space="preserve"> </w:t>
      </w:r>
      <w:r w:rsidR="00F17674" w:rsidRPr="004B08E4">
        <w:rPr>
          <w:rFonts w:asciiTheme="minorHAnsi" w:hAnsiTheme="minorHAnsi" w:cstheme="minorHAnsi"/>
          <w:i/>
          <w:lang w:val="en-GB"/>
        </w:rPr>
        <w:t>P</w:t>
      </w:r>
      <w:r w:rsidR="00F17674" w:rsidRPr="004B08E4">
        <w:rPr>
          <w:rFonts w:asciiTheme="minorHAnsi" w:hAnsiTheme="minorHAnsi" w:cstheme="minorHAnsi"/>
          <w:lang w:val="en-GB"/>
        </w:rPr>
        <w:t>=</w:t>
      </w:r>
      <w:r w:rsidR="00C55035">
        <w:rPr>
          <w:rFonts w:asciiTheme="minorHAnsi" w:hAnsiTheme="minorHAnsi" w:cstheme="minorHAnsi"/>
          <w:lang w:val="en-GB"/>
        </w:rPr>
        <w:t>0.03</w:t>
      </w:r>
      <w:r w:rsidR="00F17674" w:rsidRPr="004B08E4">
        <w:rPr>
          <w:rFonts w:asciiTheme="minorHAnsi" w:hAnsiTheme="minorHAnsi" w:cstheme="minorHAnsi"/>
          <w:lang w:val="en-GB"/>
        </w:rPr>
        <w:t>)</w:t>
      </w:r>
      <w:r w:rsidR="00F17674">
        <w:rPr>
          <w:rFonts w:asciiTheme="minorHAnsi" w:hAnsiTheme="minorHAnsi" w:cstheme="minorHAnsi"/>
          <w:lang w:val="en-GB"/>
        </w:rPr>
        <w:t xml:space="preserve"> </w:t>
      </w:r>
      <w:r w:rsidR="00C61605" w:rsidRPr="00C61605">
        <w:rPr>
          <w:rFonts w:asciiTheme="minorHAnsi" w:hAnsiTheme="minorHAnsi" w:cstheme="minorHAnsi"/>
          <w:lang w:val="en-GB"/>
        </w:rPr>
        <w:t xml:space="preserve">and type 2 diabetes </w:t>
      </w:r>
      <w:r w:rsidR="00F17674">
        <w:rPr>
          <w:rFonts w:asciiTheme="minorHAnsi" w:hAnsiTheme="minorHAnsi" w:cstheme="minorHAnsi"/>
          <w:lang w:val="en-GB"/>
        </w:rPr>
        <w:t>(</w:t>
      </w:r>
      <w:r w:rsidR="00F17674" w:rsidRPr="004B08E4">
        <w:rPr>
          <w:rFonts w:asciiTheme="minorHAnsi" w:hAnsiTheme="minorHAnsi" w:cstheme="minorHAnsi"/>
          <w:lang w:val="en-GB"/>
        </w:rPr>
        <w:t>OR</w:t>
      </w:r>
      <w:r w:rsidR="00F17674">
        <w:rPr>
          <w:rFonts w:asciiTheme="minorHAnsi" w:hAnsiTheme="minorHAnsi" w:cstheme="minorHAnsi"/>
          <w:lang w:val="en-GB"/>
        </w:rPr>
        <w:t>=</w:t>
      </w:r>
      <w:r w:rsidR="00F17674" w:rsidRPr="004B08E4">
        <w:rPr>
          <w:rFonts w:asciiTheme="minorHAnsi" w:hAnsiTheme="minorHAnsi" w:cstheme="minorHAnsi"/>
          <w:lang w:val="en-GB"/>
        </w:rPr>
        <w:t>1.</w:t>
      </w:r>
      <w:r w:rsidR="00C55035">
        <w:rPr>
          <w:rFonts w:asciiTheme="minorHAnsi" w:hAnsiTheme="minorHAnsi" w:cstheme="minorHAnsi"/>
          <w:lang w:val="en-GB"/>
        </w:rPr>
        <w:t>09</w:t>
      </w:r>
      <w:r w:rsidR="00F17674">
        <w:rPr>
          <w:rFonts w:asciiTheme="minorHAnsi" w:hAnsiTheme="minorHAnsi" w:cstheme="minorHAnsi"/>
          <w:lang w:val="en-GB"/>
        </w:rPr>
        <w:t>,</w:t>
      </w:r>
      <w:r w:rsidR="00F17674" w:rsidRPr="004B08E4">
        <w:rPr>
          <w:rFonts w:asciiTheme="minorHAnsi" w:hAnsiTheme="minorHAnsi" w:cstheme="minorHAnsi"/>
          <w:lang w:val="en-GB"/>
        </w:rPr>
        <w:t xml:space="preserve"> 95%CI</w:t>
      </w:r>
      <w:r w:rsidR="00F17674">
        <w:rPr>
          <w:rFonts w:asciiTheme="minorHAnsi" w:hAnsiTheme="minorHAnsi" w:cstheme="minorHAnsi"/>
          <w:lang w:val="en-GB"/>
        </w:rPr>
        <w:t>=</w:t>
      </w:r>
      <w:r w:rsidR="00F17674" w:rsidRPr="004B08E4">
        <w:rPr>
          <w:rFonts w:asciiTheme="minorHAnsi" w:hAnsiTheme="minorHAnsi" w:cstheme="minorHAnsi"/>
          <w:lang w:val="en-GB"/>
        </w:rPr>
        <w:t>1.</w:t>
      </w:r>
      <w:r w:rsidR="00C55035">
        <w:rPr>
          <w:rFonts w:asciiTheme="minorHAnsi" w:hAnsiTheme="minorHAnsi" w:cstheme="minorHAnsi"/>
          <w:lang w:val="en-GB"/>
        </w:rPr>
        <w:t>01</w:t>
      </w:r>
      <w:r w:rsidR="00F17674">
        <w:rPr>
          <w:rFonts w:asciiTheme="minorHAnsi" w:hAnsiTheme="minorHAnsi" w:cstheme="minorHAnsi"/>
          <w:lang w:val="en-GB"/>
        </w:rPr>
        <w:t>-</w:t>
      </w:r>
      <w:r w:rsidR="00F17674" w:rsidRPr="004B08E4">
        <w:rPr>
          <w:rFonts w:asciiTheme="minorHAnsi" w:hAnsiTheme="minorHAnsi" w:cstheme="minorHAnsi"/>
          <w:lang w:val="en-GB"/>
        </w:rPr>
        <w:t>1.</w:t>
      </w:r>
      <w:r w:rsidR="00C55035">
        <w:rPr>
          <w:rFonts w:asciiTheme="minorHAnsi" w:hAnsiTheme="minorHAnsi" w:cstheme="minorHAnsi"/>
          <w:lang w:val="en-GB"/>
        </w:rPr>
        <w:t>17</w:t>
      </w:r>
      <w:r w:rsidR="00F17674">
        <w:rPr>
          <w:rFonts w:asciiTheme="minorHAnsi" w:hAnsiTheme="minorHAnsi" w:cstheme="minorHAnsi"/>
          <w:lang w:val="en-GB"/>
        </w:rPr>
        <w:t>,</w:t>
      </w:r>
      <w:r w:rsidR="00F17674" w:rsidRPr="00F56097">
        <w:rPr>
          <w:rFonts w:asciiTheme="minorHAnsi" w:hAnsiTheme="minorHAnsi" w:cstheme="minorHAnsi"/>
          <w:i/>
          <w:lang w:val="en-GB"/>
        </w:rPr>
        <w:t xml:space="preserve"> </w:t>
      </w:r>
      <w:r w:rsidR="00F17674" w:rsidRPr="004B08E4">
        <w:rPr>
          <w:rFonts w:asciiTheme="minorHAnsi" w:hAnsiTheme="minorHAnsi" w:cstheme="minorHAnsi"/>
          <w:i/>
          <w:lang w:val="en-GB"/>
        </w:rPr>
        <w:t>P</w:t>
      </w:r>
      <w:r w:rsidR="00F17674" w:rsidRPr="004B08E4">
        <w:rPr>
          <w:rFonts w:asciiTheme="minorHAnsi" w:hAnsiTheme="minorHAnsi" w:cstheme="minorHAnsi"/>
          <w:lang w:val="en-GB"/>
        </w:rPr>
        <w:t>=</w:t>
      </w:r>
      <w:r w:rsidR="00C55035">
        <w:rPr>
          <w:rFonts w:asciiTheme="minorHAnsi" w:hAnsiTheme="minorHAnsi" w:cstheme="minorHAnsi"/>
          <w:lang w:val="en-GB"/>
        </w:rPr>
        <w:t>0.02</w:t>
      </w:r>
      <w:r w:rsidR="00F17674" w:rsidRPr="004B08E4">
        <w:rPr>
          <w:rFonts w:asciiTheme="minorHAnsi" w:hAnsiTheme="minorHAnsi" w:cstheme="minorHAnsi"/>
          <w:lang w:val="en-GB"/>
        </w:rPr>
        <w:t>)</w:t>
      </w:r>
      <w:r w:rsidR="00F17674">
        <w:rPr>
          <w:rFonts w:asciiTheme="minorHAnsi" w:hAnsiTheme="minorHAnsi" w:cstheme="minorHAnsi"/>
          <w:lang w:val="en-GB"/>
        </w:rPr>
        <w:t xml:space="preserve"> </w:t>
      </w:r>
      <w:r w:rsidR="00C61605" w:rsidRPr="00C61605">
        <w:rPr>
          <w:rFonts w:asciiTheme="minorHAnsi" w:hAnsiTheme="minorHAnsi" w:cstheme="minorHAnsi"/>
          <w:lang w:val="en-GB"/>
        </w:rPr>
        <w:t xml:space="preserve">were also causally associated with PDAC risk. </w:t>
      </w:r>
      <w:r w:rsidR="00486EE1" w:rsidRPr="00C61605">
        <w:rPr>
          <w:rFonts w:asciiTheme="minorHAnsi" w:hAnsiTheme="minorHAnsi" w:cstheme="minorHAnsi"/>
          <w:lang w:val="en-GB"/>
        </w:rPr>
        <w:t xml:space="preserve">BMI </w:t>
      </w:r>
      <w:r w:rsidR="00C61605" w:rsidRPr="00C61605">
        <w:rPr>
          <w:rFonts w:asciiTheme="minorHAnsi" w:hAnsiTheme="minorHAnsi" w:cstheme="minorHAnsi"/>
          <w:lang w:val="en-GB"/>
        </w:rPr>
        <w:t>showed both direct and</w:t>
      </w:r>
      <w:r w:rsidR="00486EE1">
        <w:rPr>
          <w:rFonts w:asciiTheme="minorHAnsi" w:hAnsiTheme="minorHAnsi" w:cstheme="minorHAnsi"/>
          <w:lang w:val="en-GB"/>
        </w:rPr>
        <w:t xml:space="preserve"> fasting insulin</w:t>
      </w:r>
      <w:r w:rsidR="00C61605" w:rsidRPr="00C61605">
        <w:rPr>
          <w:rFonts w:asciiTheme="minorHAnsi" w:hAnsiTheme="minorHAnsi" w:cstheme="minorHAnsi"/>
          <w:lang w:val="en-GB"/>
        </w:rPr>
        <w:t>-mediated causal effects.</w:t>
      </w:r>
      <w:r w:rsidR="00047326" w:rsidRPr="004B08E4">
        <w:rPr>
          <w:rFonts w:asciiTheme="minorHAnsi" w:hAnsiTheme="minorHAnsi" w:cstheme="minorHAnsi"/>
          <w:lang w:val="en-GB"/>
        </w:rPr>
        <w:t xml:space="preserve"> </w:t>
      </w:r>
    </w:p>
    <w:p w14:paraId="67E11CCF" w14:textId="00D0336E" w:rsidR="00B201D7" w:rsidRPr="004B08E4" w:rsidRDefault="00FC57C7" w:rsidP="00954DB6">
      <w:pPr>
        <w:spacing w:line="480" w:lineRule="auto"/>
        <w:jc w:val="both"/>
        <w:rPr>
          <w:rFonts w:asciiTheme="minorHAnsi" w:hAnsiTheme="minorHAnsi" w:cstheme="minorHAnsi"/>
        </w:rPr>
      </w:pPr>
      <w:r w:rsidRPr="00824AFB">
        <w:rPr>
          <w:rFonts w:asciiTheme="minorHAnsi" w:hAnsiTheme="minorHAnsi" w:cstheme="minorHAnsi"/>
          <w:lang w:val="en-GB"/>
        </w:rPr>
        <w:t>CONCLUSION:</w:t>
      </w:r>
      <w:r w:rsidR="008F5BCD" w:rsidRPr="00824AFB">
        <w:rPr>
          <w:rFonts w:asciiTheme="minorHAnsi" w:hAnsiTheme="minorHAnsi" w:cstheme="minorHAnsi"/>
          <w:lang w:val="en-GB"/>
        </w:rPr>
        <w:t xml:space="preserve"> </w:t>
      </w:r>
      <w:r w:rsidR="00253FE5" w:rsidRPr="00251E4B">
        <w:rPr>
          <w:rFonts w:ascii="Calibri" w:eastAsia="Calibri" w:hAnsi="Calibri" w:cs="Times New Roman"/>
          <w:lang w:eastAsia="en-US"/>
        </w:rPr>
        <w:t xml:space="preserve">We found strong evidence </w:t>
      </w:r>
      <w:r w:rsidR="00824AFB">
        <w:rPr>
          <w:rFonts w:ascii="Calibri" w:eastAsia="Calibri" w:hAnsi="Calibri" w:cs="Times New Roman"/>
          <w:lang w:eastAsia="en-US"/>
        </w:rPr>
        <w:t>that</w:t>
      </w:r>
      <w:r w:rsidR="00824AFB" w:rsidRPr="001C52E3">
        <w:rPr>
          <w:rFonts w:ascii="Calibri" w:hAnsi="Calibri"/>
        </w:rPr>
        <w:t xml:space="preserve"> </w:t>
      </w:r>
      <w:r w:rsidR="00253FE5" w:rsidRPr="001C52E3">
        <w:rPr>
          <w:rFonts w:ascii="Calibri" w:hAnsi="Calibri"/>
        </w:rPr>
        <w:t xml:space="preserve">BMI is causally </w:t>
      </w:r>
      <w:r w:rsidR="00954DB6" w:rsidRPr="00824AFB">
        <w:rPr>
          <w:rFonts w:asciiTheme="minorHAnsi" w:hAnsiTheme="minorHAnsi" w:cstheme="minorHAnsi"/>
          <w:lang w:val="en-GB"/>
        </w:rPr>
        <w:t xml:space="preserve">associated with </w:t>
      </w:r>
      <w:r w:rsidR="00754466" w:rsidRPr="00824AFB">
        <w:rPr>
          <w:rFonts w:asciiTheme="minorHAnsi" w:hAnsiTheme="minorHAnsi" w:cstheme="minorHAnsi"/>
          <w:lang w:val="en-GB"/>
        </w:rPr>
        <w:t>PDAC</w:t>
      </w:r>
      <w:r w:rsidR="00954DB6" w:rsidRPr="00824AFB">
        <w:rPr>
          <w:rFonts w:asciiTheme="minorHAnsi" w:hAnsiTheme="minorHAnsi" w:cstheme="minorHAnsi"/>
          <w:lang w:val="en-GB"/>
        </w:rPr>
        <w:t xml:space="preserve"> risk, providing support</w:t>
      </w:r>
      <w:r w:rsidR="00954DB6" w:rsidRPr="004B08E4">
        <w:rPr>
          <w:rFonts w:asciiTheme="minorHAnsi" w:hAnsiTheme="minorHAnsi" w:cstheme="minorHAnsi"/>
          <w:lang w:val="en-GB"/>
        </w:rPr>
        <w:t xml:space="preserve"> that obesity management may be a potential prevention strategy for reducing pancreatic cancer risk</w:t>
      </w:r>
      <w:r w:rsidR="00031CE7">
        <w:rPr>
          <w:rFonts w:asciiTheme="minorHAnsi" w:hAnsiTheme="minorHAnsi" w:cstheme="minorHAnsi"/>
          <w:lang w:val="en-GB"/>
        </w:rPr>
        <w:t xml:space="preserve"> while</w:t>
      </w:r>
      <w:r w:rsidR="00031CE7" w:rsidRPr="00031CE7">
        <w:rPr>
          <w:rFonts w:asciiTheme="minorHAnsi" w:hAnsiTheme="minorHAnsi" w:cstheme="minorHAnsi" w:hint="eastAsia"/>
          <w:lang w:val="en-GB"/>
        </w:rPr>
        <w:t xml:space="preserve"> </w:t>
      </w:r>
      <w:r w:rsidR="00031CE7">
        <w:rPr>
          <w:rFonts w:asciiTheme="minorHAnsi" w:hAnsiTheme="minorHAnsi" w:cstheme="minorHAnsi"/>
          <w:lang w:val="en-GB"/>
        </w:rPr>
        <w:t>f</w:t>
      </w:r>
      <w:r w:rsidR="00031CE7">
        <w:rPr>
          <w:rFonts w:asciiTheme="minorHAnsi" w:hAnsiTheme="minorHAnsi" w:cstheme="minorHAnsi" w:hint="eastAsia"/>
          <w:lang w:val="en-GB"/>
        </w:rPr>
        <w:t>asting</w:t>
      </w:r>
      <w:r w:rsidR="00031CE7">
        <w:rPr>
          <w:rFonts w:asciiTheme="minorHAnsi" w:hAnsiTheme="minorHAnsi" w:cstheme="minorHAnsi"/>
          <w:lang w:val="en-GB"/>
        </w:rPr>
        <w:t xml:space="preserve"> </w:t>
      </w:r>
      <w:r w:rsidR="00031CE7">
        <w:rPr>
          <w:rFonts w:asciiTheme="minorHAnsi" w:hAnsiTheme="minorHAnsi" w:cstheme="minorHAnsi" w:hint="eastAsia"/>
          <w:lang w:val="en-GB"/>
        </w:rPr>
        <w:t>insulin</w:t>
      </w:r>
      <w:r w:rsidR="00031CE7" w:rsidRPr="00C61605">
        <w:rPr>
          <w:rFonts w:asciiTheme="minorHAnsi" w:hAnsiTheme="minorHAnsi" w:cstheme="minorHAnsi"/>
          <w:lang w:val="en-GB"/>
        </w:rPr>
        <w:t xml:space="preserve"> and type 2 diabetes</w:t>
      </w:r>
      <w:r w:rsidR="00031CE7">
        <w:rPr>
          <w:rFonts w:asciiTheme="minorHAnsi" w:hAnsiTheme="minorHAnsi" w:cstheme="minorHAnsi"/>
          <w:lang w:val="en-GB"/>
        </w:rPr>
        <w:t xml:space="preserve"> showed a suggestive association that should be further investigated.</w:t>
      </w:r>
    </w:p>
    <w:bookmarkEnd w:id="2"/>
    <w:bookmarkEnd w:id="3"/>
    <w:p w14:paraId="1EC8F9EA" w14:textId="77777777" w:rsidR="00B201D7" w:rsidRPr="004B08E4" w:rsidRDefault="00B201D7">
      <w:pPr>
        <w:rPr>
          <w:rFonts w:asciiTheme="minorHAnsi" w:hAnsiTheme="minorHAnsi" w:cstheme="minorHAnsi"/>
        </w:rPr>
      </w:pPr>
      <w:r w:rsidRPr="004B08E4">
        <w:rPr>
          <w:rFonts w:asciiTheme="minorHAnsi" w:hAnsiTheme="minorHAnsi" w:cstheme="minorHAnsi"/>
        </w:rPr>
        <w:br w:type="page"/>
      </w:r>
    </w:p>
    <w:p w14:paraId="2D41D546" w14:textId="61934190" w:rsidR="00C4442B" w:rsidRPr="004B08E4" w:rsidRDefault="00C4442B" w:rsidP="00086AD2">
      <w:pPr>
        <w:pStyle w:val="Heading1"/>
        <w:rPr>
          <w:rFonts w:asciiTheme="minorHAnsi" w:hAnsiTheme="minorHAnsi" w:cstheme="minorHAnsi"/>
          <w:lang w:eastAsia="zh-CN"/>
        </w:rPr>
      </w:pPr>
      <w:r w:rsidRPr="004B08E4">
        <w:rPr>
          <w:rFonts w:asciiTheme="minorHAnsi" w:hAnsiTheme="minorHAnsi" w:cstheme="minorHAnsi"/>
          <w:lang w:val="en-GB"/>
        </w:rPr>
        <w:lastRenderedPageBreak/>
        <w:t>Introduction</w:t>
      </w:r>
    </w:p>
    <w:p w14:paraId="7C9E245F" w14:textId="17CCD05A" w:rsidR="0091457C" w:rsidRDefault="00E45705" w:rsidP="008E1EB7">
      <w:pPr>
        <w:spacing w:line="480" w:lineRule="auto"/>
        <w:ind w:firstLine="426"/>
        <w:jc w:val="both"/>
        <w:rPr>
          <w:rFonts w:asciiTheme="minorHAnsi" w:eastAsiaTheme="minorHAnsi" w:hAnsiTheme="minorHAnsi" w:cstheme="minorHAnsi"/>
          <w:lang w:val="en-GB"/>
        </w:rPr>
      </w:pPr>
      <w:r w:rsidRPr="004B08E4">
        <w:rPr>
          <w:rFonts w:asciiTheme="minorHAnsi" w:eastAsiaTheme="minorHAnsi" w:hAnsiTheme="minorHAnsi" w:cstheme="minorHAnsi"/>
          <w:lang w:val="en-GB"/>
        </w:rPr>
        <w:t>Pancreatic ductal adenocarcinoma (PDAC) is the fifth</w:t>
      </w:r>
      <w:r w:rsidR="002A46D4" w:rsidRPr="00AF07D2">
        <w:rPr>
          <w:rFonts w:asciiTheme="minorHAnsi" w:hAnsiTheme="minorHAnsi" w:cstheme="minorHAnsi"/>
        </w:rPr>
        <w:t xml:space="preserve"> </w:t>
      </w:r>
      <w:r w:rsidR="00FE1193" w:rsidRPr="00253FE5">
        <w:rPr>
          <w:rFonts w:asciiTheme="minorHAnsi" w:hAnsiTheme="minorHAnsi" w:cstheme="minorHAnsi"/>
        </w:rPr>
        <w:t>highest</w:t>
      </w:r>
      <w:r w:rsidR="00FE1193" w:rsidRPr="004954B6">
        <w:rPr>
          <w:rFonts w:asciiTheme="minorHAnsi" w:hAnsiTheme="minorHAnsi" w:cstheme="minorHAnsi"/>
          <w:lang w:val="en-GB"/>
        </w:rPr>
        <w:t xml:space="preserve"> </w:t>
      </w:r>
      <w:r w:rsidR="004954B6" w:rsidRPr="004954B6">
        <w:rPr>
          <w:rFonts w:asciiTheme="minorHAnsi" w:hAnsiTheme="minorHAnsi" w:cstheme="minorHAnsi"/>
          <w:lang w:val="en-GB"/>
        </w:rPr>
        <w:t>cause of cancer-related death</w:t>
      </w:r>
      <w:r w:rsidRPr="004B08E4">
        <w:rPr>
          <w:rFonts w:asciiTheme="minorHAnsi" w:eastAsiaTheme="minorHAnsi" w:hAnsiTheme="minorHAnsi" w:cstheme="minorHAnsi"/>
          <w:lang w:val="en-GB"/>
        </w:rPr>
        <w:t xml:space="preserve"> in the European Union</w:t>
      </w:r>
      <w:r w:rsidR="008844DB">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C340D2">
        <w:rPr>
          <w:rFonts w:asciiTheme="minorHAnsi" w:eastAsiaTheme="minorHAnsi" w:hAnsiTheme="minorHAnsi" w:cstheme="minorHAnsi"/>
          <w:lang w:val="en-GB"/>
        </w:rPr>
        <w:instrText>ADDIN CSL_CITATION {"citationItems":[{"id":"ITEM-1","itemData":{"DOI":"10.3322/caac.21492","ISSN":"00079235","author":[{"dropping-particle":"","family":"Bray","given":"Freddie","non-dropping-particle":"","parse-names":false,"suffix":""},{"dropping-particle":"","family":"Ferlay","given":"Jacques","non-dropping-particle":"","parse-names":false,"suffix":""},{"dropping-particle":"","family":"Soerjomataram","given":"Isabelle","non-dropping-particle":"","parse-names":false,"suffix":""},{"dropping-particle":"","family":"Siegel","given":"Rebecca L.","non-dropping-particle":"","parse-names":false,"suffix":""},{"dropping-particle":"","family":"Torre","given":"Lindsey A.","non-dropping-particle":"","parse-names":false,"suffix":""},{"dropping-particle":"","family":"Jemal","given":"Ahmedin","non-dropping-particle":"","parse-names":false,"suffix":""}],"container-title":"CA: A Cancer Journal for Clinicians","id":"ITEM-1","issue":"6","issued":{"date-parts":[["2018","11","1"]]},"page":"394-424","publisher":"American Cancer Society","title":"Global cancer statistics 2018: GLOBOCAN estimates of incidence and mortality worldwide for 36 cancers in 185 countries","type":"article-journal","volume":"68"},"uris":["http://www.mendeley.com/documents/?uuid=716faeea-39c4-39b1-9659-8caab7104217","http://www.mendeley.com/documents/?uuid=f29f8ff5-1ff8-462a-a5d1-e79bd0ef05b1"]}],"mendeley":{"formattedCitation":"&lt;sup&gt;1&lt;/sup&gt;","plainTextFormattedCitation":"1","previouslyFormattedCitation":"&lt;sup&gt;1&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BC3F9F" w:rsidRPr="00BC3F9F">
        <w:rPr>
          <w:rFonts w:asciiTheme="minorHAnsi" w:eastAsiaTheme="minorHAnsi" w:hAnsiTheme="minorHAnsi" w:cstheme="minorHAnsi"/>
          <w:noProof/>
          <w:vertAlign w:val="superscript"/>
          <w:lang w:val="en-GB"/>
        </w:rPr>
        <w:t>1</w:t>
      </w:r>
      <w:r w:rsidRPr="004B08E4">
        <w:rPr>
          <w:rFonts w:asciiTheme="minorHAnsi" w:eastAsiaTheme="minorHAnsi" w:hAnsiTheme="minorHAnsi" w:cstheme="minorHAnsi"/>
          <w:lang w:val="en-GB"/>
        </w:rPr>
        <w:fldChar w:fldCharType="end"/>
      </w:r>
      <w:r w:rsidRPr="004B08E4">
        <w:rPr>
          <w:rFonts w:asciiTheme="minorHAnsi" w:eastAsiaTheme="minorHAnsi" w:hAnsiTheme="minorHAnsi" w:cstheme="minorHAnsi"/>
          <w:lang w:val="en-GB"/>
        </w:rPr>
        <w:t xml:space="preserve"> with a median survival of 5-8 months and a five year survival lower than 5%. It has been projected that by 2030 </w:t>
      </w:r>
      <w:r w:rsidR="002E0096" w:rsidRPr="004B08E4">
        <w:rPr>
          <w:rFonts w:asciiTheme="minorHAnsi" w:eastAsiaTheme="minorHAnsi" w:hAnsiTheme="minorHAnsi" w:cstheme="minorHAnsi"/>
          <w:lang w:val="en-GB"/>
        </w:rPr>
        <w:t xml:space="preserve">PDAC </w:t>
      </w:r>
      <w:r w:rsidRPr="004B08E4">
        <w:rPr>
          <w:rFonts w:asciiTheme="minorHAnsi" w:eastAsiaTheme="minorHAnsi" w:hAnsiTheme="minorHAnsi" w:cstheme="minorHAnsi"/>
          <w:lang w:val="en-GB"/>
        </w:rPr>
        <w:t xml:space="preserve">will be the second cancer for mortality in </w:t>
      </w:r>
      <w:r w:rsidR="00FE1193">
        <w:rPr>
          <w:rFonts w:asciiTheme="minorHAnsi" w:eastAsiaTheme="minorHAnsi" w:hAnsiTheme="minorHAnsi" w:cstheme="minorHAnsi"/>
          <w:lang w:val="en-GB"/>
        </w:rPr>
        <w:t>western countries</w:t>
      </w:r>
      <w:r w:rsidR="00F429F7">
        <w:rPr>
          <w:rFonts w:asciiTheme="minorHAnsi" w:eastAsiaTheme="minorHAnsi" w:hAnsiTheme="minorHAnsi" w:cstheme="minorHAnsi"/>
          <w:lang w:val="en-GB"/>
        </w:rPr>
        <w:t xml:space="preserve"> </w:t>
      </w:r>
      <w:r w:rsidR="00DE3151">
        <w:rPr>
          <w:rFonts w:asciiTheme="minorHAnsi" w:eastAsiaTheme="minorHAnsi" w:hAnsiTheme="minorHAnsi" w:cstheme="minorHAnsi"/>
          <w:lang w:val="en-GB"/>
        </w:rPr>
        <w:fldChar w:fldCharType="begin" w:fldLock="1"/>
      </w:r>
      <w:r w:rsidR="00180C9F">
        <w:rPr>
          <w:rFonts w:asciiTheme="minorHAnsi" w:eastAsiaTheme="minorHAnsi" w:hAnsiTheme="minorHAnsi" w:cstheme="minorHAnsi"/>
          <w:lang w:val="en-GB"/>
        </w:rPr>
        <w:instrText>ADDIN CSL_CITATION {"citationItems":[{"id":"ITEM-1","itemData":{"DOI":"10.1093/annonc/mdz051","ISSN":"15698041","abstract":"Background: To overcome the lag with which cancer statistics become available, we predicted numbers of deaths and rates from all cancers and selected cancer sites for 2019 in the European Union (EU). Materials and methods: We retrieved cancer death certifications and population data from the World Health Organization and Eurostat databases for 1970-2014. We obtained estimates for 2019 with a linear regression on number of deaths over the most recent trend period identified by a logarithmic Poisson joinpoint regression model. We calculated the number of avoided deaths over the period 1989-2019. Results: We estimated about 1 410 000 cancer deaths in the EU for 2019, corresponding to age-standardized rates of 130.9/100 000 men (-5.9% since 2014) and 82.9 women (-3.6%). Lung cancer trends in women are predicted to increase 4.4% between 2014 and 2019, reaching a rate of 14.8. The projected rate for breast cancer was 13.4. Favourable trends for major neoplasms are predicted to continue, except for pancreatic cancer. Trends in breast cancer mortality were favourable in all six countries considered, except Poland. The falls were largest in women 50-69 (-16.4%), i.e.The age group covered by screening, but also seen at age 20-49 (-13.8%), while more modest at age 70-79 (-6.1%). As compared to the peak rate in 1988, over 5 million cancer deaths have been avoided in the EU over the 1989-2019 period. Of these, 440 000 were breast cancer deaths. Conclusion: Between 2014 and 2019, cancer mortality will continue to fall in both sexes. Breast cancer rates will fall steadily, with about 35% decline in rates over the last three decades. This is likely due to reduced hormone replacement therapy use, improvements in screening, early diagnosis and treatment. Due to population ageing, however, the number of breast cancer deaths is not declining.","author":[{"dropping-particle":"","family":"Malvezzi","given":"M.","non-dropping-particle":"","parse-names":false,"suffix":""},{"dropping-particle":"","family":"Carioli","given":"G.","non-dropping-particle":"","parse-names":false,"suffix":""},{"dropping-particle":"","family":"Bertuccio","given":"P.","non-dropping-particle":"","parse-names":false,"suffix":""},{"dropping-particle":"","family":"Boffetta","given":"P.","non-dropping-particle":"","parse-names":false,"suffix":""},{"dropping-particle":"","family":"Levi","given":"F.","non-dropping-particle":"","parse-names":false,"suffix":""},{"dropping-particle":"","family":"Vecchia","given":"C.","non-dropping-particle":"La","parse-names":false,"suffix":""},{"dropping-particle":"","family":"Negri","given":"E.","non-dropping-particle":"","parse-names":false,"suffix":""}],"container-title":"Annals of Oncology","id":"ITEM-1","issue":"5","issued":{"date-parts":[["2019"]]},"page":"781-787","publisher":"Oxford University Press","title":"European cancer mortality predictions for the year 2019 with focus on breast cancer","type":"article-journal","volume":"30"},"uris":["http://www.mendeley.com/documents/?uuid=4e0f8629-a6f2-3979-a39e-aa075e0af581"]},{"id":"ITEM-2","itemData":{"DOI":"10.1158/0008-5472.CAN-14-0155","ISBN":"10.1158/0008-5472.CAN-14-0155","ISSN":"15387445","PMID":"24840647","abstract":"Cancer incidence and deaths in the United States were projected for the most common cancer types for the years 2020 and 2030 based on changing demographics and the average annual percentage changes in incidence and death rates. Breast, prostate, and lung cancers will remain the top cancer diagnoses throughout this time, but thyroid cancer will replace colorectal cancer as the fourth leading cancer diagnosis by 2030, and melanoma and uterine cancer will become the fifth and sixth most common cancers, respectively. Lung cancer is projected to remain the top cancer killer throughout this time period. However, pancreas and liver cancers are projected to surpass breast, prostate, and colorectal cancers to become the second and third leading causes of cancer-related death by 2030, respectively. Advances in screening, prevention, and treatment can change cancer incidence and/or death rates, but it will require a concerted effort by the research and healthcare communities now to effect a substantial change for the future.","author":[{"dropping-particle":"","family":"Rahib","given":"Lola","non-dropping-particle":"","parse-names":false,"suffix":""},{"dropping-particle":"","family":"Smith","given":"Benjamin D","non-dropping-particle":"","parse-names":false,"suffix":""},{"dropping-particle":"","family":"Aizenberg","given":"Rhonda","non-dropping-particle":"","parse-names":false,"suffix":""},{"dropping-particle":"","family":"Rosenzweig","given":"Allison B","non-dropping-particle":"","parse-names":false,"suffix":""},{"dropping-particle":"","family":"Fleshman","given":"Julie M","non-dropping-particle":"","parse-names":false,"suffix":""},{"dropping-particle":"","family":"Matrisian","given":"Lynn M","non-dropping-particle":"","parse-names":false,"suffix":""}],"container-title":"Cancer Research","id":"ITEM-2","issue":"11","issued":{"date-parts":[["2014","6"]]},"page":"2913-2921","publisher":"American Association for Cancer Research","title":"Projecting cancer incidence and deaths to 2030: The unexpected burden of thyroid, liver, and pancreas cancers in the united states","type":"article","volume":"74"},"uris":["http://www.mendeley.com/documents/?uuid=c78c2f6d-3ea3-4202-8c5f-00c1998c49b1"]}],"mendeley":{"formattedCitation":"&lt;sup&gt;2, 3&lt;/sup&gt;","plainTextFormattedCitation":"2, 3","previouslyFormattedCitation":"&lt;sup&gt;2, 3&lt;/sup&gt;"},"properties":{"noteIndex":0},"schema":"https://github.com/citation-style-language/schema/raw/master/csl-citation.json"}</w:instrText>
      </w:r>
      <w:r w:rsidR="00DE3151">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2, 3</w:t>
      </w:r>
      <w:r w:rsidR="00DE3151">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w:t>
      </w:r>
      <w:bookmarkStart w:id="4" w:name="OLE_LINK3"/>
      <w:bookmarkStart w:id="5" w:name="OLE_LINK4"/>
      <w:r w:rsidRPr="004B08E4">
        <w:rPr>
          <w:rFonts w:asciiTheme="minorHAnsi" w:eastAsiaTheme="minorHAnsi" w:hAnsiTheme="minorHAnsi" w:cstheme="minorHAnsi"/>
          <w:lang w:val="en-GB"/>
        </w:rPr>
        <w:t xml:space="preserve">The absence of specific risk </w:t>
      </w:r>
      <w:r w:rsidR="002E0096" w:rsidRPr="004B08E4">
        <w:rPr>
          <w:rFonts w:asciiTheme="minorHAnsi" w:eastAsiaTheme="minorHAnsi" w:hAnsiTheme="minorHAnsi" w:cstheme="minorHAnsi"/>
          <w:lang w:val="en-GB"/>
        </w:rPr>
        <w:t xml:space="preserve">markers </w:t>
      </w:r>
      <w:r w:rsidRPr="004B08E4">
        <w:rPr>
          <w:rFonts w:asciiTheme="minorHAnsi" w:eastAsiaTheme="minorHAnsi" w:hAnsiTheme="minorHAnsi" w:cstheme="minorHAnsi"/>
          <w:lang w:val="en-GB"/>
        </w:rPr>
        <w:t>for early diagnosis can, at least in part, explain the high mortality and short survival of PDAC patients</w:t>
      </w:r>
      <w:r w:rsidR="00A769AF">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considering that many present </w:t>
      </w:r>
      <w:r w:rsidR="00AA446B" w:rsidRPr="004B08E4">
        <w:rPr>
          <w:rFonts w:asciiTheme="minorHAnsi" w:eastAsiaTheme="minorHAnsi" w:hAnsiTheme="minorHAnsi" w:cstheme="minorHAnsi"/>
          <w:lang w:val="en-GB"/>
        </w:rPr>
        <w:t>an advanced disease</w:t>
      </w:r>
      <w:r w:rsidRPr="004B08E4">
        <w:rPr>
          <w:rFonts w:asciiTheme="minorHAnsi" w:eastAsiaTheme="minorHAnsi" w:hAnsiTheme="minorHAnsi" w:cstheme="minorHAnsi"/>
          <w:lang w:val="en-GB"/>
        </w:rPr>
        <w:t xml:space="preserve"> at diagnosis.</w:t>
      </w:r>
      <w:r w:rsidR="00F429F7" w:rsidRPr="00F429F7">
        <w:rPr>
          <w:rFonts w:asciiTheme="minorHAnsi" w:eastAsiaTheme="minorHAnsi" w:hAnsiTheme="minorHAnsi" w:cstheme="minorHAnsi"/>
          <w:lang w:val="en-GB"/>
        </w:rPr>
        <w:t xml:space="preserve"> </w:t>
      </w:r>
      <w:bookmarkEnd w:id="4"/>
      <w:bookmarkEnd w:id="5"/>
      <w:r w:rsidR="00FE1193">
        <w:rPr>
          <w:rFonts w:asciiTheme="minorHAnsi" w:eastAsiaTheme="minorHAnsi" w:hAnsiTheme="minorHAnsi" w:cstheme="minorHAnsi"/>
          <w:lang w:val="en-GB"/>
        </w:rPr>
        <w:t>The identification of the risk factors that cause PDAC can help to design more effective strategies for prevention</w:t>
      </w:r>
      <w:r w:rsidR="00FE1193" w:rsidRPr="004B08E4">
        <w:rPr>
          <w:rFonts w:asciiTheme="minorHAnsi" w:eastAsiaTheme="minorHAnsi" w:hAnsiTheme="minorHAnsi" w:cstheme="minorHAnsi"/>
          <w:lang w:val="en-GB"/>
        </w:rPr>
        <w:t>.</w:t>
      </w:r>
      <w:r w:rsidR="00FE1193">
        <w:rPr>
          <w:rFonts w:asciiTheme="minorHAnsi" w:eastAsiaTheme="minorHAnsi" w:hAnsiTheme="minorHAnsi" w:cstheme="minorHAnsi"/>
          <w:lang w:val="en-GB"/>
        </w:rPr>
        <w:t xml:space="preserve"> </w:t>
      </w:r>
      <w:r w:rsidR="00AA446B" w:rsidRPr="004B08E4">
        <w:rPr>
          <w:rFonts w:asciiTheme="minorHAnsi" w:eastAsiaTheme="minorHAnsi" w:hAnsiTheme="minorHAnsi" w:cstheme="minorHAnsi"/>
          <w:lang w:val="en-GB"/>
        </w:rPr>
        <w:t>Alongside genetic variability</w:t>
      </w:r>
      <w:r w:rsidR="001426FB">
        <w:rPr>
          <w:rFonts w:asciiTheme="minorHAnsi" w:eastAsiaTheme="minorHAnsi" w:hAnsiTheme="minorHAnsi" w:cstheme="minorHAnsi"/>
          <w:lang w:val="en-GB"/>
        </w:rPr>
        <w:t xml:space="preserve"> </w:t>
      </w:r>
      <w:r w:rsidR="00C340D2">
        <w:rPr>
          <w:rFonts w:asciiTheme="minorHAnsi" w:eastAsiaTheme="minorHAnsi" w:hAnsiTheme="minorHAnsi" w:cstheme="minorHAnsi"/>
          <w:noProof/>
          <w:lang w:val="en-GB"/>
        </w:rPr>
        <w:fldChar w:fldCharType="begin" w:fldLock="1"/>
      </w:r>
      <w:r w:rsidR="00DE3151">
        <w:rPr>
          <w:rFonts w:asciiTheme="minorHAnsi" w:eastAsiaTheme="minorHAnsi" w:hAnsiTheme="minorHAnsi" w:cstheme="minorHAnsi"/>
          <w:noProof/>
          <w:lang w:val="en-GB"/>
        </w:rPr>
        <w:instrText>ADDIN CSL_CITATION {"citationItems":[{"id":"ITEM-1","itemData":{"DOI":"10.1038/ng.429","ISBN":"1546-1718 (Electronic)$\\$r1061-4036 (Linking)","ISSN":"10614036","PMID":"19648918","abstract":"We conducted a two-stage genome-wide association study of pancreatic cancer, a cancer with one of the lowest survival rates worldwide. We genotyped 558,542 SNPs in 1,896 individuals with pancreatic cancer and 1,939 controls drawn from 12 prospective cohorts plus one hospital-based case-control study. We conducted a combined analysis of these groups plus an additional 2,457 affected individuals and 2,654 controls from eight case-control studies, adjusting for study, sex, ancestry and five principal components. We identified an association between a locus on 9q34 and pancreatic cancer marked by the SNP rs505922 (combined P = 5.37 x 10(-8); multiplicative per-allele odds ratio 1.20; 95% confidence interval 1.12-1.28). This SNP maps to the first intron of the ABO blood group gene. Our results are consistent with earlier epidemiologic evidence suggesting that people with blood group O may have a lower risk of pancreatic cancer than those with groups A or B.","author":[{"dropping-particle":"","family":"Amundadottir","given":"Laufey","non-dropping-particle":"","parse-names":false,"suffix":""},{"dropping-particle":"","family":"Kraft","given":"Peter","non-dropping-particle":"","parse-names":false,"suffix":""},{"dropping-particle":"","family":"Stolzenberg-Solomon","given":"Rachael Z","non-dropping-particle":"","parse-names":false,"suffix":""},{"dropping-particle":"","family":"Fuchs","given":"Charles S","non-dropping-particle":"","parse-names":false,"suffix":""},{"dropping-particle":"","family":"Petersen","given":"Gloria M","non-dropping-particle":"","parse-names":false,"suffix":""},{"dropping-particle":"","family":"Arslan","given":"Alan A","non-dropping-particle":"","parse-names":false,"suffix":""},{"dropping-particle":"","family":"Bueno-De-Mesquita","given":"H. Bas","non-dropping-particle":"","parse-names":false,"suffix":""},{"dropping-particle":"","family":"Gross","given":"Myron","non-dropping-particle":"","parse-names":false,"suffix":""},{"dropping-particle":"","family":"Helzlsouer","given":"Kathy","non-dropping-particle":"","parse-names":false,"suffix":""},{"dropping-particle":"","family":"Jacobs","given":"Eric J.","non-dropping-particle":"","parse-names":false,"suffix":""},{"dropping-particle":"","family":"LaCroix","given":"Andrea","non-dropping-particle":"","parse-names":false,"suffix":""},{"dropping-particle":"","family":"Zheng","given":"Wei","non-dropping-particle":"","parse-names":false,"suffix":""},{"dropping-particle":"","family":"Albanes","given":"Demetrius","non-dropping-particle":"","parse-names":false,"suffix":""},{"dropping-particle":"","family":"Bamlet","given":"William","non-dropping-particle":"","parse-names":false,"suffix":""},{"dropping-particle":"","family":"Berg","given":"Christine D","non-dropping-particle":"","parse-names":false,"suffix":""},{"dropping-particle":"","family":"Berrino","given":"Franco","non-dropping-particle":"","parse-names":false,"suffix":""},{"dropping-particle":"","family":"Bingham","given":"Sheila","non-dropping-particle":"","parse-names":false,"suffix":""},{"dropping-particle":"","family":"Buring","given":"Julie E","non-dropping-particle":"","parse-names":false,"suffix":""},{"dropping-particle":"","family":"Bracci","given":"Paige M","non-dropping-particle":"","parse-names":false,"suffix":""},{"dropping-particle":"","family":"Canzian","given":"Federico","non-dropping-particle":"","parse-names":false,"suffix":""},{"dropping-particle":"","family":"Clavel-Chapelon","given":"Françoise","non-dropping-particle":"","parse-names":false,"suffix":""},{"dropping-particle":"","family":"Clipp","given":"Sandra","non-dropping-particle":"","parse-names":false,"suffix":""},{"dropping-particle":"","family":"Cotterchio","given":"Michelle","non-dropping-particle":"","parse-names":false,"suffix":""},{"dropping-particle":"","family":"Andrade","given":"Mariza","non-dropping-particle":"De","parse-names":false,"suffix":""},{"dropping-particle":"","family":"Duell","given":"Eric J","non-dropping-particle":"","parse-names":false,"suffix":""},{"dropping-particle":"","family":"Fox","given":"John W","non-dropping-particle":"","parse-names":false,"suffix":""},{"dropping-particle":"","family":"Gallinger","given":"Steven","non-dropping-particle":"","parse-names":false,"suffix":""},{"dropping-particle":"","family":"Gaziano","given":"J Michael","non-dropping-particle":"","parse-names":false,"suffix":""},{"dropping-particle":"","family":"Giovannucci","given":"Edward L","non-dropping-particle":"","parse-names":false,"suffix":""},{"dropping-particle":"","family":"Goggins","given":"Michael","non-dropping-particle":"","parse-names":false,"suffix":""},{"dropping-particle":"","family":"González","given":"Carlos A","non-dropping-particle":"","parse-names":false,"suffix":""},{"dropping-particle":"","family":"Hallmans","given":"Göran","non-dropping-particle":"","parse-names":false,"suffix":""},{"dropping-particle":"","family":"Hankinson","given":"Susan E","non-dropping-particle":"","parse-names":false,"suffix":""},{"dropping-particle":"","family":"Hassan","given":"Manal","non-dropping-particle":"","parse-names":false,"suffix":""},{"dropping-particle":"","family":"Holly","given":"Elizabeth A","non-dropping-particle":"","parse-names":false,"suffix":""},{"dropping-particle":"","family":"Hunter","given":"David J","non-dropping-particle":"","parse-names":false,"suffix":""},{"dropping-particle":"","family":"Hutchinson","given":"Amy","non-dropping-particle":"","parse-names":false,"suffix":""},{"dropping-particle":"","family":"Jackson","given":"Rebecca","non-dropping-particle":"","parse-names":false,"suffix":""},{"dropping-particle":"","family":"Jacobs","given":"Kevin B","non-dropping-particle":"","parse-names":false,"suffix":""},{"dropping-particle":"","family":"Jenab","given":"Mazda","non-dropping-particle":"","parse-names":false,"suffix":""},{"dropping-particle":"","family":"Kaaks","given":"Rudolf","non-dropping-particle":"","parse-names":false,"suffix":""},{"dropping-particle":"","family":"Klein","given":"Alison P","non-dropping-particle":"","parse-names":false,"suffix":""},{"dropping-particle":"","family":"Kooperberg","given":"Charles","non-dropping-particle":"","parse-names":false,"suffix":""},{"dropping-particle":"","family":"Kurtz","given":"Robert C","non-dropping-particle":"","parse-names":false,"suffix":""},{"dropping-particle":"","family":"Li","given":"Donghui","non-dropping-particle":"","parse-names":false,"suffix":""},{"dropping-particle":"","family":"Lynch","given":"Shannon M","non-dropping-particle":"","parse-names":false,"suffix":""},{"dropping-particle":"","family":"Mandelson","given":"Margaret","non-dropping-particle":"","parse-names":false,"suffix":""},{"dropping-particle":"","family":"McWilliams","given":"Robert R","non-dropping-particle":"","parse-names":false,"suffix":""},{"dropping-particle":"","family":"Mendelsohn","given":"Julie B","non-dropping-particle":"","parse-names":false,"suffix":""},{"dropping-particle":"","family":"Michaud","given":"Dominique S","non-dropping-particle":"","parse-names":false,"suffix":""},{"dropping-particle":"","family":"Olson","given":"Sara H","non-dropping-particle":"","parse-names":false,"suffix":""},{"dropping-particle":"","family":"Overvad","given":"Kim","non-dropping-particle":"","parse-names":false,"suffix":""},{"dropping-particle":"V","family":"Patel","given":"Alpa","non-dropping-particle":"","parse-names":false,"suffix":""},{"dropping-particle":"","family":"Peeters","given":"Petra H.M. M","non-dropping-particle":"","parse-names":false,"suffix":""},{"dropping-particle":"","family":"Rajkovic","given":"Aleksandar","non-dropping-particle":"","parse-names":false,"suffix":""},{"dropping-particle":"","family":"Riboli","given":"Elio","non-dropping-particle":"","parse-names":false,"suffix":""},{"dropping-particle":"","family":"Risch","given":"Harvey A","non-dropping-particle":"","parse-names":false,"suffix":""},{"dropping-particle":"","family":"Shu","given":"Xiao-Ou Ou","non-dropping-particle":"","parse-names":false,"suffix":""},{"dropping-particle":"","family":"Thomas","given":"Gilles","non-dropping-particle":"","parse-names":false,"suffix":""},{"dropping-particle":"","family":"Tobias","given":"Geoffrey S","non-dropping-particle":"","parse-names":false,"suffix":""},{"dropping-particle":"","family":"Trichopoulos","given":"Dimitrios","non-dropping-particle":"","parse-names":false,"suffix":""},{"dropping-particle":"","family":"Eeden","given":"Stephen K","non-dropping-particle":"Van Den","parse-names":false,"suffix":""},{"dropping-particle":"","family":"Virtamo","given":"Jarmo","non-dropping-particle":"","parse-names":false,"suffix":""},{"dropping-particle":"","family":"Wactawski-Wende","given":"Jean","non-dropping-particle":"","parse-names":false,"suffix":""},{"dropping-particle":"","family":"Wolpin","given":"Brian M","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Chanock","given":"Stephen J","non-dropping-particle":"","parse-names":false,"suffix":""},{"dropping-particle":"","family":"Hartge","given":"Patricia","non-dropping-particle":"","parse-names":false,"suffix":""},{"dropping-particle":"","family":"Hoover","given":"Robert N.","non-dropping-particle":"","parse-names":false,"suffix":""},{"dropping-particle":"","family":"Fox Jr","given":"John W","non-dropping-particle":"","parse-names":false,"suffix":""},{"dropping-particle":"","family":"Gallinger","given":"Steven","non-dropping-particle":"","parse-names":false,"suffix":""},{"dropping-particle":"","family":"Gaziano","given":"J Michael","non-dropping-particle":"","parse-names":false,"suffix":""},{"dropping-particle":"","family":"Giovannucci","given":"Edward L","non-dropping-particle":"","parse-names":false,"suffix":""},{"dropping-particle":"","family":"Goggins","given":"Michael","non-dropping-particle":"","parse-names":false,"suffix":""},{"dropping-particle":"","family":"González","given":"Carlos A","non-dropping-particle":"","parse-names":false,"suffix":""},{"dropping-particle":"","family":"Hallmans","given":"Göran","non-dropping-particle":"","parse-names":false,"suffix":""},{"dropping-particle":"","family":"Hankinson","given":"Susan E","non-dropping-particle":"","parse-names":false,"suffix":""},{"dropping-particle":"","family":"Hassan","given":"Manal","non-dropping-particle":"","parse-names":false,"suffix":""},{"dropping-particle":"","family":"Holly","given":"Elizabeth A","non-dropping-particle":"","parse-names":false,"suffix":""},{"dropping-particle":"","family":"Hunter","given":"David J","non-dropping-particle":"","parse-names":false,"suffix":""},{"dropping-particle":"","family":"Hutchinson","given":"Amy","non-dropping-particle":"","parse-names":false,"suffix":""},{"dropping-particle":"","family":"Jackson","given":"Rebecca","non-dropping-particle":"","parse-names":false,"suffix":""},{"dropping-particle":"","family":"Jacobs","given":"Kevin B","non-dropping-particle":"","parse-names":false,"suffix":""},{"dropping-particle":"","family":"Jenab","given":"Mazda","non-dropping-particle":"","parse-names":false,"suffix":""},{"dropping-particle":"","family":"Kaaks","given":"Rudolf","non-dropping-particle":"","parse-names":false,"suffix":""},{"dropping-particle":"","family":"Klein","given":"Alison P","non-dropping-particle":"","parse-names":false,"suffix":""},{"dropping-particle":"","family":"Kooperberg","given":"Charles","non-dropping-particle":"","parse-names":false,"suffix":""},{"dropping-particle":"","family":"Kurtz","given":"Robert C","non-dropping-particle":"","parse-names":false,"suffix":""},{"dropping-particle":"","family":"Li","given":"Donghui","non-dropping-particle":"","parse-names":false,"suffix":""},{"dropping-particle":"","family":"Lynch","given":"Shannon M","non-dropping-particle":"","parse-names":false,"suffix":""},{"dropping-particle":"","family":"Mandelson","given":"Margaret","non-dropping-particle":"","parse-names":false,"suffix":""},{"dropping-particle":"","family":"McWilliams","given":"Robert R","non-dropping-particle":"","parse-names":false,"suffix":""},{"dropping-particle":"","family":"Mendelsohn","given":"Julie B","non-dropping-particle":"","parse-names":false,"suffix":""},{"dropping-particle":"","family":"Michaud","given":"Dominique S","non-dropping-particle":"","parse-names":false,"suffix":""},{"dropping-particle":"","family":"Olson","given":"Sara H","non-dropping-particle":"","parse-names":false,"suffix":""},{"dropping-particle":"","family":"Overvad","given":"Kim","non-dropping-particle":"","parse-names":false,"suffix":""},{"dropping-particle":"V","family":"Patel","given":"Alpa","non-dropping-particle":"","parse-names":false,"suffix":""},{"dropping-particle":"","family":"Peeters","given":"Petra H.M. M","non-dropping-particle":"","parse-names":false,"suffix":""},{"dropping-particle":"","family":"Rajkovic","given":"Aleksandar","non-dropping-particle":"","parse-names":false,"suffix":""},{"dropping-particle":"","family":"Riboli","given":"Elio","non-dropping-particle":"","parse-names":false,"suffix":""},{"dropping-particle":"","family":"Risch","given":"Harvey A","non-dropping-particle":"","parse-names":false,"suffix":""},{"dropping-particle":"","family":"Shu","given":"Xiao-Ou Ou","non-dropping-particle":"","parse-names":false,"suffix":""},{"dropping-particle":"","family":"Thomas","given":"Gilles","non-dropping-particle":"","parse-names":false,"suffix":""},{"dropping-particle":"","family":"Tobias","given":"Geoffrey S","non-dropping-particle":"","parse-names":false,"suffix":""},{"dropping-particle":"","family":"Trichopoulos","given":"Dimitrios","non-dropping-particle":"","parse-names":false,"suffix":""},{"dropping-particle":"","family":"Eeden","given":"Stephen K","non-dropping-particle":"Van Den","parse-names":false,"suffix":""},{"dropping-particle":"","family":"Virtamo","given":"Jarmo","non-dropping-particle":"","parse-names":false,"suffix":""},{"dropping-particle":"","family":"Wactawski-Wende","given":"Jean","non-dropping-particle":"","parse-names":false,"suffix":""},{"dropping-particle":"","family":"Wolpin","given":"Brian M","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Chanock","given":"Stephen J","non-dropping-particle":"","parse-names":false,"suffix":""},{"dropping-particle":"","family":"Hartge","given":"Patricia","non-dropping-particle":"","parse-names":false,"suffix":""},{"dropping-particle":"","family":"Hoover","given":"Robert N.","non-dropping-particle":"","parse-names":false,"suffix":""}],"container-title":"Nature Genetics","id":"ITEM-1","issue":"9","issued":{"date-parts":[["2009","9"]]},"page":"986-990","publisher":"NIH Public Access","title":"Genome-wide association study identifies variants in the ABO locus associated with susceptibility to pancreatic cancer","type":"article-journal","volume":"41"},"uris":["http://www.mendeley.com/documents/?uuid=3288651b-fbef-49fd-9fb9-5c1fb3c26552"]},{"id":"ITEM-2","itemData":{"DOI":"10.7150/ijbs.15001","ISBN":"1424-3903 (Print)$\\$r1424-3903 (Linking)","ISSN":"14492288","PMID":"26929738","abstract":"Pancreatic cancer is a very aggressive disease with a poor prognosis. The majority of them are attributed to sporadic causes, especially to many modifiable risk factors such as tobacco or alcohol abuse. The principal histologic subtype of pancreatic cancer is ductal adenocarcinoma. Pancreatic neuroendocrine tumors, which constitute a more indolent entity, represent second type of pancreatic cancer in terms of incidence. Individuals with a family history of pancreatic cancer carry an increased risk of developing the disease, which may be related to an underlying hereditary component. Unfortunately, in the majority of these families the suspected germline genetic cause responsible of the disease will not be identified, but approximately in a 20% of the cases a hereditary cancer predisposition syndrome with increased risk of pancreatic cancer development can be recognized. This review will be focused on the leading hereditary cancer syndromes related to pancreatic ductal adenocarcinoma and pancreatic neuroendocrine tumors. Additionally, we will try to explain clinical aspects related to the identification of germline mutations in pancreatic cancer patients and their potential implications in oncologic treatment decisions.","author":[{"dropping-particle":"","family":"Amundadottir","given":"Laufey T.","non-dropping-particle":"","parse-names":false,"suffix":""}],"container-title":"International Journal of Biological Sciences","id":"ITEM-2","issue":"3","issued":{"date-parts":[["2016"]]},"page":"314-325","title":"Pancreatic Cancer Genetics","type":"article-journal","volume":"12"},"uris":["http://www.mendeley.com/documents/?uuid=26f43ab5-1d99-4ca3-8d82-5a334e74298b"]},{"id":"ITEM-3","itemData":{"DOI":"10.1038/s41467-018-02942-5","ISBN":"4146701802942","ISSN":"20411723","PMID":"29422604","abstract":"In 2020, 146,063 deaths due to pancreatic cancer are estimated to occur in Europe and the United States combined. To identify common susceptibility alleles, we performed the largest pancreatic cancer GWAS to date, including 9040 patients and 12,496 controls of European ancestry from the Pancreatic Cancer Cohort Consortium (PanScan) and the Pancreatic Cancer Case-Control Consortium (PanC4). Here, we find significant evidence of a novel association at rs78417682 (7p12/TNS3, P = 4.35 × 10−8). Replication of 10 promising signals in up to 2737 patients and 4752 controls from the PANcreatic Disease ReseArch (PANDoRA) consortium yields new genome-wide significant loci: rs13303010 at 1p36.33 (NOC2L, P = 8.36 × 10−14), rs2941471 at 8q21.11 (HNF4G, P = 6.60 × 10−10), rs4795218 at 17q12 (HNF1B, P = 1.32 × 10−8), and rs1517037 at 18q21.32 (GRP, P = 3.28 × 10−8). rs78417682 is not statistically significantly associated with pancreatic cancer in PANDoRA. Expression quantitative trait locus analysis in three independent pancreatic data sets provides molecular support of NOC2L as a pancreatic cancer susceptibility gene.","author":[{"dropping-particle":"","family":"Klein","given":"Alison P.","non-dropping-particle":"","parse-names":false,"suffix":""},{"dropping-particle":"","family":"Wolpin","given":"Brian M","non-dropping-particle":"","parse-names":false,"suffix":""},{"dropping-particle":"","family":"Risch","given":"Harvey A","non-dropping-particle":"","parse-names":false,"suffix":""},{"dropping-particle":"","family":"Stolzenberg-Solomon","given":"Rachael Z","non-dropping-particle":"","parse-names":false,"suffix":""},{"dropping-particle":"","family":"Mocci","given":"Evelina","non-dropping-particle":"","parse-names":false,"suffix":""},{"dropping-particle":"","family":"Zhang","given":"Mingfeng","non-dropping-particle":"","parse-names":false,"suffix":""},{"dropping-particle":"","family":"Canzian","given":"Federico","non-dropping-particle":"","parse-names":false,"suffix":""},{"dropping-particle":"","family":"Childs","given":"Erica J","non-dropping-particle":"","parse-names":false,"suffix":""},{"dropping-particle":"","family":"Hoskins","given":"Jason W","non-dropping-particle":"","parse-names":false,"suffix":""},{"dropping-particle":"","family":"Jermusyk","given":"Ashley","non-dropping-particle":"","parse-names":false,"suffix":""},{"dropping-particle":"","family":"Zhong","given":"Jun","non-dropping-particle":"","parse-names":false,"suffix":""},{"dropping-particle":"","family":"Chen","given":"Fei","non-dropping-particle":"","parse-names":false,"suffix":""},{"dropping-particle":"","family":"Albanes","given":"Demetrius","non-dropping-particle":"","parse-names":false,"suffix":""},{"dropping-particle":"","family":"Andreotti","given":"Gabriella","non-dropping-particle":"","parse-names":false,"suffix":""},{"dropping-particle":"","family":"Arslan","given":"Alan A","non-dropping-particle":"","parse-names":false,"suffix":""},{"dropping-particle":"","family":"Babic","given":"Ana","non-dropping-particle":"","parse-names":false,"suffix":""},{"dropping-particle":"","family":"Bamlet","given":"William R","non-dropping-particle":"","parse-names":false,"suffix":""},{"dropping-particle":"","family":"Beane-Freeman","given":"Laura","non-dropping-particle":"","parse-names":false,"suffix":""},{"dropping-particle":"","family":"Berndt","given":"Sonja I","non-dropping-particle":"","parse-names":false,"suffix":""},{"dropping-particle":"","family":"Blackford","given":"Amanda","non-dropping-particle":"","parse-names":false,"suffix":""},{"dropping-particle":"","family":"Borges","given":"Michael","non-dropping-particle":"","parse-names":false,"suffix":""},{"dropping-particle":"","family":"Borgida","given":"Ayelet","non-dropping-particle":"","parse-names":false,"suffix":""},{"dropping-particle":"","family":"Bracci","given":"Paige M","non-dropping-particle":"","parse-names":false,"suffix":""},{"dropping-particle":"","family":"Brais","given":"Lauren","non-dropping-particle":"","parse-names":false,"suffix":""},{"dropping-particle":"","family":"Brennan","given":"Paul","non-dropping-particle":"","parse-names":false,"suffix":""},{"dropping-particle":"","family":"Brenner","given":"Hermann","non-dropping-particle":"","parse-names":false,"suffix":""},{"dropping-particle":"","family":"Bueno-De-Mesquita","given":"Bas","non-dropping-particle":"","parse-names":false,"suffix":""},{"dropping-particle":"","family":"Buring","given":"Julie","non-dropping-particle":"","parse-names":false,"suffix":""},{"dropping-particle":"","family":"Campa","given":"Daniele","non-dropping-particle":"","parse-names":false,"suffix":""},{"dropping-particle":"","family":"Capurso","given":"Gabriele","non-dropping-particle":"","parse-names":false,"suffix":""},{"dropping-particle":"","family":"Cavestro","given":"Giulia Martina","non-dropping-particle":"","parse-names":false,"suffix":""},{"dropping-particle":"","family":"Chaffee","given":"Kari G","non-dropping-particle":"","parse-names":false,"suffix":""},{"dropping-particle":"","family":"Chung","given":"Charles C","non-dropping-particle":"","parse-names":false,"suffix":""},{"dropping-particle":"","family":"Cleary","given":"Sean","non-dropping-particle":"","parse-names":false,"suffix":""},{"dropping-particle":"","family":"Cotterchio","given":"Michelle","non-dropping-particle":"","parse-names":false,"suffix":""},{"dropping-particle":"","family":"Dijk","given":"Frederike","non-dropping-particle":"","parse-names":false,"suffix":""},{"dropping-particle":"","family":"Duell","given":"Eric J","non-dropping-particle":"","parse-names":false,"suffix":""},{"dropping-particle":"","family":"Foretova","given":"Lenka","non-dropping-particle":"","parse-names":false,"suffix":""},{"dropping-particle":"","family":"Fuchs","given":"Charles","non-dropping-particle":"","parse-names":false,"suffix":""},{"dropping-particle":"","family":"Funel","given":"Niccola","non-dropping-particle":"","parse-names":false,"suffix":""},{"dropping-particle":"","family":"Gallinger","given":"Steven","non-dropping-particle":"","parse-names":false,"suffix":""},{"dropping-particle":"","family":"Gaziano","given":"J. Michael M.","non-dropping-particle":"","parse-names":false,"suffix":""},{"dropping-particle":"","family":"Gazouli","given":"Maria","non-dropping-particle":"","parse-names":false,"suffix":""},{"dropping-particle":"","family":"Giles","given":"Graham G","non-dropping-particle":"","parse-names":false,"suffix":""},{"dropping-particle":"","family":"Giovannucci","given":"Edward","non-dropping-particle":"","parse-names":false,"suffix":""},{"dropping-particle":"","family":"Goggins","given":"Michael","non-dropping-particle":"","parse-names":false,"suffix":""},{"dropping-particle":"","family":"Goodman","given":"Gary E.","non-dropping-particle":"","parse-names":false,"suffix":""},{"dropping-particle":"","family":"Goodman","given":"Phyllis J","non-dropping-particle":"","parse-names":false,"suffix":""},{"dropping-particle":"","family":"Hackert","given":"Thilo","non-dropping-particle":"","parse-names":false,"suffix":""},{"dropping-particle":"","family":"Haiman","given":"Christopher","non-dropping-particle":"","parse-names":false,"suffix":""},{"dropping-particle":"","family":"Hartge","given":"Patricia","non-dropping-particle":"","parse-names":false,"suffix":""},{"dropping-particle":"","family":"Hasan","given":"Manal","non-dropping-particle":"","parse-names":false,"suffix":""},{"dropping-particle":"","family":"Hegyi","given":"Peter","non-dropping-particle":"","parse-names":false,"suffix":""},{"dropping-particle":"","family":"Helzlsouer","given":"Kathy J","non-dropping-particle":"","parse-names":false,"suffix":""},{"dropping-particle":"","family":"Herman","given":"Joseph","non-dropping-particle":"","parse-names":false,"suffix":""},{"dropping-particle":"","family":"Holcatova","given":"Ivana","non-dropping-particle":"","parse-names":false,"suffix":""},{"dropping-particle":"","family":"Holly","given":"Elizabeth A","non-dropping-particle":"","parse-names":false,"suffix":""},{"dropping-particle":"","family":"Hoover","given":"Robert","non-dropping-particle":"","parse-names":false,"suffix":""},{"dropping-particle":"","family":"Hung","given":"Rayjean J","non-dropping-particle":"","parse-names":false,"suffix":""},{"dropping-particle":"","family":"Jacobs","given":"Eric J","non-dropping-particle":"","parse-names":false,"suffix":""},{"dropping-particle":"","family":"Jamroziak","given":"Krzysztof","non-dropping-particle":"","parse-names":false,"suffix":""},{"dropping-particle":"","family":"Janout","given":"Vladimir","non-dropping-particle":"","parse-names":false,"suffix":""},{"dropping-particle":"","family":"Kaaks","given":"Rudolf","non-dropping-particle":"","parse-names":false,"suffix":""},{"dropping-particle":"","family":"Khaw","given":"Kay Tee","non-dropping-particle":"","parse-names":false,"suffix":""},{"dropping-particle":"","family":"Klein","given":"Eric A","non-dropping-particle":"","parse-names":false,"suffix":""},{"dropping-particle":"","family":"Kogevinas","given":"Manolis","non-dropping-particle":"","parse-names":false,"suffix":""},{"dropping-particle":"","family":"Kooperberg","given":"Charles","non-dropping-particle":"","parse-names":false,"suffix":""},{"dropping-particle":"","family":"Kulke","given":"Matthew H","non-dropping-particle":"","parse-names":false,"suffix":""},{"dropping-particle":"","family":"Kupcinskas","given":"Juozas","non-dropping-particle":"","parse-names":false,"suffix":""},{"dropping-particle":"","family":"Kurtz","given":"Robert J","non-dropping-particle":"","parse-names":false,"suffix":""},{"dropping-particle":"","family":"Laheru","given":"Daniel","non-dropping-particle":"","parse-names":false,"suffix":""},{"dropping-particle":"","family":"Landi","given":"Stefano","non-dropping-particle":"","parse-names":false,"suffix":""},{"dropping-particle":"","family":"Lawlor","given":"Rita T","non-dropping-particle":"","parse-names":false,"suffix":""},{"dropping-particle":"","family":"Lee","given":"I. Min","non-dropping-particle":"","parse-names":false,"suffix":""},{"dropping-particle":"","family":"Lemarchand","given":"Loic","non-dropping-particle":"","parse-names":false,"suffix":""},{"dropping-particle":"","family":"Lu","given":"Lingeng","non-dropping-particle":"","parse-names":false,"suffix":""},{"dropping-particle":"","family":"Malats","given":"Núria","non-dropping-partic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L","non-dropping-particle":"","parse-names":false,"suffix":""},{"dropping-particle":"","family":"Mohelníková-Duchoňová","given":"Beatrice","non-dropping-particle":"","parse-names":false,"suffix":""},{"dropping-particle":"","family":"Neale","given":"Rachel E","non-dropping-particle":"","parse-names":false,"suffix":""},{"dropping-particle":"","family":"Neoptolemos","given":"John P","non-dropping-particle":"","parse-names":false,"suffix":""},{"dropping-particle":"","family":"Oberg","given":"Ann L","non-dropping-particle":"","parse-names":false,"suffix":""},{"dropping-particle":"","family":"Olson","given":"Sara H","non-dropping-particle":"","parse-names":false,"suffix":""},{"dropping-particle":"","family":"Orlow","given":"Irene","non-dropping-particle":"","parse-names":false,"suffix":""},{"dropping-particle":"","family":"Pasquali","given":"Claudio","non-dropping-particle":"","parse-names":false,"suffix":""},{"dropping-particle":"V","family":"Patel","given":"Alpa","non-dropping-particle":"","parse-names":false,"suffix":""},{"dropping-particle":"","family":"Peters","given":"Ulrike","non-dropping-particle":"","parse-names":false,"suffix":""},{"dropping-particle":"","family":"Pezzilli","given":"Raffaele","non-dropping-particle":"","parse-names":false,"suffix":""},{"dropping-particle":"","family":"Porta","given":"Miquel","non-dropping-particle":"","parse-names":false,"suffix":""},{"dropping-particle":"","family":"Real","given":"Francisco X","non-dropping-particle":"","parse-names":false,"suffix":""},{"dropping-particle":"","family":"Rothman","given":"Nathaniel","non-dropping-particle":"","parse-names":false,"suffix":""},{"dropping-particle":"","family":"Scelo","given":"Ghislaine","non-dropping-particle":"","parse-names":false,"suffix":""},{"dropping-particle":"","family":"Sesso","given":"Howard D","non-dropping-particle":"","parse-names":false,"suffix":""},{"dropping-particle":"","family":"Severi","given":"Gianluca","non-dropping-particle":"","parse-names":false,"suffix":""},{"dropping-particle":"","family":"Shu","given":"Xiao Ou","non-dropping-particle":"","parse-names":false,"suffix":""},{"dropping-particle":"","family":"Silverman","given":"Debra","non-dropping-particle":"","parse-names":false,"suffix":""},{"dropping-particle":"","family":"Smith","given":"Jill P","non-dropping-particle":"","parse-names":false,"suffix":""},{"dropping-particle":"","family":"Soucek","given":"Pavel","non-dropping-particle":"","parse-names":false,"suffix":""},{"dropping-particle":"","family":"Sund","given":"Malin","non-dropping-particle":"","parse-names":false,"suffix":""},{"dropping-particle":"","family":"Talar-Wojnarowska","given":"Renata","non-dropping-particle":"","parse-names":false,"suffix":""},{"dropping-particle":"","family":"Tavano","given":"Francesca","non-dropping-particle":"","parse-names":false,"suffix":""},{"dropping-particle":"","family":"Thornquist","given":"Mark D","non-dropping-particle":"","parse-names":false,"suffix":""},{"dropping-particle":"","family":"Tobias","given":"Geoffrey S","non-dropping-particle":"","parse-names":false,"suffix":""},{"dropping-particle":"","family":"Eeden","given":"Stephen K","non-dropping-particle":"Van Den","parse-names":false,"suffix":""},{"dropping-particle":"","family":"Vashist","given":"Yogesh","non-dropping-particle":"","parse-names":false,"suffix":""},{"dropping-particle":"","family":"Visvanathan","given":"Kala","non-dropping-particle":"","parse-names":false,"suffix":""},{"dropping-particle":"","family":"Vodicka","given":"Pavel","non-dropping-particle":"","parse-names":false,"suffix":""},{"dropping-particle":"","family":"Wactawski-Wende","given":"Jean","non-dropping-particle":"","parse-names":false,"suffix":""},{"dropping-particle":"","family":"Wang","given":"Zhaoming","non-dropping-particle":"","parse-names":false,"suffix":""},{"dropping-particle":"","family":"Wentzensen","given":"Nicolas","non-dropping-particle":"","parse-names":false,"suffix":""},{"dropping-particle":"","family":"White","given":"Emily","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Zheng","given":"Wei","non-dropping-particle":"","parse-names":false,"suffix":""},{"dropping-particle":"","family":"Kraft","given":"Peter","non-dropping-particle":"","parse-names":false,"suffix":""},{"dropping-particle":"","family":"Li","given":"Donghui","non-dropping-particle":"","parse-names":false,"suffix":""},{"dropping-particle":"","family":"Chanock","given":"Stephen","non-dropping-particle":"","parse-names":false,"suffix":""},{"dropping-particle":"","family":"Obazee","given":"Ofure","non-dropping-particle":"","parse-names":false,"suffix":""},{"dropping-particle":"","family":"Petersen","given":"Gloria M","non-dropping-particle":"","parse-names":false,"suffix":""},{"dropping-particle":"","family":"Amundadottir","given":"Laufey T","non-dropping-particle":"","parse-names":false,"suffix":""}],"container-title":"Nature Communications","id":"ITEM-3","issue":"1","issued":{"date-parts":[["2018","2"]]},"page":"556","publisher":"Nature Publishing Group","title":"Genome-wide meta-analysis identifies five new susceptibility loci for pancreatic cancer","type":"article-journal","volume":"9"},"uris":["http://www.mendeley.com/documents/?uuid=b1d84e75-bf23-4598-bdcd-4bd850cfe080"]},{"id":"ITEM-4","itemData":{"DOI":"10.18632/oncotarget.11041","ISBN":"1949-2553","ISSN":"1949-2553","PMID":"27579533","abstract":"Genome-wide association studies (GWAS) have identified common pancreatic cancer susceptibility variants at 13 chromosomal loci in individuals of European descent. To identify new susceptibility variants, we performed imputation based on 1000 Genomes (1000G) Project data and association analysis using 5,107 case and 8,845 control subjects from 27 cohort and case-control studies that participated in the PanScan I-III GWAS. This analysis, in combination with a two-staged replication in an additional 6,076 case and 7,555 control subjects from the PANcreatic Disease ReseArch (PANDoRA) and Pancreatic Cancer Case-Control (PanC4) Consortia uncovered 3 new pancreatic cancer risk signals marked by single nucleotide polymorphisms (SNPs) rs2816938 at chromosome 1q32.1 (per allele odds ratio (OR) = 1.20, P = 4.88x10 -15), rs10094872 at 8q24.21 (OR = 1.15, P = 3.22x10 -9) and rs35226131 at 5p15.33 (OR = 0.71, P = 1.70x10 -8). These SNPs represent independent risk variants at previously identified pancreatic cancer risk loci on chr1q32.1 ( NR5A2), chr8q24.21 ( MYC) and chr5p15.33 ( CLPTM1L- TERT) as per analyses conditioned on previously reported susceptibility variants. We assessed expression of candidate genes at the three risk loci in histologically normal ( n = 10) and tumor ( n = 8) derived pancreatic tissue samples and observed a marked reduction of NR5A2 expression (chr1q32.1) in the tumors (fold change -7.6, P = 5.7x10 -8). This finding was validated in a second set of paired ( n = 20) histologically normal and tumor derived pancreatic tissue samples (average fold change for three NR5A2 isoforms -31.3 to -95.7, P = 7.5x10 -4-2.0x10 -3). Our study has identified new susceptibility variants independently conferring pancreatic cancer risk that merit functional follow-up to identify target genes and explain the underlying biology.","author":[{"dropping-particle":"","family":"Zhang","given":"Mingfeng","non-dropping-particle":"","parse-names":false,"suffix":""},{"dropping-particle":"","family":"Wang","given":"Zhaoming","non-dropping-particle":"","parse-names":false,"suffix":""},{"dropping-particle":"","family":"Obazee","given":"Ofure","non-dropping-particle":"","parse-names":false,"suffix":""},{"dropping-particle":"","family":"Jia","given":"Jinping","non-dropping-particle":"","parse-names":false,"suffix":""},{"dropping-particle":"","family":"Childs","given":"Erica J","non-dropping-particle":"","parse-names":false,"suffix":""},{"dropping-particle":"","family":"Hoskins","given":"Jason","non-dropping-particle":"","parse-names":false,"suffix":""},{"dropping-particle":"","family":"Figlioli","given":"Gisella","non-dropping-particle":"","parse-names":false,"suffix":""},{"dropping-particle":"","family":"Mocci","given":"Evelina","non-dropping-particle":"","parse-names":false,"suffix":""},{"dropping-particle":"","family":"Collins","given":"Irene","non-dropping-particle":"","parse-names":false,"suffix":""},{"dropping-particle":"","family":"Chung","given":"Charles C","non-dropping-particle":"","parse-names":false,"suffix":""},{"dropping-particle":"","family":"Hautman","given":"Christopher","non-dropping-particle":"","parse-names":false,"suffix":""},{"dropping-particle":"","family":"Arslan","given":"Alan A","non-dropping-particle":"","parse-names":false,"suffix":""},{"dropping-particle":"","family":"Beane-Freeman","given":"Laura","non-dropping-particle":"","parse-names":false,"suffix":""},{"dropping-particle":"","family":"Bracci","given":"Paige M","non-dropping-particle":"","parse-names":false,"suffix":""},{"dropping-particle":"","family":"Buring","given":"Julie","non-dropping-particle":"","parse-names":false,"suffix":""},{"dropping-particle":"","family":"Duell","given":"Eric J","non-dropping-particle":"","parse-names":false,"suffix":""},{"dropping-particle":"","family":"Gallinger","given":"Steven","non-dropping-particle":"","parse-names":false,"suffix":""},{"dropping-particle":"","family":"Giles","given":"Graham G","non-dropping-particle":"","parse-names":false,"suffix":""},{"dropping-particle":"","family":"Goodman","given":"Gary E.","non-dropping-particle":"","parse-names":false,"suffix":""},{"dropping-particle":"","family":"Goodman","given":"Phyllis J","non-dropping-particle":"","parse-names":false,"suffix":""},{"dropping-particle":"","family":"Kamineni","given":"Aruna","non-dropping-particle":"","parse-names":false,"suffix":""},{"dropping-particle":"","family":"Kolonel","given":"Laurence N","non-dropping-particle":"","parse-names":false,"suffix":""},{"dropping-particle":"","family":"Kulke","given":"Matthew H","non-dropping-particle":"","parse-names":false,"suffix":""},{"dropping-particle":"","family":"Malats","given":"Núria","non-dropping-particle":"","parse-names":false,"suffix":""},{"dropping-particle":"","family":"Olson","given":"Sara H","non-dropping-particle":"","parse-names":false,"suffix":""},{"dropping-particle":"","family":"Sesso","given":"Howard D","non-dropping-particle":"","parse-names":false,"suffix":""},{"dropping-particle":"","family":"Visvanathan","given":"Kala","non-dropping-particle":"","parse-names":false,"suffix":""},{"dropping-particle":"","family":"White","given":"Emily","non-dropping-particle":"","parse-names":false,"suffix":""},{"dropping-particle":"","family":"Zheng","given":"Wei","non-dropping-particle":"","parse-names":false,"suffix":""},{"dropping-particle":"","family":"Abnet","given":"Christian C","non-dropping-particle":"","parse-names":false,"suffix":""},{"dropping-particle":"","family":"Albanes","given":"Demetrius","non-dropping-particle":"","parse-names":false,"suffix":""},{"dropping-particle":"","family":"Andreotti","given":"Gabriella","non-dropping-particle":"","parse-names":false,"suffix":""},{"dropping-particle":"","family":"Brais","given":"Lauren","non-dropping-particle":"","parse-names":false,"suffix":""},{"dropping-particle":"","family":"Bueno-de-Mesquita","given":"H Bas","non-dropping-particle":"","parse-names":false,"suffix":""},{"dropping-particle":"","family":"Basso","given":"Daniela","non-dropping-particle":"","parse-names":false,"suffix":""},{"dropping-particle":"","family":"Berndt","given":"Sonja I","non-dropping-particle":"","parse-names":false,"suffix":""},{"dropping-particle":"","family":"Boutron-Ruault","given":"Marie-Christine","non-dropping-particle":"","parse-names":false,"suffix":""},{"dropping-particle":"","family":"Bijlsma","given":"Maarten F","non-dropping-particle":"","parse-names":false,"suffix":""},{"dropping-particle":"","family":"Brenner","given":"Hermann","non-dropping-particle":"","parse-names":false,"suffix":""},{"dropping-particle":"","family":"Burdette","given":"Laurie","non-dropping-particle":"","parse-names":false,"suffix":""},{"dropping-particle":"","family":"Campa","given":"Daniele","non-dropping-particle":"","parse-names":false,"suffix":""},{"dropping-particle":"","family":"Caporaso","given":"Neil E","non-dropping-particle":"","parse-names":false,"suffix":""},{"dropping-particle":"","family":"Capurso","given":"Gabriele","non-dropping-particle":"","parse-names":false,"suffix":""},{"dropping-particle":"","family":"Cavestro","given":"Giulia Martina","non-dropping-particle":"","parse-names":false,"suffix":""},{"dropping-particle":"","family":"Cotterchio","given":"Michelle","non-dropping-particle":"","parse-names":false,"suffix":""},{"dropping-particle":"","family":"Costello","given":"Eithne","non-dropping-particle":"","parse-names":false,"suffix":""},{"dropping-particle":"","family":"Elena","given":"Joanne","non-dropping-particle":"","parse-names":false,"suffix":""},{"dropping-particle":"","family":"Boggi","given":"Ugo","non-dropping-particle":"","parse-names":false,"suffix":""},{"dropping-particle":"","family":"Gaziano","given":"J Michael","non-dropping-particle":"","parse-names":false,"suffix":""},{"dropping-particle":"","family":"Gazouli","given":"Maria","non-dropping-particle":"","parse-names":false,"suffix":""},{"dropping-particle":"","family":"Giovannucci","given":"Edward L","non-dropping-particle":"","parse-names":false,"suffix":""},{"dropping-particle":"","family":"Goggins","given":"Michael","non-dropping-particle":"","parse-names":false,"suffix":""},{"dropping-particle":"","family":"Gross","given":"Myron","non-dropping-particle":"","parse-names":false,"suffix":""},{"dropping-particle":"","family":"Haiman","given":"Christopher A","non-dropping-particle":"","parse-names":false,"suffix":""},{"dropping-particle":"","family":"Hassan","given":"Manal","non-dropping-particle":"","parse-names":false,"suffix":""},{"dropping-particle":"","family":"Helzlsouer","given":"Kathy J","non-dropping-particle":"","parse-names":false,"suffix":""},{"dropping-particle":"","family":"Hu","given":"Nan","non-dropping-particle":"","parse-names":false,"suffix":""},{"dropping-particle":"","family":"Hunter","given":"David J","non-dropping-particle":"","parse-names":false,"suffix":""},{"dropping-particle":"","family":"Iskierka-Jazdzewska","given":"Elzbieta","non-dropping-particle":"","parse-names":false,"suffix":""},{"dropping-particle":"","family":"Jenab","given":"Mazda","non-dropping-particle":"","parse-names":false,"suffix":""},{"dropping-particle":"","family":"Kaaks","given":"Rudolf","non-dropping-particle":"","parse-names":false,"suffix":""},{"dropping-particle":"","family":"Key","given":"Timothy J","non-dropping-particle":"","parse-names":false,"suffix":""},{"dropping-particle":"","family":"Khaw","given":"Kay-Tee","non-dropping-particle":"","parse-names":false,"suffix":""},{"dropping-particle":"","family":"Klein","given":"Eric A.","non-dropping-particle":"","parse-names":false,"suffix":""},{"dropping-particle":"","family":"Kogevinas","given":"Manolis","non-dropping-particle":"","parse-names":false,"suffix":""},{"dropping-particle":"","family":"Krogh","given":"Vittorio","non-dropping-particle":"","parse-names":false,"suffix":""},{"dropping-particle":"","family":"Kupcinskas","given":"Juozas","non-dropping-particle":"","parse-names":false,"suffix":""},{"dropping-particle":"","family":"Kurtz","given":"Robert C","non-dropping-particle":"","parse-names":false,"suffix":""},{"dropping-particle":"","family":"Landi","given":"Maria T.","non-dropping-particle":"","parse-names":false,"suffix":""},{"dropping-particle":"","family":"Landi","given":"Stefano","non-dropping-particle":"","parse-names":false,"suffix":""},{"dropping-particle":"","family":"Marchand","given":"Loic","non-dropping-particle":"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L","non-dropping-particle":"","parse-names":false,"suffix":""},{"dropping-particle":"","family":"Neale","given":"Rachel E","non-dropping-particle":"","parse-names":false,"suffix":""},{"dropping-particle":"","family":"Oberg","given":"Ann L","non-dropping-particle":"","parse-names":false,"suffix":""},{"dropping-particle":"","family":"Panico","given":"Salvatore","non-dropping-particle":"","parse-names":false,"suffix":""},{"dropping-particle":"V","family":"Patel","given":"Alpa","non-dropping-particle":"","parse-names":false,"suffix":""},{"dropping-particle":"","family":"Peeters","given":"Petra H M","non-dropping-particle":"","parse-names":false,"suffix":""},{"dropping-particle":"","family":"Peters","given":"Ulrike","non-dropping-particle":"","parse-names":false,"suffix":""},{"dropping-particle":"","family":"Pezzilli","given":"Raffaele","non-dropping-particle":"","parse-names":false,"suffix":""},{"dropping-particle":"","family":"Porta","given":"Miquel","non-dropping-particle":"","parse-names":false,"suffix":""},{"dropping-particle":"","family":"Purdue","given":"Mark","non-dropping-particle":"","parse-names":false,"suffix":""},{"dropping-particle":"","family":"Quiros","given":"J Ramón","non-dropping-particle":"","parse-names":false,"suffix":""},{"dropping-particle":"","family":"Riboli","given":"Elio","non-dropping-particle":"","parse-names":false,"suffix":""},{"dropping-particle":"","family":"Rothman","given":"Nathaniel","non-dropping-particle":"","parse-names":false,"suffix":""},{"dropping-particle":"","family":"Scarpa","given":"Aldo","non-dropping-particle":"","parse-names":false,"suffix":""},{"dropping-particle":"","family":"Scelo","given":"Ghislaine","non-dropping-particle":"","parse-names":false,"suffix":""},{"dropping-particle":"","family":"Shu","given":"Xiao-Ou","non-dropping-particle":"","parse-names":false,"suffix":""},{"dropping-particle":"","family":"Silverman","given":"Debra T","non-dropping-particle":"","parse-names":false,"suffix":""},{"dropping-particle":"","family":"Soucek","given":"Pavel","non-dropping-particle":"","parse-names":false,"suffix":""},{"dropping-particle":"","family":"Strobel","given":"Oliver","non-dropping-particle":"","parse-names":false,"suffix":""},{"dropping-particle":"","family":"Sund","given":"Malin","non-dropping-particle":"","parse-names":false,"suffix":""},{"dropping-particle":"","family":"Małecka-Panas","given":"Ewa","non-dropping-particle":"","parse-names":false,"suffix":""},{"dropping-particle":"","family":"Taylor","given":"Philip R","non-dropping-particle":"","parse-names":false,"suffix":""},{"dropping-particle":"","family":"Tavano","given":"Francesca","non-dropping-particle":"","parse-names":false,"suffix":""},{"dropping-particle":"","family":"Travis","given":"Ruth C","non-dropping-particle":"","parse-names":false,"suffix":""},{"dropping-particle":"","family":"Thornquist","given":"Mark","non-dropping-particle":"","parse-names":false,"suffix":""},{"dropping-particle":"","family":"Tjønneland","given":"Anne","non-dropping-particle":"","parse-names":false,"suffix":""},{"dropping-particle":"","family":"Tobias","given":"Geoffrey S","non-dropping-particle":"","parse-names":false,"suffix":""},{"dropping-particle":"","family":"Trichopoulos","given":"Dimitrios","non-dropping-particle":"","parse-names":false,"suffix":""},{"dropping-particle":"","family":"Vashist","given":"Yogesh","non-dropping-particle":"","parse-names":false,"suffix":""},{"dropping-particle":"","family":"Vodicka","given":"Pavel","non-dropping-particle":"","parse-names":false,"suffix":""},{"dropping-particle":"","family":"Wactawski-Wende","given":"Jean","non-dropping-particle":"","parse-names":false,"suffix":""},{"dropping-particle":"","family":"Wentzensen","given":"Nicolas","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Kooperberg","given":"Charles","non-dropping-particle":"","parse-names":false,"suffix":""},{"dropping-particle":"","family":"Risch","given":"Harvey A","non-dropping-particle":"","parse-names":false,"suffix":""},{"dropping-particle":"","family":"Jacobs","given":"Eric J","non-dropping-particle":"","parse-names":false,"suffix":""},{"dropping-particle":"","family":"Li","given":"Donghui","non-dropping-particle":"","parse-names":false,"suffix":""},{"dropping-particle":"","family":"Fuchs","given":"Charles","non-dropping-particle":"","parse-names":false,"suffix":""},{"dropping-particle":"","family":"Hoover","given":"Robert","non-dropping-particle":"","parse-names":false,"suffix":""},{"dropping-particle":"","family":"Hartge","given":"Patricia","non-dropping-particle":"","parse-names":false,"suffix":""},{"dropping-particle":"","family":"Chanock","given":"Stephen J","non-dropping-particle":"","parse-names":false,"suffix":""},{"dropping-particle":"","family":"Petersen","given":"Gloria M","non-dropping-particle":"","parse-names":false,"suffix":""},{"dropping-particle":"","family":"Stolzenberg-Solomon","given":"Rachael S","non-dropping-particle":"","parse-names":false,"suffix":""},{"dropping-particle":"","family":"Wolpin","given":"Brian M","non-dropping-particle":"","parse-names":false,"suffix":""},{"dropping-particle":"","family":"Kraft","given":"Peter","non-dropping-particle":"","parse-names":false,"suffix":""},{"dropping-particle":"","family":"Klein","given":"Alison P","non-dropping-particle":"","parse-names":false,"suffix":""},{"dropping-particle":"","family":"Canzian","given":"Federico","non-dropping-particle":"","parse-names":false,"suffix":""},{"dropping-particle":"","family":"Amundadottir","given":"Laufey T","non-dropping-particle":"","parse-names":false,"suffix":""},{"dropping-particle":"Le","family":"Marchand","given":"Loic","non-dropping-partic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L","non-dropping-particle":"","parse-names":false,"suffix":""},{"dropping-particle":"","family":"Neale","given":"Rachel E","non-dropping-particle":"","parse-names":false,"suffix":""},{"dropping-particle":"","family":"Oberg","given":"Ann L","non-dropping-particle":"","parse-names":false,"suffix":""},{"dropping-particle":"","family":"Panico","given":"Salvatore","non-dropping-particle":"","parse-names":false,"suffix":""},{"dropping-particle":"V","family":"Patel","given":"Alpa","non-dropping-particle":"","parse-names":false,"suffix":""},{"dropping-particle":"","family":"Peeters","given":"Petra H M","non-dropping-particle":"","parse-names":false,"suffix":""},{"dropping-particle":"","family":"Peters","given":"Ulrike","non-dropping-particle":"","parse-names":false,"suffix":""},{"dropping-particle":"","family":"Pezzilli","given":"Raffaele","non-dropping-particle":"","parse-names":false,"suffix":""},{"dropping-particle":"","family":"Porta","given":"Miquel","non-dropping-particle":"","parse-names":false,"suffix":""},{"dropping-particle":"","family":"Purdue","given":"Mark","non-dropping-particle":"","parse-names":false,"suffix":""},{"dropping-particle":"","family":"Quiros","given":"J Ramón","non-dropping-particle":"","parse-names":false,"suffix":""},{"dropping-particle":"","family":"Riboli","given":"Elio","non-dropping-particle":"","parse-names":false,"suffix":""},{"dropping-particle":"","family":"Rothman","given":"Nathaniel","non-dropping-particle":"","parse-names":false,"suffix":""},{"dropping-particle":"","family":"Scarpa","given":"Aldo","non-dropping-particle":"","parse-names":false,"suffix":""},{"dropping-particle":"","family":"Scelo","given":"Ghislaine","non-dropping-particle":"","parse-names":false,"suffix":""},{"dropping-particle":"","family":"Shu","given":"Xiao-Ou","non-dropping-particle":"","parse-names":false,"suffix":""},{"dropping-particle":"","family":"Silverman","given":"Debra T","non-dropping-particle":"","parse-names":false,"suffix":""},{"dropping-particle":"","family":"Soucek","given":"Pavel","non-dropping-particle":"","parse-names":false,"suffix":""},{"dropping-particle":"","family":"Strobel","given":"Oliver","non-dropping-particle":"","parse-names":false,"suffix":""},{"dropping-particle":"","family":"Sund","given":"Malin","non-dropping-particle":"","parse-names":false,"suffix":""},{"dropping-particle":"","family":"Małecka-Panas","given":"Ewa","non-dropping-particle":"","parse-names":false,"suffix":""},{"dropping-particle":"","family":"Taylor","given":"Philip R","non-dropping-particle":"","parse-names":false,"suffix":""},{"dropping-particle":"","family":"Tavano","given":"Francesca","non-dropping-particle":"","parse-names":false,"suffix":""},{"dropping-particle":"","family":"Travis","given":"Ruth C","non-dropping-particle":"","parse-names":false,"suffix":""},{"dropping-particle":"","family":"Thornquist","given":"Mark","non-dropping-particle":"","parse-names":false,"suffix":""},{"dropping-particle":"","family":"Null","given":"Anne","non-dropping-particle":"","parse-names":false,"suffix":""},{"dropping-particle":"","family":"Tobias","given":"Geoffrey S","non-dropping-particle":"","parse-names":false,"suffix":""},{"dropping-particle":"","family":"Trichopoulos","given":"Dimitrios","non-dropping-particle":"","parse-names":false,"suffix":""},{"dropping-particle":"","family":"Vashist","given":"Yogesh","non-dropping-particle":"","parse-names":false,"suffix":""},{"dropping-particle":"","family":"Vodicka","given":"Pavel","non-dropping-particle":"","parse-names":false,"suffix":""},{"dropping-particle":"","family":"Wactawski-Wende","given":"Jean","non-dropping-particle":"","parse-names":false,"suffix":""},{"dropping-particle":"","family":"Wentzensen","given":"Nicolas","non-dropping-particle":"","parse-names":false,"suffix":""},{"dropping-particle":"","family":"Yu","given":"Herbert","non-dropping-particle":"","parse-names":false,"suffix":""},{"dropping-particle":"","family":"Zeleniuch-Jacquotte","given":"Anne","non-dropping-particle":"","parse-names":false,"suffix":""},{"dropping-particle":"","family":"Kooperberg","given":"Charles","non-dropping-particle":"","parse-names":false,"suffix":""},{"dropping-particle":"","family":"Risch","given":"Harvey A","non-dropping-particle":"","parse-names":false,"suffix":""},{"dropping-particle":"","family":"Jacobs","given":"Eric J","non-dropping-particle":"","parse-names":false,"suffix":""},{"dropping-particle":"","family":"Li","given":"Donghui","non-dropping-particle":"","parse-names":false,"suffix":""},{"dropping-particle":"","family":"Fuchs","given":"Charles","non-dropping-particle":"","parse-names":false,"suffix":""},{"dropping-particle":"","family":"Hoover","given":"Robert","non-dropping-particle":"","parse-names":false,"suffix":""},{"dropping-particle":"","family":"Hartge","given":"Patricia","non-dropping-particle":"","parse-names":false,"suffix":""},{"dropping-particle":"","family":"Chanock","given":"Stephen J","non-dropping-particle":"","parse-names":false,"suffix":""},{"dropping-particle":"","family":"Petersen","given":"Gloria M","non-dropping-particle":"","parse-names":false,"suffix":""},{"dropping-particle":"","family":"Stolzenberg-Solomon","given":"Rachael S","non-dropping-particle":"","parse-names":false,"suffix":""},{"dropping-particle":"","family":"Wolpin","given":"Brian M","non-dropping-particle":"","parse-names":false,"suffix":""},{"dropping-particle":"","family":"Kraft","given":"Peter","non-dropping-particle":"","parse-names":false,"suffix":""},{"dropping-particle":"","family":"Klein","given":"Alison P","non-dropping-particle":"","parse-names":false,"suffix":""},{"dropping-particle":"","family":"Canzian","given":"Federico","non-dropping-particle":"","parse-names":false,"suffix":""},{"dropping-particle":"","family":"Amundadottir","given":"Laufey T","non-dropping-particle":"","parse-names":false,"suffix":""}],"container-title":"Oncotarget","id":"ITEM-4","issue":"41","issued":{"date-parts":[["2016","10"]]},"page":"66328-66343","publisher":"Impact Journals, LLC","title":"Three new pancreatic cancer susceptibility signals identified on chromosomes 1q32.1, 5p15.33 and 8q24.21.","type":"article-journal","volume":"7"},"uris":["http://www.mendeley.com/documents/?uuid=326b00af-791f-4b2a-9aee-140ed18fc695"]},{"id":"ITEM-5","itemData":{"DOI":"10.1038/ng.3341","ISBN":"1546-1718 (Electronic)$\\$r1061-4036 (Linking)","ISSN":"1546-1718","PMID":"26098869","abstract":"We performed a multistage genome-wide association study including 7,683 individuals with pancreatic cancer and 14,397 controls of European descent. Four new loci reached genome-wide significance: rs6971499 at 7q32.3 (LINC-PINT, per-allele odds ratio (OR) = 0.79, 95% confidence interval (CI) 0.74-0.84, P = 3.0 × 10(-12)), rs7190458 at 16q23.1 (BCAR1/CTRB1/CTRB2, OR = 1.46, 95% CI 1.30-1.65, P = 1.1 × 10(-10)), rs9581943 at 13q12.2 (PDX1, OR = 1.15, 95% CI 1.10-1.20, P = 2.4 × 10(-9)) and rs16986825 at 22q12.1 (ZNRF3, OR = 1.18, 95% CI 1.12-1.25, P = 1.2 × 10(-8)). We identified an independent signal in exon 2 of TERT at the established region 5p15.33 (rs2736098, OR = 0.80, 95% CI 0.76-0.85, P = 9.8 × 10(-14)). We also identified a locus at 8q24.21 (rs1561927, P = 1.3 × 10(-7)) that approached genome-wide significance located 455 kb telomeric of PVT1. Our study identified multiple new susceptibility alleles for pancreatic cancer that are worthy of follow-up studies.","author":[{"dropping-particle":"","family":"Childs","given":"Erica J","non-dropping-particle":"","parse-names":false,"suffix":""},{"dropping-particle":"","family":"Mocci","given":"Evelina","non-dropping-particle":"","parse-names":false,"suffix":""},{"dropping-particle":"","family":"Campa","given":"Daniele","non-dropping-particle":"","parse-names":false,"suffix":""},{"dropping-particle":"","family":"Bracci","given":"Paige M","non-dropping-particle":"","parse-names":false,"suffix":""},{"dropping-particle":"","family":"Gallinger","given":"Steven","non-dropping-particle":"","parse-names":false,"suffix":""},{"dropping-particle":"","family":"Goggins","given":"Michael","non-dropping-particle":"","parse-names":false,"suffix":""},{"dropping-particle":"","family":"Li","given":"Donghui","non-dropping-particle":"","parse-names":false,"suffix":""},{"dropping-particle":"","family":"Neale","given":"Rachel E","non-dropping-particle":"","parse-names":false,"suffix":""},{"dropping-particle":"","family":"Olson","given":"Sara H","non-dropping-particle":"","parse-names":false,"suffix":""},{"dropping-particle":"","family":"Scelo","given":"Ghislaine","non-dropping-particle":"","parse-names":false,"suffix":""},{"dropping-particle":"","family":"Amundadottir","given":"Laufey T","non-dropping-particle":"","parse-names":false,"suffix":""},{"dropping-particle":"","family":"Bamlet","given":"William R","non-dropping-particle":"","parse-names":false,"suffix":""},{"dropping-particle":"","family":"Bijlsma","given":"Maarten F","non-dropping-particle":"","parse-names":false,"suffix":""},{"dropping-particle":"","family":"Blackford","given":"Amanda","non-dropping-particle":"","parse-names":false,"suffix":""},{"dropping-particle":"","family":"Borges","given":"Michael","non-dropping-particle":"","parse-names":false,"suffix":""},{"dropping-particle":"","family":"Brennan","given":"Paul","non-dropping-particle":"","parse-names":false,"suffix":""},{"dropping-particle":"","family":"Brenner","given":"Hermann","non-dropping-particle":"","parse-names":false,"suffix":""},{"dropping-particle":"","family":"Bueno-De-Mesquita","given":"H. Bas","non-dropping-particle":"","parse-names":false,"suffix":""},{"dropping-particle":"","family":"Canzian","given":"Federico","non-dropping-particle":"","parse-names":false,"suffix":""},{"dropping-particle":"","family":"Capurso","given":"Gabriele","non-dropping-particle":"","parse-names":false,"suffix":""},{"dropping-particle":"","family":"Cavestro","given":"Giulia M","non-dropping-particle":"","parse-names":false,"suffix":""},{"dropping-particle":"","family":"Chaffee","given":"Kari G","non-dropping-particle":"","parse-names":false,"suffix":""},{"dropping-particle":"","family":"Chanock","given":"Stephen J","non-dropping-particle":"","parse-names":false,"suffix":""},{"dropping-particle":"","family":"Cleary","given":"Sean P","non-dropping-particle":"","parse-names":false,"suffix":""},{"dropping-particle":"","family":"Cotterchio","given":"Michelle","non-dropping-particle":"","parse-names":false,"suffix":""},{"dropping-particle":"","family":"Foretova","given":"Lenka","non-dropping-particle":"","parse-names":false,"suffix":""},{"dropping-particle":"","family":"Fuchs","given":"Charles","non-dropping-particle":"","parse-names":false,"suffix":""},{"dropping-particle":"","family":"Funel","given":"Niccola","non-dropping-particle":"","parse-names":false,"suffix":""},{"dropping-particle":"","family":"Gazouli","given":"Maria","non-dropping-particle":"","parse-names":false,"suffix":""},{"dropping-particle":"","family":"Hassan","given":"Manal","non-dropping-particle":"","parse-names":false,"suffix":""},{"dropping-particle":"","family":"Herman","given":"Joseph M","non-dropping-particle":"","parse-names":false,"suffix":""},{"dropping-particle":"","family":"Holcatova","given":"Ivana","non-dropping-particle":"","parse-names":false,"suffix":""},{"dropping-particle":"","family":"Holly","given":"Elizabeth A","non-dropping-particle":"","parse-names":false,"suffix":""},{"dropping-particle":"","family":"Hoover","given":"Robert N","non-dropping-particle":"","parse-names":false,"suffix":""},{"dropping-particle":"","family":"Hung","given":"Rayjean J","non-dropping-particle":"","parse-names":false,"suffix":""},{"dropping-particle":"","family":"Janout","given":"Vladimir","non-dropping-particle":"","parse-names":false,"suffix":""},{"dropping-particle":"","family":"Key","given":"Timothy J","non-dropping-particle":"","parse-names":false,"suffix":""},{"dropping-particle":"","family":"Kupcinskas","given":"Juozas","non-dropping-particle":"","parse-names":false,"suffix":""},{"dropping-particle":"","family":"Kurtz","given":"Robert C","non-dropping-particle":"","parse-names":false,"suffix":""},{"dropping-particle":"","family":"Landi","given":"Stefano","non-dropping-particle":"","parse-names":false,"suffix":""},{"dropping-particle":"","family":"Lu","given":"Lingeng","non-dropping-particle":"","parse-names":false,"suffix":""},{"dropping-particle":"","family":"Malecka-Panas","given":"Ewa","non-dropping-particle":"","parse-names":false,"suffix":""},{"dropping-particle":"","family":"Mambrini","given":"Andrea","non-dropping-particle":"","parse-names":false,"suffix":""},{"dropping-particle":"","family":"Mohelnikova-Duchonova","given":"Beatrice","non-dropping-particle":"","parse-names":false,"suffix":""},{"dropping-particle":"","family":"Neoptolemos","given":"John P","non-dropping-particle":"","parse-names":false,"suffix":""},{"dropping-particle":"","family":"Oberg","given":"Ann L","non-dropping-particle":"","parse-names":false,"suffix":""},{"dropping-particle":"","family":"Orlow","given":"Irene","non-dropping-particle":"","parse-names":false,"suffix":""},{"dropping-particle":"","family":"Pasquali","given":"Claudio","non-dropping-particle":"","parse-names":false,"suffix":""},{"dropping-particle":"","family":"Pezzilli","given":"Raffaele","non-dropping-particle":"","parse-names":false,"suffix":""},{"dropping-particle":"","family":"Rizzato","given":"Cosmeri","non-dropping-particle":"","parse-names":false,"suffix":""},{"dropping-particle":"","family":"Saldia","given":"Amethyst","non-dropping-particle":"","parse-names":false,"suffix":""},{"dropping-particle":"","family":"Scarpa","given":"Aldo","non-dropping-particle":"","parse-names":false,"suffix":""},{"dropping-particle":"","family":"Stolzenberg-Solomon","given":"Rachael Z","non-dropping-particle":"","parse-names":false,"suffix":""},{"dropping-particle":"","family":"Strobel","given":"Oliver","non-dropping-particle":"","parse-names":false,"suffix":""},{"dropping-particle":"","family":"Tavano","given":"Francesca","non-dropping-particle":"","parse-names":false,"suffix":""},{"dropping-particle":"","family":"Vashist","given":"Yogesh K","non-dropping-particle":"","parse-names":false,"suffix":""},{"dropping-particle":"","family":"Vodicka","given":"Pavel","non-dropping-particle":"","parse-names":false,"suffix":""},{"dropping-particle":"","family":"Wolpin","given":"Brian M","non-dropping-particle":"","parse-names":false,"suffix":""},{"dropping-particle":"","family":"Yu","given":"Herbert","non-dropping-particle":"","parse-names":false,"suffix":""},{"dropping-particle":"","family":"Petersen","given":"Gloria M","non-dropping-particle":"","parse-names":false,"suffix":""},{"dropping-particle":"","family":"Risch","given":"Harvey A","non-dropping-particle":"","parse-names":false,"suffix":""},{"dropping-particle":"","family":"Klein","given":"Alison P","non-dropping-particle":"","parse-names":false,"suffix":""}],"container-title":"Nature Genetics","id":"ITEM-5","issue":"8","issued":{"date-parts":[["2015","6"]]},"page":"911-916","publisher":"NIH Public Access","title":"Common variation at 2p13.3, 3q29, 7p13 and 17q25.1 associated with susceptibility to pancreatic cancer","type":"article-journal","volume":"47"},"uris":["http://www.mendeley.com/documents/?uuid=ce84119b-10ed-478b-aacc-b232d7bd8ede"]},{"id":"ITEM-6","itemData":{"DOI":"10.1371/journal.pone.0011824","ISBN":"1932-6203 (Electronic)$\\$r1932-6203 (Linking)","ISSN":"1932-6203","PMID":"20686608","abstract":"Pancreatic cancer shows very poor prognosis and is the fifth leading cause of cancer death in Japan. Previous studies indicated some genetic factors contributing to the development and progression of pancreatic cancer; however, there are limited reports for common genetic variants to be associated with this disease, especially in the Asian population. We have conducted a genome-wide association study (GWAS) using 991 invasive pancreatic ductal adenocarcinoma cases and 5,209 controls, and identified three loci showing significant association (P-value&lt;5x10(-7)) with susceptibility to pancreatic cancer. The SNPs that showed significant association carried estimated odds ratios of 1.29, 1.32, and 3.73 with 95% confidence intervals of 1.17-1.43, 1.19-1.47, and 2.24-6.21; P-value of 3.30x10(-7), 3.30x10(-7), and 4.41x10(-7); located on chromosomes 6p25.3, 12p11.21 and 7q36.2, respectively. These associated SNPs are located within linkage disequilibrium blocks containing genes that have been implicated some roles in the oncogenesis of pancreatic cancer.","author":[{"dropping-particle":"","family":"Low","given":"Siew-Kee","non-dropping-particle":"","parse-names":false,"suffix":""},{"dropping-particle":"","family":"Kuchiba","given":"Aya","non-dropping-particle":"","parse-names":false,"suffix":""},{"dropping-particle":"","family":"Zembutsu","given":"Hitoshi","non-dropping-particle":"","parse-names":false,"suffix":""},{"dropping-particle":"","family":"Saito","given":"Akira","non-dropping-particle":"","parse-names":false,"suffix":""},{"dropping-particle":"","family":"Takahashi","given":"Atsushi","non-dropping-particle":"","parse-names":false,"suffix":""},{"dropping-particle":"","family":"Kubo","given":"Michiaki","non-dropping-particle":"","parse-names":false,"suffix":""},{"dropping-particle":"","family":"Daigo","given":"Yataro","non-dropping-particle":"","parse-names":false,"suffix":""},{"dropping-particle":"","family":"Kamatani","given":"Naoyuki","non-dropping-particle":"","parse-names":false,"suffix":""},{"dropping-particle":"","family":"Chiku","given":"Suenori","non-dropping-particle":"","parse-names":false,"suffix":""},{"dropping-particle":"","family":"Totsuka","given":"Hirohiko","non-dropping-particle":"","parse-names":false,"suffix":""},{"dropping-particle":"","family":"Ohnami","given":"Sumiko","non-dropping-particle":"","parse-names":false,"suffix":""},{"dropping-particle":"","family":"Hirose","given":"Hiroshi","non-dropping-particle":"","parse-names":false,"suffix":""},{"dropping-particle":"","family":"Shimada","given":"Kazuaki","non-dropping-particle":"","parse-names":false,"suffix":""},{"dropping-particle":"","family":"Okusaka","given":"Takuji","non-dropping-particle":"","parse-names":false,"suffix":""},{"dropping-particle":"","family":"Yoshida","given":"Teruhiko","non-dropping-particle":"","parse-names":false,"suffix":""},{"dropping-particle":"","family":"Nakamura","given":"Yusuke","non-dropping-particle":"","parse-names":false,"suffix":""},{"dropping-particle":"","family":"Sakamoto","given":"Hiromi","non-dropping-particle":"","parse-names":false,"suffix":""}],"container-title":"PloS one","editor":[{"dropping-particle":"","family":"Li","given":"Wenjun","non-dropping-particle":"","parse-names":false,"suffix":""}],"id":"ITEM-6","issue":"7","issued":{"date-parts":[["2010","7"]]},"page":"e11824","publisher":"Oxford University Press","title":"Genome-wide association study of pancreatic cancer in Japanese population.","type":"article-journal","volume":"5"},"uris":["http://www.mendeley.com/documents/?uuid=a99d99e3-e81b-4cd4-bd17-cf28ea470a88"]},{"id":"ITEM-7","itemData":{"DOI":"10.1038/ng.1020","ISBN":"1546-1718 (Electronic)\\r1061-4036 (Linking)","ISSN":"1546-1718","PMID":"22158540","abstract":"Pancreatic cancer has the lowest survival rate among human cancers, and there are no effective markers for its screening and early diagnosis. To identify genetic susceptibility markers for this cancer, we carried out a genome-wide association study on 981 individuals with pancreatic cancer (cases) and 1,991 cancer-free controls of Chinese descent using 666,141 autosomal SNPs. Promising associations were replicated in an additional 2,603 pancreatic cancer cases and 2,877 controls recruited from 25 hospitals in 16 provinces or cities in China. We identified five new susceptibility loci at chromosomes 21q21.3, 5p13.1, 21q22.3, 22q13.32 and 10q26.11 (P = 2.24 × 10(-13) to P = 4.18 × 10(-10)) in addition to 13q22.1 previously reported in populations of European ancestry. These results advance our understanding of the development of pancreatic cancer and highlight potential targets for the prevention or treatment of this cancer.","author":[{"dropping-particle":"","family":"Wu","given":"Chen","non-dropping-particle":"","parse-names":false,"suffix":""},{"dropping-particle":"","family":"Miao","given":"Xiaoping","non-dropping-particle":"","parse-names":false,"suffix":""},{"dropping-particle":"","family":"Huang","given":"Liming","non-dropping-particle":"","parse-names":false,"suffix":""},{"dropping-particle":"","family":"Che","given":"Xu","non-dropping-particle":"","parse-names":false,"suffix":""},{"dropping-particle":"","family":"Jiang","given":"Guoliang","non-dropping-particle":"","parse-names":false,"suffix":""},{"dropping-particle":"","family":"Yu","given":"Dianke","non-dropping-particle":"","parse-names":false,"suffix":""},{"dropping-particle":"","family":"Yang","given":"Xianghong","non-dropping-particle":"","parse-names":false,"suffix":""},{"dropping-particle":"","family":"Cao","given":"Guangwen","non-dropping-particle":"","parse-names":false,"suffix":""},{"dropping-particle":"","family":"Hu","given":"Zhibin","non-dropping-particle":"","parse-names":false,"suffix":""},{"dropping-particle":"","family":"Zhou","given":"Yifeng Yongjian Yifeng","non-dropping-particle":"","parse-names":false,"suffix":""},{"dropping-particle":"","family":"Zuo","given":"Chaohui","non-dropping-particle":"","parse-names":false,"suffix":""},{"dropping-particle":"","family":"Wang","given":"Chunyou Chengfeng","non-dropping-particle":"","parse-names":false,"suffix":""},{"dropping-particle":"","family":"Zhang","given":"Xianghong","non-dropping-particle":"","parse-names":false,"suffix":""},{"dropping-particle":"","family":"Zhou","given":"Yifeng Yongjian Yifeng","non-dropping-particle":"","parse-names":false,"suffix":""},{"dropping-particle":"","family":"Yu","given":"Xianjun","non-dropping-particle":"","parse-names":false,"suffix":""},{"dropping-particle":"","family":"Dai","given":"Wanjin","non-dropping-particle":"","parse-names":false,"suffix":""},{"dropping-particle":"","family":"Li","given":"Zhaoshen","non-dropping-particle":"","parse-names":false,"suffix":""},{"dropping-particle":"","family":"Shen","given":"Hongbing","non-dropping-particle":"","parse-names":false,"suffix":""},{"dropping-particle":"","family":"Liu","given":"Luming","non-dropping-particle":"","parse-names":false,"suffix":""},{"dropping-particle":"","family":"Chen","given":"Yanling","non-dropping-particle":"","parse-names":false,"suffix":""},{"dropping-particle":"","family":"Zhang","given":"Sheng","non-dropping-particle":"","parse-names":false,"suffix":""},{"dropping-particle":"","family":"Wang","given":"Xiaoqi","non-dropping-particle":"","parse-names":false,"suffix":""},{"dropping-particle":"","family":"Zhai","given":"Kan","non-dropping-particle":"","parse-names":false,"suffix":""},{"dropping-particle":"","family":"Chang","given":"Jiang","non-dropping-particle":"","parse-names":false,"suffix":""},{"dropping-particle":"","family":"Liu","given":"Yu","non-dropping-particle":"","parse-names":false,"suffix":""},{"dropping-particle":"","family":"Sun","given":"Menghong","non-dropping-particle":"","parse-names":false,"suffix":""},{"dropping-particle":"","family":"Cao","given":"Wei","non-dropping-particle":"","parse-names":false,"suffix":""},{"dropping-particle":"","family":"Gao","given":"Jun","non-dropping-particle":"","parse-names":false,"suffix":""},{"dropping-particle":"","family":"Ma","given":"Ying","non-dropping-particle":"","parse-names":false,"suffix":""},{"dropping-particle":"","family":"Zheng","given":"Xiongwei","non-dropping-particle":"","parse-names":false,"suffix":""},{"dropping-particle":"","family":"Cheung","given":"Siu Tim","non-dropping-particle":"","parse-names":false,"suffix":""},{"dropping-particle":"","family":"Jia","given":"Yongfeng","non-dropping-particle":"","parse-names":false,"suffix":""},{"dropping-particle":"","family":"Xu","given":"Jian","non-dropping-particle":"","parse-names":false,"suffix":""},{"dropping-particle":"","family":"Tan","given":"Wen","non-dropping-particle":"","parse-names":false,"suffix":""},{"dropping-particle":"","family":"Zhao","given":"Ping","non-dropping-particle":"","parse-names":false,"suffix":""},{"dropping-particle":"","family":"Wu","given":"Tangchun","non-dropping-particle":"","parse-names":false,"suffix":""},{"dropping-particle":"","family":"Wang","given":"Chunyou Chengfeng","non-dropping-particle":"","parse-names":false,"suffix":""},{"dropping-particle":"","family":"Lin","given":"Dongxin","non-dropping-particle":"","parse-names":false,"suffix":""}],"container-title":"Nature genetics","id":"ITEM-7","issue":"1","issued":{"date-parts":[["2012","12"]]},"page":"62-66","publisher":"Nature Publishing Group","title":"Genome-wide association study identifies five loci associated with susceptibility to pancreatic cancer in Chinese populations.","type":"article-journal","volume":"44"},"uris":["http://www.mendeley.com/documents/?uuid=60dfd1fc-8029-4a4f-ac08-ca3ca213c391"]},{"id":"ITEM-8","itemData":{"DOI":"10.1038/ng.522","ISBN":"1546-1718 (Electronic)$\\$r1061-4036 (Linking)","ISSN":"1061-4036","PMID":"20101243","abstract":"We conducted a genome-wide association study of pancreatic cancer in 3,851 affected individuals (cases) and 3,934 unaffected controls drawn from 12 prospective cohort studies and 8 case-control studies. Based on a logistic regression model for genotype trend effect that was adjusted for study, age, sex, self-described ancestry and five principal components, we identified eight SNPs that map to three loci on chromosomes 13q22.1, 1q32.1 and 5p15.33. Two correlated SNPs, rs9543325 (P = 3.27 x 10(-11), per-allele odds ratio (OR) 1.26, 95% CI 1.18-1.35) and rs9564966 (P = 5.86 x 10(-8), per-allele OR 1.21, 95% CI 1.13-1.30), map to a nongenic region on chromosome 13q22.1. Five SNPs on 1q32.1 map to NR5A2, and the strongest signal was at rs3790844 (P = 2.45 x 10(-10), per-allele OR 0.77, 95% CI 0.71-0.84). A single SNP, rs401681 (P = 3.66 x 10(-7), per-allele OR 1.19, 95% CI 1.11-1.27), maps to the CLPTM1L-TERT locus on 5p15.33, which is associated with multiple cancers. Our study has identified common susceptibility loci for pancreatic cancer that warrant follow-up studies.","author":[{"dropping-particle":"","family":"Petersen","given":"Gloria M","non-dropping-particle":"","parse-names":false,"suffix":""},{"dropping-particle":"","family":"Amundadottir","given":"Laufey","non-dropping-particle":"","parse-names":false,"suffix":""},{"dropping-particle":"","family":"Fuchs","given":"Charles S","non-dropping-particle":"","parse-names":false,"suffix":""},{"dropping-particle":"","family":"Kraft","given":"Peter","non-dropping-particle":"","parse-names":false,"suffix":""},{"dropping-particle":"","family":"Stolzenberg-Solomon","given":"Rachael Z","non-dropping-particle":"","parse-names":false,"suffix":""},{"dropping-particle":"","family":"Jacobs","given":"Kevin B.","non-dropping-particle":"","parse-names":false,"suffix":""},{"dropping-particle":"","family":"Arslan","given":"Alan A","non-dropping-particle":"","parse-names":false,"suffix":""},{"dropping-particle":"","family":"Bueno-De-Mesquita","given":"H. Bas","non-dropping-particle":"","parse-names":false,"suffix":""},{"dropping-particle":"","family":"Gallinger","given":"Steven","non-dropping-particle":"","parse-names":false,"suffix":""},{"dropping-particle":"","family":"Gross","given":"Myron","non-dropping-particle":"","parse-names":false,"suffix":""},{"dropping-particle":"","family":"Helzlsouer","given":"Kathy","non-dropping-particle":"","parse-names":false,"suffix":""},{"dropping-particle":"","family":"Holly","given":"Elizabeth A","non-dropping-particle":"","parse-names":false,"suffix":""},{"dropping-particle":"","family":"Jacobs","given":"Eric J","non-dropping-particle":"","parse-names":false,"suffix":""},{"dropping-particle":"","family":"Klein","given":"Alison P","non-dropping-particle":"","parse-names":false,"suffix":""},{"dropping-particle":"","family":"Lacroix","given":"Andrea","non-dropping-particle":"","parse-names":false,"suffix":""},{"dropping-particle":"","family":"Li","given":"Donghui","non-dropping-particle":"","parse-names":false,"suffix":""},{"dropping-particle":"","family":"Mandelson","given":"Margaret T","non-dropping-particle":"","parse-names":false,"suffix":""},{"dropping-particle":"","family":"Olson","given":"Sara H","non-dropping-particle":"","parse-names":false,"suffix":""},{"dropping-particle":"","family":"Risch","given":"Harvey A","non-dropping-particle":"","parse-names":false,"suffix":""},{"dropping-particle":"","family":"Zheng","given":"Wei","non-dropping-particle":"","parse-names":false,"suffix":""},{"dropping-particle":"","family":"Albanes","given":"Demetrius","non-dropping-particle":"","parse-names":false,"suffix":""},{"dropping-particle":"","family":"Bamlet","given":"William R","non-dropping-particle":"","parse-names":false,"suffix":""},{"dropping-particle":"","family":"Berg","given":"Christine D","non-dropping-particle":"","parse-names":false,"suffix":""},{"dropping-particle":"","family":"Boutron-Ruault","given":"Marie-Christine Christine","non-dropping-particle":"","parse-names":false,"suffix":""},{"dropping-particle":"","family":"Buring","given":"Julie E","non-dropping-particle":"","parse-names":false,"suffix":""},{"dropping-particle":"","family":"Bracci","given":"Paige M","non-dropping-particle":"","parse-names":false,"suffix":""},{"dropping-particle":"","family":"Canzian","given":"Federico","non-dropping-particle":"","parse-names":false,"suffix":""},{"dropping-particle":"","family":"Clipp","given":"Sandra","non-dropping-particle":"","parse-names":false,"suffix":""},{"dropping-particle":"","family":"Cotterchio","given":"Michelle","non-dropping-particle":"","parse-names":false,"suffix":""},{"dropping-particle":"","family":"Andrade","given":"Mariza","non-dropping-particle":"de","parse-names":false,"suffix":""},{"dropping-particle":"","family":"Duell","given":"Eric J","non-dropping-particle":"","parse-names":false,"suffix":""},{"dropping-particle":"","family":"Gaziano","given":"J Michael","non-dropping-particle":"","parse-names":false,"suffix":""},{"dropping-particle":"","family":"Giovannucci","given":"Edward L","non-dropping-particle":"","parse-names":false,"suffix":""},{"dropping-particle":"","family":"Goggins","given":"Michael","non-dropping-particle":"","parse-names":false,"suffix":""},{"dropping-particle":"","family":"Hallmans","given":"Göran","non-dropping-particle":"","parse-names":false,"suffix":""},{"dropping-particle":"","family":"Hankinson","given":"Susan E","non-dropping-particle":"","parse-names":false,"suffix":""},{"dropping-particle":"","family":"Hassan","given":"Manal","non-dropping-particle":"","parse-names":false,"suffix":""},{"dropping-particle":"","family":"Howard","given":"Barbara","non-dropping-particle":"","parse-names":false,"suffix":""},{"dropping-particle":"","family":"Hunter","given":"David J","non-dropping-particle":"","parse-names":false,"suffix":""},{"dropping-particle":"","family":"Hutchinson","given":"Amy","non-dropping-particle":"","parse-names":false,"suffix":""},{"dropping-particle":"","family":"Jenab","given":"Mazda","non-dropping-particle":"","parse-names":false,"suffix":""},{"dropping-particle":"","family":"Kaaks","given":"Rudolf","non-dropping-particle":"","parse-names":false,"suffix":""},{"dropping-particle":"","family":"Kooperberg","given":"Charles","non-dropping-particle":"","parse-names":false,"suffix":""},{"dropping-particle":"","family":"Krogh","given":"Vittorio","non-dropping-particle":"","parse-names":false,"suffix":""},{"dropping-particle":"","family":"Kurtz","given":"Robert C","non-dropping-particle":"","parse-names":false,"suffix":""},{"dropping-particle":"","family":"Lynch","given":"Shannon M","non-dropping-particle":"","parse-names":false,"suffix":""},{"dropping-particle":"","family":"McWilliams","given":"Robert R","non-dropping-particle":"","parse-names":false,"suffix":""},{"dropping-particle":"","family":"Mendelsohn","given":"Julie B","non-dropping-particle":"","parse-names":false,"suffix":""},{"dropping-particle":"","family":"Michaud","given":"Dominique S","non-dropping-particle":"","parse-names":false,"suffix":""},{"dropping-particle":"","family":"Parikh","given":"Hemang","non-dropping-particle":"","parse-names":false,"suffix":""},{"dropping-particle":"V","family":"Patel","given":"Alpa","non-dropping-particle":"","parse-names":false,"suffix":""},{"dropping-particle":"","family":"Peeters","given":"Petra H.M. M M","non-dropping-particle":"","parse-names":false,"suffix":""},{"dropping-particle":"","family":"Rajkovic","given":"Aleksandar","non-dropping-particle":"","parse-names":false,"suffix":""},{"dropping-particle":"","family":"Riboli","given":"Elio","non-dropping-particle":"","parse-names":false,"suffix":""},{"dropping-particle":"","family":"Rodriguez","given":"Laudina","non-dropping-particle":"","parse-names":false,"suffix":""},{"dropping-particle":"","family":"Seminara","given":"Daniela","non-dropping-particle":"","parse-names":false,"suffix":""},{"dropping-particle":"","family":"Shu","given":"Xiao-Ou Ou","non-dropping-particle":"","parse-names":false,"suffix":""},{"dropping-particle":"","family":"Thomas","given":"Gilles","non-dropping-particle":"","parse-names":false,"suffix":""},{"dropping-particle":"","family":"Tjønneland","given":"Anne","non-dropping-particle":"","parse-names":false,"suffix":""},{"dropping-particle":"","family":"Tobias","given":"Geoffrey S","non-dropping-particle":"","parse-names":false,"suffix":""},{"dropping-particle":"","family":"Trichopoulos","given":"Dimitrios","non-dropping-particle":"","parse-names":false,"suffix":""},{"dropping-particle":"","family":"Eeden","given":"Stephen K","non-dropping-particle":"Van Den","parse-names":false,"suffix":""},{"dropping-particle":"","family":"Virtamo","given":"Jarmo","non-dropping-particle":"","parse-names":false,"suffix":""},{"dropping-particle":"","family":"Wactawski-Wende","given":"Jean","non-dropping-particle":"","parse-names":false,"suffix":""},{"dropping-particle":"","family":"Wang","given":"Zhaoming","non-dropping-particle":"","parse-names":false,"suffix":""},{"dropping-particle":"","family":"Wolpin","given":"Brian M","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Fraumeni","given":"Joseph F","non-dropping-particle":"","parse-names":false,"suffix":""},{"dropping-particle":"","family":"Hoover","given":"Robert N","non-dropping-particle":"","parse-names":false,"suffix":""},{"dropping-particle":"","family":"Hartge","given":"Patricia","non-dropping-particle":"","parse-names":false,"suffix":""},{"dropping-particle":"","family":"Chanock","given":"Stephen J.","non-dropping-particle":"","parse-names":false,"suffix":""}],"container-title":"Nature Genetics","id":"ITEM-8","issue":"3","issued":{"date-parts":[["2010","3"]]},"page":"224-228","publisher":"NIH Public Access","title":"A genome-wide association study identifies pancreatic cancer susceptibility loci on chromosomes 13q22.1, 1q32.1 and 5p15.33","type":"article-journal","volume":"42"},"uris":["http://www.mendeley.com/documents/?uuid=bb95b4ed-dd60-4611-b0c3-19ada03d67aa"]},{"id":"ITEM-9","itemData":{"DOI":"10.1038/ng.3052","ISBN":"1061-4036","ISSN":"15461718","PMID":"25086665","abstract":"We performed a multistage genome-wide association study including 7,683 individuals with pancreatic cancer and 14,397 controls of European descent. Four new loci reached genome-wide significance: rs6971499 at 7q32.3 (LINC-PINT, per-allele odds ratio (OR) = 0.79, 95% confidence interval (CI) 0.74-0.84, P = 3.0 × 10(-12)), rs7190458 at 16q23.1 (BCAR1/CTRB1/CTRB2, OR = 1.46, 95% CI 1.30-1.65, P = 1.1 × 10(-10)), rs9581943 at 13q12.2 (PDX1, OR = 1.15, 95% CI 1.10-1.20, P = 2.4 × 10(-9)) and rs16986825 at 22q12.1 (ZNRF3, OR = 1.18, 95% CI 1.12-1.25, P = 1.2 × 10(-8)). We identified an independent signal in exon 2 of TERT at the established region 5p15.33 (rs2736098, OR = 0.80, 95% CI 0.76-0.85, P = 9.8 × 10(-14)). We also identified a locus at 8q24.21 (rs1561927, P = 1.3 × 10(-7)) that approached genome-wide significance located 455 kb telomeric of PVT1. Our study identified multiple new susceptibility alleles for pancreatic cancer that are worthy of follow-up studies.","author":[{"dropping-particle":"","family":"Wolpin","given":"Brian M.","non-dropping-particle":"","parse-names":false,"suffix":""},{"dropping-particle":"","family":"Rizzato","given":"Cosmeri","non-dropping-particle":"","parse-names":false,"suffix":""},{"dropping-particle":"","family":"Kraft","given":"Peter","non-dropping-particle":"","parse-names":false,"suffix":""},{"dropping-particle":"","family":"Kooperberg","given":"Charles","non-dropping-particle":"","parse-names":false,"suffix":""},{"dropping-particle":"","family":"Petersen","given":"Gloria M.","non-dropping-particle":"","parse-names":false,"suffix":""},{"dropping-particle":"","family":"Wang","given":"Zhaoming","non-dropping-particle":"","parse-names":false,"suffix":""},{"dropping-particle":"","family":"Arslan","given":"Alan A.","non-dropping-particle":"","parse-names":false,"suffix":""},{"dropping-particle":"","family":"Beane-Freeman","given":"Laura","non-dropping-particle":"","parse-names":false,"suffix":""},{"dropping-particle":"","family":"Bracci","given":"Paige M.","non-dropping-particle":"","parse-names":false,"suffix":""},{"dropping-particle":"","family":"Buring","given":"Julie","non-dropping-particle":"","parse-names":false,"suffix":""},{"dropping-particle":"","family":"Canzian","given":"Federico","non-dropping-particle":"","parse-names":false,"suffix":""},{"dropping-particle":"","family":"Duell","given":"Eric J.","non-dropping-particle":"","parse-names":false,"suffix":""},{"dropping-particle":"","family":"Gallinger","given":"Steven","non-dropping-particle":"","parse-names":false,"suffix":""},{"dropping-particle":"","family":"Giles","given":"Graham G.","non-dropping-particle":"","parse-names":false,"suffix":""},{"dropping-particle":"","family":"Goodman","given":"Gary E.","non-dropping-particle":"","parse-names":false,"suffix":""},{"dropping-particle":"","family":"Goodman","given":"Phyllis J.","non-dropping-particle":"","parse-names":false,"suffix":""},{"dropping-particle":"","family":"Jacobs","given":"Eric J.","non-dropping-particle":"","parse-names":false,"suffix":""},{"dropping-particle":"","family":"Kamineni","given":"Aruna","non-dropping-particle":"","parse-names":false,"suffix":""},{"dropping-particle":"","family":"Klein","given":"Alison P.","non-dropping-particle":"","parse-names":false,"suffix":""},{"dropping-particle":"","family":"Kolonel","given":"Laurence N.","non-dropping-particle":"","parse-names":false,"suffix":""},{"dropping-particle":"","family":"Kulke","given":"Matthew H.","non-dropping-particle":"","parse-names":false,"suffix":""},{"dropping-particle":"","family":"Li","given":"Donghui","non-dropping-particle":"","parse-names":false,"suffix":""},{"dropping-particle":"","family":"Malats","given":"Núria","non-dropping-particle":"","parse-names":false,"suffix":""},{"dropping-particle":"","family":"Olson","given":"Sara H.","non-dropping-particle":"","parse-names":false,"suffix":""},{"dropping-particle":"","family":"Risch","given":"Harvey A.","non-dropping-particle":"","parse-names":false,"suffix":""},{"dropping-particle":"","family":"Sesso","given":"Howard D.","non-dropping-particle":"","parse-names":false,"suffix":""},{"dropping-particle":"","family":"Visvanathan","given":"Kala","non-dropping-particle":"","parse-names":false,"suffix":""},{"dropping-particle":"","family":"White","given":"Emily","non-dropping-particle":"","parse-names":false,"suffix":""},{"dropping-particle":"","family":"Zheng","given":"Wei","non-dropping-particle":"","parse-names":false,"suffix":""},{"dropping-particle":"","family":"Abnet","given":"Christian C.","non-dropping-particle":"","parse-names":false,"suffix":""},{"dropping-particle":"","family":"Albanes","given":"Demetrius","non-dropping-particle":"","parse-names":false,"suffix":""},{"dropping-particle":"","family":"Andreotti","given":"Gabriella","non-dropping-particle":"","parse-names":false,"suffix":""},{"dropping-particle":"","family":"Austin","given":"Melissa A.","non-dropping-particle":"","parse-names":false,"suffix":""},{"dropping-particle":"","family":"Barfield","given":"Richard","non-dropping-particle":"","parse-names":false,"suffix":""},{"dropping-particle":"","family":"Basso","given":"Daniela","non-dropping-particle":"","parse-names":false,"suffix":""},{"dropping-particle":"","family":"Berndt","given":"Sonja I.","non-dropping-particle":"","parse-names":false,"suffix":""},{"dropping-particle":"","family":"Boutron-Ruault","given":"Marie-Christine Christine","non-dropping-particle":"","parse-names":false,"suffix":""},{"dropping-particle":"","family":"Brotzman","given":"Michelle","non-dropping-particle":"","parse-names":false,"suffix":""},{"dropping-particle":"","family":"Büchler","given":"Markus W.","non-dropping-particle":"","parse-names":false,"suffix":""},{"dropping-particle":"","family":"Bueno-De-Mesquita","given":"H. Bas","non-dropping-particle":"","parse-names":false,"suffix":""},{"dropping-particle":"","family":"Bugert","given":"Peter","non-dropping-particle":"","parse-names":false,"suffix":""},{"dropping-particle":"","family":"Burdette","given":"Laurie","non-dropping-particle":"","parse-names":false,"suffix":""},{"dropping-particle":"","family":"Campa","given":"Daniele","non-dropping-particle":"","parse-names":false,"suffix":""},{"dropping-particle":"","family":"Caporaso","given":"Neil E.","non-dropping-particle":"","parse-names":false,"suffix":""},{"dropping-particle":"","family":"Capurso","given":"Gabriele","non-dropping-particle":"","parse-names":false,"suffix":""},{"dropping-particle":"","family":"Chung","given":"Charles","non-dropping-particle":"","parse-names":false,"suffix":""},{"dropping-particle":"","family":"Cotterchio","given":"Michelle","non-dropping-particle":"","parse-names":false,"suffix":""},{"dropping-particle":"","family":"Costello","given":"Eithne","non-dropping-particle":"","parse-names":false,"suffix":""},{"dropping-particle":"","family":"Elena","given":"Joanne","non-dropping-particle":"","parse-names":false,"suffix":""},{"dropping-particle":"","family":"Funel","given":"Niccola","non-dropping-particle":"","parse-names":false,"suffix":""},{"dropping-particle":"","family":"Gaziano","given":"J. Michael","non-dropping-particle":"","parse-names":false,"suffix":""},{"dropping-particle":"","family":"Giese","given":"Nathalia A.","non-dropping-particle":"","parse-names":false,"suffix":""},{"dropping-particle":"","family":"Giovannucci","given":"Edward L.","non-dropping-particle":"","parse-names":false,"suffix":""},{"dropping-particle":"","family":"Goggins","given":"Michael","non-dropping-particle":"","parse-names":false,"suffix":""},{"dropping-particle":"","family":"Gorman","given":"Megan J.","non-dropping-particle":"","parse-names":false,"suffix":""},{"dropping-particle":"","family":"Gross","given":"Myron","non-dropping-particle":"","parse-names":false,"suffix":""},{"dropping-particle":"","family":"Haiman","given":"Christopher A.","non-dropping-particle":"","parse-names":false,"suffix":""},{"dropping-particle":"","family":"Hassan","given":"Manal","non-dropping-particle":"","parse-names":false,"suffix":""},{"dropping-particle":"","family":"Helzlsouer","given":"Kathy J.","non-dropping-particle":"","parse-names":false,"suffix":""},{"dropping-particle":"","family":"Henderson","given":"Brian E.","non-dropping-particle":"","parse-names":false,"suffix":""},{"dropping-particle":"","family":"Holly","given":"Elizabeth A.","non-dropping-particle":"","parse-names":false,"suffix":""},{"dropping-particle":"","family":"Hu","given":"Nan","non-dropping-particle":"","parse-names":false,"suffix":""},{"dropping-particle":"","family":"Hunter","given":"David J.","non-dropping-particle":"","parse-names":false,"suffix":""},{"dropping-particle":"","family":"Innocenti","given":"Federico","non-dropping-particle":"","parse-names":false,"suffix":""},{"dropping-particle":"","family":"Jenab","given":"Mazda","non-dropping-particle":"","parse-names":false,"suffix":""},{"dropping-particle":"","family":"Kaaks","given":"Rudolf","non-dropping-particle":"","parse-names":false,"suffix":""},{"dropping-particle":"","family":"Key","given":"Timothy J.","non-dropping-particle":"","parse-names":false,"suffix":""},{"dropping-particle":"","family":"Khaw","given":"Kay-Tee Tee","non-dropping-particle":"","parse-names":false,"suffix":""},{"dropping-particle":"","family":"Klein","given":"Eric A.","non-dropping-particle":"","parse-names":false,"suffix":""},{"dropping-particle":"","family":"Kogevinas","given":"Manolis","non-dropping-particle":"","parse-names":false,"suffix":""},{"dropping-particle":"","family":"Krogh","given":"Vittorio","non-dropping-particle":"","parse-names":false,"suffix":""},{"dropping-particle":"","family":"Kupcinskas","given":"Juozas","non-dropping-particle":"","parse-names":false,"suffix":""},{"dropping-particle":"","family":"Kurtz","given":"Robert C.","non-dropping-particle":"","parse-names":false,"suffix":""},{"dropping-particle":"","family":"Lacroix","given":"Andrea","non-dropping-particle":"","parse-names":false,"suffix":""},{"dropping-particle":"","family":"Landi","given":"Maria T.","non-dropping-particle":"","parse-names":false,"suffix":""},{"dropping-particle":"","family":"Landi","given":"Stefano","non-dropping-particle":"","parse-names":false,"suffix":""},{"dropping-particle":"","family":"Marchand","given":"Loic","non-dropping-particle":"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L.","non-dropping-particle":"","parse-names":false,"suffix":""},{"dropping-particle":"","family":"Nakamura","given":"Yusuke","non-dropping-particle":"","parse-names":false,"suffix":""},{"dropping-particle":"","family":"Oberg","given":"Ann L.","non-dropping-particle":"","parse-names":false,"suffix":""},{"dropping-particle":"","family":"Owzar","given":"Kouros","non-dropping-particle":"","parse-names":false,"suffix":""},{"dropping-particle":"V.","family":"Patel","given":"Alpa","non-dropping-particle":"","parse-names":false,"suffix":""},{"dropping-particle":"","family":"Peeters","given":"Petra H.M. M","non-dropping-particle":"","parse-names":false,"suffix":""},{"dropping-particle":"","family":"Peters","given":"Ulrike","non-dropping-particle":"","parse-names":false,"suffix":""},{"dropping-particle":"","family":"Pezzilli","given":"Raffaele","non-dropping-particle":"","parse-names":false,"suffix":""},{"dropping-particle":"","family":"Piepoli","given":"Ada","non-dropping-particle":"","parse-names":false,"suffix":""},{"dropping-particle":"","family":"Porta","given":"Miquel","non-dropping-particle":"","parse-names":false,"suffix":""},{"dropping-particle":"","family":"Real","given":"Francisco X.","non-dropping-particle":"","parse-names":false,"suffix":""},{"dropping-particle":"","family":"Riboli","given":"Elio","non-dropping-particle":"","parse-names":false,"suffix":""},{"dropping-particle":"","family":"Rothman","given":"Nathaniel","non-dropping-particle":"","parse-names":false,"suffix":""},{"dropping-particle":"","family":"Scarpa","given":"Aldo","non-dropping-particle":"","parse-names":false,"suffix":""},{"dropping-particle":"","family":"Shu","given":"Xiao-Ou Ou","non-dropping-particle":"","parse-names":false,"suffix":""},{"dropping-particle":"","family":"Silverman","given":"Debra T.","non-dropping-particle":"","parse-names":false,"suffix":""},{"dropping-particle":"","family":"Soucek","given":"Pavel","non-dropping-particle":"","parse-names":false,"suffix":""},{"dropping-particle":"","family":"Sund","given":"Malin","non-dropping-particle":"","parse-names":false,"suffix":""},{"dropping-particle":"","family":"Talar-Wojnarowska","given":"Renata","non-dropping-particle":"","parse-names":false,"suffix":""},{"dropping-particle":"","family":"Taylor","given":"Philip R.","non-dropping-particle":"","parse-names":false,"suffix":""},{"dropping-particle":"","family":"Theodoropoulos","given":"George E.","non-dropping-particle":"","parse-names":false,"suffix":""},{"dropping-particle":"","family":"Thornquist","given":"Mark","non-dropping-particle":"","parse-names":false,"suffix":""},{"dropping-particle":"","family":"Tjønneland","given":"Anne","non-dropping-particle":"","parse-names":false,"suffix":""},{"dropping-particle":"","family":"Tobias","given":"Geoffrey S.","non-dropping-particle":"","parse-names":false,"suffix":""},{"dropping-particle":"","family":"Trichopoulos","given":"Dimitrios","non-dropping-particle":"","parse-names":false,"suffix":""},{"dropping-particle":"","family":"Vodicka","given":"Pavel","non-dropping-particle":"","parse-names":false,"suffix":""},{"dropping-particle":"","family":"Wactawski-Wende","given":"Jean","non-dropping-particle":"","parse-names":false,"suffix":""},{"dropping-particle":"","family":"Wentzensen","given":"Nicolas","non-dropping-particle":"","parse-names":false,"suffix":""},{"dropping-particle":"","family":"Wu","given":"Chen","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Hoover","given":"Robert","non-dropping-particle":"","parse-names":false,"suffix":""},{"dropping-particle":"","family":"Hartge","given":"Patricia","non-dropping-particle":"","parse-names":false,"suffix":""},{"dropping-particle":"","family":"Fuchs","given":"Charles","non-dropping-particle":"","parse-names":false,"suffix":""},{"dropping-particle":"","family":"Chanock","given":"Stephen J.","non-dropping-particle":"","parse-names":false,"suffix":""},{"dropping-particle":"","family":"Stolzenberg-Solomon","given":"Rachael S.","non-dropping-particle":"","parse-names":false,"suffix":""},{"dropping-particle":"","family":"Amundadottir","given":"Laufey T.","non-dropping-particle":"","parse-names":false,"suffix":""}],"container-title":"Nature Genetics","id":"ITEM-9","issue":"9","issued":{"date-parts":[["2014","8"]]},"page":"994-1000","title":"Genome-wide association study identifies multiple susceptibility loci for pancreatic cancer","type":"article-journal","volume":"46"},"uris":["http://www.mendeley.com/documents/?uuid=c1f02759-6fc8-4fae-81fb-2befecfd543a"]}],"mendeley":{"formattedCitation":"&lt;sup&gt;4–12&lt;/sup&gt;","plainTextFormattedCitation":"4–12","previouslyFormattedCitation":"&lt;sup&gt;4–12&lt;/sup&gt;"},"properties":{"noteIndex":0},"schema":"https://github.com/citation-style-language/schema/raw/master/csl-citation.json"}</w:instrText>
      </w:r>
      <w:r w:rsidR="00C340D2">
        <w:rPr>
          <w:rFonts w:asciiTheme="minorHAnsi" w:eastAsiaTheme="minorHAnsi" w:hAnsiTheme="minorHAnsi" w:cstheme="minorHAnsi"/>
          <w:noProof/>
          <w:lang w:val="en-GB"/>
        </w:rPr>
        <w:fldChar w:fldCharType="separate"/>
      </w:r>
      <w:r w:rsidR="00DE3151" w:rsidRPr="00DE3151">
        <w:rPr>
          <w:rFonts w:asciiTheme="minorHAnsi" w:eastAsiaTheme="minorHAnsi" w:hAnsiTheme="minorHAnsi" w:cstheme="minorHAnsi"/>
          <w:noProof/>
          <w:vertAlign w:val="superscript"/>
          <w:lang w:val="en-GB"/>
        </w:rPr>
        <w:t>4–12</w:t>
      </w:r>
      <w:r w:rsidR="00C340D2">
        <w:rPr>
          <w:rFonts w:asciiTheme="minorHAnsi" w:eastAsiaTheme="minorHAnsi" w:hAnsiTheme="minorHAnsi" w:cstheme="minorHAnsi"/>
          <w:noProof/>
          <w:lang w:val="en-GB"/>
        </w:rPr>
        <w:fldChar w:fldCharType="end"/>
      </w:r>
      <w:r w:rsidR="0073321C">
        <w:rPr>
          <w:rFonts w:asciiTheme="minorHAnsi" w:eastAsiaTheme="minorHAnsi" w:hAnsiTheme="minorHAnsi" w:cstheme="minorHAnsi"/>
          <w:lang w:val="en-GB"/>
        </w:rPr>
        <w:t>,</w:t>
      </w:r>
      <w:r w:rsidR="00AA446B" w:rsidRPr="004B08E4">
        <w:rPr>
          <w:rFonts w:asciiTheme="minorHAnsi" w:eastAsiaTheme="minorHAnsi" w:hAnsiTheme="minorHAnsi" w:cstheme="minorHAnsi"/>
          <w:lang w:val="en-GB"/>
        </w:rPr>
        <w:t xml:space="preserve"> s</w:t>
      </w:r>
      <w:r w:rsidR="00F943EA" w:rsidRPr="004B08E4">
        <w:rPr>
          <w:rFonts w:asciiTheme="minorHAnsi" w:eastAsiaTheme="minorHAnsi" w:hAnsiTheme="minorHAnsi" w:cstheme="minorHAnsi"/>
          <w:lang w:val="en-GB"/>
        </w:rPr>
        <w:t xml:space="preserve">everal </w:t>
      </w:r>
      <w:r w:rsidRPr="004B08E4">
        <w:rPr>
          <w:rFonts w:asciiTheme="minorHAnsi" w:eastAsiaTheme="minorHAnsi" w:hAnsiTheme="minorHAnsi" w:cstheme="minorHAnsi"/>
          <w:lang w:val="en-GB"/>
        </w:rPr>
        <w:t xml:space="preserve">PDAC </w:t>
      </w:r>
      <w:r w:rsidR="00AA446B" w:rsidRPr="004B08E4">
        <w:rPr>
          <w:rFonts w:asciiTheme="minorHAnsi" w:eastAsiaTheme="minorHAnsi" w:hAnsiTheme="minorHAnsi" w:cstheme="minorHAnsi"/>
          <w:lang w:val="en-GB"/>
        </w:rPr>
        <w:t xml:space="preserve">epidemiologic </w:t>
      </w:r>
      <w:r w:rsidRPr="004B08E4">
        <w:rPr>
          <w:rFonts w:asciiTheme="minorHAnsi" w:eastAsiaTheme="minorHAnsi" w:hAnsiTheme="minorHAnsi" w:cstheme="minorHAnsi"/>
          <w:lang w:val="en-GB"/>
        </w:rPr>
        <w:t>risk factors have been identified</w:t>
      </w:r>
      <w:r w:rsidR="006D12A7" w:rsidRPr="004B08E4">
        <w:rPr>
          <w:rFonts w:asciiTheme="minorHAnsi" w:eastAsiaTheme="minorHAnsi" w:hAnsiTheme="minorHAnsi" w:cstheme="minorHAnsi"/>
          <w:lang w:val="en-GB"/>
        </w:rPr>
        <w:t>,</w:t>
      </w:r>
      <w:r w:rsidR="002A46D4" w:rsidRPr="004B08E4">
        <w:rPr>
          <w:rFonts w:asciiTheme="minorHAnsi" w:eastAsiaTheme="minorHAnsi" w:hAnsiTheme="minorHAnsi" w:cstheme="minorHAnsi"/>
          <w:lang w:val="en-GB"/>
        </w:rPr>
        <w:t xml:space="preserve"> through cohort studies and case-control studies</w:t>
      </w:r>
      <w:r w:rsidR="006D12A7" w:rsidRPr="004B08E4">
        <w:rPr>
          <w:rFonts w:asciiTheme="minorHAnsi" w:eastAsiaTheme="minorHAnsi" w:hAnsiTheme="minorHAnsi" w:cstheme="minorHAnsi"/>
          <w:lang w:val="en-GB"/>
        </w:rPr>
        <w:t xml:space="preserve"> with varying levels of evidence</w:t>
      </w:r>
      <w:r w:rsidR="002A46D4" w:rsidRPr="004B08E4">
        <w:rPr>
          <w:rFonts w:asciiTheme="minorHAnsi" w:eastAsiaTheme="minorHAnsi" w:hAnsiTheme="minorHAnsi" w:cstheme="minorHAnsi"/>
          <w:lang w:val="en-GB"/>
        </w:rPr>
        <w:t>. Some are considered established</w:t>
      </w:r>
      <w:r w:rsidR="00444B6A"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chronic pancreatitis</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{"citationItems":[{"id":"ITEM-1","itemData":{"DOI":"10.1016/j.pop.2017.07.004","ISBN":"9780323552943","ISSN":"1558299X","PMID":"29132523","abstract":"Most cases of acute pancreatitis are related to gallstones. More than 80% resolve within a few days. The diagnosis is based on upper abdominal pain, elevated lipase and/or amylase, and transabdominal ultrasound findings. Management requires early aggressive hydration, pain control, nutritional support, and monitoring for progression. Patients who develop hypovolemia, systemic inflammatory response, pancreatic necrosis, and organ failure have high mortality, risk of recurrence, and progression to chronic pancreatitis (CP). Genetic predisposition and repeated injury may be necessary for CP. Management requires control of pain and exocrine and endocrine symptoms, plus reduction of risk factors, especially alcohol intake.","author":[{"dropping-particle":"","family":"Walling","given":"Anne","non-dropping-particle":"","parse-names":false,"suffix":""},{"dropping-particle":"","family":"Freelove","given":"Robert","non-dropping-particle":"","parse-names":false,"suffix":""}],"container-title":"Primary Care - Clinics in Office Practice","id":"ITEM-1","issue":"4","issued":{"date-parts":[["2017","12","1"]]},"page":"609-620","publisher":"Elsevier","title":"Pancreatitis and Pancreatic Cancer","type":"article","volume":"44"},"uris":["http://www.mendeley.com/documents/?uuid=d8a621cb-ab26-3eba-8a33-343569056f76","http://www.mendeley.com/documents/?uuid=01cefa05-f4f9-456d-8692-297437e56b08"]}],"mendeley":{"formattedCitation":"&lt;sup&gt;13&lt;/sup&gt;","plainTextFormattedCitation":"13","previouslyFormattedCitation":"&lt;sup&gt;13&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13</w:t>
      </w:r>
      <w:r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diabetes mellitus</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{"citationItems":[{"id":"ITEM-1","itemData":{"DOI":"10.1093/annonc/mdu276","ISSN":"0923-7534","PMID":"25057164","abstract":"BACKGROUND Type 2 diabetes mellitus has been associated with an excess risk of pancreatic cancer, but the magnitude of the risk and the time-risk relationship are unclear, and there is limited information on the role of antidiabetic medications. PATIENTS AND METHODS We analyzed individual-level data from 15 case-control studies within the Pancreatic Cancer Case-Control Consortium, including 8305 cases and 13 987 controls. Pooled odds ratios (ORs) were estimated from multiple logistic regression models, adjusted for relevant covariates. RESULTS Overall, 1155 (15%) cases and 1087 (8%) controls reported a diagnosis of diabetes 2 or more years before cancer diagnosis (or interview, for controls), corresponding to an OR of 1.90 (95% confidence interval, CI, 1.72-2.09). Consistent risk estimates were observed across strata of selected covariates, including body mass index and tobacco smoking. Pancreatic cancer risk decreased with duration of diabetes, but a significant excess risk was still evident 20 or more years after diabetes diagnosis (OR 1.30, 95% CI 1.03-1.63). Among diabetics, long duration of oral antidiabetic use was associated with a decreased pancreatic cancer risk (OR 0.31, 95% CI 0.14-0.69, for ≥15 years). Conversely, insulin use was associated with a pancreatic cancer risk in the short term (OR 5.60, 95% CI 3.75-8.35, for &lt;5 years), but not for longer duration of use (OR 0.95, 95% CI 0.53-1.70, for ≥15 years). CONCLUSION This study provides the most definitive quantification to date of an excess risk of pancreatic cancer among diabetics. It also shows that a 30% excess risk persists for more than two decades after diabetes diagnosis, thus supporting a causal role of diabetes in pancreatic cancer. Oral antidiabetics may decrease the risk of pancreatic cancer, whereas insulin showed an inconsistent duration-risk relationship.","author":[{"dropping-particle":"","family":"Bosetti","given":"C.","non-dropping-particle":"","parse-names":false,"suffix":""},{"dropping-particle":"","family":"Rosato","given":"V.","non-dropping-particle":"","parse-names":false,"suffix":""},{"dropping-particle":"","family":"Li","given":"D.","non-dropping-particle":"","parse-names":false,"suffix":""},{"dropping-particle":"","family":"Silverman","given":"D.","non-dropping-particle":"","parse-names":false,"suffix":""},{"dropping-particle":"","family":"Petersen","given":"G. M.","non-dropping-particle":"","parse-names":false,"suffix":""},{"dropping-particle":"","family":"Bracci","given":"P. M.","non-dropping-particle":"","parse-names":false,"suffix":""},{"dropping-particle":"","family":"Neale","given":"R. E.","non-dropping-particle":"","parse-names":false,"suffix":""},{"dropping-particle":"","family":"Muscat","given":"J.","non-dropping-particle":"","parse-names":false,"suffix":""},{"dropping-particle":"","family":"Anderson","given":"K.","non-dropping-particle":"","parse-names":false,"suffix":""},{"dropping-particle":"","family":"Gallinger","given":"S.","non-dropping-particle":"","parse-names":false,"suffix":""},{"dropping-particle":"","family":"Olson","given":"S. H.","non-dropping-particle":"","parse-names":false,"suffix":""},{"dropping-particle":"","family":"Miller","given":"A. B.","non-dropping-particle":"","parse-names":false,"suffix":""},{"dropping-particle":"","family":"Bas Bueno-de-Mesquita","given":"H.","non-dropping-particle":"","parse-names":false,"suffix":""},{"dropping-particle":"","family":"Scelo","given":"G.","non-dropping-particle":"","parse-names":false,"suffix":""},{"dropping-particle":"","family":"Janout","given":"V.","non-dropping-particle":"","parse-names":false,"suffix":""},{"dropping-particle":"","family":"Holcatova","given":"I.","non-dropping-particle":"","parse-names":false,"suffix":""},{"dropping-particle":"","family":"Lagiou","given":"P.","non-dropping-particle":"","parse-names":false,"suffix":""},{"dropping-particle":"","family":"Serraino","given":"D.","non-dropping-particle":"","parse-names":false,"suffix":""},{"dropping-particle":"","family":"Lucenteforte","given":"E.","non-dropping-particle":"","parse-names":false,"suffix":""},{"dropping-particle":"","family":"Fabianova","given":"E.","non-dropping-particle":"","parse-names":false,"suffix":""},{"dropping-particle":"","family":"Ghadirian","given":"P.","non-dropping-particle":"","parse-names":false,"suffix":""},{"dropping-particle":"","family":"Baghurst","given":"P. A.","non-dropping-particle":"","parse-names":false,"suffix":""},{"dropping-particle":"","family":"Zatonski","given":"W.","non-dropping-particle":"","parse-names":false,"suffix":""},{"dropping-particle":"","family":"Foretova","given":"L.","non-dropping-particle":"","parse-names":false,"suffix":""},{"dropping-particle":"","family":"Fontham","given":"E.","non-dropping-particle":"","parse-names":false,"suffix":""},{"dropping-particle":"","family":"Bamlet","given":"W. R.","non-dropping-particle":"","parse-names":false,"suffix":""},{"dropping-particle":"","family":"Holly","given":"E. A.","non-dropping-particle":"","parse-names":false,"suffix":""},{"dropping-particle":"","family":"Negri","given":"E.","non-dropping-particle":"","parse-names":false,"suffix":""},{"dropping-particle":"","family":"Hassan","given":"M.","non-dropping-particle":"","parse-names":false,"suffix":""},{"dropping-particle":"","family":"Prizment","given":"A.","non-dropping-particle":"","parse-names":false,"suffix":""},{"dropping-particle":"","family":"Cotterchio","given":"M.","non-dropping-particle":"","parse-names":false,"suffix":""},{"dropping-particle":"","family":"Cleary","given":"S.","non-dropping-particle":"","parse-names":false,"suffix":""},{"dropping-particle":"","family":"Kurtz","given":"R. C.","non-dropping-particle":"","parse-names":false,"suffix":""},{"dropping-particle":"","family":"Maisonneuve","given":"P.","non-dropping-particle":"","parse-names":false,"suffix":""},{"dropping-particle":"","family":"Trichopoulos","given":"D.","non-dropping-particle":"","parse-names":false,"suffix":""},{"dropping-particle":"","family":"Polesel","given":"J.","non-dropping-particle":"","parse-names":false,"suffix":""},{"dropping-particle":"","family":"Duell","given":"E. J.","non-dropping-particle":"","parse-names":false,"suffix":""},{"dropping-particle":"","family":"Boffetta","given":"P.","non-dropping-particle":"","parse-names":false,"suffix":""},{"dropping-particle":"","family":"Vecchia","given":"C.","non-dropping-particle":"La","parse-names":false,"suffix":""}],"container-title":"Annals of Oncology","id":"ITEM-1","issue":"10","issued":{"date-parts":[["2014","10","1"]]},"page":"2065-2072","title":"Diabetes, antidiabetic medications, and pancreatic cancer risk: an analysis from the International Pancreatic Cancer Case-Control Consortium","type":"article-journal","volume":"25"},"uris":["http://www.mendeley.com/documents/?uuid=307c0ce8-e360-3d7a-bfa5-d972485a6653","http://www.mendeley.com/documents/?uuid=45e4edf8-18ae-4f5b-806b-a44ddadb1c37"]}],"mendeley":{"formattedCitation":"&lt;sup&gt;14&lt;/sup&gt;","plainTextFormattedCitation":"14","previouslyFormattedCitation":"&lt;sup&gt;14&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14</w:t>
      </w:r>
      <w:r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obesity</w:t>
      </w:r>
      <w:r w:rsidR="0073321C">
        <w:rPr>
          <w:rFonts w:asciiTheme="minorHAnsi" w:eastAsiaTheme="minorHAnsi" w:hAnsiTheme="minorHAnsi" w:cstheme="minorHAnsi"/>
          <w:lang w:val="en-GB"/>
        </w:rPr>
        <w:t xml:space="preserve"> </w:t>
      </w:r>
      <w:r w:rsidR="00135F36"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{"citationItems":[{"id":"ITEM-1","itemData":{"DOI":"10.1097/MPA.0000000000000974","ISSN":"1536-4828","PMID":"29346216","abstract":"Currently, there are no effective preventive strategies for pancreatic cancer. Obesity has been increasingly recognized as a strong but modifiable risk factor of pancreatic cancer. In this article, we aim to review the literature regarding weight loss on prevention of pancreatic cancer. Epidemiological and laboratory studies have shown that obesity is associated with increased incidence of pancreatic cancer and potentially worse cancer outcome. Whereas the underlying pathomechanisms remain unclear, chronic inflammation, insulin resistance, and altered intestinal microbiota are all implicated in the carcinogenic effect of obesity. Weight loss, especially the durable and significant weight loss after bariatric surgery, has been shown to reduce the risks of multiple cancers and may become a good intervention for pancreatic cancer prevention.","author":[{"dropping-particle":"","family":"Xu","given":"Mu","non-dropping-particle":"","parse-names":false,"suffix":""},{"dropping-particle":"","family":"Jung","given":"Xiaoman","non-dropping-particle":"","parse-names":false,"suffix":""},{"dropping-particle":"","family":"Hines","given":"O Joe","non-dropping-particle":"","parse-names":false,"suffix":""},{"dropping-particle":"","family":"Eibl","given":"Guido","non-dropping-particle":"","parse-names":false,"suffix":""},{"dropping-particle":"","family":"Chen","given":"Yijun","non-dropping-particle":"","parse-names":false,"suffix":""}],"container-title":"Pancreas","id":"ITEM-1","issue":"2","issued":{"date-parts":[["2018"]]},"page":"158-162","publisher":"NIH Public Access","title":"Obesity and Pancreatic Cancer: Overview of Epidemiology and Potential Prevention by Weight Loss.","type":"article-journal","volume":"47"},"uris":["http://www.mendeley.com/documents/?uuid=77df65ba-2d54-3690-927d-1506554aff11","http://www.mendeley.com/documents/?uuid=546a7d28-0124-495b-b3d5-c968bf933cc8"]}],"mendeley":{"formattedCitation":"&lt;sup&gt;15&lt;/sup&gt;","plainTextFormattedCitation":"15","previouslyFormattedCitation":"&lt;sup&gt;15&lt;/sup&gt;"},"properties":{"noteIndex":0},"schema":"https://github.com/citation-style-language/schema/raw/master/csl-citation.json"}</w:instrText>
      </w:r>
      <w:r w:rsidR="00135F36"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15</w:t>
      </w:r>
      <w:r w:rsidR="00135F36"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glycaemic index</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{"citationItems":[{"id":"ITEM-1","itemData":{"DOI":"10.1136/bmj.g7371","ISSN":"1756-1833","PMID":"25556126","abstract":"OBJECTIVE To evaluate potential linear and non-linear dose-response relations between blood glucose and risk of pancreatic cancer. DESIGN Systematic review and dose-response meta-analysis of prospective observational studies. DATA SOURCES Search of PubMed, Scopus, and related reviews before 30 November 2013 without language restriction. ELIGIBILITY CRITERIA Prospective studies evaluating the association between blood glucose concentration and pancreatic cancer. Retrospective and cross sectional studies excluded to avoid reverse causality. DATA EXTRACTION AND SYNTHESIS Two reviewers independently extracted relevant information and assessed study quality with the Newcastle-Ottawa scale. Random effects dose-response meta-analysis was conducted to assess potential linear and non-linear dose-response relations. RESULTS Nine studies were included for analysis, with a total of 2408 patients with pancreatic cancer. There was a strong linear dose-response association between fasting blood glucose concentration and the rate of pancreatic cancer across the range of prediabetes and diabetes. No non-linear association was detected. The pooled rate ratio of pancreatic cancer per 0.56 mmol/L (10 mg/dL) increase in fasting blood glucose was 1.14 (95% confidence interval 1.06 to 1.22; P&lt;0.001) without significant heterogeneity. Sensitivity analysis excluding blood glucose categories in the range of diabetes showed similar results (pooled rate ratio per 0.56 mmol/L increase in fasting blood glucose was 1.15, 95% confidence interval 1.05 to 1.27; P=0.003), strengthening the association between prediabetes and pancreatic cancer. CONCLUSIONS Every 0.56 mmol/L increase in fasting blood glucose is associated with a 14% increase in the rate of pancreatic cancer. As prediabetes can be improved or even reversed through lifestyle changes, early detection of prediabetes coupled with lifestyle changes could represent a viable strategy to curb the increasing incidence of pancreatic cancer.","author":[{"dropping-particle":"","family":"Liao","given":"Wei-Chih","non-dropping-particle":"","parse-names":false,"suffix":""},{"dropping-particle":"","family":"Tu","given":"Yu-Kang","non-dropping-particle":"","parse-names":false,"suffix":""},{"dropping-particle":"","family":"Wu","given":"Ming-Shiang","non-dropping-particle":"","parse-names":false,"suffix":""},{"dropping-particle":"","family":"Lin","given":"Jaw-Town","non-dropping-particle":"","parse-names":false,"suffix":""},{"dropping-particle":"","family":"Wang","given":"Hsiu-Po","non-dropping-particle":"","parse-names":false,"suffix":""},{"dropping-particle":"","family":"Chien","given":"Kuo-Liong","non-dropping-particle":"","parse-names":false,"suffix":""}],"container-title":"BMJ (Clinical research ed.)","id":"ITEM-1","issued":{"date-parts":[["2015"]]},"page":"g7371","publisher":"BMJ Publishing Group","title":"Blood glucose concentration and risk of pancreatic cancer: systematic review and dose-response meta-analysis.","type":"article-journal","volume":"350"},"uris":["http://www.mendeley.com/documents/?uuid=fb96ccb9-6ce6-45d2-a25f-cfcdda63e1d1"]}],"mendeley":{"formattedCitation":"&lt;sup&gt;16&lt;/sup&gt;","plainTextFormattedCitation":"16","previouslyFormattedCitation":"&lt;sup&gt;16&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16</w:t>
      </w:r>
      <w:r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adiponectin level</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{"citationItems":[{"id":"ITEM-1","itemData":{"DOI":"10.1093/jnci/djs474","ISSN":"1460-2105","PMID":"23243202","abstract":"BACKGROUND The adipocyte-secreted hormone adiponectin has insulin-sensitizing and anti-inflammatory properties. Although development of pancreatic cancer is associated with states of insulin resistance and chronic inflammation, the mechanistic basis of the associations is poorly understood. METHODS To determine whether prediagnostic plasma levels of adiponectin are associated with risk of pancreatic cancer, we conducted a nested case-control study of 468 pancreatic cancer case subjects and 1080 matched control subjects from five prospective US cohorts: Health Professionals Follow-up Study, Nurses' Health Study, Physicians' Health Study, Women's Health Initiative, and Women's Health Study. Control subjects were matched to case subjects by prospective cohort, year of birth, smoking status, fasting status, and month of blood draw. All samples for plasma adiponectin were handled identically in a single batch. Odds ratios were calculated with conditional logistic regression, and linearity of the association between adiponectin and pancreatic cancer was modeled with restricted cubic spline regression. All statistical tests were two-sided. RESULTS Median plasma adiponectin was lower in case subjects versus control subjects (6.2 vs 6.8 µg/mL, P = .009). Plasma adiponectin was inversely associated with pancreatic cancer risk, which was consistent across the five prospective cohorts (P (heterogeneity) = .49) and independent of other markers of insulin resistance (eg, diabetes, body mass index, physical activity, plasma C-peptide). Compared with the lowest quintile of adiponectin, individuals in quintiles 2 to 5 had multivariable odds ratios ([ORs] 95% confidence intervals [CIs]) of OR = 0.61 (95% CI = 0.43 to 0.86), OR = 0.58 (95% CI = 0.41 to 0.84), OR = 0.59 (95% CI = 0.40 to 0.87), and OR = 0.66 (95% CI = 0.44 to 0.97), respectively (P (trend) = .04). Restricted cubic spline regression confirmed a nonlinear association (P (nonlinearity) &lt; .01). The association was not modified by sex, smoking, body mass index, physical activity, or C-peptide (all P (interaction) &gt; .10). CONCLUSIONS In this pooled analysis, low prediagnostic levels of circulating adiponectin were associated with an elevated risk of pancreatic cancer.","author":[{"dropping-particle":"","family":"Bao","given":"Ying","non-dropping-particle":"","parse-names":false,"suffix":""},{"dropping-particle":"","family":"Giovannucci","given":"Edward L","non-dropping-particle":"","parse-names":false,"suffix":""},{"dropping-particle":"","family":"Kraft","given":"Peter","non-dropping-particle":"","parse-names":false,"suffix":""},{"dropping-particle":"","family":"Stampfer","given":"Meir J","non-dropping-particle":"","parse-names":false,"suffix":""},{"dropping-particle":"","family":"Ogino","given":"Shuji","non-dropping-particle":"","parse-names":false,"suffix":""},{"dropping-particle":"","family":"Ma","given":"Jing","non-dropping-particle":"","parse-names":false,"suffix":""},{"dropping-particle":"","family":"Buring","given":"Julie E","non-dropping-particle":"","parse-names":false,"suffix":""},{"dropping-particle":"","family":"Sesso","given":"Howard D","non-dropping-particle":"","parse-names":false,"suffix":""},{"dropping-particle":"","family":"Lee","given":"I-Min","non-dropping-particle":"","parse-names":false,"suffix":""},{"dropping-particle":"","family":"Gaziano","given":"John Michael","non-dropping-particle":"","parse-names":false,"suffix":""},{"dropping-particle":"","family":"Rifai","given":"Nader","non-dropping-particle":"","parse-names":false,"suffix":""},{"dropping-particle":"","family":"Pollak","given":"Michael N","non-dropping-particle":"","parse-names":false,"suffix":""},{"dropping-particle":"","family":"Cochrane","given":"Barbara B","non-dropping-particle":"","parse-names":false,"suffix":""},{"dropping-particle":"","family":"Kaklamani","given":"Virginia","non-dropping-particle":"","parse-names":false,"suffix":""},{"dropping-particle":"","family":"Lin","given":"Jennifer H","non-dropping-particle":"","parse-names":false,"suffix":""},{"dropping-particle":"","family":"Manson","given":"Joann E","non-dropping-particle":"","parse-names":false,"suffix":""},{"dropping-particle":"","family":"Fuchs","given":"Charles S","non-dropping-particle":"","parse-names":false,"suffix":""},{"dropping-particle":"","family":"Wolpin","given":"Brian M","non-dropping-particle":"","parse-names":false,"suffix":""}],"container-title":"Journal of the National Cancer Institute","id":"ITEM-1","issue":"2","issued":{"date-parts":[["2013","1","16"]]},"page":"95-103","publisher":"Oxford University Press","title":"A prospective study of plasma adiponectin and pancreatic cancer risk in five US cohorts.","type":"article-journal","volume":"105"},"uris":["http://www.mendeley.com/documents/?uuid=f096313a-b11b-362d-88dd-f5a8d0c4c557","http://www.mendeley.com/documents/?uuid=62aeea8a-a902-464e-925b-499c58c91059"]}],"mendeley":{"formattedCitation":"&lt;sup&gt;17&lt;/sup&gt;","plainTextFormattedCitation":"17","previouslyFormattedCitation":"&lt;sup&gt;17&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17</w:t>
      </w:r>
      <w:r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lipid </w:t>
      </w:r>
      <w:r w:rsidR="002652C6" w:rsidRPr="004B08E4">
        <w:rPr>
          <w:rFonts w:asciiTheme="minorHAnsi" w:eastAsiaTheme="minorHAnsi" w:hAnsiTheme="minorHAnsi" w:cstheme="minorHAnsi"/>
          <w:lang w:val="en-GB"/>
        </w:rPr>
        <w:t>levels</w:t>
      </w:r>
      <w:r w:rsidR="008A2620">
        <w:rPr>
          <w:rFonts w:asciiTheme="minorHAnsi" w:eastAsiaTheme="minorHAnsi" w:hAnsiTheme="minorHAnsi" w:cstheme="minorHAnsi"/>
          <w:noProof/>
          <w:vertAlign w:val="superscript"/>
          <w:lang w:val="en-GB"/>
        </w:rPr>
        <w:t xml:space="preserve"> </w:t>
      </w:r>
      <w:r w:rsidR="008A2620">
        <w:rPr>
          <w:rFonts w:asciiTheme="minorHAnsi" w:eastAsiaTheme="minorHAnsi" w:hAnsiTheme="minorHAnsi" w:cstheme="minorHAnsi"/>
          <w:noProof/>
          <w:vertAlign w:val="superscript"/>
          <w:lang w:val="en-GB"/>
        </w:rPr>
        <w:fldChar w:fldCharType="begin" w:fldLock="1"/>
      </w:r>
      <w:r w:rsidR="00DE3151">
        <w:rPr>
          <w:rFonts w:asciiTheme="minorHAnsi" w:eastAsiaTheme="minorHAnsi" w:hAnsiTheme="minorHAnsi" w:cstheme="minorHAnsi"/>
          <w:noProof/>
          <w:vertAlign w:val="superscript"/>
          <w:lang w:val="en-GB"/>
        </w:rPr>
        <w:instrText>ADDIN CSL_CITATION {"citationItems":[{"id":"ITEM-1","itemData":{"DOI":"10.1097/MPA.0b013e3182571ba9","ISSN":"0885-3177","author":[{"dropping-particle":"","family":"Tseng","given":"Chin-Hsiao","non-dropping-particle":"","parse-names":false,"suffix":""}],"container-title":"Pancreas","id":"ITEM-1","issue":"1","issued":{"date-parts":[["2013","1"]]},"page":"42-48","title":"New-Onset Diabetes With a History of Dyslipidemia Predicts Pancreatic Cancer","type":"article-journal","volume":"42"},"uris":["http://www.mendeley.com/documents/?uuid=173a30fd-9548-449a-9f0f-0c00072306d2"]},{"id":"ITEM-2","itemData":{"DOI":"10.3748/wjg.v21.i12.3711","ISSN":"2219-2840","PMID":"25834340","abstract":"AIM To evaluate the effect of dietary cholesterol and serum total cholesterol (TC) on the risk of pancreatic cancer. METHODS A literature search was performed up to June 2014 in PubMed, EMBASE, China National Knowledge Infrastructure and China Biology Medical literature database for relevant articles published in English or Chinese. Pooled relative risks (RRs) with 95% confidence intervals (CIs) were calculated with a random-effects model. RESULTS We included 14 published articles with 439355 participants for dietary cholesterol, and 6 published articles with 1805697 participants for serum TC. For the highest vs lowest category of dietary cholesterol, the pooled RR (95%CI) of pancreatic cancer was 1.308 (1.097-1.559). After excluding two studies (RR &gt; 3.0), the pooled RR (95%CI) was 1.204 (1.050-1.380). In subgroup analysis stratified by study design, the pooled RRs (95%CIs) were 1.523 (1.226-1.893) for case-control studies and 1.023 (0.871-1.200) for cohort studies. The association of dietary cholesterol with the risk of pancreatic cancer was significant for studies conducted in North America [1.275 (1.058-1.537)] and others [2.495 (1.565-3.977)], but not in Europe [1.149 (0.863-1.531)]. No significant association [1.003 (0.859-1.171)] was found between the risk of pancreatic cancer and serum TC. CONCLUSION Dietary cholesterol may be associated with an increased risk of pancreatic cancer in worldwide populations, except for Europeans. The results need to be confirmed further.","author":[{"dropping-particle":"","family":"Wang","given":"Jia","non-dropping-particle":"","parse-names":false,"suffix":""},{"dropping-particle":"","family":"Wang","given":"Wei-Jing","non-dropping-particle":"","parse-names":false,"suffix":""},{"dropping-particle":"","family":"Zhai","given":"Long","non-dropping-particle":"","parse-names":false,"suffix":""},{"dropping-particle":"","family":"Zhang","given":"Dong-Feng","non-dropping-particle":"","parse-names":false,"suffix":""}],"container-title":"World journal of gastroenterology","id":"ITEM-2","issue":"12","issued":{"date-parts":[["2015","3","28"]]},"page":"3711-9","publisher":"Baishideng Publishing Group Inc","title":"Association of cholesterol with risk of pancreatic cancer: a meta-analysis.","type":"article-journal","volume":"21"},"uris":["http://www.mendeley.com/documents/?uuid=e4a715a8-0fd8-3da8-8791-aaa1c9ed0da3"]}],"mendeley":{"formattedCitation":"&lt;sup&gt;18, 19&lt;/sup&gt;","plainTextFormattedCitation":"18, 19","previouslyFormattedCitation":"&lt;sup&gt;18, 19&lt;/sup&gt;"},"properties":{"noteIndex":0},"schema":"https://github.com/citation-style-language/schema/raw/master/csl-citation.json"}</w:instrText>
      </w:r>
      <w:r w:rsidR="008A2620">
        <w:rPr>
          <w:rFonts w:asciiTheme="minorHAnsi" w:eastAsiaTheme="minorHAnsi" w:hAnsiTheme="minorHAnsi" w:cstheme="minorHAnsi"/>
          <w:noProof/>
          <w:vertAlign w:val="superscript"/>
          <w:lang w:val="en-GB"/>
        </w:rPr>
        <w:fldChar w:fldCharType="separate"/>
      </w:r>
      <w:r w:rsidR="00DE3151" w:rsidRPr="00DE3151">
        <w:rPr>
          <w:rFonts w:asciiTheme="minorHAnsi" w:eastAsiaTheme="minorHAnsi" w:hAnsiTheme="minorHAnsi" w:cstheme="minorHAnsi"/>
          <w:noProof/>
          <w:vertAlign w:val="superscript"/>
          <w:lang w:val="en-GB"/>
        </w:rPr>
        <w:t>18, 19</w:t>
      </w:r>
      <w:r w:rsidR="008A2620">
        <w:rPr>
          <w:rFonts w:asciiTheme="minorHAnsi" w:eastAsiaTheme="minorHAnsi" w:hAnsiTheme="minorHAnsi" w:cstheme="minorHAnsi"/>
          <w:noProof/>
          <w:vertAlign w:val="superscript"/>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alcohol consumption</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{"citationItems":[{"id":"ITEM-1","itemData":{"DOI":"10.1016/j.bpg.2017.09.001","ISSN":"1532-1916","PMID":"29195672","abstract":"Pancreatic cancer is projected to become the leading cause of cancer deaths by 2050. The risk for pancreatic cancer may be reduced by up to 27% by modifying lifestyle risk factors, most notably tobacco smoking. Based on analysis of more than 2 million unselected individuals from general population, this article quantified the risk of pancreatic cancer in relation to lifelong tobacco smoking and alcohol consumption status, both alone and in combination. It also provided a state-of-the-art review of animal studies on the effect of tobacco smoke and alcohol on genetically engineered mouse models of pancreatic precursor lesions, as well as the role of immune microenvironment in pancreatic carcinogenesis activated by tobacco and alcohol.","author":[{"dropping-particle":"","family":"Korc","given":"Murray","non-dropping-particle":"","parse-names":false,"suffix":""},{"dropping-particle":"","family":"Jeon","given":"Christie Y","non-dropping-particle":"","parse-names":false,"suffix":""},{"dropping-particle":"","family":"Edderkaoui","given":"Mouad","non-dropping-particle":"","parse-names":false,"suffix":""},{"dropping-particle":"","family":"Pandol","given":"Stephen J","non-dropping-particle":"","parse-names":false,"suffix":""},{"dropping-particle":"","family":"Petrov","given":"Maxim S","non-dropping-particle":"","parse-names":false,"suffix":""},{"dropping-particle":"","family":"Consortium for the Study of Chronic Pancreatitis, Diabetes, and Pancreatic Cancer (CPDPC)","given":"Consortium for the Study of Chronic","non-dropping-particle":"","parse-names":false,"suffix":""},{"dropping-particle":"","family":"Diabetes","given":"","non-dropping-particle":"","parse-names":false,"suffix":""},{"dropping-particle":"","family":"(CPDPC)","given":"and Pancreatic Cancer","non-dropping-particle":"","parse-names":false,"suffix":""}],"container-title":"Best practice &amp; research. Clinical gastroenterology","id":"ITEM-1","issue":"5","issued":{"date-parts":[["2017","10"]]},"page":"529-536","publisher":"NIH Public Access","title":"Tobacco and alcohol as risk factors for pancreatic cancer.","type":"article-journal","volume":"31"},"uris":["http://www.mendeley.com/documents/?uuid=b3e95459-1736-4a93-a669-52cf917ec11e"]}],"mendeley":{"formattedCitation":"&lt;sup&gt;20&lt;/sup&gt;","plainTextFormattedCitation":"20","previouslyFormattedCitation":"&lt;sup&gt;20&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20</w:t>
      </w:r>
      <w:r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 xml:space="preserve"> and </w:t>
      </w:r>
      <w:r w:rsidRPr="004B08E4">
        <w:rPr>
          <w:rFonts w:asciiTheme="minorHAnsi" w:eastAsiaTheme="minorHAnsi" w:hAnsiTheme="minorHAnsi" w:cstheme="minorHAnsi"/>
          <w:lang w:val="en-GB"/>
        </w:rPr>
        <w:t>smoking behaviour</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{"citationItems":[{"id":"ITEM-1","itemData":{"DOI":"10.1016/j.bpg.2017.09.001","ISSN":"1532-1916","PMID":"29195672","abstract":"Pancreatic cancer is projected to become the leading cause of cancer deaths by 2050. The risk for pancreatic cancer may be reduced by up to 27% by modifying lifestyle risk factors, most notably tobacco smoking. Based on analysis of more than 2 million unselected individuals from general population, this article quantified the risk of pancreatic cancer in relation to lifelong tobacco smoking and alcohol consumption status, both alone and in combination. It also provided a state-of-the-art review of animal studies on the effect of tobacco smoke and alcohol on genetically engineered mouse models of pancreatic precursor lesions, as well as the role of immune microenvironment in pancreatic carcinogenesis activated by tobacco and alcohol.","author":[{"dropping-particle":"","family":"Korc","given":"Murray","non-dropping-particle":"","parse-names":false,"suffix":""},{"dropping-particle":"","family":"Jeon","given":"Christie Y","non-dropping-particle":"","parse-names":false,"suffix":""},{"dropping-particle":"","family":"Edderkaoui","given":"Mouad","non-dropping-particle":"","parse-names":false,"suffix":""},{"dropping-particle":"","family":"Pandol","given":"Stephen J","non-dropping-particle":"","parse-names":false,"suffix":""},{"dropping-particle":"","family":"Petrov","given":"Maxim S","non-dropping-particle":"","parse-names":false,"suffix":""},{"dropping-particle":"","family":"Consortium for the Study of Chronic Pancreatitis, Diabetes, and Pancreatic Cancer (CPDPC)","given":"Consortium for the Study of Chronic","non-dropping-particle":"","parse-names":false,"suffix":""},{"dropping-particle":"","family":"Diabetes","given":"","non-dropping-particle":"","parse-names":false,"suffix":""},{"dropping-particle":"","family":"(CPDPC)","given":"and Pancreatic Cancer","non-dropping-particle":"","parse-names":false,"suffix":""}],"container-title":"Best practice &amp; research. Clinical gastroenterology","id":"ITEM-1","issue":"5","issued":{"date-parts":[["2017","10"]]},"page":"529-536","publisher":"NIH Public Access","title":"Tobacco and alcohol as risk factors for pancreatic cancer.","type":"article-journal","volume":"31"},"uris":["http://www.mendeley.com/documents/?uuid=b3e95459-1736-4a93-a669-52cf917ec11e"]}],"mendeley":{"formattedCitation":"&lt;sup&gt;20&lt;/sup&gt;","plainTextFormattedCitation":"20","previouslyFormattedCitation":"&lt;sup&gt;20&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20</w:t>
      </w:r>
      <w:r w:rsidRPr="004B08E4">
        <w:rPr>
          <w:rFonts w:asciiTheme="minorHAnsi" w:eastAsiaTheme="minorHAnsi" w:hAnsiTheme="minorHAnsi" w:cstheme="minorHAnsi"/>
          <w:lang w:val="en-GB"/>
        </w:rPr>
        <w:fldChar w:fldCharType="end"/>
      </w:r>
      <w:r w:rsidR="00444B6A" w:rsidRPr="004B08E4">
        <w:rPr>
          <w:rFonts w:asciiTheme="minorHAnsi" w:eastAsiaTheme="minorHAnsi" w:hAnsiTheme="minorHAnsi" w:cstheme="minorHAnsi"/>
          <w:lang w:val="en-GB"/>
        </w:rPr>
        <w:t xml:space="preserve">, while others are suggested: </w:t>
      </w:r>
      <w:r w:rsidRPr="004B08E4">
        <w:rPr>
          <w:rFonts w:asciiTheme="minorHAnsi" w:eastAsiaTheme="minorHAnsi" w:hAnsiTheme="minorHAnsi" w:cstheme="minorHAnsi"/>
          <w:lang w:val="en-GB"/>
        </w:rPr>
        <w:t>bilirubin level</w:t>
      </w:r>
      <w:r w:rsidR="0073321C">
        <w:rPr>
          <w:rFonts w:asciiTheme="minorHAnsi" w:eastAsiaTheme="minorHAnsi" w:hAnsiTheme="minorHAnsi" w:cstheme="minorHAnsi"/>
          <w:lang w:val="en-GB"/>
        </w:rPr>
        <w:t xml:space="preserve"> </w:t>
      </w:r>
      <w:r w:rsidR="00F51EA4"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{"citationItems":[{"id":"ITEM-1","itemData":{"DOI":"10.1159/000441310","ISSN":"2296-5262","PMID":"26599274","abstract":"In patients with advanced unresectable pancreatic cancer, the prognosis is generally poor. Within recent years, new treatment options such as the FOLFIRINOX regimen (5-fluorouracil, leucovorin, irinotecan and oxaliplatin) or the combination of nanoparticle albumin-bound (nab)-paclitaxel plus gemcitabine have shown a clinically relevant survival benefit over the standard gemcitabine in patients with good performance status. Unfortunately, patients with hyperbilirubinaemia, who constitute a substantial proportion of the pancreatic cancer patients, have been excluded from most clinical studies. Consequently, our knowledge on the appropriate medical treatment of this patient group is limited. In a meeting of German medical oncology experts, the available clinical evidence and own clinical experience regarding the management of patients with advanced pancreatic cancer and hyperbilirubinaemia was discussed. The present publication summarises the discussion outcomes with regard to appropriate management of these patients, including consensus-based recommendations for nab-paclitaxel/gemcitabine treatment, according to the best available evidence. In summary, knowledge of the underlying aetiology of hyperbilirubinaemia and the metabolisation routes of the cytotoxic drugs is crucial before initiating chemotherapy. As effective treatment options should also be made available to patients with comorbid conditions, including hyperbilirubinaemia, the experts provide advice for an initial dose reduction of chemotherapy with nab-paclitaxel/gemcitabine based on the total bilirubin level in patients with biliary obstruction or extensive liver metastasis.","author":[{"dropping-particle":"","family":"Vogel","given":"Arndt","non-dropping-particle":"","parse-names":false,"suffix":""},{"dropping-particle":"","family":"Kullmann","given":"Frank","non-dropping-particle":"","parse-names":false,"suffix":""},{"dropping-particle":"","family":"Kunzmann","given":"Volker","non-dropping-particle":"","parse-names":false,"suffix":""},{"dropping-particle":"","family":"Al-Batran","given":"Salah-Eddin","non-dropping-particle":"","parse-names":false,"suffix":""},{"dropping-particle":"","family":"Oettle","given":"Helmut","non-dropping-particle":"","parse-names":false,"suffix":""},{"dropping-particle":"","family":"Plentz","given":"Ruben","non-dropping-particle":"","parse-names":false,"suffix":""},{"dropping-particle":"","family":"Siveke","given":"Jens","non-dropping-particle":"","parse-names":false,"suffix":""},{"dropping-particle":"","family":"Springfeld","given":"Christoph","non-dropping-particle":"","parse-names":false,"suffix":""},{"dropping-particle":"","family":"Riess","given":"Hanno","non-dropping-particle":"","parse-names":false,"suffix":""}],"container-title":"Oncology research and treatment","id":"ITEM-1","issue":"11","issued":{"date-parts":[["2015"]]},"page":"596-603","publisher":"Karger Publishers","title":"Patients with Advanced Pancreatic Cancer and Hyperbilirubinaemia: Review and German Expert Opinion on Treatment with nab-Paclitaxel plus Gemcitabine.","type":"article-journal","volume":"38"},"uris":["http://www.mendeley.com/documents/?uuid=7ef8cad7-c94c-4f4b-98c4-26e02b58b4a3"]},{"id":"ITEM-2","itemData":{"DOI":"10.1093/hmg/ddp202","ISBN":"1460-2083 (Electronic)\\n0964-6906 (Linking)","ISSN":"09646906","PMID":"19414484","abstract":"Variation in serum bilirubin is associated with altered cardiovascular disease risk and drug metabolism. We aimed to identify genetic contributors to variability in serum bilirubin levels by combining results from three genome-wide association studies (Framingham heart study, n = 3424; Rotterdam study, n = 3847; Age, Gene, Environment and Susceptibility-Reykjavik, n = 2193). Meta-analysis showed strong replication for a genetic influence on serum bilirubin levels of the UGT1A1 locus (P &lt; 5 x 10(-324)) and a 12p12.2 locus. The peak signal in the 12p12.2 region was a non-synonymous SNP in SLCO1B1 (rs4149056, P = 6.7 x 10(-13)), which gives rise to a valine to alanine amino acid change leading to reduced activity for a hepatic transporter with known affinity for bilirubin. There were also suggestive associations with several other loci. The top variants in UGT1A1 and SLCO1B1 explain approximately 18.0 and approximately 1.0% of the variation in total serum bilirubin levels, respectively. In a conditional analysis adjusted for individual genotypes for the top UGT1A1 variant, the top SLCO1B1 variant remained highly significant (P = 7.3 x 10(-13)), but no other variants achieved genome-wide significance. In one of the largest genetic studies of bilirubin to date (n = 9464), we confirm the substantial genetic influence of UGT1A1 variants, consistent with past linkage and association studies, and additionally provide strong evidence of a role for allelic variation in SLCO1B1. Given the involvement of bilirubin in a number of physiological and disease processes, and the roles for UGT1A1 and SLCO1B1 in drug metabolism, these genetic findings have potential clinical importance. In analyses for association with gallbladder disease or gallstones, top bilirubin SNPs in UGT1A1 and SLCO1B1 were not associated.","author":[{"dropping-particle":"","family":"Johnson","given":"Andrew D.","non-dropping-particle":"","parse-names":false,"suffix":""},{"dropping-particle":"","family":"Kavousi","given":"Maryam","non-dropping-particle":"","parse-names":false,"suffix":""},{"dropping-particle":"V.","family":"Smith","given":"Albert","non-dropping-particle":"","parse-names":false,"suffix":""},{"dropping-particle":"","family":"Chen","given":"Ming Huei","non-dropping-particle":"","parse-names":false,"suffix":""},{"dropping-particle":"","family":"Dehghan","given":"Abbas","non-dropping-particle":"","parse-names":false,"suffix":""},{"dropping-particle":"","family":"Aspelund","given":"Thor","non-dropping-particle":"","parse-names":false,"suffix":""},{"dropping-particle":"","family":"Lin","given":"Jing Ping","non-dropping-particle":"","parse-names":false,"suffix":""},{"dropping-particle":"","family":"Duijn","given":"Cornelia M.","non-dropping-particle":"van","parse-names":false,"suffix":""},{"dropping-particle":"","family":"Harris","given":"Tamara B.","non-dropping-particle":"","parse-names":false,"suffix":""},{"dropping-particle":"","family":"Cupples","given":"L. Adrienne","non-dropping-particle":"","parse-names":false,"suffix":""},{"dropping-particle":"","family":"Uitterlinden","given":"Andre G.","non-dropping-particle":"","parse-names":false,"suffix":""},{"dropping-particle":"","family":"Launer","given":"Lenore","non-dropping-particle":"","parse-names":false,"suffix":""},{"dropping-particle":"","family":"Hofman","given":"Albert","non-dropping-particle":"","parse-names":false,"suffix":""},{"dropping-particle":"","family":"Rivadeneira","given":"Fernando","non-dropping-particle":"","parse-names":false,"suffix":""},{"dropping-particle":"","family":"Stricker","given":"Bruno","non-dropping-particle":"","parse-names":false,"suffix":""},{"dropping-particle":"","family":"Yang","given":"Qiong","non-dropping-particle":"","parse-names":false,"suffix":""},{"dropping-particle":"","family":"O'Donnell","given":"Christopher J.","non-dropping-particle":"","parse-names":false,"suffix":""},{"dropping-particle":"","family":"Gudnason","given":"Vilmundur","non-dropping-particle":"","parse-names":false,"suffix":""},{"dropping-particle":"","family":"Witteman","given":"Jacqueline C.","non-dropping-particle":"","parse-names":false,"suffix":""}],"container-title":"Human Molecular Genetics","id":"ITEM-2","issue":"14","issued":{"date-parts":[["2009"]]},"page":"2700-2710","title":"Genome-wide association meta-analysis for total serum bilirubin levels","type":"article-journal","volume":"18"},"uris":["http://www.mendeley.com/documents/?uuid=b51790be-6845-4d40-b963-f6e23e46117c"]}],"mendeley":{"formattedCitation":"&lt;sup&gt;21, 22&lt;/sup&gt;","plainTextFormattedCitation":"21, 22","previouslyFormattedCitation":"&lt;sup&gt;21, 22&lt;/sup&gt;"},"properties":{"noteIndex":0},"schema":"https://github.com/citation-style-language/schema/raw/master/csl-citation.json"}</w:instrText>
      </w:r>
      <w:r w:rsidR="00F51EA4"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21, 22</w:t>
      </w:r>
      <w:r w:rsidR="00F51EA4"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0010691C"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vitamin D level</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{"citationItems":[{"id":"ITEM-1","itemData":{"DOI":"10.1093/annonc/mdv236","ISSN":"0923-7534","PMID":"25977560","abstract":"BACKGROUND The potential role of vitamin D in the aetiology of pancreatic cancer is unclear, with recent studies suggesting both positive and negative associations. PATIENTS AND METHODS We used data from nine case-control studies from the International Pancreatic Cancer Case-Control Consortium (PanC4) to examine associations between pancreatic cancer risk and dietary vitamin D intake. Study-specific odds ratios (ORs) were estimated using multivariable logistic regression, and ORs were then pooled using a random-effects model. From a subset of four studies, we also calculated pooled estimates of association for supplementary and total vitamin D intake. RESULTS Risk of pancreatic cancer increased with dietary intake of vitamin D [per 100 international units (IU)/day: OR = 1.13, 95% confidence interval (CI) 1.07-1.19, P = 7.4 × 10(-6), P-heterogeneity = 0.52; ≥230 versus &lt;110 IU/day: OR = 1.31, 95% CI 1.10-1.55, P = 2.4 × 10(-3), P-heterogeneity = 0.81], with the association possibly stronger in people with low retinol/vitamin A intake. CONCLUSION Increased risk of pancreatic cancer was observed with higher levels of dietary vitamin D intake. Additional studies are required to determine whether or not our finding has a causal basis.","author":[{"dropping-particle":"","family":"Waterhouse","given":"M.","non-dropping-particle":"","parse-names":false,"suffix":""},{"dropping-particle":"","family":"Risch","given":"H. A.","non-dropping-particle":"","parse-names":false,"suffix":""},{"dropping-particle":"","family":"Bosetti","given":"C.","non-dropping-particle":"","parse-names":false,"suffix":""},{"dropping-particle":"","family":"Anderson","given":"K. E.","non-dropping-particle":"","parse-names":false,"suffix":""},{"dropping-particle":"","family":"Petersen","given":"G. M.","non-dropping-particle":"","parse-names":false,"suffix":""},{"dropping-particle":"","family":"Bamlet","given":"W. R.","non-dropping-particle":"","parse-names":false,"suffix":""},{"dropping-particle":"","family":"Cotterchio","given":"M.","non-dropping-particle":"","parse-names":false,"suffix":""},{"dropping-particle":"","family":"Cleary","given":"S. P.","non-dropping-particle":"","parse-names":false,"suffix":""},{"dropping-particle":"","family":"Ibiebele","given":"T. I.","non-dropping-particle":"","parse-names":false,"suffix":""},{"dropping-particle":"","family":"Vecchia","given":"C.","non-dropping-particle":"La","parse-names":false,"suffix":""},{"dropping-particle":"","family":"Skinner","given":"H. G.","non-dropping-particle":"","parse-names":false,"suffix":""},{"dropping-particle":"","family":"Strayer","given":"L.","non-dropping-particle":"","parse-names":false,"suffix":""},{"dropping-particle":"","family":"Bracci","given":"P. M.","non-dropping-particle":"","parse-names":false,"suffix":""},{"dropping-particle":"","family":"Maisonneuve","given":"P.","non-dropping-particle":"","parse-names":false,"suffix":""},{"dropping-particle":"","family":"Bueno-de-Mesquita","given":"H. B.","non-dropping-particle":"","parse-names":false,"suffix":""},{"dropping-particle":"","family":"Zaton´ski","given":"W.","non-dropping-particle":"","parse-names":false,"suffix":""},{"dropping-particle":"","family":"Lu","given":"L.","non-dropping-particle":"","parse-names":false,"suffix":""},{"dropping-particle":"","family":"Yu","given":"H.","non-dropping-particle":"","parse-names":false,"suffix":""},{"dropping-particle":"","family":"Janik-Koncewicz","given":"K.","non-dropping-particle":"","parse-names":false,"suffix":""},{"dropping-particle":"","family":"Neale","given":"R. E.","non-dropping-particle":"","parse-names":false,"suffix":""},{"dropping-particle":"","family":"Serraino","given":"D","non-dropping-particle":"","parse-names":false,"suffix":""},{"dropping-particle":"","family":"Neale","given":"R E","non-dropping-particle":"","parse-names":false,"suffix":""},{"dropping-particle":"","family":"Pancreatic Cancer Case–Control Consortium (PanC4)","given":"","non-dropping-particle":"","parse-names":false,"suffix":""}],"container-title":"Annals of Oncology","id":"ITEM-1","issue":"8","issued":{"date-parts":[["2015","8"]]},"page":"1776-1783","title":"Vitamin D and pancreatic cancer: a pooled analysis from the Pancreatic Cancer Case–Control Consortium","type":"article-journal","volume":"26"},"uris":["http://www.mendeley.com/documents/?uuid=b236213b-9897-492c-b9c3-407ccec3c3fc"]}],"mendeley":{"formattedCitation":"&lt;sup&gt;23&lt;/sup&gt;","plainTextFormattedCitation":"23","previouslyFormattedCitation":"&lt;sup&gt;23&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23</w:t>
      </w:r>
      <w:r w:rsidRPr="004B08E4">
        <w:rPr>
          <w:rFonts w:asciiTheme="minorHAnsi" w:eastAsiaTheme="minorHAnsi" w:hAnsiTheme="minorHAnsi" w:cstheme="minorHAnsi"/>
          <w:lang w:val="en-GB"/>
        </w:rPr>
        <w:fldChar w:fldCharType="end"/>
      </w:r>
      <w:r w:rsidR="0010691C" w:rsidRPr="004B08E4">
        <w:rPr>
          <w:rFonts w:asciiTheme="minorHAnsi" w:eastAsiaTheme="minorHAnsi" w:hAnsiTheme="minorHAnsi" w:cstheme="minorHAnsi"/>
          <w:lang w:val="en-GB"/>
        </w:rPr>
        <w:t xml:space="preserve"> and </w:t>
      </w:r>
      <w:r w:rsidR="0010691C" w:rsidRPr="004B08E4">
        <w:rPr>
          <w:rFonts w:asciiTheme="minorHAnsi" w:eastAsiaTheme="minorHAnsi" w:hAnsiTheme="minorHAnsi" w:cstheme="minorHAnsi"/>
          <w:i/>
          <w:lang w:val="en-GB"/>
        </w:rPr>
        <w:t>Helicobacter pylori</w:t>
      </w:r>
      <w:r w:rsidR="0010691C" w:rsidRPr="004B08E4">
        <w:rPr>
          <w:rFonts w:asciiTheme="minorHAnsi" w:eastAsiaTheme="minorHAnsi" w:hAnsiTheme="minorHAnsi" w:cstheme="minorHAnsi"/>
          <w:lang w:val="en-GB"/>
        </w:rPr>
        <w:t xml:space="preserve"> infection</w:t>
      </w:r>
      <w:r w:rsidR="0073321C">
        <w:rPr>
          <w:rFonts w:asciiTheme="minorHAnsi" w:eastAsiaTheme="minorHAnsi" w:hAnsiTheme="minorHAnsi" w:cstheme="minorHAnsi"/>
          <w:lang w:val="en-GB"/>
        </w:rPr>
        <w:t xml:space="preserve"> </w:t>
      </w:r>
      <w:r w:rsidR="008D449F"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{"citationItems":[{"id":"ITEM-1","itemData":{"DOI":"10.1007/s10552-015-0595-3","ISSN":"0957-5243","PMID":"25951801","abstract":"PURPOSE Gastric colonization with Helicobacter pylori (H. pylori) has been implicated in the pathogenesis of pancreatic cancer, but results of epidemiological studies have been inconclusive. We analyzed data from the Queensland Pancreatic Cancer Study, an Australian population-based case-control study, and incorporated our findings into an updated meta-analysis. METHODS Blood samples were obtained from 580 patients and 626 controls, and enzyme-linked immunosorbent assay kits were used to determine seropositivity to H. pylori and its virulence protein, cytotoxin-associated gene A (CagA). Odds ratios (ORs) and 95 % confidence intervals (CIs) were calculated using logistic regression. Results were incorporated into a meta-analysis along with results of studies identified through systematic literature review. Adjusted ORs and 95 % CIs were calculated using the DerSimonian and Laird random-effects model. RESULTS No overall association was observed between H. pylori seropositivity and risk of pancreatic cancer (OR 1.00; 95 % CI 0.74-1.35). Nonsignificantly decreased pancreatic cancer risk was observed with CagA seropositivity (OR 0.74; 95 % CI 0.48-1.15) and increased risk with CagA-negative H. pylori seropositivity (OR 1.23; 95 % CI 0.83-1.82). Ten studies were included in the meta-analysis. There was no significant overall association between H. pylori seropositivity and pancreatic cancer risk (OR 1.13; 95 % CI 0.86-1.50), but evidence of CagA strain-specific associations (OR 0.78; 95 % CI 0.67-0.91 and OR 1.30; 95 % CI 1.02-1.65 for CagA-positive and CagA-negative strains, respectively). CONCLUSIONS Our results provide further evidence for the existence of strain-specific associations between H. pylori and pancreatic cancer.","author":[{"dropping-particle":"","family":"Schulte","given":"Annaka","non-dropping-particle":"","parse-names":false,"suffix":""},{"dropping-particle":"","family":"Pandeya","given":"Nirmala","non-dropping-particle":"","parse-names":false,"suffix":""},{"dropping-particle":"","family":"Fawcett","given":"Jonathan","non-dropping-particle":"","parse-names":false,"suffix":""},{"dropping-particle":"","family":"Fritschi","given":"Lin","non-dropping-particle":"","parse-names":false,"suffix":""},{"dropping-particle":"","family":"Risch","given":"Harvey A.","non-dropping-particle":"","parse-names":false,"suffix":""},{"dropping-particle":"","family":"Webb","given":"Penelope M.","non-dropping-particle":"","parse-names":false,"suffix":""},{"dropping-particle":"","family":"Whiteman","given":"David C.","non-dropping-particle":"","parse-names":false,"suffix":""},{"dropping-particle":"","family":"Neale","given":"Rachel E.","non-dropping-particle":"","parse-names":false,"suffix":""}],"container-title":"Cancer Causes &amp; Control","id":"ITEM-1","issue":"7","issued":{"date-parts":[["2015","7","8"]]},"page":"1027-1035","title":"Association between Helicobacter pylori and pancreatic cancer risk: a meta-analysis","type":"article-journal","volume":"26"},"uris":["http://www.mendeley.com/documents/?uuid=c61d8fa7-288c-35aa-9e9d-a0a58fb69cd5"]}],"mendeley":{"formattedCitation":"&lt;sup&gt;24&lt;/sup&gt;","plainTextFormattedCitation":"24","previouslyFormattedCitation":"&lt;sup&gt;24&lt;/sup&gt;"},"properties":{"noteIndex":0},"schema":"https://github.com/citation-style-language/schema/raw/master/csl-citation.json"}</w:instrText>
      </w:r>
      <w:r w:rsidR="008D449F"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24</w:t>
      </w:r>
      <w:r w:rsidR="008D449F"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A small number of protective factors such as allergies</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{"citationItems":[{"id":"ITEM-1","itemData":{"DOI":"10.1158/1055-9965.EPI-13-0965","ISSN":"1538-7755","PMID":"24554712","abstract":"BACKGROUND Less than 10% of pancreatic cancer cases survive 5 years, yet its etiology is not well understood. Studies suggest allergies are associated with reduced pancreatic cancer risk. Our study collected additional information on allergies (including skin prick test results and differentiation of allergic/nonallergic asthma), and is the first to assess possible confounding by allergy medications. METHODS A population-based case-control study was designed to comprehensively assess the association between allergy and pancreatic cancer risk. Pancreas cancer cases were diagnosed during 2011 to 2012, and identified through the Ontario Cancer Registry (345 cases). Population-based controls were identified using random digit dialing and age/sex frequency matched to cases (1,285 controls). Questionnaires collected lifetime allergy history (type of allergy, age at onset, skin prick testing results), allergy medications, and established pancreas cancer risk factors. Logistic regression was used to estimate odd ratios and test potential confounders, including allergy medications. RESULTS Hay fever was associated with a significant reduction in pancreatic cancer risk [AOR = 0.68; 95% confidence intervals (CI), 0.52-0.89], and reduction was greatest for those whose skin prick test was positive for hay fever allergens. No particular patterns were observed as regards age at onset and duration of allergy. Positive dust/mold allergy skin prick test and animal allergies were associated with a statistically significant reduced pancreatic cancer risk; AOR = 0.49; 95% CI, 0.31-0.78 and AOR = 0.68; 95% CI, 0.46-0.99, respectively. Asthma was not associated with pancreatic cancer risk. CONCLUSIONS/IMPACT These findings support the growing body of evidence that suggests certain allergies are associated with reduced pancreatic cancer risk.","author":[{"dropping-particle":"","family":"Cotterchio","given":"Michelle","non-dropping-particle":"","parse-names":false,"suffix":""},{"dropping-particle":"","family":"Lowcock","given":"Elizabeth","non-dropping-particle":"","parse-names":false,"suffix":""},{"dropping-particle":"","family":"Hudson","given":"Thomas J","non-dropping-particle":"","parse-names":false,"suffix":""},{"dropping-particle":"","family":"Greenwood","given":"Celia","non-dropping-particle":"","parse-names":false,"suffix":""},{"dropping-particle":"","family":"Gallinger","given":"Steven","non-dropping-particle":"","parse-names":false,"suffix":""}],"container-title":"Cancer epidemiology, biomarkers &amp; prevention : a publication of the American Association for Cancer Research, cosponsored by the American Society of Preventive Oncology","id":"ITEM-1","issue":"3","issued":{"date-parts":[["2014","3"]]},"page":"469-80","publisher":"NIH Public Access","title":"Association between allergies and risk of pancreatic cancer.","type":"article-journal","volume":"23"},"uris":["http://www.mendeley.com/documents/?uuid=85b46a55-55cf-4102-8209-78514b8a3226"]}],"mendeley":{"formattedCitation":"&lt;sup&gt;25&lt;/sup&gt;","plainTextFormattedCitation":"25","previouslyFormattedCitation":"&lt;sup&gt;25&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25</w:t>
      </w:r>
      <w:r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w:t>
      </w:r>
      <w:r w:rsidR="002E0B0B" w:rsidRPr="004B08E4">
        <w:rPr>
          <w:rFonts w:asciiTheme="minorHAnsi" w:eastAsiaTheme="minorHAnsi" w:hAnsiTheme="minorHAnsi" w:cstheme="minorHAnsi"/>
          <w:lang w:val="en-GB"/>
        </w:rPr>
        <w:t xml:space="preserve">intake of </w:t>
      </w:r>
      <w:r w:rsidRPr="004B08E4">
        <w:rPr>
          <w:rFonts w:asciiTheme="minorHAnsi" w:eastAsiaTheme="minorHAnsi" w:hAnsiTheme="minorHAnsi" w:cstheme="minorHAnsi"/>
          <w:lang w:val="en-GB"/>
        </w:rPr>
        <w:t>statins</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{"citationItems":[{"id":"ITEM-1","itemData":{"DOI":"10.1002/cncr.29256","ISSN":"0008543X","author":[{"dropping-particle":"","family":"Walker","given":"Evan J.","non-dropping-particle":"","parse-names":false,"suffix":""},{"dropping-particle":"","family":"Ko","given":"Andrew H.","non-dropping-particle":"","parse-names":false,"suffix":""},{"dropping-particle":"","family":"Holly","given":"Elizabeth A.","non-dropping-particle":"","parse-names":false,"suffix":""},{"dropping-particle":"","family":"Bracci","given":"Paige M.","non-dropping-particle":"","parse-names":false,"suffix":""}],"container-title":"Cancer","id":"ITEM-1","issue":"8","issued":{"date-parts":[["2015","4","15"]]},"page":"1287-1294","publisher":"John Wiley &amp; Sons, Ltd","title":"Statin use and risk of pancreatic cancer: Results from a large, clinic-based case-control study","type":"article-journal","volume":"121"},"uris":["http://www.mendeley.com/documents/?uuid=4f45e2a3-03e9-3ad0-ba00-f1b5649aa557","http://www.mendeley.com/documents/?uuid=024bff6a-2753-4138-9a36-e1d1b66d6a7b"]}],"mendeley":{"formattedCitation":"&lt;sup&gt;26&lt;/sup&gt;","plainTextFormattedCitation":"26","previouslyFormattedCitation":"&lt;sup&gt;26&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26</w:t>
      </w:r>
      <w:r w:rsidRPr="004B08E4">
        <w:rPr>
          <w:rFonts w:asciiTheme="minorHAnsi" w:eastAsiaTheme="minorHAnsi" w:hAnsiTheme="minorHAnsi" w:cstheme="minorHAnsi"/>
          <w:lang w:val="en-GB"/>
        </w:rPr>
        <w:fldChar w:fldCharType="end"/>
      </w:r>
      <w:r w:rsidRPr="004B08E4">
        <w:rPr>
          <w:rFonts w:asciiTheme="minorHAnsi" w:eastAsiaTheme="minorHAnsi" w:hAnsiTheme="minorHAnsi" w:cstheme="minorHAnsi"/>
          <w:lang w:val="en-GB"/>
        </w:rPr>
        <w:t xml:space="preserve"> and </w:t>
      </w:r>
      <w:r w:rsidR="002E0B0B" w:rsidRPr="004B08E4">
        <w:rPr>
          <w:rFonts w:asciiTheme="minorHAnsi" w:eastAsiaTheme="minorHAnsi" w:hAnsiTheme="minorHAnsi" w:cstheme="minorHAnsi"/>
          <w:lang w:val="en-GB"/>
        </w:rPr>
        <w:t xml:space="preserve">of </w:t>
      </w:r>
      <w:r w:rsidRPr="004B08E4">
        <w:rPr>
          <w:rFonts w:asciiTheme="minorHAnsi" w:eastAsiaTheme="minorHAnsi" w:hAnsiTheme="minorHAnsi" w:cstheme="minorHAnsi"/>
          <w:lang w:val="en-GB"/>
        </w:rPr>
        <w:t>aspirin</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{"citationItems":[{"id":"ITEM-1","itemData":{"DOI":"10.1038/srep15460","ISSN":"2045-2322","abstract":"Aspirin might reduce the incidence of pancreatic cancer: A meta-analysis of observational studies","author":[{"dropping-particle":"","family":"Zhang","given":"Yan-Peng","non-dropping-particle":"","parse-names":false,"suffix":""},{"dropping-particle":"","family":"Wan","given":"You-Dong","non-dropping-particle":"","parse-names":false,"suffix":""},{"dropping-particle":"","family":"Sun","given":"Yu-Ling","non-dropping-particle":"","parse-names":false,"suffix":""},{"dropping-particle":"","family":"Li","given":"Jian","non-dropping-particle":"","parse-names":false,"suffix":""},{"dropping-particle":"","family":"Zhu","given":"Rong-Tao","non-dropping-particle":"","parse-names":false,"suffix":""}],"container-title":"Scientific Reports","id":"ITEM-1","issue":"1","issued":{"date-parts":[["2015","12","21"]]},"page":"15460","publisher":"Nature Publishing Group","title":"Aspirin might reduce the incidence of pancreatic cancer: A meta-analysis of observational studies","type":"article-journal","volume":"5"},"uris":["http://www.mendeley.com/documents/?uuid=a447ff3e-c9bb-3447-bb07-ac7c2f2b0ea7","http://www.mendeley.com/documents/?uuid=d762f34a-41f7-4583-b4e4-1cebfc328e03"]}],"mendeley":{"formattedCitation":"&lt;sup&gt;27&lt;/sup&gt;","plainTextFormattedCitation":"27","previouslyFormattedCitation":"&lt;sup&gt;27&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27</w:t>
      </w:r>
      <w:r w:rsidRPr="004B08E4">
        <w:rPr>
          <w:rFonts w:asciiTheme="minorHAnsi" w:eastAsiaTheme="minorHAnsi" w:hAnsiTheme="minorHAnsi" w:cstheme="minorHAnsi"/>
          <w:lang w:val="en-GB"/>
        </w:rPr>
        <w:fldChar w:fldCharType="end"/>
      </w:r>
      <w:r w:rsidRPr="004B08E4" w:rsidDel="00AF4890">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 xml:space="preserve">have also been </w:t>
      </w:r>
      <w:r w:rsidR="00F943EA" w:rsidRPr="004B08E4">
        <w:rPr>
          <w:rFonts w:asciiTheme="minorHAnsi" w:eastAsiaTheme="minorHAnsi" w:hAnsiTheme="minorHAnsi" w:cstheme="minorHAnsi"/>
          <w:lang w:val="en-GB"/>
        </w:rPr>
        <w:t>suggested</w:t>
      </w:r>
      <w:r w:rsidRPr="004B08E4">
        <w:rPr>
          <w:rFonts w:asciiTheme="minorHAnsi" w:eastAsiaTheme="minorHAnsi" w:hAnsiTheme="minorHAnsi" w:cstheme="minorHAnsi"/>
          <w:lang w:val="en-GB"/>
        </w:rPr>
        <w:t xml:space="preserve">. </w:t>
      </w:r>
      <w:r w:rsidR="00A74CCD" w:rsidRPr="004B08E4">
        <w:rPr>
          <w:rFonts w:asciiTheme="minorHAnsi" w:eastAsiaTheme="minorHAnsi" w:hAnsiTheme="minorHAnsi" w:cstheme="minorHAnsi"/>
          <w:lang w:val="en-GB"/>
        </w:rPr>
        <w:t>For several of these factors a certain degree of uncertainty still remains on whether they are causally related to PDAC onset</w:t>
      </w:r>
      <w:r w:rsidR="002E0096" w:rsidRPr="004B08E4">
        <w:rPr>
          <w:rFonts w:asciiTheme="minorHAnsi" w:eastAsiaTheme="minorHAnsi" w:hAnsiTheme="minorHAnsi" w:cstheme="minorHAnsi"/>
          <w:lang w:val="en-GB"/>
        </w:rPr>
        <w:t>,</w:t>
      </w:r>
      <w:r w:rsidR="00A74CCD" w:rsidRPr="004B08E4">
        <w:rPr>
          <w:rFonts w:asciiTheme="minorHAnsi" w:eastAsiaTheme="minorHAnsi" w:hAnsiTheme="minorHAnsi" w:cstheme="minorHAnsi"/>
          <w:lang w:val="en-GB"/>
        </w:rPr>
        <w:t xml:space="preserve"> </w:t>
      </w:r>
      <w:r w:rsidR="002E0096" w:rsidRPr="004B08E4">
        <w:rPr>
          <w:rFonts w:asciiTheme="minorHAnsi" w:eastAsiaTheme="minorHAnsi" w:hAnsiTheme="minorHAnsi" w:cstheme="minorHAnsi"/>
          <w:lang w:val="en-GB"/>
        </w:rPr>
        <w:t>p</w:t>
      </w:r>
      <w:r w:rsidR="00A74CCD" w:rsidRPr="004B08E4">
        <w:rPr>
          <w:rFonts w:asciiTheme="minorHAnsi" w:eastAsiaTheme="minorHAnsi" w:hAnsiTheme="minorHAnsi" w:cstheme="minorHAnsi"/>
          <w:lang w:val="en-GB"/>
        </w:rPr>
        <w:t>ossibly because</w:t>
      </w:r>
      <w:r w:rsidRPr="004B08E4">
        <w:rPr>
          <w:rFonts w:asciiTheme="minorHAnsi" w:eastAsiaTheme="minorHAnsi" w:hAnsiTheme="minorHAnsi" w:cstheme="minorHAnsi"/>
          <w:lang w:val="en-GB"/>
        </w:rPr>
        <w:t xml:space="preserve"> some </w:t>
      </w:r>
      <w:r w:rsidR="00A74CCD" w:rsidRPr="004B08E4">
        <w:rPr>
          <w:rFonts w:asciiTheme="minorHAnsi" w:eastAsiaTheme="minorHAnsi" w:hAnsiTheme="minorHAnsi" w:cstheme="minorHAnsi"/>
          <w:lang w:val="en-GB"/>
        </w:rPr>
        <w:t xml:space="preserve">extent </w:t>
      </w:r>
      <w:r w:rsidRPr="004B08E4">
        <w:rPr>
          <w:rFonts w:asciiTheme="minorHAnsi" w:eastAsiaTheme="minorHAnsi" w:hAnsiTheme="minorHAnsi" w:cstheme="minorHAnsi"/>
          <w:lang w:val="en-GB"/>
        </w:rPr>
        <w:t xml:space="preserve">of residual confounding </w:t>
      </w:r>
      <w:r w:rsidR="00A74CCD" w:rsidRPr="004B08E4">
        <w:rPr>
          <w:rFonts w:asciiTheme="minorHAnsi" w:eastAsiaTheme="minorHAnsi" w:hAnsiTheme="minorHAnsi" w:cstheme="minorHAnsi"/>
          <w:lang w:val="en-GB"/>
        </w:rPr>
        <w:t>could have modified the risk estimation</w:t>
      </w:r>
      <w:r w:rsidR="002A46D4" w:rsidRPr="004B08E4">
        <w:rPr>
          <w:rFonts w:asciiTheme="minorHAnsi" w:eastAsiaTheme="minorHAnsi" w:hAnsiTheme="minorHAnsi" w:cstheme="minorHAnsi"/>
          <w:lang w:val="en-GB"/>
        </w:rPr>
        <w:t xml:space="preserve"> and because some of th</w:t>
      </w:r>
      <w:r w:rsidR="00444B6A" w:rsidRPr="004B08E4">
        <w:rPr>
          <w:rFonts w:asciiTheme="minorHAnsi" w:eastAsiaTheme="minorHAnsi" w:hAnsiTheme="minorHAnsi" w:cstheme="minorHAnsi"/>
          <w:lang w:val="en-GB"/>
        </w:rPr>
        <w:t>e</w:t>
      </w:r>
      <w:r w:rsidR="002A46D4" w:rsidRPr="004B08E4">
        <w:rPr>
          <w:rFonts w:asciiTheme="minorHAnsi" w:eastAsiaTheme="minorHAnsi" w:hAnsiTheme="minorHAnsi" w:cstheme="minorHAnsi"/>
          <w:lang w:val="en-GB"/>
        </w:rPr>
        <w:t>s</w:t>
      </w:r>
      <w:r w:rsidR="00444B6A" w:rsidRPr="004B08E4">
        <w:rPr>
          <w:rFonts w:asciiTheme="minorHAnsi" w:eastAsiaTheme="minorHAnsi" w:hAnsiTheme="minorHAnsi" w:cstheme="minorHAnsi"/>
          <w:lang w:val="en-GB"/>
        </w:rPr>
        <w:t>e</w:t>
      </w:r>
      <w:r w:rsidR="002A46D4" w:rsidRPr="004B08E4">
        <w:rPr>
          <w:rFonts w:asciiTheme="minorHAnsi" w:eastAsiaTheme="minorHAnsi" w:hAnsiTheme="minorHAnsi" w:cstheme="minorHAnsi"/>
          <w:lang w:val="en-GB"/>
        </w:rPr>
        <w:t xml:space="preserve"> association</w:t>
      </w:r>
      <w:r w:rsidR="00444B6A" w:rsidRPr="004B08E4">
        <w:rPr>
          <w:rFonts w:asciiTheme="minorHAnsi" w:eastAsiaTheme="minorHAnsi" w:hAnsiTheme="minorHAnsi" w:cstheme="minorHAnsi"/>
          <w:lang w:val="en-GB"/>
        </w:rPr>
        <w:t>s</w:t>
      </w:r>
      <w:r w:rsidR="002A46D4" w:rsidRPr="004B08E4">
        <w:rPr>
          <w:rFonts w:asciiTheme="minorHAnsi" w:eastAsiaTheme="minorHAnsi" w:hAnsiTheme="minorHAnsi" w:cstheme="minorHAnsi"/>
          <w:lang w:val="en-GB"/>
        </w:rPr>
        <w:t xml:space="preserve"> come from a small number of studies</w:t>
      </w:r>
      <w:r w:rsidRPr="004B08E4">
        <w:rPr>
          <w:rFonts w:asciiTheme="minorHAnsi" w:eastAsiaTheme="minorHAnsi" w:hAnsiTheme="minorHAnsi" w:cstheme="minorHAnsi"/>
          <w:lang w:val="en-GB"/>
        </w:rPr>
        <w:t>.</w:t>
      </w:r>
      <w:r w:rsidR="002A46D4" w:rsidRPr="004B08E4">
        <w:rPr>
          <w:rFonts w:asciiTheme="minorHAnsi" w:eastAsiaTheme="minorHAnsi" w:hAnsiTheme="minorHAnsi" w:cstheme="minorHAnsi"/>
          <w:lang w:val="en-GB"/>
        </w:rPr>
        <w:t xml:space="preserve"> A detailed summary of PDAC risk factors could be found in two reviews on the topic</w:t>
      </w:r>
      <w:r w:rsidR="0073321C">
        <w:rPr>
          <w:rFonts w:asciiTheme="minorHAnsi" w:eastAsiaTheme="minorHAnsi" w:hAnsiTheme="minorHAnsi" w:cstheme="minorHAnsi"/>
          <w:lang w:val="en-GB"/>
        </w:rPr>
        <w:t xml:space="preserve"> </w:t>
      </w:r>
      <w:r w:rsidR="00D222CF">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{"citationItems":[{"id":"ITEM-1","itemData":{"DOI":"10.1093/ije/dyu240","ISBN":"0300-5771","ISSN":"14643685","PMID":"25502106","abstract":"BACKGROUND: The aetiology of pancreatic cancer (PC) has been extensively studied and is the subject of numerous meta-analyses and pooled analyses. We have summarized results from these pooled and meta-analytical studies to estimate the fraction of PCs attributable to each of the identified risk factors.\\n\\nMETHODS: Using a comprehensive strategy, we retrieved 117 meta-analytical or pooled reports dealing with the association between specific risk factors and PC risk. We combined estimates of relative risk and estimates of exposure to calculate the fraction of PCs caused or prevented by a particular exposure.\\n\\nRESULTS: Tobacco smoking ('strong' evidence) and Helicobacter pylori infection ('moderate' evidence) are the major risk factors associated with PC, with respective estimated population attributable fractions of 11-32% and 4-25%. The major protective factors are history of allergy ('strong' evidence) and increasing fruit or folate intake ('moderate' evidence), with respective population preventable fractions of 3-7% and 0-12%.\\n\\nCONCLUSIONS: We summarized results of 117 meta-analytical or pooled data reports dealing with 37 aetiological exposures, to obtain robust information about the suspected causes of PC. By combining these estimates with their prevalences in the population, we calculated population attributable or population preventable fractions. About two-thirds of the major risk factors associated with PC are potentially modifiable, affording a unique opportunity for preventing one of our deadliest cancers.","author":[{"dropping-particle":"","family":"Maisonneuve","given":"Patrick","non-dropping-particle":"","parse-names":false,"suffix":""},{"dropping-particle":"","family":"Lowenfels","given":"Albert B.","non-dropping-particle":"","parse-names":false,"suffix":""}],"container-title":"International Journal of Epidemiology","id":"ITEM-1","issued":{"date-parts":[["2015"]]},"title":"Risk factors for pancreatic cancer: A summary review of meta-analytical studies","type":"article-journal"},"uris":["http://www.mendeley.com/documents/?uuid=5cf645f4-35f7-49e2-b3d8-189d5920fcf4"]},{"id":"ITEM-2","itemData":{"DOI":"10.1007/s00204-016-1821-9","ISSN":"0340-5761","author":[{"dropping-particle":"","family":"Barone","given":"Elisa","non-dropping-particle":"","parse-names":false,"suffix":""},{"dropping-particle":"","family":"Corrado","given":"Alda","non-dropping-particle":"","parse-names":false,"suffix":""},{"dropping-particle":"","family":"Gemignani","given":"Federica","non-dropping-particle":"","parse-names":false,"suffix":""},{"dropping-particle":"","family":"Landi","given":"Stefano","non-dropping-particle":"","parse-names":false,"suffix":""}],"container-title":"Archives of Toxicology","id":"ITEM-2","issue":"11","issued":{"date-parts":[["2016","11","18"]]},"page":"2617-2642","publisher":"Springer Berlin Heidelberg","title":"Environmental risk factors for pancreatic cancer: an update","type":"article-journal","volume":"90"},"uris":["http://www.mendeley.com/documents/?uuid=1659427b-5f0a-3abc-a9e6-466fcd41dd95"]}],"mendeley":{"formattedCitation":"&lt;sup&gt;28, 29&lt;/sup&gt;","plainTextFormattedCitation":"28, 29","previouslyFormattedCitation":"&lt;sup&gt;28, 29&lt;/sup&gt;"},"properties":{"noteIndex":0},"schema":"https://github.com/citation-style-language/schema/raw/master/csl-citation.json"}</w:instrText>
      </w:r>
      <w:r w:rsidR="00D222CF">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28, 29</w:t>
      </w:r>
      <w:r w:rsidR="00D222CF">
        <w:rPr>
          <w:rFonts w:asciiTheme="minorHAnsi" w:eastAsiaTheme="minorHAnsi" w:hAnsiTheme="minorHAnsi" w:cstheme="minorHAnsi"/>
          <w:lang w:val="en-GB"/>
        </w:rPr>
        <w:fldChar w:fldCharType="end"/>
      </w:r>
      <w:r w:rsidR="002A46D4" w:rsidRPr="004B08E4">
        <w:rPr>
          <w:rFonts w:asciiTheme="minorHAnsi" w:eastAsiaTheme="minorHAnsi" w:hAnsiTheme="minorHAnsi" w:cstheme="minorHAnsi"/>
          <w:lang w:val="en-GB"/>
        </w:rPr>
        <w:t>.</w:t>
      </w:r>
      <w:r w:rsidRPr="004B08E4">
        <w:rPr>
          <w:rFonts w:asciiTheme="minorHAnsi" w:eastAsiaTheme="minorHAnsi" w:hAnsiTheme="minorHAnsi" w:cstheme="minorHAnsi"/>
          <w:lang w:val="en-GB"/>
        </w:rPr>
        <w:t xml:space="preserve"> </w:t>
      </w:r>
    </w:p>
    <w:p w14:paraId="7512764E" w14:textId="439053BF" w:rsidR="00CC71F9" w:rsidRPr="004B08E4" w:rsidRDefault="00E45705" w:rsidP="003A7A8B">
      <w:pPr>
        <w:spacing w:line="480" w:lineRule="auto"/>
        <w:ind w:firstLine="426"/>
        <w:jc w:val="both"/>
        <w:rPr>
          <w:rFonts w:asciiTheme="minorHAnsi" w:eastAsiaTheme="minorHAnsi" w:hAnsiTheme="minorHAnsi" w:cstheme="minorHAnsi"/>
          <w:lang w:val="en-GB"/>
        </w:rPr>
      </w:pPr>
      <w:r w:rsidRPr="004B08E4">
        <w:rPr>
          <w:rFonts w:asciiTheme="minorHAnsi" w:eastAsiaTheme="minorHAnsi" w:hAnsiTheme="minorHAnsi" w:cstheme="minorHAnsi"/>
          <w:lang w:val="en-GB"/>
        </w:rPr>
        <w:t xml:space="preserve">A </w:t>
      </w:r>
      <w:r w:rsidR="00A367F1">
        <w:rPr>
          <w:rFonts w:asciiTheme="minorHAnsi" w:eastAsiaTheme="minorHAnsi" w:hAnsiTheme="minorHAnsi" w:cstheme="minorHAnsi"/>
          <w:lang w:val="en-GB"/>
        </w:rPr>
        <w:t>rapidly developing</w:t>
      </w:r>
      <w:r w:rsidR="00A367F1"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approach which can</w:t>
      </w:r>
      <w:r w:rsidR="003A7A8B">
        <w:rPr>
          <w:rFonts w:asciiTheme="minorHAnsi" w:eastAsiaTheme="minorHAnsi" w:hAnsiTheme="minorHAnsi" w:cstheme="minorHAnsi"/>
          <w:lang w:val="en-GB"/>
        </w:rPr>
        <w:t xml:space="preserve"> help to </w:t>
      </w:r>
      <w:r w:rsidRPr="004B08E4">
        <w:rPr>
          <w:rFonts w:asciiTheme="minorHAnsi" w:eastAsiaTheme="minorHAnsi" w:hAnsiTheme="minorHAnsi" w:cstheme="minorHAnsi"/>
          <w:lang w:val="en-GB"/>
        </w:rPr>
        <w:t xml:space="preserve">clarify the </w:t>
      </w:r>
      <w:r w:rsidR="00461C7D" w:rsidRPr="00461C7D">
        <w:rPr>
          <w:rFonts w:asciiTheme="minorHAnsi" w:hAnsiTheme="minorHAnsi" w:cstheme="minorHAnsi"/>
          <w:lang w:val="en-GB"/>
        </w:rPr>
        <w:t>causality and the direction of the exposure-outcome relationship is Mendelian Randomization (MR)</w:t>
      </w:r>
      <w:r w:rsidR="0073321C">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{"citationItems":[{"id":"ITEM-1","itemData":{"DOI":"10.1093/hmg/ddu328","ISSN":"0964-6906","PMID":"25064373","abstract":"Observational epidemiological studies are prone to confounding, reverse causation and various biases and have generated findings that have proved to be unreliable indicators of the causal effects of modifiable exposures on disease outcomes. Mendelian randomization (MR) is a method that utilizes genetic variants that are robustly associated with such modifiable exposures to generate more reliable evidence regarding which interventions should produce health benefits. The approach is being widely applied, and various ways to strengthen inference given the known potential limitations of MR are now available. Developments of MR, including two-sample MR, bidirectional MR, network MR, two-step MR, factorial MR and multiphenotype MR, are outlined in this review. The integration of genetic information into population-based epidemiological studies presents translational opportunities, which capitalize on the investment in genomic discovery research.","author":[{"dropping-particle":"","family":"Davey Smith","given":"G.","non-dropping-particle":"","parse-names":false,"suffix":""},{"dropping-particle":"","family":"Hemani","given":"G.","non-dropping-particle":"","parse-names":false,"suffix":""}],"container-title":"Human Molecular Genetics","id":"ITEM-1","issue":"R1","issued":{"date-parts":[["2014","9"]]},"page":"R89-R98","title":"Mendelian randomization: genetic anchors for causal inference in epidemiological studies","type":"article-journal","volume":"23"},"uris":["http://www.mendeley.com/documents/?uuid=18b33b62-206a-46c5-8607-f7e0a77a1132"]},{"id":"ITEM-2","itemData":{"DOI":"10.1002/gepi.21758","ISBN":"1098-2272 (Electronic)\\r0741-0395 (Linking)","ISSN":"07410395","PMID":"24114802","abstract":"Genome-wide association studies, which typically report regression coefficients summarizing the associations of many genetic variants with various traits, are potentially a powerful source of data for Mendelian randomization investigations. We demonstrate how such coefficients from multiple variants can be combined in a Mendelian randomization analysis to estimate the causal effect of a risk factor on an outcome. The bias and efficiency of estimates based on summarized data are compared to those based on individual-level data in simulation studies. We investigate the impact of gene-gene interactions, linkage disequilibrium, and 'weak instruments' on these estimates. Both an inverse-variance weighted average of variant-specific associations and a likelihood-based approach for summarized data give similar estimates and precision to the two-stage least squares method for individual-level data, even when there are gene-gene interactions. However, these summarized data methods overstate precision when variants are in linkage disequilibrium. If the P-value in a linear regression of the risk factor for each variant is less than 1×10⁻⁵, then weak instrument bias will be small. We use these methods to estimate the causal association of low-density lipoprotein cholesterol (LDL-C) on coronary artery disease using published data on five genetic variants. A 30% reduction in LDL-C is estimated to reduce coronary artery disease risk by 67% (95% CI: 54% to 76%). We conclude that Mendelian randomization investigations using summarized data from uncorrelated variants are similarly efficient to those using individual-level data, although the necessary assumptions cannot be so fully assessed.","author":[{"dropping-particle":"","family":"Burgess","given":"Stephen","non-dropping-particle":"","parse-names":false,"suffix":""},{"dropping-particle":"","family":"Butterworth","given":"Adam","non-dropping-particle":"","parse-names":false,"suffix":""},{"dropping-particle":"","family":"Thompson","given":"Simon G.","non-dropping-particle":"","parse-names":false,"suffix":""}],"container-title":"Genetic Epidemiology","id":"ITEM-2","issue":"7","issued":{"date-parts":[["2013"]]},"page":"658-665","title":"Mendelian randomization analysis with multiple genetic variants using summarized data","type":"article-journal","volume":"37"},"uris":["http://www.mendeley.com/documents/?uuid=c371c8d1-0c6f-4b36-9a27-85233966b0c0"]}],"mendeley":{"formattedCitation":"&lt;sup&gt;30, 31&lt;/sup&gt;","plainTextFormattedCitation":"30, 31","previouslyFormattedCitation":"&lt;sup&gt;30, 31&lt;/sup&gt;"},"properties":{"noteIndex":0},"schema":"https://github.com/citation-style-language/schema/raw/master/csl-citation.json"}</w:instrText>
      </w:r>
      <w:r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30, 31</w:t>
      </w:r>
      <w:r w:rsidRPr="004B08E4">
        <w:rPr>
          <w:rFonts w:asciiTheme="minorHAnsi" w:eastAsiaTheme="minorHAnsi" w:hAnsiTheme="minorHAnsi" w:cstheme="minorHAnsi"/>
          <w:lang w:val="en-GB"/>
        </w:rPr>
        <w:fldChar w:fldCharType="end"/>
      </w:r>
      <w:r w:rsidR="00A367F1">
        <w:rPr>
          <w:rFonts w:asciiTheme="minorHAnsi" w:eastAsiaTheme="minorHAnsi" w:hAnsiTheme="minorHAnsi" w:cstheme="minorHAnsi"/>
          <w:lang w:val="en-GB"/>
        </w:rPr>
        <w:t>, using</w:t>
      </w:r>
      <w:r w:rsidRPr="004B08E4">
        <w:rPr>
          <w:rFonts w:asciiTheme="minorHAnsi" w:eastAsiaTheme="minorHAnsi" w:hAnsiTheme="minorHAnsi" w:cstheme="minorHAnsi"/>
          <w:lang w:val="en-GB"/>
        </w:rPr>
        <w:t xml:space="preserve"> genetic variants</w:t>
      </w:r>
      <w:r w:rsidR="00AB6603"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 xml:space="preserve">associated </w:t>
      </w:r>
      <w:r w:rsidR="00A367F1">
        <w:rPr>
          <w:rFonts w:asciiTheme="minorHAnsi" w:eastAsiaTheme="minorHAnsi" w:hAnsiTheme="minorHAnsi" w:cstheme="minorHAnsi"/>
          <w:lang w:val="en-GB"/>
        </w:rPr>
        <w:t>with</w:t>
      </w:r>
      <w:r w:rsidR="00A367F1"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 xml:space="preserve">the exposure. </w:t>
      </w:r>
      <w:r w:rsidR="007F6747" w:rsidRPr="007F6747">
        <w:rPr>
          <w:rFonts w:asciiTheme="minorHAnsi" w:eastAsiaTheme="minorHAnsi" w:hAnsiTheme="minorHAnsi" w:cstheme="minorHAnsi"/>
          <w:lang w:val="en-GB"/>
        </w:rPr>
        <w:t xml:space="preserve">MR is based on the random transmission from parents to </w:t>
      </w:r>
      <w:r w:rsidR="002F7F1F" w:rsidRPr="007F6747">
        <w:rPr>
          <w:rFonts w:asciiTheme="minorHAnsi" w:eastAsiaTheme="minorHAnsi" w:hAnsiTheme="minorHAnsi" w:cstheme="minorHAnsi"/>
          <w:lang w:val="en-GB"/>
        </w:rPr>
        <w:t>offspring</w:t>
      </w:r>
      <w:r w:rsidR="007F6747" w:rsidRPr="007F6747">
        <w:rPr>
          <w:rFonts w:asciiTheme="minorHAnsi" w:eastAsiaTheme="minorHAnsi" w:hAnsiTheme="minorHAnsi" w:cstheme="minorHAnsi"/>
          <w:lang w:val="en-GB"/>
        </w:rPr>
        <w:t xml:space="preserve"> of genetic variants that are associated with a trait of interest which, for various reasons, may be difficult to measure correctly. The genetic variants, known as genetic instruments, can therefore be used as surrogates of the trait. Since the disease does not affect the inherited genotypes, the use of </w:t>
      </w:r>
      <w:r w:rsidR="007F6747" w:rsidRPr="00784917">
        <w:rPr>
          <w:rFonts w:asciiTheme="minorHAnsi" w:eastAsiaTheme="minorHAnsi" w:hAnsiTheme="minorHAnsi" w:cstheme="minorHAnsi"/>
          <w:lang w:val="en-GB"/>
        </w:rPr>
        <w:lastRenderedPageBreak/>
        <w:t xml:space="preserve">genetic instruments </w:t>
      </w:r>
      <w:r w:rsidR="00FE636B" w:rsidRPr="008610D2">
        <w:rPr>
          <w:rFonts w:asciiTheme="minorHAnsi" w:eastAsiaTheme="minorHAnsi" w:hAnsiTheme="minorHAnsi" w:cstheme="minorHAnsi"/>
          <w:lang w:val="en-GB"/>
        </w:rPr>
        <w:t>makes it less susceptible</w:t>
      </w:r>
      <w:r w:rsidR="00784917" w:rsidRPr="008610D2">
        <w:rPr>
          <w:rFonts w:asciiTheme="minorHAnsi" w:eastAsiaTheme="minorHAnsi" w:hAnsiTheme="minorHAnsi" w:cstheme="minorHAnsi"/>
          <w:lang w:val="en-GB"/>
        </w:rPr>
        <w:t xml:space="preserve"> to</w:t>
      </w:r>
      <w:r w:rsidR="00D74AAD" w:rsidRPr="0014100C">
        <w:rPr>
          <w:rFonts w:ascii="Calibri" w:hAnsi="Calibri" w:cs="Calibri"/>
        </w:rPr>
        <w:t xml:space="preserve"> </w:t>
      </w:r>
      <w:r w:rsidR="00D74AAD" w:rsidRPr="00784917">
        <w:rPr>
          <w:rFonts w:asciiTheme="minorHAnsi" w:eastAsiaTheme="minorHAnsi" w:hAnsiTheme="minorHAnsi" w:cstheme="minorHAnsi"/>
          <w:lang w:val="en-GB"/>
        </w:rPr>
        <w:t>the common downfalls of observational</w:t>
      </w:r>
      <w:r w:rsidR="00D74AAD" w:rsidRPr="00D74AAD">
        <w:rPr>
          <w:rFonts w:asciiTheme="minorHAnsi" w:eastAsiaTheme="minorHAnsi" w:hAnsiTheme="minorHAnsi" w:cstheme="minorHAnsi"/>
          <w:lang w:val="en-GB"/>
        </w:rPr>
        <w:t xml:space="preserve"> epidemiology including residual confounding</w:t>
      </w:r>
      <w:r w:rsidR="007F6747" w:rsidRPr="007F6747">
        <w:rPr>
          <w:rFonts w:asciiTheme="minorHAnsi" w:eastAsiaTheme="minorHAnsi" w:hAnsiTheme="minorHAnsi" w:cstheme="minorHAnsi"/>
          <w:lang w:val="en-GB"/>
        </w:rPr>
        <w:t xml:space="preserve"> </w:t>
      </w:r>
      <w:r w:rsidR="00D74AAD">
        <w:rPr>
          <w:rFonts w:asciiTheme="minorHAnsi" w:eastAsiaTheme="minorHAnsi" w:hAnsiTheme="minorHAnsi" w:cstheme="minorHAnsi"/>
          <w:lang w:val="en-GB"/>
        </w:rPr>
        <w:t xml:space="preserve">and </w:t>
      </w:r>
      <w:r w:rsidR="007F6747" w:rsidRPr="007F6747">
        <w:rPr>
          <w:rFonts w:asciiTheme="minorHAnsi" w:eastAsiaTheme="minorHAnsi" w:hAnsiTheme="minorHAnsi" w:cstheme="minorHAnsi"/>
          <w:lang w:val="en-GB"/>
        </w:rPr>
        <w:t>reverse causation.</w:t>
      </w:r>
      <w:r w:rsidR="00AF07D2">
        <w:rPr>
          <w:rFonts w:asciiTheme="minorHAnsi" w:eastAsiaTheme="minorHAnsi" w:hAnsiTheme="minorHAnsi" w:cstheme="minorHAnsi"/>
        </w:rPr>
        <w:t xml:space="preserve"> </w:t>
      </w:r>
      <w:r w:rsidRPr="004B08E4">
        <w:rPr>
          <w:rFonts w:asciiTheme="minorHAnsi" w:eastAsiaTheme="minorHAnsi" w:hAnsiTheme="minorHAnsi" w:cstheme="minorHAnsi"/>
          <w:lang w:val="en-GB"/>
        </w:rPr>
        <w:t>Thre</w:t>
      </w:r>
      <w:r w:rsidR="00AB6603" w:rsidRPr="004B08E4">
        <w:rPr>
          <w:rFonts w:asciiTheme="minorHAnsi" w:eastAsiaTheme="minorHAnsi" w:hAnsiTheme="minorHAnsi" w:cstheme="minorHAnsi"/>
          <w:lang w:val="en-GB"/>
        </w:rPr>
        <w:t>e</w:t>
      </w:r>
      <w:r w:rsidRPr="004B08E4">
        <w:rPr>
          <w:rFonts w:asciiTheme="minorHAnsi" w:eastAsiaTheme="minorHAnsi" w:hAnsiTheme="minorHAnsi" w:cstheme="minorHAnsi"/>
          <w:lang w:val="en-GB"/>
        </w:rPr>
        <w:t xml:space="preserve"> fundamental MR </w:t>
      </w:r>
      <w:r w:rsidR="00732A48" w:rsidRPr="004B08E4">
        <w:rPr>
          <w:rFonts w:asciiTheme="minorHAnsi" w:eastAsiaTheme="minorHAnsi" w:hAnsiTheme="minorHAnsi" w:cstheme="minorHAnsi"/>
          <w:lang w:val="en-GB"/>
        </w:rPr>
        <w:t>assumption</w:t>
      </w:r>
      <w:r w:rsidRPr="004B08E4">
        <w:rPr>
          <w:rFonts w:asciiTheme="minorHAnsi" w:eastAsiaTheme="minorHAnsi" w:hAnsiTheme="minorHAnsi" w:cstheme="minorHAnsi"/>
          <w:lang w:val="en-GB"/>
        </w:rPr>
        <w:t xml:space="preserve">s must be fulfilled when choosing the genetic </w:t>
      </w:r>
      <w:r w:rsidR="00C16304">
        <w:rPr>
          <w:rFonts w:asciiTheme="minorHAnsi" w:eastAsiaTheme="minorHAnsi" w:hAnsiTheme="minorHAnsi" w:cstheme="minorHAnsi"/>
          <w:lang w:val="en-GB"/>
        </w:rPr>
        <w:t>variants</w:t>
      </w:r>
      <w:r w:rsidRPr="004B08E4">
        <w:rPr>
          <w:rFonts w:asciiTheme="minorHAnsi" w:eastAsiaTheme="minorHAnsi" w:hAnsiTheme="minorHAnsi" w:cstheme="minorHAnsi"/>
          <w:lang w:val="en-GB"/>
        </w:rPr>
        <w:t xml:space="preserve">: (i) </w:t>
      </w:r>
      <w:r w:rsidR="007F6747">
        <w:rPr>
          <w:rFonts w:asciiTheme="minorHAnsi" w:eastAsiaTheme="minorHAnsi" w:hAnsiTheme="minorHAnsi" w:cstheme="minorHAnsi"/>
          <w:lang w:val="en-GB"/>
        </w:rPr>
        <w:t xml:space="preserve">the </w:t>
      </w:r>
      <w:r w:rsidRPr="004B08E4">
        <w:rPr>
          <w:rFonts w:asciiTheme="minorHAnsi" w:eastAsiaTheme="minorHAnsi" w:hAnsiTheme="minorHAnsi" w:cstheme="minorHAnsi"/>
          <w:lang w:val="en-GB"/>
        </w:rPr>
        <w:t xml:space="preserve">genetic variants </w:t>
      </w:r>
      <w:r w:rsidR="00AB6603" w:rsidRPr="004B08E4">
        <w:rPr>
          <w:rFonts w:asciiTheme="minorHAnsi" w:eastAsiaTheme="minorHAnsi" w:hAnsiTheme="minorHAnsi" w:cstheme="minorHAnsi"/>
          <w:lang w:val="en-GB"/>
        </w:rPr>
        <w:t xml:space="preserve">have </w:t>
      </w:r>
      <w:r w:rsidRPr="004B08E4">
        <w:rPr>
          <w:rFonts w:asciiTheme="minorHAnsi" w:eastAsiaTheme="minorHAnsi" w:hAnsiTheme="minorHAnsi" w:cstheme="minorHAnsi"/>
          <w:lang w:val="en-GB"/>
        </w:rPr>
        <w:t>to be associated with the exposure of interest, (ii) the</w:t>
      </w:r>
      <w:r w:rsidR="007F6747">
        <w:rPr>
          <w:rFonts w:asciiTheme="minorHAnsi" w:eastAsiaTheme="minorHAnsi" w:hAnsiTheme="minorHAnsi" w:cstheme="minorHAnsi"/>
          <w:lang w:val="en-GB"/>
        </w:rPr>
        <w:t xml:space="preserve"> </w:t>
      </w:r>
      <w:r w:rsidR="007F6747" w:rsidRPr="004B08E4">
        <w:rPr>
          <w:rFonts w:asciiTheme="minorHAnsi" w:eastAsiaTheme="minorHAnsi" w:hAnsiTheme="minorHAnsi" w:cstheme="minorHAnsi"/>
          <w:lang w:val="en-GB"/>
        </w:rPr>
        <w:t>genetic variants</w:t>
      </w:r>
      <w:r w:rsidRPr="004B08E4">
        <w:rPr>
          <w:rFonts w:asciiTheme="minorHAnsi" w:eastAsiaTheme="minorHAnsi" w:hAnsiTheme="minorHAnsi" w:cstheme="minorHAnsi"/>
          <w:lang w:val="en-GB"/>
        </w:rPr>
        <w:t xml:space="preserve"> </w:t>
      </w:r>
      <w:r w:rsidR="00AB6603" w:rsidRPr="004B08E4">
        <w:rPr>
          <w:rFonts w:asciiTheme="minorHAnsi" w:eastAsiaTheme="minorHAnsi" w:hAnsiTheme="minorHAnsi" w:cstheme="minorHAnsi"/>
          <w:lang w:val="en-GB"/>
        </w:rPr>
        <w:t>should</w:t>
      </w:r>
      <w:r w:rsidRPr="004B08E4">
        <w:rPr>
          <w:rFonts w:asciiTheme="minorHAnsi" w:eastAsiaTheme="minorHAnsi" w:hAnsiTheme="minorHAnsi" w:cstheme="minorHAnsi"/>
          <w:lang w:val="en-GB"/>
        </w:rPr>
        <w:t xml:space="preserve"> not</w:t>
      </w:r>
      <w:r w:rsidR="00AB6603" w:rsidRPr="004B08E4">
        <w:rPr>
          <w:rFonts w:asciiTheme="minorHAnsi" w:eastAsiaTheme="minorHAnsi" w:hAnsiTheme="minorHAnsi" w:cstheme="minorHAnsi"/>
          <w:lang w:val="en-GB"/>
        </w:rPr>
        <w:t xml:space="preserve"> be</w:t>
      </w:r>
      <w:r w:rsidRPr="004B08E4">
        <w:rPr>
          <w:rFonts w:asciiTheme="minorHAnsi" w:eastAsiaTheme="minorHAnsi" w:hAnsiTheme="minorHAnsi" w:cstheme="minorHAnsi"/>
          <w:lang w:val="en-GB"/>
        </w:rPr>
        <w:t xml:space="preserve"> associated with any possible confounders, (iii) the</w:t>
      </w:r>
      <w:r w:rsidR="007F6747">
        <w:rPr>
          <w:rFonts w:asciiTheme="minorHAnsi" w:eastAsiaTheme="minorHAnsi" w:hAnsiTheme="minorHAnsi" w:cstheme="minorHAnsi" w:hint="eastAsia"/>
          <w:lang w:val="en-GB"/>
        </w:rPr>
        <w:t xml:space="preserve"> </w:t>
      </w:r>
      <w:r w:rsidR="007F6747" w:rsidRPr="004B08E4">
        <w:rPr>
          <w:rFonts w:asciiTheme="minorHAnsi" w:eastAsiaTheme="minorHAnsi" w:hAnsiTheme="minorHAnsi" w:cstheme="minorHAnsi"/>
          <w:lang w:val="en-GB"/>
        </w:rPr>
        <w:t>genetic variants</w:t>
      </w:r>
      <w:r w:rsidR="00A74CCD" w:rsidRPr="004B08E4">
        <w:rPr>
          <w:rFonts w:asciiTheme="minorHAnsi" w:eastAsiaTheme="minorHAnsi" w:hAnsiTheme="minorHAnsi" w:cstheme="minorHAnsi"/>
          <w:lang w:val="en-GB"/>
        </w:rPr>
        <w:t xml:space="preserve"> </w:t>
      </w:r>
      <w:r w:rsidR="00AB6603" w:rsidRPr="004B08E4">
        <w:rPr>
          <w:rFonts w:asciiTheme="minorHAnsi" w:eastAsiaTheme="minorHAnsi" w:hAnsiTheme="minorHAnsi" w:cstheme="minorHAnsi"/>
          <w:lang w:val="en-GB"/>
        </w:rPr>
        <w:t>should</w:t>
      </w:r>
      <w:r w:rsidRPr="004B08E4">
        <w:rPr>
          <w:rFonts w:asciiTheme="minorHAnsi" w:eastAsiaTheme="minorHAnsi" w:hAnsiTheme="minorHAnsi" w:cstheme="minorHAnsi"/>
          <w:lang w:val="en-GB"/>
        </w:rPr>
        <w:t xml:space="preserve"> not</w:t>
      </w:r>
      <w:r w:rsidR="00AB6603" w:rsidRPr="004B08E4">
        <w:rPr>
          <w:rFonts w:asciiTheme="minorHAnsi" w:eastAsiaTheme="minorHAnsi" w:hAnsiTheme="minorHAnsi" w:cstheme="minorHAnsi"/>
          <w:lang w:val="en-GB"/>
        </w:rPr>
        <w:t xml:space="preserve"> be</w:t>
      </w:r>
      <w:r w:rsidRPr="004B08E4">
        <w:rPr>
          <w:rFonts w:asciiTheme="minorHAnsi" w:eastAsiaTheme="minorHAnsi" w:hAnsiTheme="minorHAnsi" w:cstheme="minorHAnsi"/>
          <w:lang w:val="en-GB"/>
        </w:rPr>
        <w:t xml:space="preserve"> associated with the disease via any </w:t>
      </w:r>
      <w:r w:rsidR="009A28EC">
        <w:rPr>
          <w:rFonts w:asciiTheme="minorHAnsi" w:eastAsiaTheme="minorHAnsi" w:hAnsiTheme="minorHAnsi" w:cstheme="minorHAnsi"/>
          <w:lang w:val="en-GB"/>
        </w:rPr>
        <w:t>exposure</w:t>
      </w:r>
      <w:r w:rsidR="009A28EC"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 xml:space="preserve">other than through the </w:t>
      </w:r>
      <w:r w:rsidR="009A28EC">
        <w:rPr>
          <w:rFonts w:asciiTheme="minorHAnsi" w:eastAsiaTheme="minorHAnsi" w:hAnsiTheme="minorHAnsi" w:cstheme="minorHAnsi"/>
          <w:lang w:val="en-GB"/>
        </w:rPr>
        <w:t>one</w:t>
      </w:r>
      <w:r w:rsidR="009A28EC"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of interest (</w:t>
      </w:r>
      <w:r w:rsidR="00AB6603" w:rsidRPr="004B08E4">
        <w:rPr>
          <w:rFonts w:asciiTheme="minorHAnsi" w:eastAsiaTheme="minorHAnsi" w:hAnsiTheme="minorHAnsi" w:cstheme="minorHAnsi"/>
          <w:lang w:val="en-GB"/>
        </w:rPr>
        <w:t>they should not be</w:t>
      </w:r>
      <w:r w:rsidRPr="004B08E4">
        <w:rPr>
          <w:rFonts w:asciiTheme="minorHAnsi" w:eastAsiaTheme="minorHAnsi" w:hAnsiTheme="minorHAnsi" w:cstheme="minorHAnsi"/>
          <w:lang w:val="en-GB"/>
        </w:rPr>
        <w:t xml:space="preserve"> pleiotrop</w:t>
      </w:r>
      <w:r w:rsidR="00AB6603" w:rsidRPr="004B08E4">
        <w:rPr>
          <w:rFonts w:asciiTheme="minorHAnsi" w:eastAsiaTheme="minorHAnsi" w:hAnsiTheme="minorHAnsi" w:cstheme="minorHAnsi"/>
          <w:lang w:val="en-GB"/>
        </w:rPr>
        <w:t>ic</w:t>
      </w:r>
      <w:r w:rsidRPr="004B08E4">
        <w:rPr>
          <w:rFonts w:asciiTheme="minorHAnsi" w:eastAsiaTheme="minorHAnsi" w:hAnsiTheme="minorHAnsi" w:cstheme="minorHAnsi"/>
          <w:lang w:val="en-GB"/>
        </w:rPr>
        <w:t xml:space="preserve">). </w:t>
      </w:r>
      <w:r w:rsidR="009A28EC">
        <w:rPr>
          <w:rFonts w:asciiTheme="minorHAnsi" w:eastAsiaTheme="minorHAnsi" w:hAnsiTheme="minorHAnsi" w:cstheme="minorHAnsi"/>
          <w:lang w:val="en-GB"/>
        </w:rPr>
        <w:t>I</w:t>
      </w:r>
      <w:r w:rsidR="009A28EC" w:rsidRPr="004B08E4">
        <w:rPr>
          <w:rFonts w:asciiTheme="minorHAnsi" w:eastAsiaTheme="minorHAnsi" w:hAnsiTheme="minorHAnsi" w:cstheme="minorHAnsi"/>
          <w:lang w:val="en-GB"/>
        </w:rPr>
        <w:t>n other words,</w:t>
      </w:r>
      <w:r w:rsidR="008901ED">
        <w:rPr>
          <w:rFonts w:asciiTheme="minorHAnsi" w:eastAsiaTheme="minorHAnsi" w:hAnsiTheme="minorHAnsi" w:cstheme="minorHAnsi"/>
          <w:lang w:val="en-GB"/>
        </w:rPr>
        <w:t xml:space="preserve"> each exposure </w:t>
      </w:r>
      <w:r w:rsidR="00790D6B">
        <w:rPr>
          <w:rFonts w:asciiTheme="minorHAnsi" w:eastAsiaTheme="minorHAnsi" w:hAnsiTheme="minorHAnsi" w:cstheme="minorHAnsi"/>
          <w:lang w:val="en-GB"/>
        </w:rPr>
        <w:t xml:space="preserve">in MR </w:t>
      </w:r>
      <w:r w:rsidR="008901ED">
        <w:rPr>
          <w:rFonts w:asciiTheme="minorHAnsi" w:eastAsiaTheme="minorHAnsi" w:hAnsiTheme="minorHAnsi" w:cstheme="minorHAnsi"/>
          <w:lang w:val="en-GB"/>
        </w:rPr>
        <w:t xml:space="preserve">should be defined </w:t>
      </w:r>
      <w:r w:rsidR="00790D6B">
        <w:rPr>
          <w:rFonts w:asciiTheme="minorHAnsi" w:eastAsiaTheme="minorHAnsi" w:hAnsiTheme="minorHAnsi" w:cstheme="minorHAnsi"/>
          <w:lang w:val="en-GB"/>
        </w:rPr>
        <w:t xml:space="preserve">by a set of genetic </w:t>
      </w:r>
      <w:r w:rsidR="00C16304">
        <w:rPr>
          <w:rFonts w:asciiTheme="minorHAnsi" w:eastAsiaTheme="minorHAnsi" w:hAnsiTheme="minorHAnsi" w:cstheme="minorHAnsi"/>
          <w:lang w:val="en-GB"/>
        </w:rPr>
        <w:t>variants</w:t>
      </w:r>
      <w:r w:rsidR="00790D6B">
        <w:rPr>
          <w:rFonts w:asciiTheme="minorHAnsi" w:eastAsiaTheme="minorHAnsi" w:hAnsiTheme="minorHAnsi" w:cstheme="minorHAnsi"/>
          <w:lang w:val="en-GB"/>
        </w:rPr>
        <w:t xml:space="preserve"> that are associated univocally with it and not with any other exposure of interest.</w:t>
      </w:r>
    </w:p>
    <w:p w14:paraId="71B4E5AE" w14:textId="2B1522F1" w:rsidR="00E45705" w:rsidRPr="004B08E4" w:rsidRDefault="00CC71F9" w:rsidP="00CC71F9">
      <w:pPr>
        <w:spacing w:line="480" w:lineRule="auto"/>
        <w:ind w:firstLine="426"/>
        <w:jc w:val="both"/>
        <w:rPr>
          <w:rFonts w:asciiTheme="minorHAnsi" w:eastAsiaTheme="minorHAnsi" w:hAnsiTheme="minorHAnsi" w:cstheme="minorHAnsi"/>
          <w:lang w:val="en-GB"/>
        </w:rPr>
      </w:pPr>
      <w:r w:rsidRPr="004B08E4">
        <w:rPr>
          <w:rFonts w:asciiTheme="minorHAnsi" w:eastAsiaTheme="minorHAnsi" w:hAnsiTheme="minorHAnsi" w:cstheme="minorHAnsi"/>
          <w:lang w:val="en-GB"/>
        </w:rPr>
        <w:t>I</w:t>
      </w:r>
      <w:r w:rsidR="00AA446B" w:rsidRPr="004B08E4">
        <w:rPr>
          <w:rFonts w:asciiTheme="minorHAnsi" w:eastAsiaTheme="minorHAnsi" w:hAnsiTheme="minorHAnsi" w:cstheme="minorHAnsi"/>
          <w:lang w:val="en-GB"/>
        </w:rPr>
        <w:t>n a recent study by Carreras</w:t>
      </w:r>
      <w:r w:rsidR="002652C6" w:rsidRPr="004B08E4">
        <w:rPr>
          <w:rFonts w:asciiTheme="minorHAnsi" w:eastAsiaTheme="minorHAnsi" w:hAnsiTheme="minorHAnsi" w:cstheme="minorHAnsi"/>
          <w:lang w:val="en-GB"/>
        </w:rPr>
        <w:t>-</w:t>
      </w:r>
      <w:r w:rsidR="00AA446B" w:rsidRPr="004B08E4">
        <w:rPr>
          <w:rFonts w:asciiTheme="minorHAnsi" w:eastAsiaTheme="minorHAnsi" w:hAnsiTheme="minorHAnsi" w:cstheme="minorHAnsi"/>
          <w:lang w:val="en-GB"/>
        </w:rPr>
        <w:t>Torres and colleagues</w:t>
      </w:r>
      <w:r w:rsidR="00907A3C" w:rsidRPr="004B08E4">
        <w:rPr>
          <w:rFonts w:asciiTheme="minorHAnsi" w:eastAsiaTheme="minorHAnsi" w:hAnsiTheme="minorHAnsi" w:cstheme="minorHAnsi"/>
          <w:lang w:val="en-GB"/>
        </w:rPr>
        <w:t>,</w:t>
      </w:r>
      <w:r w:rsidR="00597778" w:rsidRPr="004B08E4">
        <w:rPr>
          <w:rFonts w:asciiTheme="minorHAnsi" w:eastAsiaTheme="minorHAnsi" w:hAnsiTheme="minorHAnsi" w:cstheme="minorHAnsi"/>
          <w:lang w:val="en-GB"/>
        </w:rPr>
        <w:t xml:space="preserve"> the authors </w:t>
      </w:r>
      <w:r w:rsidR="00061C60">
        <w:rPr>
          <w:rFonts w:asciiTheme="minorHAnsi" w:eastAsiaTheme="minorHAnsi" w:hAnsiTheme="minorHAnsi" w:cstheme="minorHAnsi"/>
          <w:lang w:val="en-GB"/>
        </w:rPr>
        <w:t>conducted</w:t>
      </w:r>
      <w:r w:rsidR="00A367F1" w:rsidRPr="004B08E4">
        <w:rPr>
          <w:rFonts w:asciiTheme="minorHAnsi" w:eastAsiaTheme="minorHAnsi" w:hAnsiTheme="minorHAnsi" w:cstheme="minorHAnsi"/>
          <w:lang w:val="en-GB"/>
        </w:rPr>
        <w:t xml:space="preserve"> </w:t>
      </w:r>
      <w:r w:rsidR="00AA446B" w:rsidRPr="004B08E4">
        <w:rPr>
          <w:rFonts w:asciiTheme="minorHAnsi" w:eastAsiaTheme="minorHAnsi" w:hAnsiTheme="minorHAnsi" w:cstheme="minorHAnsi"/>
          <w:lang w:val="en-GB"/>
        </w:rPr>
        <w:t>a</w:t>
      </w:r>
      <w:r w:rsidR="00A367F1">
        <w:rPr>
          <w:rFonts w:asciiTheme="minorHAnsi" w:eastAsiaTheme="minorHAnsi" w:hAnsiTheme="minorHAnsi" w:cstheme="minorHAnsi"/>
          <w:lang w:val="en-GB"/>
        </w:rPr>
        <w:t>n</w:t>
      </w:r>
      <w:r w:rsidR="00AA446B" w:rsidRPr="004B08E4">
        <w:rPr>
          <w:rFonts w:asciiTheme="minorHAnsi" w:eastAsiaTheme="minorHAnsi" w:hAnsiTheme="minorHAnsi" w:cstheme="minorHAnsi"/>
          <w:lang w:val="en-GB"/>
        </w:rPr>
        <w:t xml:space="preserve"> </w:t>
      </w:r>
      <w:r w:rsidR="00E45705" w:rsidRPr="004B08E4">
        <w:rPr>
          <w:rFonts w:asciiTheme="minorHAnsi" w:eastAsiaTheme="minorHAnsi" w:hAnsiTheme="minorHAnsi" w:cstheme="minorHAnsi"/>
          <w:lang w:val="en-GB"/>
        </w:rPr>
        <w:t xml:space="preserve">MR </w:t>
      </w:r>
      <w:r w:rsidR="00AA446B" w:rsidRPr="004B08E4">
        <w:rPr>
          <w:rFonts w:asciiTheme="minorHAnsi" w:eastAsiaTheme="minorHAnsi" w:hAnsiTheme="minorHAnsi" w:cstheme="minorHAnsi"/>
          <w:lang w:val="en-GB"/>
        </w:rPr>
        <w:t xml:space="preserve">to correlate </w:t>
      </w:r>
      <w:r w:rsidR="00A367F1">
        <w:rPr>
          <w:rFonts w:asciiTheme="minorHAnsi" w:eastAsiaTheme="minorHAnsi" w:hAnsiTheme="minorHAnsi" w:cstheme="minorHAnsi"/>
          <w:lang w:val="en-GB"/>
        </w:rPr>
        <w:t xml:space="preserve">a cluster of metabolic conditions such as obesity, </w:t>
      </w:r>
      <w:bookmarkStart w:id="6" w:name="OLE_LINK5"/>
      <w:bookmarkStart w:id="7" w:name="OLE_LINK6"/>
      <w:r w:rsidR="00A367F1">
        <w:rPr>
          <w:rFonts w:asciiTheme="minorHAnsi" w:eastAsiaTheme="minorHAnsi" w:hAnsiTheme="minorHAnsi" w:cstheme="minorHAnsi"/>
          <w:lang w:val="en-GB"/>
        </w:rPr>
        <w:t>dyslipidemia</w:t>
      </w:r>
      <w:bookmarkEnd w:id="6"/>
      <w:bookmarkEnd w:id="7"/>
      <w:r w:rsidR="00A367F1">
        <w:rPr>
          <w:rFonts w:asciiTheme="minorHAnsi" w:eastAsiaTheme="minorHAnsi" w:hAnsiTheme="minorHAnsi" w:cstheme="minorHAnsi"/>
          <w:lang w:val="en-GB"/>
        </w:rPr>
        <w:t>, insulin resistance, and type 2 diabetes (T2D)</w:t>
      </w:r>
      <w:r w:rsidR="00AB03F6">
        <w:rPr>
          <w:rFonts w:asciiTheme="minorHAnsi" w:eastAsiaTheme="minorHAnsi" w:hAnsiTheme="minorHAnsi" w:cstheme="minorHAnsi"/>
          <w:lang w:val="en-GB"/>
        </w:rPr>
        <w:t xml:space="preserve"> </w:t>
      </w:r>
      <w:r w:rsidR="00AA446B" w:rsidRPr="004B08E4">
        <w:rPr>
          <w:rFonts w:asciiTheme="minorHAnsi" w:eastAsiaTheme="minorHAnsi" w:hAnsiTheme="minorHAnsi" w:cstheme="minorHAnsi"/>
          <w:lang w:val="en-GB"/>
        </w:rPr>
        <w:t xml:space="preserve">to the risk of developing PDAC. </w:t>
      </w:r>
      <w:r w:rsidR="00061C60">
        <w:rPr>
          <w:rFonts w:asciiTheme="minorHAnsi" w:eastAsiaTheme="minorHAnsi" w:hAnsiTheme="minorHAnsi" w:cstheme="minorHAnsi"/>
          <w:lang w:val="en-GB"/>
        </w:rPr>
        <w:t>They</w:t>
      </w:r>
      <w:r w:rsidR="00AA446B" w:rsidRPr="004B08E4">
        <w:rPr>
          <w:rFonts w:asciiTheme="minorHAnsi" w:eastAsiaTheme="minorHAnsi" w:hAnsiTheme="minorHAnsi" w:cstheme="minorHAnsi"/>
          <w:lang w:val="en-GB"/>
        </w:rPr>
        <w:t xml:space="preserve"> reported</w:t>
      </w:r>
      <w:r w:rsidR="00E45705" w:rsidRPr="004B08E4">
        <w:rPr>
          <w:rFonts w:asciiTheme="minorHAnsi" w:eastAsiaTheme="minorHAnsi" w:hAnsiTheme="minorHAnsi" w:cstheme="minorHAnsi"/>
          <w:lang w:val="en-GB"/>
        </w:rPr>
        <w:t xml:space="preserve"> association</w:t>
      </w:r>
      <w:r w:rsidR="002652C6" w:rsidRPr="004B08E4">
        <w:rPr>
          <w:rFonts w:asciiTheme="minorHAnsi" w:eastAsiaTheme="minorHAnsi" w:hAnsiTheme="minorHAnsi" w:cstheme="minorHAnsi"/>
          <w:lang w:val="en-GB"/>
        </w:rPr>
        <w:t>s</w:t>
      </w:r>
      <w:r w:rsidR="00E45705" w:rsidRPr="004B08E4">
        <w:rPr>
          <w:rFonts w:asciiTheme="minorHAnsi" w:eastAsiaTheme="minorHAnsi" w:hAnsiTheme="minorHAnsi" w:cstheme="minorHAnsi"/>
          <w:lang w:val="en-GB"/>
        </w:rPr>
        <w:t xml:space="preserve"> between genetically predicted </w:t>
      </w:r>
      <w:r w:rsidR="00061C60">
        <w:rPr>
          <w:rFonts w:asciiTheme="minorHAnsi" w:eastAsiaTheme="minorHAnsi" w:hAnsiTheme="minorHAnsi" w:cstheme="minorHAnsi"/>
          <w:lang w:val="en-GB"/>
        </w:rPr>
        <w:t>body mass index (</w:t>
      </w:r>
      <w:r w:rsidR="00E45705" w:rsidRPr="004B08E4">
        <w:rPr>
          <w:rFonts w:asciiTheme="minorHAnsi" w:eastAsiaTheme="minorHAnsi" w:hAnsiTheme="minorHAnsi" w:cstheme="minorHAnsi"/>
          <w:lang w:val="en-GB"/>
        </w:rPr>
        <w:t>BMI</w:t>
      </w:r>
      <w:r w:rsidR="00061C60">
        <w:rPr>
          <w:rFonts w:asciiTheme="minorHAnsi" w:eastAsiaTheme="minorHAnsi" w:hAnsiTheme="minorHAnsi" w:cstheme="minorHAnsi"/>
          <w:lang w:val="en-GB"/>
        </w:rPr>
        <w:t>)</w:t>
      </w:r>
      <w:r w:rsidR="00C9605C" w:rsidRPr="004B08E4">
        <w:rPr>
          <w:rFonts w:asciiTheme="minorHAnsi" w:eastAsiaTheme="minorHAnsi" w:hAnsiTheme="minorHAnsi" w:cstheme="minorHAnsi"/>
          <w:lang w:val="en-GB"/>
        </w:rPr>
        <w:t>, as well as fasting insulin levels</w:t>
      </w:r>
      <w:r w:rsidR="002652C6" w:rsidRPr="004B08E4">
        <w:rPr>
          <w:rFonts w:asciiTheme="minorHAnsi" w:eastAsiaTheme="minorHAnsi" w:hAnsiTheme="minorHAnsi" w:cstheme="minorHAnsi"/>
          <w:lang w:val="en-GB"/>
        </w:rPr>
        <w:t xml:space="preserve"> with the</w:t>
      </w:r>
      <w:r w:rsidR="00E45705" w:rsidRPr="004B08E4">
        <w:rPr>
          <w:rFonts w:asciiTheme="minorHAnsi" w:eastAsiaTheme="minorHAnsi" w:hAnsiTheme="minorHAnsi" w:cstheme="minorHAnsi"/>
          <w:lang w:val="en-GB"/>
        </w:rPr>
        <w:t xml:space="preserve"> risk of PDAC</w:t>
      </w:r>
      <w:r w:rsidR="0073321C">
        <w:rPr>
          <w:rFonts w:asciiTheme="minorHAnsi" w:eastAsiaTheme="minorHAnsi" w:hAnsiTheme="minorHAnsi" w:cstheme="minorHAnsi"/>
          <w:lang w:val="en-GB"/>
        </w:rPr>
        <w:t xml:space="preserve"> </w:t>
      </w:r>
      <w:r w:rsidR="00E45705" w:rsidRPr="004B08E4">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{"citationItems":[{"id":"ITEM-1","itemData":{"DOI":"10.1093/jnci/djx012","ISSN":"0027-8874","PMID":"28954281","abstract":"Background: Risk factors for pancreatic cancer include a cluster of metabolic conditions such as obesity, hypertension, dyslipidemia, insulin resistance, and type 2 diabetes. Given that these risk factors are correlated, separating out causal from confounded effects is challenging. Mendelian randomization (MR), or the use of genetic instrumental variables, may facilitate the identification of the metabolic drivers of pancreatic cancer. Methods: We identified genetic instruments for obesity, body shape, dyslipidemia, insulin resistance, and type 2 diabetes in order to evaluate their causal role in pancreatic cancer etiology. These instruments were analyzed in relation to risk using a likelihood-based MR approach within a series of 7110 pancreatic cancer patients and 7264 control subjects using genome-wide data from the Pancreatic Cancer Cohort Consortium (PanScan) and the Pancreatic Cancer Case-Control Consortium (PanC4). Potential unknown pleiotropic effects were assessed using a weighted median approach and MR-Egger sensitivity analyses. Results: Results indicated a robust causal association of increasing body mass index (BMI) with pancreatic cancer risk (odds ratio [OR] = 1.34, 95% confidence interval [CI] = 1.09 to 1.65, for each standard deviation increase in BMI [4.6 kg/m2]). There was also evidence that genetically increased fasting insulin levels were causally associated with an increased risk of pancreatic cancer (OR = 1.66, 95% CI = 1.05 to 2.63, per SD [44.4 pmol/L]). Notably, no evidence of a causal relationship was observed for type 2 diabetes, nor for dyslipidemia. Sensitivity analyses did not indicate that pleiotropy was an important source of bias. Conclusions: Our results suggest a causal role of BMI and fasting insulin in pancreatic cancer etiology.","author":[{"dropping-particle":"","family":"Carreras-Torres","given":"Robert","non-dropping-particle":"","parse-names":false,"suffix":""},{"dropping-particle":"","family":"Johansson","given":"Mattias","non-dropping-particle":"","parse-names":false,"suffix":""},{"dropping-particle":"","family":"Gaborieau","given":"Valerie","non-dropping-particle":"","parse-names":false,"suffix":""},{"dropping-particle":"","family":"Haycock","given":"Philip C.","non-dropping-particle":"","parse-names":false,"suffix":""},{"dropping-particle":"","family":"Wade","given":"Kaitlin H.","non-dropping-particle":"","parse-names":false,"suffix":""},{"dropping-particle":"","family":"Relton","given":"Caroline L.","non-dropping-particle":"","parse-names":false,"suffix":""},{"dropping-particle":"","family":"Martin","given":"Richard M.","non-dropping-particle":"","parse-names":false,"suffix":""},{"dropping-particle":"","family":"Davey Smith","given":"George","non-dropping-particle":"","parse-names":false,"suffix":""},{"dropping-particle":"","family":"Brennan","given":"Paul","non-dropping-particle":"","parse-names":false,"suffix":""}],"container-title":"JNCI: Journal of the National Cancer Institute","id":"ITEM-1","issue":"9","issued":{"date-parts":[["2017","9","1"]]},"title":"The Role of Obesity, Type 2 Diabetes, and Metabolic Factors in Pancreatic Cancer: A Mendelian Randomization Study","type":"article-journal","volume":"109"},"uris":["http://www.mendeley.com/documents/?uuid=8d922334-01ae-4eb0-9a2f-78d7957df410","http://www.mendeley.com/documents/?uuid=0de0ab42-8d63-46a7-b6f3-921456cfc546"]}],"mendeley":{"formattedCitation":"&lt;sup&gt;32&lt;/sup&gt;","plainTextFormattedCitation":"32","previouslyFormattedCitation":"&lt;sup&gt;32&lt;/sup&gt;"},"properties":{"noteIndex":0},"schema":"https://github.com/citation-style-language/schema/raw/master/csl-citation.json"}</w:instrText>
      </w:r>
      <w:r w:rsidR="00E45705" w:rsidRPr="004B08E4">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32</w:t>
      </w:r>
      <w:r w:rsidR="00E45705" w:rsidRPr="004B08E4">
        <w:rPr>
          <w:rFonts w:asciiTheme="minorHAnsi" w:eastAsiaTheme="minorHAnsi" w:hAnsiTheme="minorHAnsi" w:cstheme="minorHAnsi"/>
          <w:lang w:val="en-GB"/>
        </w:rPr>
        <w:fldChar w:fldCharType="end"/>
      </w:r>
      <w:r w:rsidR="0073321C">
        <w:rPr>
          <w:rFonts w:asciiTheme="minorHAnsi" w:eastAsiaTheme="minorHAnsi" w:hAnsiTheme="minorHAnsi" w:cstheme="minorHAnsi"/>
          <w:lang w:val="en-GB"/>
        </w:rPr>
        <w:t>.</w:t>
      </w:r>
      <w:r w:rsidR="00776B34">
        <w:rPr>
          <w:rFonts w:asciiTheme="minorHAnsi" w:eastAsiaTheme="minorHAnsi" w:hAnsiTheme="minorHAnsi" w:cstheme="minorHAnsi"/>
          <w:lang w:val="en-GB"/>
        </w:rPr>
        <w:t xml:space="preserve"> Another very recent paper by </w:t>
      </w:r>
      <w:r w:rsidR="00776B34" w:rsidRPr="00776B34">
        <w:rPr>
          <w:rFonts w:asciiTheme="minorHAnsi" w:eastAsiaTheme="minorHAnsi" w:hAnsiTheme="minorHAnsi" w:cstheme="minorHAnsi"/>
          <w:lang w:val="en-GB"/>
        </w:rPr>
        <w:t>Langdon and colleagues also used an MR approach to infer the possible causal effect of 486 traits on PDAC risk</w:t>
      </w:r>
      <w:r w:rsidR="00776B34">
        <w:rPr>
          <w:rFonts w:asciiTheme="minorHAnsi" w:eastAsiaTheme="minorHAnsi" w:hAnsiTheme="minorHAnsi" w:cstheme="minorHAnsi"/>
          <w:lang w:val="en-GB"/>
        </w:rPr>
        <w:t>, and reported associations of BMI, hip circumference, various metabolites and of susceptibility to lung cancer with risk of PDAC</w:t>
      </w:r>
      <w:r w:rsidR="0073321C">
        <w:rPr>
          <w:rFonts w:asciiTheme="minorHAnsi" w:eastAsiaTheme="minorHAnsi" w:hAnsiTheme="minorHAnsi" w:cstheme="minorHAnsi"/>
          <w:lang w:val="en-GB"/>
        </w:rPr>
        <w:t xml:space="preserve"> </w:t>
      </w:r>
      <w:r w:rsidR="005B5AE1">
        <w:rPr>
          <w:rFonts w:asciiTheme="minorHAnsi" w:eastAsiaTheme="minorHAnsi" w:hAnsiTheme="minorHAnsi" w:cstheme="minorHAnsi"/>
          <w:lang w:val="en-GB"/>
        </w:rPr>
        <w:fldChar w:fldCharType="begin" w:fldLock="1"/>
      </w:r>
      <w:r w:rsidR="00DE3151">
        <w:rPr>
          <w:rFonts w:asciiTheme="minorHAnsi" w:eastAsiaTheme="minorHAnsi" w:hAnsiTheme="minorHAnsi" w:cstheme="minorHAnsi"/>
          <w:lang w:val="en-GB"/>
        </w:rPr>
        <w:instrText>ADDIN CSL_CITATION {"citationItems":[{"id":"ITEM-1","itemData":{"DOI":"10.1158/1055-9965.EPI-19-0036","ISSN":"1055-9965","author":[{"dropping-particle":"","family":"Langdon","given":"Ryan J","non-dropping-particle":"","parse-names":false,"suffix":""},{"dropping-particle":"","family":"Richmond","given":"Rebecca C","non-dropping-particle":"","parse-names":false,"suffix":""},{"dropping-particle":"","family":"Hemani","given":"Gibran","non-dropping-particle":"","parse-names":false,"suffix":""},{"dropping-particle":"","family":"Zheng","given":"Jie","non-dropping-particle":"","parse-names":false,"suffix":""},{"dropping-particle":"","family":"Wade","given":"Kaitlin H","non-dropping-particle":"","parse-names":false,"suffix":""},{"dropping-particle":"","family":"Carreras-Torres","given":"Robert","non-dropping-particle":"","parse-names":false,"suffix":""},{"dropping-particle":"","family":"Johannson","given":"Mattias","non-dropping-particle":"","parse-names":false,"suffix":""},{"dropping-particle":"","family":"Brennan","given":"Paul","non-dropping-particle":"","parse-names":false,"suffix":""},{"dropping-particle":"","family":"Wootton","given":"Robyn E","non-dropping-particle":"","parse-names":false,"suffix":""},{"dropping-particle":"","family":"Munafo","given":"Marcus R","non-dropping-particle":"","parse-names":false,"suffix":""},{"dropping-particle":"","family":"Davey Smith","given":"George","non-dropping-particle":"","parse-names":false,"suffix":""},{"dropping-particle":"","family":"Relton","given":"Caroline L.","non-dropping-particle":"","parse-names":false,"suffix":""},{"dropping-particle":"","family":"Vincent","given":"Emma E","non-dropping-particle":"","parse-names":false,"suffix":""},{"dropping-particle":"","family":"Martin","given":"Richard M.","non-dropping-particle":"","parse-names":false,"suffix":""},{"dropping-particle":"","family":"Haycock","given":"Philip","non-dropping-particle":"","parse-names":false,"suffix":""}],"container-title":"Cancer Epidemiology Biomarkers &amp; Prevention","id":"ITEM-1","issued":{"date-parts":[["2019","7","17"]]},"page":"cebp.0036.2019","title":"A phenome-wide Mendelian randomization study of pancreatic cancer using summary genetic data","type":"article-journal"},"uris":["http://www.mendeley.com/documents/?uuid=79bba16a-4018-4c1b-8382-b68c73a44aea"]}],"mendeley":{"formattedCitation":"&lt;sup&gt;33&lt;/sup&gt;","plainTextFormattedCitation":"33","previouslyFormattedCitation":"&lt;sup&gt;33&lt;/sup&gt;"},"properties":{"noteIndex":0},"schema":"https://github.com/citation-style-language/schema/raw/master/csl-citation.json"}</w:instrText>
      </w:r>
      <w:r w:rsidR="005B5AE1">
        <w:rPr>
          <w:rFonts w:asciiTheme="minorHAnsi" w:eastAsiaTheme="minorHAnsi" w:hAnsiTheme="minorHAnsi" w:cstheme="minorHAnsi"/>
          <w:lang w:val="en-GB"/>
        </w:rPr>
        <w:fldChar w:fldCharType="separate"/>
      </w:r>
      <w:r w:rsidR="00DE3151" w:rsidRPr="00DE3151">
        <w:rPr>
          <w:rFonts w:asciiTheme="minorHAnsi" w:eastAsiaTheme="minorHAnsi" w:hAnsiTheme="minorHAnsi" w:cstheme="minorHAnsi"/>
          <w:noProof/>
          <w:vertAlign w:val="superscript"/>
          <w:lang w:val="en-GB"/>
        </w:rPr>
        <w:t>33</w:t>
      </w:r>
      <w:r w:rsidR="005B5AE1">
        <w:rPr>
          <w:rFonts w:asciiTheme="minorHAnsi" w:eastAsiaTheme="minorHAnsi" w:hAnsiTheme="minorHAnsi" w:cstheme="minorHAnsi"/>
          <w:lang w:val="en-GB"/>
        </w:rPr>
        <w:fldChar w:fldCharType="end"/>
      </w:r>
      <w:r w:rsidR="00776B34" w:rsidRPr="00776B34">
        <w:rPr>
          <w:rFonts w:asciiTheme="minorHAnsi" w:eastAsiaTheme="minorHAnsi" w:hAnsiTheme="minorHAnsi" w:cstheme="minorHAnsi"/>
          <w:lang w:val="en-GB"/>
        </w:rPr>
        <w:t>.</w:t>
      </w:r>
    </w:p>
    <w:p w14:paraId="1EE6D4BC" w14:textId="7C9100F7" w:rsidR="008F11F2" w:rsidRPr="004B08E4" w:rsidRDefault="008546CE" w:rsidP="00B475B3">
      <w:pPr>
        <w:spacing w:line="480" w:lineRule="auto"/>
        <w:ind w:firstLine="426"/>
        <w:jc w:val="both"/>
        <w:rPr>
          <w:rFonts w:asciiTheme="minorHAnsi" w:eastAsiaTheme="minorHAnsi" w:hAnsiTheme="minorHAnsi" w:cstheme="minorHAnsi"/>
          <w:lang w:val="en-GB"/>
        </w:rPr>
      </w:pPr>
      <w:r w:rsidRPr="004B08E4">
        <w:rPr>
          <w:rFonts w:asciiTheme="minorHAnsi" w:eastAsiaTheme="minorHAnsi" w:hAnsiTheme="minorHAnsi" w:cstheme="minorHAnsi"/>
          <w:lang w:val="en-GB"/>
        </w:rPr>
        <w:t xml:space="preserve">In order to further our understanding </w:t>
      </w:r>
      <w:r w:rsidR="00061C60">
        <w:rPr>
          <w:rFonts w:asciiTheme="minorHAnsi" w:eastAsiaTheme="minorHAnsi" w:hAnsiTheme="minorHAnsi" w:cstheme="minorHAnsi"/>
          <w:lang w:val="en-GB"/>
        </w:rPr>
        <w:t>of</w:t>
      </w:r>
      <w:r w:rsidR="00061C60"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 xml:space="preserve">PDAC risk </w:t>
      </w:r>
      <w:r w:rsidR="00C16304">
        <w:rPr>
          <w:rFonts w:asciiTheme="minorHAnsi" w:eastAsiaTheme="minorHAnsi" w:hAnsiTheme="minorHAnsi" w:cstheme="minorHAnsi"/>
          <w:lang w:val="en-GB"/>
        </w:rPr>
        <w:t>factors</w:t>
      </w:r>
      <w:r w:rsidR="00C16304" w:rsidRPr="004B08E4">
        <w:rPr>
          <w:rFonts w:asciiTheme="minorHAnsi" w:eastAsiaTheme="minorHAnsi" w:hAnsiTheme="minorHAnsi" w:cstheme="minorHAnsi"/>
          <w:lang w:val="en-GB"/>
        </w:rPr>
        <w:t xml:space="preserve"> </w:t>
      </w:r>
      <w:r w:rsidR="00AA446B" w:rsidRPr="004B08E4">
        <w:rPr>
          <w:rFonts w:asciiTheme="minorHAnsi" w:eastAsiaTheme="minorHAnsi" w:hAnsiTheme="minorHAnsi" w:cstheme="minorHAnsi"/>
          <w:lang w:val="en-GB"/>
        </w:rPr>
        <w:t>for population risk stratification</w:t>
      </w:r>
      <w:r w:rsidR="00C16304">
        <w:rPr>
          <w:rFonts w:asciiTheme="minorHAnsi" w:eastAsiaTheme="minorHAnsi" w:hAnsiTheme="minorHAnsi" w:cstheme="minorHAnsi"/>
          <w:lang w:val="en-GB"/>
        </w:rPr>
        <w:t>,</w:t>
      </w:r>
      <w:bookmarkStart w:id="8" w:name="OLE_LINK45"/>
      <w:bookmarkStart w:id="9" w:name="OLE_LINK46"/>
      <w:r w:rsidRPr="004B08E4">
        <w:rPr>
          <w:rFonts w:asciiTheme="minorHAnsi" w:eastAsiaTheme="minorHAnsi" w:hAnsiTheme="minorHAnsi" w:cstheme="minorHAnsi"/>
          <w:lang w:val="en-GB"/>
        </w:rPr>
        <w:t xml:space="preserve"> we performed </w:t>
      </w:r>
      <w:r w:rsidR="00AF07D2">
        <w:rPr>
          <w:rFonts w:asciiTheme="minorHAnsi" w:eastAsiaTheme="minorHAnsi" w:hAnsiTheme="minorHAnsi" w:cstheme="minorHAnsi"/>
          <w:lang w:val="en-GB"/>
        </w:rPr>
        <w:t>a</w:t>
      </w:r>
      <w:r w:rsidR="00061C60">
        <w:rPr>
          <w:rFonts w:asciiTheme="minorHAnsi" w:eastAsiaTheme="minorHAnsi" w:hAnsiTheme="minorHAnsi" w:cstheme="minorHAnsi"/>
          <w:lang w:val="en-GB"/>
        </w:rPr>
        <w:t>n</w:t>
      </w:r>
      <w:r w:rsidRPr="004B08E4">
        <w:rPr>
          <w:rFonts w:asciiTheme="minorHAnsi" w:eastAsiaTheme="minorHAnsi" w:hAnsiTheme="minorHAnsi" w:cstheme="minorHAnsi"/>
          <w:lang w:val="en-GB"/>
        </w:rPr>
        <w:t xml:space="preserve"> MR</w:t>
      </w:r>
      <w:r w:rsidR="00AA446B" w:rsidRPr="004B08E4">
        <w:rPr>
          <w:rFonts w:asciiTheme="minorHAnsi" w:eastAsiaTheme="minorHAnsi" w:hAnsiTheme="minorHAnsi" w:cstheme="minorHAnsi"/>
          <w:lang w:val="en-GB"/>
        </w:rPr>
        <w:t xml:space="preserve"> on </w:t>
      </w:r>
      <w:r w:rsidR="00C9605C" w:rsidRPr="004B08E4">
        <w:rPr>
          <w:rFonts w:asciiTheme="minorHAnsi" w:eastAsiaTheme="minorHAnsi" w:hAnsiTheme="minorHAnsi" w:cstheme="minorHAnsi"/>
          <w:lang w:val="en-GB"/>
        </w:rPr>
        <w:t>a comprehensive set of</w:t>
      </w:r>
      <w:r w:rsidR="00332762">
        <w:rPr>
          <w:rFonts w:asciiTheme="minorHAnsi" w:eastAsiaTheme="minorHAnsi" w:hAnsiTheme="minorHAnsi" w:cstheme="minorHAnsi"/>
          <w:lang w:val="en-GB"/>
        </w:rPr>
        <w:t xml:space="preserve"> known or suspected</w:t>
      </w:r>
      <w:r w:rsidR="00C9605C" w:rsidRPr="004B08E4">
        <w:rPr>
          <w:rFonts w:asciiTheme="minorHAnsi" w:eastAsiaTheme="minorHAnsi" w:hAnsiTheme="minorHAnsi" w:cstheme="minorHAnsi"/>
          <w:lang w:val="en-GB"/>
        </w:rPr>
        <w:t xml:space="preserve"> </w:t>
      </w:r>
      <w:r w:rsidRPr="004B08E4">
        <w:rPr>
          <w:rFonts w:asciiTheme="minorHAnsi" w:eastAsiaTheme="minorHAnsi" w:hAnsiTheme="minorHAnsi" w:cstheme="minorHAnsi"/>
          <w:lang w:val="en-GB"/>
        </w:rPr>
        <w:t xml:space="preserve">PDAC </w:t>
      </w:r>
      <w:r w:rsidR="00AA446B" w:rsidRPr="004B08E4">
        <w:rPr>
          <w:rFonts w:asciiTheme="minorHAnsi" w:eastAsiaTheme="minorHAnsi" w:hAnsiTheme="minorHAnsi" w:cstheme="minorHAnsi"/>
          <w:lang w:val="en-GB"/>
        </w:rPr>
        <w:t>risk factors</w:t>
      </w:r>
      <w:r w:rsidR="00061C60">
        <w:rPr>
          <w:rFonts w:asciiTheme="minorHAnsi" w:eastAsiaTheme="minorHAnsi" w:hAnsiTheme="minorHAnsi" w:cstheme="minorHAnsi"/>
          <w:lang w:val="en-GB"/>
        </w:rPr>
        <w:t xml:space="preserve">, </w:t>
      </w:r>
      <w:r w:rsidR="00061C60" w:rsidRPr="00835D46">
        <w:rPr>
          <w:rFonts w:asciiTheme="minorHAnsi" w:eastAsiaTheme="minorHAnsi" w:hAnsiTheme="minorHAnsi" w:cstheme="minorHAnsi"/>
          <w:lang w:val="en-GB"/>
        </w:rPr>
        <w:t>especially for smoking-related, drinking-related, and allergy-related traits which have</w:t>
      </w:r>
      <w:r w:rsidR="00D6748C">
        <w:rPr>
          <w:rFonts w:asciiTheme="minorHAnsi" w:eastAsiaTheme="minorHAnsi" w:hAnsiTheme="minorHAnsi" w:cstheme="minorHAnsi"/>
          <w:lang w:val="en-GB"/>
        </w:rPr>
        <w:t xml:space="preserve"> </w:t>
      </w:r>
      <w:r w:rsidR="00061C60" w:rsidRPr="00835D46">
        <w:rPr>
          <w:rFonts w:asciiTheme="minorHAnsi" w:eastAsiaTheme="minorHAnsi" w:hAnsiTheme="minorHAnsi" w:cstheme="minorHAnsi"/>
          <w:lang w:val="en-GB"/>
        </w:rPr>
        <w:t>n</w:t>
      </w:r>
      <w:r w:rsidR="00D6748C">
        <w:rPr>
          <w:rFonts w:asciiTheme="minorHAnsi" w:eastAsiaTheme="minorHAnsi" w:hAnsiTheme="minorHAnsi" w:cstheme="minorHAnsi"/>
          <w:lang w:val="en-GB"/>
        </w:rPr>
        <w:t>o</w:t>
      </w:r>
      <w:r w:rsidR="00061C60" w:rsidRPr="00835D46">
        <w:rPr>
          <w:rFonts w:asciiTheme="minorHAnsi" w:eastAsiaTheme="minorHAnsi" w:hAnsiTheme="minorHAnsi" w:cstheme="minorHAnsi"/>
          <w:lang w:val="en-GB"/>
        </w:rPr>
        <w:t>t been reported</w:t>
      </w:r>
      <w:r w:rsidR="00D6748C">
        <w:rPr>
          <w:rFonts w:asciiTheme="minorHAnsi" w:eastAsiaTheme="minorHAnsi" w:hAnsiTheme="minorHAnsi" w:cstheme="minorHAnsi"/>
          <w:lang w:val="en-GB"/>
        </w:rPr>
        <w:t xml:space="preserve"> in the previous publications</w:t>
      </w:r>
      <w:r w:rsidR="00A86CEC">
        <w:rPr>
          <w:rFonts w:asciiTheme="minorHAnsi" w:eastAsiaTheme="minorHAnsi" w:hAnsiTheme="minorHAnsi" w:cstheme="minorHAnsi"/>
          <w:lang w:val="en-GB"/>
        </w:rPr>
        <w:t xml:space="preserve"> by Carreras-Torres and Langdon</w:t>
      </w:r>
      <w:r w:rsidR="00332762">
        <w:rPr>
          <w:rFonts w:asciiTheme="minorHAnsi" w:eastAsiaTheme="minorHAnsi" w:hAnsiTheme="minorHAnsi" w:cstheme="minorHAnsi"/>
          <w:lang w:val="en-GB"/>
        </w:rPr>
        <w:t>.</w:t>
      </w:r>
      <w:bookmarkEnd w:id="8"/>
      <w:bookmarkEnd w:id="9"/>
      <w:r w:rsidR="0033411F">
        <w:rPr>
          <w:rFonts w:asciiTheme="minorHAnsi" w:eastAsiaTheme="minorHAnsi" w:hAnsiTheme="minorHAnsi" w:cstheme="minorHAnsi"/>
          <w:lang w:val="en-GB"/>
        </w:rPr>
        <w:t xml:space="preserve"> </w:t>
      </w:r>
      <w:r w:rsidR="006900D7" w:rsidRPr="004B08E4">
        <w:rPr>
          <w:rFonts w:asciiTheme="minorHAnsi" w:eastAsiaTheme="minorHAnsi" w:hAnsiTheme="minorHAnsi" w:cstheme="minorHAnsi"/>
          <w:lang w:val="en-GB"/>
        </w:rPr>
        <w:t xml:space="preserve">Here </w:t>
      </w:r>
      <w:r w:rsidR="00E45705" w:rsidRPr="004B08E4">
        <w:rPr>
          <w:rFonts w:asciiTheme="minorHAnsi" w:eastAsiaTheme="minorHAnsi" w:hAnsiTheme="minorHAnsi" w:cstheme="minorHAnsi"/>
          <w:lang w:val="en-GB"/>
        </w:rPr>
        <w:t xml:space="preserve">we </w:t>
      </w:r>
      <w:r w:rsidR="006900D7" w:rsidRPr="004B08E4">
        <w:rPr>
          <w:rFonts w:asciiTheme="minorHAnsi" w:eastAsiaTheme="minorHAnsi" w:hAnsiTheme="minorHAnsi" w:cstheme="minorHAnsi"/>
          <w:lang w:val="en-GB"/>
        </w:rPr>
        <w:t xml:space="preserve">selected </w:t>
      </w:r>
      <w:r w:rsidR="006F7564">
        <w:rPr>
          <w:rFonts w:asciiTheme="minorHAnsi" w:eastAsiaTheme="minorHAnsi" w:hAnsiTheme="minorHAnsi" w:cstheme="minorHAnsi"/>
          <w:lang w:val="en-GB"/>
        </w:rPr>
        <w:t>GWAS-</w:t>
      </w:r>
      <w:r w:rsidR="006900D7" w:rsidRPr="004B08E4">
        <w:rPr>
          <w:rFonts w:asciiTheme="minorHAnsi" w:eastAsiaTheme="minorHAnsi" w:hAnsiTheme="minorHAnsi" w:cstheme="minorHAnsi"/>
          <w:lang w:val="en-GB"/>
        </w:rPr>
        <w:t xml:space="preserve">identified </w:t>
      </w:r>
      <w:r w:rsidR="00061C60">
        <w:rPr>
          <w:rFonts w:asciiTheme="minorHAnsi" w:eastAsiaTheme="minorHAnsi" w:hAnsiTheme="minorHAnsi" w:cstheme="minorHAnsi"/>
          <w:lang w:val="en-GB"/>
        </w:rPr>
        <w:t>s</w:t>
      </w:r>
      <w:r w:rsidR="00061C60" w:rsidRPr="00061C60">
        <w:rPr>
          <w:rFonts w:asciiTheme="minorHAnsi" w:eastAsiaTheme="minorHAnsi" w:hAnsiTheme="minorHAnsi" w:cstheme="minorHAnsi"/>
          <w:lang w:val="en-GB"/>
        </w:rPr>
        <w:t>ingle nucleotide polymorphism</w:t>
      </w:r>
      <w:r w:rsidR="00061C60">
        <w:rPr>
          <w:rFonts w:asciiTheme="minorHAnsi" w:eastAsiaTheme="minorHAnsi" w:hAnsiTheme="minorHAnsi" w:cstheme="minorHAnsi"/>
          <w:lang w:val="en-GB"/>
        </w:rPr>
        <w:t>s</w:t>
      </w:r>
      <w:r w:rsidR="00061C60" w:rsidRPr="00061C60" w:rsidDel="006F7564">
        <w:rPr>
          <w:rFonts w:asciiTheme="minorHAnsi" w:eastAsiaTheme="minorHAnsi" w:hAnsiTheme="minorHAnsi" w:cstheme="minorHAnsi"/>
          <w:lang w:val="en-GB"/>
        </w:rPr>
        <w:t xml:space="preserve"> </w:t>
      </w:r>
      <w:r w:rsidR="00061C60">
        <w:rPr>
          <w:rFonts w:asciiTheme="minorHAnsi" w:eastAsiaTheme="minorHAnsi" w:hAnsiTheme="minorHAnsi" w:cstheme="minorHAnsi"/>
          <w:lang w:val="en-GB"/>
        </w:rPr>
        <w:t>(</w:t>
      </w:r>
      <w:r w:rsidR="006F7564">
        <w:rPr>
          <w:rFonts w:asciiTheme="minorHAnsi" w:eastAsiaTheme="minorHAnsi" w:hAnsiTheme="minorHAnsi" w:cstheme="minorHAnsi"/>
          <w:lang w:val="en-GB"/>
        </w:rPr>
        <w:t>SNPs</w:t>
      </w:r>
      <w:r w:rsidR="00061C60">
        <w:rPr>
          <w:rFonts w:asciiTheme="minorHAnsi" w:eastAsiaTheme="minorHAnsi" w:hAnsiTheme="minorHAnsi" w:cstheme="minorHAnsi"/>
          <w:lang w:val="en-GB"/>
        </w:rPr>
        <w:t>)</w:t>
      </w:r>
      <w:r w:rsidR="006F7564">
        <w:rPr>
          <w:rFonts w:asciiTheme="minorHAnsi" w:eastAsiaTheme="minorHAnsi" w:hAnsiTheme="minorHAnsi" w:cstheme="minorHAnsi"/>
          <w:lang w:val="en-GB"/>
        </w:rPr>
        <w:t xml:space="preserve"> </w:t>
      </w:r>
      <w:r w:rsidR="0051089D">
        <w:rPr>
          <w:rFonts w:asciiTheme="minorHAnsi" w:eastAsiaTheme="minorHAnsi" w:hAnsiTheme="minorHAnsi" w:cstheme="minorHAnsi"/>
          <w:lang w:val="en-GB"/>
        </w:rPr>
        <w:t>as genetic instruments for</w:t>
      </w:r>
      <w:r w:rsidR="006900D7" w:rsidRPr="004B08E4">
        <w:rPr>
          <w:rFonts w:asciiTheme="minorHAnsi" w:eastAsiaTheme="minorHAnsi" w:hAnsiTheme="minorHAnsi" w:cstheme="minorHAnsi"/>
          <w:lang w:val="en-GB"/>
        </w:rPr>
        <w:t xml:space="preserve"> </w:t>
      </w:r>
      <w:r w:rsidR="00681FBA" w:rsidRPr="004B08E4">
        <w:rPr>
          <w:rFonts w:asciiTheme="minorHAnsi" w:eastAsiaTheme="minorHAnsi" w:hAnsiTheme="minorHAnsi" w:cstheme="minorHAnsi"/>
          <w:lang w:val="en-GB"/>
        </w:rPr>
        <w:t>1</w:t>
      </w:r>
      <w:r w:rsidR="00053BDA">
        <w:rPr>
          <w:rFonts w:asciiTheme="minorHAnsi" w:eastAsiaTheme="minorHAnsi" w:hAnsiTheme="minorHAnsi" w:cstheme="minorHAnsi"/>
          <w:lang w:val="en-GB"/>
        </w:rPr>
        <w:t>6</w:t>
      </w:r>
      <w:r w:rsidR="006900D7" w:rsidRPr="004B08E4">
        <w:rPr>
          <w:rFonts w:asciiTheme="minorHAnsi" w:eastAsiaTheme="minorHAnsi" w:hAnsiTheme="minorHAnsi" w:cstheme="minorHAnsi"/>
          <w:lang w:val="en-GB"/>
        </w:rPr>
        <w:t xml:space="preserve"> PDAC risk factors </w:t>
      </w:r>
      <w:r w:rsidR="00E45705" w:rsidRPr="004B08E4">
        <w:rPr>
          <w:rFonts w:asciiTheme="minorHAnsi" w:eastAsiaTheme="minorHAnsi" w:hAnsiTheme="minorHAnsi" w:cstheme="minorHAnsi"/>
          <w:lang w:val="en-GB"/>
        </w:rPr>
        <w:t xml:space="preserve">and tested the </w:t>
      </w:r>
      <w:r w:rsidR="00597853" w:rsidRPr="004B08E4">
        <w:rPr>
          <w:rFonts w:asciiTheme="minorHAnsi" w:eastAsiaTheme="minorHAnsi" w:hAnsiTheme="minorHAnsi" w:cstheme="minorHAnsi"/>
          <w:lang w:val="en-GB"/>
        </w:rPr>
        <w:t>association</w:t>
      </w:r>
      <w:r w:rsidR="00E45705" w:rsidRPr="004B08E4">
        <w:rPr>
          <w:rFonts w:asciiTheme="minorHAnsi" w:eastAsiaTheme="minorHAnsi" w:hAnsiTheme="minorHAnsi" w:cstheme="minorHAnsi"/>
          <w:lang w:val="en-GB"/>
        </w:rPr>
        <w:t xml:space="preserve"> of </w:t>
      </w:r>
      <w:r w:rsidR="00597853" w:rsidRPr="004B08E4">
        <w:rPr>
          <w:rFonts w:asciiTheme="minorHAnsi" w:eastAsiaTheme="minorHAnsi" w:hAnsiTheme="minorHAnsi" w:cstheme="minorHAnsi"/>
          <w:lang w:val="en-GB"/>
        </w:rPr>
        <w:t xml:space="preserve">each </w:t>
      </w:r>
      <w:r w:rsidR="0091457C">
        <w:rPr>
          <w:rFonts w:asciiTheme="minorHAnsi" w:eastAsiaTheme="minorHAnsi" w:hAnsiTheme="minorHAnsi" w:cstheme="minorHAnsi"/>
          <w:lang w:val="en-GB"/>
        </w:rPr>
        <w:t>SNP</w:t>
      </w:r>
      <w:r w:rsidR="00597853" w:rsidRPr="004B08E4">
        <w:rPr>
          <w:rFonts w:asciiTheme="minorHAnsi" w:eastAsiaTheme="minorHAnsi" w:hAnsiTheme="minorHAnsi" w:cstheme="minorHAnsi"/>
          <w:lang w:val="en-GB"/>
        </w:rPr>
        <w:t xml:space="preserve"> with PDAC risk</w:t>
      </w:r>
      <w:r w:rsidR="006900D7" w:rsidRPr="004B08E4">
        <w:rPr>
          <w:rFonts w:asciiTheme="minorHAnsi" w:eastAsiaTheme="minorHAnsi" w:hAnsiTheme="minorHAnsi" w:cstheme="minorHAnsi"/>
          <w:lang w:val="en-GB"/>
        </w:rPr>
        <w:t xml:space="preserve"> using </w:t>
      </w:r>
      <w:r w:rsidR="00250E09" w:rsidRPr="004B08E4">
        <w:rPr>
          <w:rFonts w:asciiTheme="minorHAnsi" w:eastAsiaTheme="minorHAnsi" w:hAnsiTheme="minorHAnsi" w:cstheme="minorHAnsi"/>
          <w:lang w:val="en-GB"/>
        </w:rPr>
        <w:t xml:space="preserve">the </w:t>
      </w:r>
      <w:r w:rsidR="0091457C">
        <w:rPr>
          <w:rFonts w:asciiTheme="minorHAnsi" w:eastAsiaTheme="minorHAnsi" w:hAnsiTheme="minorHAnsi" w:cstheme="minorHAnsi"/>
          <w:lang w:val="en-GB"/>
        </w:rPr>
        <w:t>imputed</w:t>
      </w:r>
      <w:r w:rsidR="0091457C" w:rsidRPr="004B08E4">
        <w:rPr>
          <w:rFonts w:asciiTheme="minorHAnsi" w:eastAsiaTheme="minorHAnsi" w:hAnsiTheme="minorHAnsi" w:cstheme="minorHAnsi"/>
          <w:lang w:val="en-GB"/>
        </w:rPr>
        <w:t xml:space="preserve"> </w:t>
      </w:r>
      <w:r w:rsidR="00250E09" w:rsidRPr="004B08E4">
        <w:rPr>
          <w:rFonts w:asciiTheme="minorHAnsi" w:eastAsiaTheme="minorHAnsi" w:hAnsiTheme="minorHAnsi" w:cstheme="minorHAnsi"/>
          <w:lang w:val="en-GB"/>
        </w:rPr>
        <w:t xml:space="preserve">data </w:t>
      </w:r>
      <w:r w:rsidR="00250E09" w:rsidRPr="004B08E4">
        <w:rPr>
          <w:rFonts w:asciiTheme="minorHAnsi" w:hAnsiTheme="minorHAnsi" w:cstheme="minorHAnsi"/>
          <w:lang w:val="en-GB"/>
        </w:rPr>
        <w:t xml:space="preserve">of </w:t>
      </w:r>
      <w:r w:rsidR="00F0564C" w:rsidRPr="007424D7">
        <w:rPr>
          <w:rFonts w:asciiTheme="minorHAnsi" w:hAnsiTheme="minorHAnsi" w:cstheme="minorHAnsi"/>
          <w:color w:val="000000" w:themeColor="text1"/>
          <w:lang w:val="en-GB"/>
        </w:rPr>
        <w:t>8769 cases and 7055</w:t>
      </w:r>
      <w:r w:rsidR="00250E09" w:rsidRPr="004B08E4">
        <w:rPr>
          <w:rFonts w:asciiTheme="minorHAnsi" w:hAnsiTheme="minorHAnsi" w:cstheme="minorHAnsi"/>
          <w:lang w:val="en-GB"/>
        </w:rPr>
        <w:t xml:space="preserve"> controls from </w:t>
      </w:r>
      <w:r w:rsidR="006900D7" w:rsidRPr="004B08E4">
        <w:rPr>
          <w:rFonts w:asciiTheme="minorHAnsi" w:eastAsiaTheme="minorHAnsi" w:hAnsiTheme="minorHAnsi" w:cstheme="minorHAnsi"/>
          <w:lang w:val="en-GB"/>
        </w:rPr>
        <w:t xml:space="preserve">two </w:t>
      </w:r>
      <w:r w:rsidR="003F57F6" w:rsidRPr="004B08E4">
        <w:rPr>
          <w:rFonts w:asciiTheme="minorHAnsi" w:eastAsiaTheme="minorHAnsi" w:hAnsiTheme="minorHAnsi" w:cstheme="minorHAnsi"/>
          <w:lang w:val="en-GB"/>
        </w:rPr>
        <w:t xml:space="preserve">pancreatic cancer </w:t>
      </w:r>
      <w:r w:rsidR="006900D7" w:rsidRPr="004B08E4">
        <w:rPr>
          <w:rFonts w:asciiTheme="minorHAnsi" w:eastAsiaTheme="minorHAnsi" w:hAnsiTheme="minorHAnsi" w:cstheme="minorHAnsi"/>
          <w:lang w:val="en-GB"/>
        </w:rPr>
        <w:t xml:space="preserve">cohorts </w:t>
      </w:r>
      <w:r w:rsidR="0091457C">
        <w:rPr>
          <w:rFonts w:asciiTheme="minorHAnsi" w:eastAsiaTheme="minorHAnsi" w:hAnsiTheme="minorHAnsi" w:cstheme="minorHAnsi"/>
          <w:lang w:val="en-GB"/>
        </w:rPr>
        <w:t>(</w:t>
      </w:r>
      <w:r w:rsidR="00C4784D" w:rsidRPr="004B08E4">
        <w:rPr>
          <w:rFonts w:asciiTheme="minorHAnsi" w:eastAsiaTheme="minorHAnsi" w:hAnsiTheme="minorHAnsi" w:cstheme="minorHAnsi"/>
          <w:lang w:val="en-GB"/>
        </w:rPr>
        <w:t xml:space="preserve">the </w:t>
      </w:r>
      <w:r w:rsidR="00C4784D" w:rsidRPr="004B08E4">
        <w:rPr>
          <w:rFonts w:asciiTheme="minorHAnsi" w:hAnsiTheme="minorHAnsi" w:cstheme="minorHAnsi"/>
          <w:noProof/>
          <w:lang w:val="en-GB"/>
        </w:rPr>
        <w:t>Pancreatic Cancer Cohort Consortium (PanScan) and</w:t>
      </w:r>
      <w:r w:rsidR="00C4784D" w:rsidRPr="004B08E4">
        <w:rPr>
          <w:rFonts w:asciiTheme="minorHAnsi" w:hAnsiTheme="minorHAnsi" w:cstheme="minorHAnsi"/>
          <w:lang w:val="en-GB"/>
        </w:rPr>
        <w:t xml:space="preserve"> the Pancreatic Cancer Case-Control Consortium (PanC4)</w:t>
      </w:r>
      <w:r w:rsidR="0091457C">
        <w:rPr>
          <w:rFonts w:asciiTheme="minorHAnsi" w:hAnsiTheme="minorHAnsi" w:cstheme="minorHAnsi"/>
          <w:lang w:val="en-GB"/>
        </w:rPr>
        <w:t>) to conduct a 2-sample MR</w:t>
      </w:r>
      <w:r w:rsidR="000650D4" w:rsidRPr="004B08E4">
        <w:rPr>
          <w:rFonts w:asciiTheme="minorHAnsi" w:eastAsiaTheme="minorHAnsi" w:hAnsiTheme="minorHAnsi" w:cstheme="minorHAnsi"/>
          <w:lang w:val="en-GB"/>
        </w:rPr>
        <w:t>.</w:t>
      </w:r>
    </w:p>
    <w:p w14:paraId="5D7FF43A" w14:textId="10C92B9E" w:rsidR="00C4442B" w:rsidRPr="004B08E4" w:rsidRDefault="00C4442B" w:rsidP="00086AD2">
      <w:pPr>
        <w:spacing w:line="480" w:lineRule="auto"/>
        <w:jc w:val="both"/>
        <w:rPr>
          <w:rFonts w:asciiTheme="minorHAnsi" w:hAnsiTheme="minorHAnsi" w:cstheme="minorHAnsi"/>
        </w:rPr>
      </w:pPr>
      <w:r w:rsidRPr="004B08E4">
        <w:rPr>
          <w:rFonts w:asciiTheme="minorHAnsi" w:hAnsiTheme="minorHAnsi" w:cstheme="minorHAnsi"/>
          <w:lang w:val="en-GB" w:eastAsia="en-GB"/>
        </w:rPr>
        <w:br w:type="page"/>
      </w:r>
    </w:p>
    <w:p w14:paraId="73902D39" w14:textId="77777777" w:rsidR="00C4442B" w:rsidRPr="004B08E4" w:rsidRDefault="00C4442B" w:rsidP="00086AD2">
      <w:pPr>
        <w:pStyle w:val="Heading1"/>
        <w:rPr>
          <w:rFonts w:asciiTheme="minorHAnsi" w:hAnsiTheme="minorHAnsi" w:cstheme="minorHAnsi"/>
          <w:color w:val="000000" w:themeColor="text1"/>
          <w:lang w:val="en-GB"/>
        </w:rPr>
      </w:pPr>
      <w:r w:rsidRPr="004B08E4">
        <w:rPr>
          <w:rFonts w:asciiTheme="minorHAnsi" w:hAnsiTheme="minorHAnsi" w:cstheme="minorHAnsi"/>
          <w:color w:val="000000" w:themeColor="text1"/>
          <w:lang w:val="en-GB"/>
        </w:rPr>
        <w:lastRenderedPageBreak/>
        <w:t>Materials and Methods</w:t>
      </w:r>
    </w:p>
    <w:p w14:paraId="0FF2D8B1" w14:textId="1FB2D828" w:rsidR="00342215" w:rsidRPr="004B08E4" w:rsidRDefault="000A0F45" w:rsidP="00086AD2">
      <w:pPr>
        <w:spacing w:line="480" w:lineRule="auto"/>
        <w:jc w:val="both"/>
        <w:rPr>
          <w:rFonts w:asciiTheme="minorHAnsi" w:hAnsiTheme="minorHAnsi" w:cstheme="minorHAnsi"/>
          <w:i/>
          <w:lang w:val="en-GB"/>
        </w:rPr>
      </w:pPr>
      <w:bookmarkStart w:id="10" w:name="_Hlk1377758"/>
      <w:r w:rsidRPr="004B08E4">
        <w:rPr>
          <w:rFonts w:asciiTheme="minorHAnsi" w:hAnsiTheme="minorHAnsi" w:cstheme="minorHAnsi"/>
          <w:i/>
          <w:lang w:val="en-GB"/>
        </w:rPr>
        <w:t>Selection of g</w:t>
      </w:r>
      <w:r w:rsidR="00342215" w:rsidRPr="004B08E4">
        <w:rPr>
          <w:rFonts w:asciiTheme="minorHAnsi" w:hAnsiTheme="minorHAnsi" w:cstheme="minorHAnsi"/>
          <w:i/>
          <w:lang w:val="en-GB"/>
        </w:rPr>
        <w:t xml:space="preserve">enetic instruments </w:t>
      </w:r>
    </w:p>
    <w:p w14:paraId="726FAE41" w14:textId="12E99E48" w:rsidR="00342215" w:rsidRPr="004B08E4" w:rsidRDefault="00342215" w:rsidP="00086AD2">
      <w:pPr>
        <w:spacing w:line="480" w:lineRule="auto"/>
        <w:ind w:firstLine="426"/>
        <w:jc w:val="both"/>
        <w:rPr>
          <w:rFonts w:asciiTheme="minorHAnsi" w:hAnsiTheme="minorHAnsi" w:cstheme="minorHAnsi"/>
          <w:lang w:val="en-GB"/>
        </w:rPr>
      </w:pPr>
      <w:bookmarkStart w:id="11" w:name="OLE_LINK15"/>
      <w:bookmarkStart w:id="12" w:name="OLE_LINK16"/>
      <w:bookmarkStart w:id="13" w:name="OLE_LINK23"/>
      <w:bookmarkStart w:id="14" w:name="OLE_LINK24"/>
      <w:bookmarkStart w:id="15" w:name="OLE_LINK25"/>
      <w:r w:rsidRPr="004B08E4">
        <w:rPr>
          <w:rFonts w:asciiTheme="minorHAnsi" w:hAnsiTheme="minorHAnsi" w:cstheme="minorHAnsi"/>
          <w:lang w:val="en-GB"/>
        </w:rPr>
        <w:t>We considered 1</w:t>
      </w:r>
      <w:r w:rsidR="00053BDA">
        <w:rPr>
          <w:rFonts w:asciiTheme="minorHAnsi" w:hAnsiTheme="minorHAnsi" w:cstheme="minorHAnsi" w:hint="eastAsia"/>
          <w:lang w:val="en-GB"/>
        </w:rPr>
        <w:t>6</w:t>
      </w:r>
      <w:r w:rsidRPr="004B08E4">
        <w:rPr>
          <w:rFonts w:asciiTheme="minorHAnsi" w:hAnsiTheme="minorHAnsi" w:cstheme="minorHAnsi"/>
          <w:lang w:val="en-GB"/>
        </w:rPr>
        <w:t xml:space="preserve"> potential risk factors</w:t>
      </w:r>
      <w:r w:rsidR="0059763E" w:rsidRPr="004B08E4">
        <w:rPr>
          <w:rFonts w:asciiTheme="minorHAnsi" w:hAnsiTheme="minorHAnsi" w:cstheme="minorHAnsi"/>
          <w:lang w:val="en-GB"/>
        </w:rPr>
        <w:t xml:space="preserve"> </w:t>
      </w:r>
      <w:r w:rsidRPr="004B08E4">
        <w:rPr>
          <w:rFonts w:asciiTheme="minorHAnsi" w:hAnsiTheme="minorHAnsi" w:cstheme="minorHAnsi"/>
          <w:lang w:val="en-GB"/>
        </w:rPr>
        <w:t>as exposures based on reviews and previous observational studies in pancreatic cancer</w:t>
      </w:r>
      <w:r w:rsidR="0073321C">
        <w:rPr>
          <w:rFonts w:asciiTheme="minorHAnsi" w:hAnsiTheme="minorHAnsi" w:cstheme="minorHAnsi"/>
          <w:lang w:val="en-GB"/>
        </w:rPr>
        <w:t xml:space="preserve"> </w:t>
      </w:r>
      <w:r w:rsidR="00D222CF">
        <w:rPr>
          <w:rFonts w:asciiTheme="minorHAnsi" w:hAnsiTheme="minorHAnsi" w:cstheme="minorHAnsi"/>
          <w:lang w:val="en-GB"/>
        </w:rPr>
        <w:fldChar w:fldCharType="begin" w:fldLock="1"/>
      </w:r>
      <w:r w:rsidR="00DE3151">
        <w:rPr>
          <w:rFonts w:asciiTheme="minorHAnsi" w:hAnsiTheme="minorHAnsi" w:cstheme="minorHAnsi"/>
          <w:lang w:val="en-GB"/>
        </w:rPr>
        <w:instrText>ADDIN CSL_CITATION {"citationItems":[{"id":"ITEM-1","itemData":{"DOI":"10.1093/ije/dyu240","ISBN":"0300-5771","ISSN":"14643685","PMID":"25502106","abstract":"BACKGROUND: The aetiology of pancreatic cancer (PC) has been extensively studied and is the subject of numerous meta-analyses and pooled analyses. We have summarized results from these pooled and meta-analytical studies to estimate the fraction of PCs attributable to each of the identified risk factors.\\n\\nMETHODS: Using a comprehensive strategy, we retrieved 117 meta-analytical or pooled reports dealing with the association between specific risk factors and PC risk. We combined estimates of relative risk and estimates of exposure to calculate the fraction of PCs caused or prevented by a particular exposure.\\n\\nRESULTS: Tobacco smoking ('strong' evidence) and Helicobacter pylori infection ('moderate' evidence) are the major risk factors associated with PC, with respective estimated population attributable fractions of 11-32% and 4-25%. The major protective factors are history of allergy ('strong' evidence) and increasing fruit or folate intake ('moderate' evidence), with respective population preventable fractions of 3-7% and 0-12%.\\n\\nCONCLUSIONS: We summarized results of 117 meta-analytical or pooled data reports dealing with 37 aetiological exposures, to obtain robust information about the suspected causes of PC. By combining these estimates with their prevalences in the population, we calculated population attributable or population preventable fractions. About two-thirds of the major risk factors associated with PC are potentially modifiable, affording a unique opportunity for preventing one of our deadliest cancers.","author":[{"dropping-particle":"","family":"Maisonneuve","given":"Patrick","non-dropping-particle":"","parse-names":false,"suffix":""},{"dropping-particle":"","family":"Lowenfels","given":"Albert B.","non-dropping-particle":"","parse-names":false,"suffix":""}],"container-title":"International Journal of Epidemiology","id":"ITEM-1","issued":{"date-parts":[["2015"]]},"title":"Risk factors for pancreatic cancer: A summary review of meta-analytical studies","type":"article-journal"},"uris":["http://www.mendeley.com/documents/?uuid=5cf645f4-35f7-49e2-b3d8-189d5920fcf4"]},{"id":"ITEM-2","itemData":{"DOI":"10.1007/s00204-016-1821-9","ISSN":"0340-5761","author":[{"dropping-particle":"","family":"Barone","given":"Elisa","non-dropping-particle":"","parse-names":false,"suffix":""},{"dropping-particle":"","family":"Corrado","given":"Alda","non-dropping-particle":"","parse-names":false,"suffix":""},{"dropping-particle":"","family":"Gemignani","given":"Federica","non-dropping-particle":"","parse-names":false,"suffix":""},{"dropping-particle":"","family":"Landi","given":"Stefano","non-dropping-particle":"","parse-names":false,"suffix":""}],"container-title":"Archives of Toxicology","id":"ITEM-2","issue":"11","issued":{"date-parts":[["2016","11","18"]]},"page":"2617-2642","publisher":"Springer Berlin Heidelberg","title":"Environmental risk factors for pancreatic cancer: an update","type":"article-journal","volume":"90"},"uris":["http://www.mendeley.com/documents/?uuid=1659427b-5f0a-3abc-a9e6-466fcd41dd95"]}],"mendeley":{"formattedCitation":"&lt;sup&gt;28, 29&lt;/sup&gt;","plainTextFormattedCitation":"28, 29","previouslyFormattedCitation":"&lt;sup&gt;28, 29&lt;/sup&gt;"},"properties":{"noteIndex":0},"schema":"https://github.com/citation-style-language/schema/raw/master/csl-citation.json"}</w:instrText>
      </w:r>
      <w:r w:rsidR="00D222CF">
        <w:rPr>
          <w:rFonts w:asciiTheme="minorHAnsi" w:hAnsiTheme="minorHAnsi" w:cstheme="minorHAnsi"/>
          <w:lang w:val="en-GB"/>
        </w:rPr>
        <w:fldChar w:fldCharType="separate"/>
      </w:r>
      <w:r w:rsidR="00DE3151" w:rsidRPr="00DE3151">
        <w:rPr>
          <w:rFonts w:asciiTheme="minorHAnsi" w:hAnsiTheme="minorHAnsi" w:cstheme="minorHAnsi"/>
          <w:noProof/>
          <w:vertAlign w:val="superscript"/>
          <w:lang w:val="en-GB"/>
        </w:rPr>
        <w:t>28, 29</w:t>
      </w:r>
      <w:r w:rsidR="00D222CF">
        <w:rPr>
          <w:rFonts w:asciiTheme="minorHAnsi" w:hAnsiTheme="minorHAnsi" w:cstheme="minorHAnsi"/>
          <w:lang w:val="en-GB"/>
        </w:rPr>
        <w:fldChar w:fldCharType="end"/>
      </w:r>
      <w:r w:rsidRPr="004B08E4">
        <w:rPr>
          <w:rFonts w:asciiTheme="minorHAnsi" w:hAnsiTheme="minorHAnsi" w:cstheme="minorHAnsi"/>
          <w:lang w:val="en-GB"/>
        </w:rPr>
        <w:t>. SNPs associated with exposures of interest at genome-wide significance (</w:t>
      </w:r>
      <w:r w:rsidRPr="004B08E4">
        <w:rPr>
          <w:rFonts w:asciiTheme="minorHAnsi" w:hAnsiTheme="minorHAnsi" w:cstheme="minorHAnsi"/>
          <w:i/>
          <w:lang w:val="en-GB"/>
        </w:rPr>
        <w:t>P</w:t>
      </w:r>
      <w:r w:rsidRPr="004B08E4">
        <w:rPr>
          <w:rFonts w:asciiTheme="minorHAnsi" w:hAnsiTheme="minorHAnsi" w:cstheme="minorHAnsi"/>
          <w:lang w:val="en-GB"/>
        </w:rPr>
        <w:t>&lt;5</w:t>
      </w:r>
      <w:r w:rsidRPr="004B08E4">
        <w:rPr>
          <w:rFonts w:asciiTheme="minorHAnsi" w:hAnsiTheme="minorHAnsi" w:cstheme="minorHAnsi"/>
        </w:rPr>
        <w:sym w:font="Symbol" w:char="F0B4"/>
      </w:r>
      <w:r w:rsidRPr="004B08E4">
        <w:rPr>
          <w:rFonts w:asciiTheme="minorHAnsi" w:hAnsiTheme="minorHAnsi" w:cstheme="minorHAnsi"/>
          <w:lang w:val="en-GB"/>
        </w:rPr>
        <w:t>10</w:t>
      </w:r>
      <w:r w:rsidRPr="004B08E4">
        <w:rPr>
          <w:rFonts w:asciiTheme="minorHAnsi" w:hAnsiTheme="minorHAnsi" w:cstheme="minorHAnsi"/>
          <w:vertAlign w:val="superscript"/>
          <w:lang w:val="en-GB"/>
        </w:rPr>
        <w:t>-8</w:t>
      </w:r>
      <w:r w:rsidRPr="004B08E4">
        <w:rPr>
          <w:rFonts w:asciiTheme="minorHAnsi" w:hAnsiTheme="minorHAnsi" w:cstheme="minorHAnsi"/>
          <w:lang w:val="en-GB"/>
        </w:rPr>
        <w:t xml:space="preserve">) in individuals of European ancestry </w:t>
      </w:r>
      <w:r w:rsidRPr="004B08E4">
        <w:rPr>
          <w:rFonts w:asciiTheme="minorHAnsi" w:hAnsiTheme="minorHAnsi" w:cstheme="minorHAnsi"/>
          <w:noProof/>
          <w:lang w:val="en-GB"/>
        </w:rPr>
        <w:t>were used</w:t>
      </w:r>
      <w:r w:rsidRPr="004B08E4">
        <w:rPr>
          <w:rFonts w:asciiTheme="minorHAnsi" w:hAnsiTheme="minorHAnsi" w:cstheme="minorHAnsi"/>
          <w:lang w:val="en-GB"/>
        </w:rPr>
        <w:t xml:space="preserve"> as genetic instruments.</w:t>
      </w:r>
      <w:bookmarkEnd w:id="11"/>
      <w:bookmarkEnd w:id="12"/>
      <w:r w:rsidRPr="004B08E4">
        <w:rPr>
          <w:rFonts w:asciiTheme="minorHAnsi" w:hAnsiTheme="minorHAnsi" w:cstheme="minorHAnsi"/>
          <w:lang w:val="en-GB"/>
        </w:rPr>
        <w:t xml:space="preserve"> We searched the NHGRI-EBI GWAS Catalog (</w:t>
      </w:r>
      <w:r w:rsidR="008D449F" w:rsidRPr="00870A7F">
        <w:rPr>
          <w:rFonts w:asciiTheme="minorHAnsi" w:hAnsiTheme="minorHAnsi" w:cstheme="minorHAnsi"/>
          <w:lang w:val="en-GB"/>
        </w:rPr>
        <w:t>https://www.ebi.ac.uk/gwas/</w:t>
      </w:r>
      <w:r w:rsidR="00870A7F">
        <w:rPr>
          <w:rFonts w:asciiTheme="minorHAnsi" w:hAnsiTheme="minorHAnsi" w:cstheme="minorHAnsi"/>
          <w:lang w:val="en-GB"/>
        </w:rPr>
        <w:t xml:space="preserve">) </w:t>
      </w:r>
      <w:r w:rsidR="008D449F" w:rsidRPr="004B08E4">
        <w:rPr>
          <w:rFonts w:asciiTheme="minorHAnsi" w:hAnsiTheme="minorHAnsi" w:cstheme="minorHAnsi"/>
          <w:lang w:val="en-GB"/>
        </w:rPr>
        <w:fldChar w:fldCharType="begin" w:fldLock="1"/>
      </w:r>
      <w:r w:rsidR="00DE3151">
        <w:rPr>
          <w:rFonts w:asciiTheme="minorHAnsi" w:hAnsiTheme="minorHAnsi" w:cstheme="minorHAnsi"/>
          <w:lang w:val="en-GB"/>
        </w:rPr>
        <w:instrText>ADDIN CSL_CITATION {"citationItems":[{"id":"ITEM-1","itemData":{"DOI":"10.1093/nar/gky1120","ISBN":"2076792171","ISSN":"13624962","PMID":"27899565","abstract":"The GWAS Catalog delivers a high-quality curated collection of all published genome-wide association studies enabling investigations to identify causal variants, understand disease mechanisms, and es- tablish targets for novel therapies. The scope of the Catalog has also expanded to targeted and exome arrays with 1000 new associations added for these technologies. As of September 2018, the Catalog contains 5687 GWAS comprising 71673 variant-trait associations from 3567 publications. New content in- cludes 284 full P-value summary statistics datasets for genome-wide and new targeted array studies, representing 6 × 109 individual variant-trait statis- tics. In the last 12 months, the Catalog’s user in- viewed &gt;1 million pages.","author":[{"dropping-particle":"","family":"Buniello","given":"Annalisa","non-dropping-particle":"","parse-names":false,"suffix":""},{"dropping-particle":"","family":"MacArthur","given":"Jacqueline A.L.","non-dropping-particle":"","parse-names":false,"suffix":""},{"dropping-particle":"","family":"Cerezo","given":"Maria","non-dropping-particle":"","parse-names":false,"suffix":""},{"dropping-particle":"","family":"Harris","given":"Laura W.","non-dropping-particle":"","parse-names":false,"suffix":""},{"dropping-particle":"","family":"Hayhurst","given":"James","non-dropping-particle":"","parse-names":false,"suffix":""},{"dropping-particle":"","family":"Malangone","given":"Cinzia","non-dropping-particle":"","parse-names":false,"suffix":""},{"dropping-particle":"","family":"McMahon","given":"Aoife","non-dropping-particle":"","parse-names":false,"suffix":""},{"dropping-particle":"","family":"Morales","given":"Joannella","non-dropping-particle":"","parse-names":false,"suffix":""},{"dropping-particle":"","family":"Mountjoy","given":"Edward","non-dropping-particle":"","parse-names":false,"suffix":""},{"dropping-particle":"","family":"Sollis","given":"Elliot","non-dropping-particle":"","parse-names":false,"suffix":""},{"dropping-particle":"","family":"Suveges","given":"Daniel","non-dropping-particle":"","parse-names":false,"suffix":""},{"dropping-particle":"","family":"Vrousgou","given":"Olga","non-dropping-particle":"","parse-names":false,"suffix":""},{"dropping-particle":"","family":"Whetzel","given":"Patricia L.","non-dropping-particle":"","parse-names":false,"suffix":""},{"dropping-particle":"","family":"Amode","given":"Ridwan","non-dropping-particle":"","parse-names":false,"suffix":""},{"dropping-particle":"","family":"Guillen","given":"Jose A.","non-dropping-particle":"","parse-names":false,"suffix":""},{"dropping-particle":"","family":"Riat","given":"Harpreet S.","non-dropping-particle":"","parse-names":false,"suffix":""},{"dropping-particle":"","family":"Trevanion","given":"Stephen J.","non-dropping-particle":"","parse-names":false,"suffix":""},{"dropping-particle":"","family":"Hall","given":"Peggy","non-dropping-particle":"","parse-names":false,"suffix":""},{"dropping-particle":"","family":"Junkins","given":"Heather","non-dropping-particle":"","parse-names":false,"suffix":""},{"dropping-particle":"","family":"Flicek","given":"Paul","non-dropping-particle":"","parse-names":false,"suffix":""},{"dropping-particle":"","family":"Burdett","given":"Tony","non-dropping-particle":"","parse-names":false,"suffix":""},{"dropping-particle":"","family":"Hindorff","given":"Lucia A.","non-dropping-particle":"","parse-names":false,"suffix":""},{"dropping-particle":"","family":"Cunningham","given":"Fiona","non-dropping-particle":"","parse-names":false,"suffix":""},{"dropping-particle":"","family":"Parkinson","given":"Helen","non-dropping-particle":"","parse-names":false,"suffix":""}],"container-title":"Nucleic acids research","id":"ITEM-1","issued":{"date-parts":[["2019"]]},"title":"The NHGRI-EBI GWAS Catalog of published genome-wide association studies, targeted arrays and summary statistics 2019","type":"article-journal"},"uris":["http://www.mendeley.com/documents/?uuid=e18e35e1-8dae-4c38-b86a-b1eded43eb14","http://www.mendeley.com/documents/?uuid=32e9d199-8e8a-42c7-bbab-c1ab71843c2d"]}],"mendeley":{"formattedCitation":"&lt;sup&gt;34&lt;/sup&gt;","plainTextFormattedCitation":"34","previouslyFormattedCitation":"&lt;sup&gt;34&lt;/sup&gt;"},"properties":{"noteIndex":0},"schema":"https://github.com/citation-style-language/schema/raw/master/csl-citation.json"}</w:instrText>
      </w:r>
      <w:r w:rsidR="008D449F" w:rsidRPr="004B08E4">
        <w:rPr>
          <w:rFonts w:asciiTheme="minorHAnsi" w:hAnsiTheme="minorHAnsi" w:cstheme="minorHAnsi"/>
          <w:lang w:val="en-GB"/>
        </w:rPr>
        <w:fldChar w:fldCharType="separate"/>
      </w:r>
      <w:r w:rsidR="00DE3151" w:rsidRPr="00DE3151">
        <w:rPr>
          <w:rFonts w:asciiTheme="minorHAnsi" w:hAnsiTheme="minorHAnsi" w:cstheme="minorHAnsi"/>
          <w:noProof/>
          <w:vertAlign w:val="superscript"/>
          <w:lang w:val="en-GB"/>
        </w:rPr>
        <w:t>34</w:t>
      </w:r>
      <w:r w:rsidR="008D449F" w:rsidRPr="004B08E4">
        <w:rPr>
          <w:rFonts w:asciiTheme="minorHAnsi" w:hAnsiTheme="minorHAnsi" w:cstheme="minorHAnsi"/>
          <w:lang w:val="en-GB"/>
        </w:rPr>
        <w:fldChar w:fldCharType="end"/>
      </w:r>
      <w:r w:rsidRPr="004B08E4">
        <w:rPr>
          <w:rFonts w:asciiTheme="minorHAnsi" w:hAnsiTheme="minorHAnsi" w:cstheme="minorHAnsi"/>
          <w:lang w:val="en-GB"/>
        </w:rPr>
        <w:t xml:space="preserve"> to identify significant SNPs for alcohol-related traits (drinks per wee</w:t>
      </w:r>
      <w:r w:rsidR="008D449F" w:rsidRPr="004B08E4">
        <w:rPr>
          <w:rFonts w:asciiTheme="minorHAnsi" w:hAnsiTheme="minorHAnsi" w:cstheme="minorHAnsi"/>
          <w:lang w:val="en-GB"/>
        </w:rPr>
        <w:t>k</w:t>
      </w:r>
      <w:r w:rsidRPr="004B08E4">
        <w:rPr>
          <w:rFonts w:asciiTheme="minorHAnsi" w:hAnsiTheme="minorHAnsi" w:cstheme="minorHAnsi"/>
        </w:rPr>
        <w:t>, alcohol dependence, and alcohol use disorder</w:t>
      </w:r>
      <w:r w:rsidRPr="004B08E4">
        <w:rPr>
          <w:rFonts w:asciiTheme="minorHAnsi" w:hAnsiTheme="minorHAnsi" w:cstheme="minorHAnsi"/>
          <w:lang w:val="en-GB"/>
        </w:rPr>
        <w:t>), smoking-related traits (cigarettes per day</w:t>
      </w:r>
      <w:r w:rsidRPr="004B08E4">
        <w:rPr>
          <w:rFonts w:asciiTheme="minorHAnsi" w:hAnsiTheme="minorHAnsi" w:cstheme="minorHAnsi"/>
        </w:rPr>
        <w:t xml:space="preserve">, smoking initiation, and smoking cessation), </w:t>
      </w:r>
      <w:r w:rsidR="00A56B96" w:rsidRPr="004B08E4">
        <w:rPr>
          <w:rFonts w:asciiTheme="minorHAnsi" w:hAnsiTheme="minorHAnsi" w:cstheme="minorHAnsi"/>
        </w:rPr>
        <w:t>adiponectin</w:t>
      </w:r>
      <w:r w:rsidR="00A56B96" w:rsidRPr="004B08E4">
        <w:rPr>
          <w:rFonts w:asciiTheme="minorHAnsi" w:hAnsiTheme="minorHAnsi" w:cstheme="minorHAnsi"/>
          <w:lang w:val="en-GB"/>
        </w:rPr>
        <w:t>,</w:t>
      </w:r>
      <w:r w:rsidR="00A56B96" w:rsidRPr="004B08E4">
        <w:rPr>
          <w:rFonts w:asciiTheme="minorHAnsi" w:hAnsiTheme="minorHAnsi" w:cstheme="minorHAnsi"/>
        </w:rPr>
        <w:t xml:space="preserve"> bilirubin, vitamin B12, 25-hydroxyvitamin D (25(OH)D), fasting glucose</w:t>
      </w:r>
      <w:r w:rsidR="00A56B96" w:rsidRPr="004B08E4">
        <w:rPr>
          <w:rFonts w:asciiTheme="minorHAnsi" w:hAnsiTheme="minorHAnsi" w:cstheme="minorHAnsi"/>
          <w:lang w:val="en-GB"/>
        </w:rPr>
        <w:t>, fasting insulin</w:t>
      </w:r>
      <w:r w:rsidR="00A56B96" w:rsidRPr="004B08E4">
        <w:rPr>
          <w:rFonts w:asciiTheme="minorHAnsi" w:hAnsiTheme="minorHAnsi" w:cstheme="minorHAnsi"/>
        </w:rPr>
        <w:t>,</w:t>
      </w:r>
      <w:r w:rsidR="00A56B96" w:rsidRPr="004B08E4">
        <w:rPr>
          <w:rFonts w:asciiTheme="minorHAnsi" w:hAnsiTheme="minorHAnsi" w:cstheme="minorHAnsi"/>
          <w:lang w:val="en-GB"/>
        </w:rPr>
        <w:t xml:space="preserve"> </w:t>
      </w:r>
      <w:r w:rsidRPr="004B08E4">
        <w:rPr>
          <w:rFonts w:asciiTheme="minorHAnsi" w:hAnsiTheme="minorHAnsi" w:cstheme="minorHAnsi"/>
        </w:rPr>
        <w:t>type 1 diabetes (T1D)</w:t>
      </w:r>
      <w:r w:rsidRPr="004B08E4">
        <w:rPr>
          <w:rFonts w:asciiTheme="minorHAnsi" w:hAnsiTheme="minorHAnsi" w:cstheme="minorHAnsi"/>
          <w:lang w:val="en-GB"/>
        </w:rPr>
        <w:t>, type 2 diabetes (T2D), body mass index (BMI)</w:t>
      </w:r>
      <w:r w:rsidRPr="004B08E4">
        <w:rPr>
          <w:rFonts w:asciiTheme="minorHAnsi" w:hAnsiTheme="minorHAnsi" w:cstheme="minorHAnsi"/>
        </w:rPr>
        <w:t xml:space="preserve">, </w:t>
      </w:r>
      <w:r w:rsidRPr="004B08E4">
        <w:rPr>
          <w:rFonts w:asciiTheme="minorHAnsi" w:hAnsiTheme="minorHAnsi" w:cstheme="minorHAnsi"/>
          <w:lang w:val="en-GB"/>
        </w:rPr>
        <w:t>high-density lipoprotein cholesterol</w:t>
      </w:r>
      <w:r w:rsidR="00A56B96" w:rsidRPr="004B08E4">
        <w:rPr>
          <w:rFonts w:asciiTheme="minorHAnsi" w:hAnsiTheme="minorHAnsi" w:cstheme="minorHAnsi"/>
          <w:lang w:val="en-GB"/>
        </w:rPr>
        <w:t xml:space="preserve"> (HDL)</w:t>
      </w:r>
      <w:r w:rsidRPr="004B08E4">
        <w:rPr>
          <w:rFonts w:asciiTheme="minorHAnsi" w:hAnsiTheme="minorHAnsi" w:cstheme="minorHAnsi"/>
          <w:lang w:val="en-GB"/>
        </w:rPr>
        <w:t>, low-density lipoprotein cholesterol</w:t>
      </w:r>
      <w:r w:rsidR="00A56B96" w:rsidRPr="004B08E4">
        <w:rPr>
          <w:rFonts w:asciiTheme="minorHAnsi" w:hAnsiTheme="minorHAnsi" w:cstheme="minorHAnsi"/>
          <w:lang w:val="en-GB"/>
        </w:rPr>
        <w:t xml:space="preserve"> (LDL)</w:t>
      </w:r>
      <w:r w:rsidRPr="004B08E4">
        <w:rPr>
          <w:rFonts w:asciiTheme="minorHAnsi" w:hAnsiTheme="minorHAnsi" w:cstheme="minorHAnsi"/>
          <w:lang w:val="en-GB"/>
        </w:rPr>
        <w:t>, total cholesterol, triglycerides</w:t>
      </w:r>
      <w:r w:rsidRPr="004B08E4">
        <w:rPr>
          <w:rFonts w:asciiTheme="minorHAnsi" w:hAnsiTheme="minorHAnsi" w:cstheme="minorHAnsi"/>
        </w:rPr>
        <w:t>,</w:t>
      </w:r>
      <w:r w:rsidR="00A56B96" w:rsidRPr="004B08E4">
        <w:rPr>
          <w:rFonts w:asciiTheme="minorHAnsi" w:hAnsiTheme="minorHAnsi" w:cstheme="minorHAnsi"/>
        </w:rPr>
        <w:t xml:space="preserve"> </w:t>
      </w:r>
      <w:r w:rsidR="00053BDA">
        <w:rPr>
          <w:rFonts w:asciiTheme="minorHAnsi" w:hAnsiTheme="minorHAnsi" w:cstheme="minorHAnsi"/>
        </w:rPr>
        <w:t>and allergy-related traits (</w:t>
      </w:r>
      <w:r w:rsidR="007F29A6" w:rsidRPr="004B08E4">
        <w:rPr>
          <w:rFonts w:asciiTheme="minorHAnsi" w:hAnsiTheme="minorHAnsi" w:cstheme="minorHAnsi"/>
        </w:rPr>
        <w:t xml:space="preserve">atopic dermatitis, </w:t>
      </w:r>
      <w:r w:rsidRPr="004B08E4">
        <w:rPr>
          <w:rFonts w:asciiTheme="minorHAnsi" w:hAnsiTheme="minorHAnsi" w:cstheme="minorHAnsi"/>
        </w:rPr>
        <w:t>asthma, IgE</w:t>
      </w:r>
      <w:r w:rsidR="00053BDA">
        <w:rPr>
          <w:rFonts w:asciiTheme="minorHAnsi" w:hAnsiTheme="minorHAnsi" w:cstheme="minorHAnsi"/>
        </w:rPr>
        <w:t xml:space="preserve"> level</w:t>
      </w:r>
      <w:r w:rsidRPr="004B08E4">
        <w:rPr>
          <w:rFonts w:asciiTheme="minorHAnsi" w:hAnsiTheme="minorHAnsi" w:cstheme="minorHAnsi"/>
        </w:rPr>
        <w:t xml:space="preserve">, </w:t>
      </w:r>
      <w:r w:rsidR="00053BDA">
        <w:rPr>
          <w:rFonts w:asciiTheme="minorHAnsi" w:hAnsiTheme="minorHAnsi" w:cstheme="minorHAnsi"/>
        </w:rPr>
        <w:t xml:space="preserve">allergic rhinitis, asthma, </w:t>
      </w:r>
      <w:r w:rsidRPr="004B08E4">
        <w:rPr>
          <w:rFonts w:asciiTheme="minorHAnsi" w:hAnsiTheme="minorHAnsi" w:cstheme="minorHAnsi"/>
        </w:rPr>
        <w:t>self-reported allergy</w:t>
      </w:r>
      <w:r w:rsidR="00053BDA">
        <w:rPr>
          <w:rFonts w:asciiTheme="minorHAnsi" w:hAnsiTheme="minorHAnsi" w:cstheme="minorHAnsi"/>
        </w:rPr>
        <w:t>, and allergic disease</w:t>
      </w:r>
      <w:r w:rsidR="002F7F1F">
        <w:rPr>
          <w:rFonts w:asciiTheme="minorHAnsi" w:hAnsiTheme="minorHAnsi" w:cstheme="minorHAnsi"/>
        </w:rPr>
        <w:t>s</w:t>
      </w:r>
      <w:r w:rsidR="00053BDA">
        <w:rPr>
          <w:rFonts w:asciiTheme="minorHAnsi" w:hAnsiTheme="minorHAnsi" w:cstheme="minorHAnsi"/>
        </w:rPr>
        <w:t>)</w:t>
      </w:r>
      <w:r w:rsidRPr="004B08E4">
        <w:rPr>
          <w:rFonts w:asciiTheme="minorHAnsi" w:hAnsiTheme="minorHAnsi" w:cstheme="minorHAnsi"/>
          <w:lang w:val="en-GB"/>
        </w:rPr>
        <w:t>.</w:t>
      </w:r>
      <w:r w:rsidR="00053BDA" w:rsidRPr="00053BDA">
        <w:rPr>
          <w:rFonts w:asciiTheme="minorHAnsi" w:hAnsiTheme="minorHAnsi" w:cstheme="minorHAnsi"/>
          <w:color w:val="FF0000"/>
          <w:lang w:val="en-GB"/>
        </w:rPr>
        <w:t xml:space="preserve"> </w:t>
      </w:r>
      <w:r w:rsidR="00053BDA" w:rsidRPr="00D27A45">
        <w:rPr>
          <w:rFonts w:asciiTheme="minorHAnsi" w:hAnsiTheme="minorHAnsi" w:cstheme="minorHAnsi"/>
          <w:color w:val="000000" w:themeColor="text1"/>
          <w:lang w:val="en-GB"/>
        </w:rPr>
        <w:t xml:space="preserve">We extracted from the GWAS </w:t>
      </w:r>
      <w:r w:rsidR="002F7F1F" w:rsidRPr="00D27A45">
        <w:rPr>
          <w:rFonts w:asciiTheme="minorHAnsi" w:hAnsiTheme="minorHAnsi" w:cstheme="minorHAnsi"/>
          <w:color w:val="000000" w:themeColor="text1"/>
          <w:lang w:val="en-GB"/>
        </w:rPr>
        <w:t>catalog</w:t>
      </w:r>
      <w:r w:rsidR="00053BDA" w:rsidRPr="00D27A45">
        <w:rPr>
          <w:rFonts w:asciiTheme="minorHAnsi" w:hAnsiTheme="minorHAnsi" w:cstheme="minorHAnsi"/>
          <w:color w:val="000000" w:themeColor="text1"/>
          <w:lang w:val="en-GB"/>
        </w:rPr>
        <w:t xml:space="preserve"> summary statistics such as effect allele, effect estimate (beta), and standard error for each SNP. Effect alleles refer to the alleles associated with increased risk or increased levels of the exposure, and the effect estimates represent the change in the risk per additional copy of the effect allele.</w:t>
      </w:r>
      <w:r w:rsidR="00053BDA" w:rsidRPr="00626947">
        <w:rPr>
          <w:rFonts w:asciiTheme="minorHAnsi" w:hAnsiTheme="minorHAnsi" w:cstheme="minorHAnsi"/>
          <w:color w:val="FF0000"/>
          <w:lang w:val="en-GB"/>
        </w:rPr>
        <w:t xml:space="preserve"> </w:t>
      </w:r>
      <w:r w:rsidR="00053BDA" w:rsidRPr="00D27A45">
        <w:rPr>
          <w:rFonts w:asciiTheme="minorHAnsi" w:hAnsiTheme="minorHAnsi" w:cstheme="minorHAnsi"/>
          <w:color w:val="000000" w:themeColor="text1"/>
          <w:lang w:val="en-GB"/>
        </w:rPr>
        <w:t xml:space="preserve">For binary risk factors, the change </w:t>
      </w:r>
      <w:r w:rsidR="00053BDA" w:rsidRPr="00D27A45">
        <w:rPr>
          <w:rFonts w:asciiTheme="minorHAnsi" w:hAnsiTheme="minorHAnsi" w:cstheme="minorHAnsi"/>
          <w:noProof/>
          <w:color w:val="000000" w:themeColor="text1"/>
          <w:lang w:val="en-GB"/>
        </w:rPr>
        <w:t>is expressed</w:t>
      </w:r>
      <w:r w:rsidR="00053BDA" w:rsidRPr="00D27A45">
        <w:rPr>
          <w:rFonts w:asciiTheme="minorHAnsi" w:hAnsiTheme="minorHAnsi" w:cstheme="minorHAnsi"/>
          <w:color w:val="000000" w:themeColor="text1"/>
          <w:lang w:val="en-GB"/>
        </w:rPr>
        <w:t xml:space="preserve"> as log-odds of having the risk factors, and for the continuous risk factors, the change </w:t>
      </w:r>
      <w:r w:rsidR="00053BDA" w:rsidRPr="00D27A45">
        <w:rPr>
          <w:rFonts w:asciiTheme="minorHAnsi" w:hAnsiTheme="minorHAnsi" w:cstheme="minorHAnsi"/>
          <w:noProof/>
          <w:color w:val="000000" w:themeColor="text1"/>
          <w:lang w:val="en-GB"/>
        </w:rPr>
        <w:t>is expressed</w:t>
      </w:r>
      <w:r w:rsidR="00053BDA" w:rsidRPr="00D27A45">
        <w:rPr>
          <w:rFonts w:asciiTheme="minorHAnsi" w:hAnsiTheme="minorHAnsi" w:cstheme="minorHAnsi"/>
          <w:color w:val="000000" w:themeColor="text1"/>
          <w:lang w:val="en-GB"/>
        </w:rPr>
        <w:t xml:space="preserve"> </w:t>
      </w:r>
      <w:r w:rsidR="00EA6465">
        <w:rPr>
          <w:rFonts w:asciiTheme="minorHAnsi" w:hAnsiTheme="minorHAnsi" w:cstheme="minorHAnsi"/>
          <w:color w:val="000000" w:themeColor="text1"/>
          <w:lang w:val="en-GB"/>
        </w:rPr>
        <w:t xml:space="preserve">in the measurement units used in the </w:t>
      </w:r>
      <w:r w:rsidR="002F7F1F">
        <w:rPr>
          <w:rFonts w:asciiTheme="minorHAnsi" w:hAnsiTheme="minorHAnsi" w:cstheme="minorHAnsi"/>
          <w:color w:val="000000" w:themeColor="text1"/>
          <w:lang w:val="en-GB"/>
        </w:rPr>
        <w:t>original</w:t>
      </w:r>
      <w:r w:rsidR="00EA6465">
        <w:rPr>
          <w:rFonts w:asciiTheme="minorHAnsi" w:hAnsiTheme="minorHAnsi" w:cstheme="minorHAnsi"/>
          <w:color w:val="000000" w:themeColor="text1"/>
          <w:lang w:val="en-GB"/>
        </w:rPr>
        <w:t xml:space="preserve"> GWASs</w:t>
      </w:r>
      <w:r w:rsidR="00053BDA" w:rsidRPr="00D27A45">
        <w:rPr>
          <w:rFonts w:asciiTheme="minorHAnsi" w:hAnsiTheme="minorHAnsi" w:cstheme="minorHAnsi"/>
          <w:color w:val="000000" w:themeColor="text1"/>
          <w:lang w:val="en-GB"/>
        </w:rPr>
        <w:t>. The GWASs providing the summary statistics on the association between the genetic variants and the risk factors are listed in table 1.</w:t>
      </w:r>
    </w:p>
    <w:bookmarkEnd w:id="13"/>
    <w:bookmarkEnd w:id="14"/>
    <w:bookmarkEnd w:id="15"/>
    <w:p w14:paraId="3F0FF794" w14:textId="24AD6B42" w:rsidR="00E02761" w:rsidRPr="004B08E4" w:rsidRDefault="00D74AAD" w:rsidP="00E02761">
      <w:pPr>
        <w:spacing w:line="480" w:lineRule="auto"/>
        <w:ind w:firstLine="426"/>
        <w:jc w:val="both"/>
        <w:rPr>
          <w:rFonts w:asciiTheme="minorHAnsi" w:hAnsiTheme="minorHAnsi" w:cstheme="minorHAnsi"/>
        </w:rPr>
      </w:pPr>
      <w:r w:rsidRPr="00D74AAD">
        <w:rPr>
          <w:rFonts w:asciiTheme="minorHAnsi" w:hAnsiTheme="minorHAnsi" w:cstheme="minorHAnsi"/>
          <w:lang w:val="en-GB"/>
        </w:rPr>
        <w:t xml:space="preserve">We defined two sets of </w:t>
      </w:r>
      <w:r w:rsidR="00CF4C6A">
        <w:rPr>
          <w:rFonts w:asciiTheme="minorHAnsi" w:hAnsiTheme="minorHAnsi" w:cstheme="minorHAnsi"/>
          <w:lang w:val="en-GB"/>
        </w:rPr>
        <w:t>genetic variants as instrumental variables</w:t>
      </w:r>
      <w:r w:rsidRPr="00D74AAD">
        <w:rPr>
          <w:rFonts w:asciiTheme="minorHAnsi" w:hAnsiTheme="minorHAnsi" w:cstheme="minorHAnsi"/>
          <w:lang w:val="en-GB"/>
        </w:rPr>
        <w:t xml:space="preserve">, a comprehensive </w:t>
      </w:r>
      <w:r w:rsidR="00CF4C6A">
        <w:rPr>
          <w:rFonts w:asciiTheme="minorHAnsi" w:hAnsiTheme="minorHAnsi" w:cstheme="minorHAnsi"/>
          <w:lang w:val="en-GB"/>
        </w:rPr>
        <w:t xml:space="preserve">set </w:t>
      </w:r>
      <w:r w:rsidRPr="00D74AAD">
        <w:rPr>
          <w:rFonts w:asciiTheme="minorHAnsi" w:hAnsiTheme="minorHAnsi" w:cstheme="minorHAnsi"/>
          <w:lang w:val="en-GB"/>
        </w:rPr>
        <w:t xml:space="preserve">and </w:t>
      </w:r>
      <w:r w:rsidR="00CF4C6A">
        <w:rPr>
          <w:rFonts w:asciiTheme="minorHAnsi" w:hAnsiTheme="minorHAnsi" w:cstheme="minorHAnsi"/>
          <w:lang w:val="en-GB"/>
        </w:rPr>
        <w:t xml:space="preserve">a </w:t>
      </w:r>
      <w:r w:rsidRPr="00D74AAD">
        <w:rPr>
          <w:rFonts w:asciiTheme="minorHAnsi" w:hAnsiTheme="minorHAnsi" w:cstheme="minorHAnsi"/>
          <w:lang w:val="en-GB"/>
        </w:rPr>
        <w:t xml:space="preserve">restrictive set. The comprehensive set comprised </w:t>
      </w:r>
      <w:r w:rsidR="00947DAB" w:rsidRPr="004B08E4">
        <w:rPr>
          <w:rFonts w:asciiTheme="minorHAnsi" w:hAnsiTheme="minorHAnsi" w:cstheme="minorHAnsi"/>
          <w:lang w:val="en-GB"/>
        </w:rPr>
        <w:t>all independent SNPs, defined as not in linkage disequilibrium (LD) (r</w:t>
      </w:r>
      <w:r w:rsidR="00947DAB" w:rsidRPr="004B08E4">
        <w:rPr>
          <w:rFonts w:asciiTheme="minorHAnsi" w:hAnsiTheme="minorHAnsi" w:cstheme="minorHAnsi"/>
          <w:vertAlign w:val="superscript"/>
          <w:lang w:val="en-GB"/>
        </w:rPr>
        <w:t>2</w:t>
      </w:r>
      <w:r w:rsidR="00947DAB" w:rsidRPr="004B08E4">
        <w:rPr>
          <w:rFonts w:asciiTheme="minorHAnsi" w:hAnsiTheme="minorHAnsi" w:cstheme="minorHAnsi"/>
          <w:lang w:val="en-GB"/>
        </w:rPr>
        <w:t xml:space="preserve"> &lt; 0.</w:t>
      </w:r>
      <w:r w:rsidR="00053BDA">
        <w:rPr>
          <w:rFonts w:asciiTheme="minorHAnsi" w:hAnsiTheme="minorHAnsi" w:cstheme="minorHAnsi"/>
          <w:lang w:val="en-GB"/>
        </w:rPr>
        <w:t>001</w:t>
      </w:r>
      <w:r w:rsidR="00947DAB" w:rsidRPr="004B08E4">
        <w:rPr>
          <w:rFonts w:asciiTheme="minorHAnsi" w:hAnsiTheme="minorHAnsi" w:cstheme="minorHAnsi"/>
          <w:lang w:val="en-GB"/>
        </w:rPr>
        <w:t xml:space="preserve">) with other SNPs within the same trait. Then, we excluded SNPs that </w:t>
      </w:r>
      <w:r w:rsidR="00053BDA">
        <w:rPr>
          <w:rFonts w:asciiTheme="minorHAnsi" w:hAnsiTheme="minorHAnsi" w:cstheme="minorHAnsi"/>
          <w:lang w:val="en-GB"/>
        </w:rPr>
        <w:t>overlapped between</w:t>
      </w:r>
      <w:r w:rsidR="00947DAB" w:rsidRPr="004B08E4">
        <w:rPr>
          <w:rFonts w:asciiTheme="minorHAnsi" w:hAnsiTheme="minorHAnsi" w:cstheme="minorHAnsi"/>
          <w:lang w:val="en-GB"/>
        </w:rPr>
        <w:t xml:space="preserve"> any </w:t>
      </w:r>
      <w:r w:rsidR="00053BDA">
        <w:rPr>
          <w:rFonts w:asciiTheme="minorHAnsi" w:hAnsiTheme="minorHAnsi" w:cstheme="minorHAnsi"/>
          <w:lang w:val="en-GB"/>
        </w:rPr>
        <w:t>different</w:t>
      </w:r>
      <w:r w:rsidR="00947DAB" w:rsidRPr="004B08E4">
        <w:rPr>
          <w:rFonts w:asciiTheme="minorHAnsi" w:hAnsiTheme="minorHAnsi" w:cstheme="minorHAnsi"/>
          <w:lang w:val="en-GB"/>
        </w:rPr>
        <w:t xml:space="preserve"> traits </w:t>
      </w:r>
      <w:r w:rsidR="004623C3" w:rsidRPr="004B08E4">
        <w:rPr>
          <w:rFonts w:asciiTheme="minorHAnsi" w:hAnsiTheme="minorHAnsi" w:cstheme="minorHAnsi"/>
          <w:lang w:val="en-GB"/>
        </w:rPr>
        <w:t xml:space="preserve">considered in our study </w:t>
      </w:r>
      <w:r w:rsidR="00947DAB" w:rsidRPr="004B08E4">
        <w:rPr>
          <w:rFonts w:asciiTheme="minorHAnsi" w:hAnsiTheme="minorHAnsi" w:cstheme="minorHAnsi"/>
          <w:lang w:val="en-GB"/>
        </w:rPr>
        <w:t xml:space="preserve">to implement a restrictive MR </w:t>
      </w:r>
      <w:r w:rsidR="00947DAB" w:rsidRPr="004B08E4">
        <w:rPr>
          <w:rFonts w:asciiTheme="minorHAnsi" w:hAnsiTheme="minorHAnsi" w:cstheme="minorHAnsi"/>
          <w:lang w:val="en-GB"/>
        </w:rPr>
        <w:lastRenderedPageBreak/>
        <w:t>reducing possible pleiotropic effects</w:t>
      </w:r>
      <w:r w:rsidR="00053BDA" w:rsidRPr="00D27A45">
        <w:rPr>
          <w:rFonts w:asciiTheme="minorHAnsi" w:hAnsiTheme="minorHAnsi" w:cstheme="minorHAnsi"/>
          <w:color w:val="000000" w:themeColor="text1"/>
          <w:lang w:val="en-GB"/>
        </w:rPr>
        <w:t>, except for the sub-traits of alcohol-related, smoking-related, and allergy-related traits. The shared SNPs among alcohol or smoking related sub-traits commonly reflect heavier drinking or smoking behavior, respectively. Asthma, allergic rhinitis and atopic dermatitis often coexist in the same individuals, partly because they share a common genetic etiology. Therefore, we kept the shared SNPs among the sub-traits of these three factors</w:t>
      </w:r>
      <w:r w:rsidR="00947DAB" w:rsidRPr="00D27A45">
        <w:rPr>
          <w:rFonts w:asciiTheme="minorHAnsi" w:hAnsiTheme="minorHAnsi" w:cstheme="minorHAnsi"/>
          <w:color w:val="000000" w:themeColor="text1"/>
          <w:lang w:val="en-GB"/>
        </w:rPr>
        <w:t xml:space="preserve">. </w:t>
      </w:r>
      <w:r w:rsidR="00E02761" w:rsidRPr="00D27A45">
        <w:rPr>
          <w:rFonts w:asciiTheme="minorHAnsi" w:hAnsiTheme="minorHAnsi" w:cstheme="minorHAnsi"/>
          <w:color w:val="000000" w:themeColor="text1"/>
          <w:lang w:val="en-GB"/>
        </w:rPr>
        <w:t xml:space="preserve">We selected a final number of </w:t>
      </w:r>
      <w:r w:rsidR="001511F1" w:rsidRPr="00D27A45">
        <w:rPr>
          <w:rFonts w:asciiTheme="minorHAnsi" w:hAnsiTheme="minorHAnsi" w:cstheme="minorHAnsi"/>
          <w:color w:val="000000" w:themeColor="text1"/>
          <w:lang w:val="en-GB"/>
        </w:rPr>
        <w:t>1463</w:t>
      </w:r>
      <w:r w:rsidR="00E02761" w:rsidRPr="00D27A45">
        <w:rPr>
          <w:rFonts w:asciiTheme="minorHAnsi" w:hAnsiTheme="minorHAnsi" w:cstheme="minorHAnsi"/>
          <w:color w:val="000000" w:themeColor="text1"/>
          <w:lang w:val="en-GB"/>
        </w:rPr>
        <w:t xml:space="preserve"> SNPs for the comprehensive analysis and </w:t>
      </w:r>
      <w:r w:rsidR="00320201" w:rsidRPr="00D27A45">
        <w:rPr>
          <w:rFonts w:asciiTheme="minorHAnsi" w:hAnsiTheme="minorHAnsi" w:cstheme="minorHAnsi"/>
          <w:color w:val="000000" w:themeColor="text1"/>
          <w:lang w:val="en-GB"/>
        </w:rPr>
        <w:t>1213</w:t>
      </w:r>
      <w:r w:rsidR="00E02761" w:rsidRPr="00D27A45">
        <w:rPr>
          <w:rFonts w:asciiTheme="minorHAnsi" w:hAnsiTheme="minorHAnsi" w:cstheme="minorHAnsi"/>
          <w:color w:val="000000" w:themeColor="text1"/>
          <w:lang w:val="en-GB"/>
        </w:rPr>
        <w:t xml:space="preserve"> SNPs for the restrictive analysis. The process of SNPs selection is shown in a flowchart (supplementary figure 1)</w:t>
      </w:r>
      <w:r w:rsidR="00E02761" w:rsidRPr="0034391B">
        <w:rPr>
          <w:rFonts w:asciiTheme="minorHAnsi" w:hAnsiTheme="minorHAnsi" w:cstheme="minorHAnsi"/>
          <w:color w:val="000000" w:themeColor="text1"/>
          <w:lang w:val="en-GB"/>
        </w:rPr>
        <w:t>, the final number of SNPs for each trait is reported in Table 1 and the complete list of SNPs is shown in detail in</w:t>
      </w:r>
      <w:r w:rsidR="00E02761" w:rsidRPr="0034391B">
        <w:rPr>
          <w:rFonts w:asciiTheme="minorHAnsi" w:hAnsiTheme="minorHAnsi" w:cstheme="minorHAnsi"/>
          <w:color w:val="000000" w:themeColor="text1"/>
        </w:rPr>
        <w:t xml:space="preserve"> supplementary table 1.</w:t>
      </w:r>
    </w:p>
    <w:p w14:paraId="4C49AF73" w14:textId="598125B1" w:rsidR="00626947" w:rsidRDefault="00626947" w:rsidP="00626947">
      <w:pPr>
        <w:spacing w:line="480" w:lineRule="auto"/>
        <w:jc w:val="both"/>
        <w:rPr>
          <w:rFonts w:asciiTheme="minorHAnsi" w:hAnsiTheme="minorHAnsi" w:cstheme="minorHAnsi"/>
        </w:rPr>
      </w:pPr>
    </w:p>
    <w:bookmarkEnd w:id="10"/>
    <w:p w14:paraId="154452D5" w14:textId="447ED91F" w:rsidR="00342215" w:rsidRPr="004B08E4" w:rsidRDefault="00342215" w:rsidP="00086AD2">
      <w:pPr>
        <w:spacing w:line="480" w:lineRule="auto"/>
        <w:jc w:val="both"/>
        <w:rPr>
          <w:rFonts w:asciiTheme="minorHAnsi" w:hAnsiTheme="minorHAnsi" w:cstheme="minorHAnsi"/>
          <w:i/>
          <w:lang w:val="en-GB"/>
        </w:rPr>
      </w:pPr>
      <w:r w:rsidRPr="004B08E4">
        <w:rPr>
          <w:rFonts w:asciiTheme="minorHAnsi" w:hAnsiTheme="minorHAnsi" w:cstheme="minorHAnsi"/>
          <w:i/>
          <w:lang w:val="en-GB"/>
        </w:rPr>
        <w:t xml:space="preserve">Pancreatic </w:t>
      </w:r>
      <w:r w:rsidR="00AF7FAB" w:rsidRPr="004B08E4">
        <w:rPr>
          <w:rFonts w:asciiTheme="minorHAnsi" w:hAnsiTheme="minorHAnsi" w:cstheme="minorHAnsi"/>
          <w:i/>
          <w:lang w:val="en-GB"/>
        </w:rPr>
        <w:t>c</w:t>
      </w:r>
      <w:r w:rsidRPr="004B08E4">
        <w:rPr>
          <w:rFonts w:asciiTheme="minorHAnsi" w:hAnsiTheme="minorHAnsi" w:cstheme="minorHAnsi"/>
          <w:i/>
          <w:lang w:val="en-GB"/>
        </w:rPr>
        <w:t xml:space="preserve">ancer GWASs </w:t>
      </w:r>
    </w:p>
    <w:p w14:paraId="68B59D71" w14:textId="42177209" w:rsidR="00BA3FB5" w:rsidRPr="007424D7" w:rsidRDefault="00342215" w:rsidP="00BA3FB5">
      <w:pPr>
        <w:spacing w:line="480" w:lineRule="auto"/>
        <w:ind w:firstLine="426"/>
        <w:jc w:val="both"/>
        <w:rPr>
          <w:rFonts w:asciiTheme="minorHAnsi" w:hAnsiTheme="minorHAnsi" w:cstheme="minorHAnsi"/>
          <w:color w:val="000000" w:themeColor="text1"/>
          <w:lang w:val="en-GB"/>
        </w:rPr>
      </w:pPr>
      <w:bookmarkStart w:id="16" w:name="_Hlk1650608"/>
      <w:bookmarkStart w:id="17" w:name="OLE_LINK10"/>
      <w:bookmarkStart w:id="18" w:name="OLE_LINK11"/>
      <w:bookmarkStart w:id="19" w:name="_Hlk1377789"/>
      <w:r w:rsidRPr="0034391B">
        <w:rPr>
          <w:rFonts w:asciiTheme="minorHAnsi" w:hAnsiTheme="minorHAnsi" w:cstheme="minorHAnsi"/>
          <w:color w:val="000000" w:themeColor="text1"/>
          <w:lang w:val="en-GB"/>
        </w:rPr>
        <w:t xml:space="preserve">The pancreatic cancer GWAS datasets </w:t>
      </w:r>
      <w:r w:rsidR="007424D7" w:rsidRPr="0034391B">
        <w:rPr>
          <w:rFonts w:asciiTheme="minorHAnsi" w:hAnsiTheme="minorHAnsi" w:cstheme="minorHAnsi"/>
          <w:color w:val="000000" w:themeColor="text1"/>
          <w:lang w:val="en-GB"/>
        </w:rPr>
        <w:t>were drawn from the Pancreatic Cancer Cohort Consortium (</w:t>
      </w:r>
      <w:r w:rsidRPr="0034391B">
        <w:rPr>
          <w:rFonts w:asciiTheme="minorHAnsi" w:hAnsiTheme="minorHAnsi" w:cstheme="minorHAnsi"/>
          <w:color w:val="000000" w:themeColor="text1"/>
          <w:lang w:val="en-GB"/>
        </w:rPr>
        <w:t>PanScan I, PanScan II, PanScan III</w:t>
      </w:r>
      <w:r w:rsidR="007424D7" w:rsidRPr="0034391B">
        <w:rPr>
          <w:rFonts w:asciiTheme="minorHAnsi" w:hAnsiTheme="minorHAnsi" w:cstheme="minorHAnsi"/>
          <w:color w:val="000000" w:themeColor="text1"/>
          <w:lang w:val="en-GB"/>
        </w:rPr>
        <w:t>) and the Pancreatic Cancer Case Control Consortium (</w:t>
      </w:r>
      <w:r w:rsidRPr="0034391B">
        <w:rPr>
          <w:rFonts w:asciiTheme="minorHAnsi" w:hAnsiTheme="minorHAnsi" w:cstheme="minorHAnsi"/>
          <w:color w:val="000000" w:themeColor="text1"/>
          <w:lang w:val="en-GB"/>
        </w:rPr>
        <w:t>PanC4</w:t>
      </w:r>
      <w:r w:rsidR="007424D7" w:rsidRPr="0034391B">
        <w:rPr>
          <w:rFonts w:asciiTheme="minorHAnsi" w:hAnsiTheme="minorHAnsi" w:cstheme="minorHAnsi"/>
          <w:color w:val="000000" w:themeColor="text1"/>
          <w:lang w:val="en-GB"/>
        </w:rPr>
        <w:t>)</w:t>
      </w:r>
      <w:r w:rsidR="00461C7D">
        <w:rPr>
          <w:rFonts w:asciiTheme="minorHAnsi" w:hAnsiTheme="minorHAnsi" w:cstheme="minorHAnsi"/>
          <w:color w:val="000000" w:themeColor="text1"/>
          <w:lang w:val="en-GB"/>
        </w:rPr>
        <w:t>,</w:t>
      </w:r>
      <w:r w:rsidRPr="0034391B">
        <w:rPr>
          <w:rFonts w:asciiTheme="minorHAnsi" w:hAnsiTheme="minorHAnsi" w:cstheme="minorHAnsi"/>
          <w:color w:val="000000" w:themeColor="text1"/>
          <w:lang w:val="en-GB"/>
        </w:rPr>
        <w:t xml:space="preserve"> </w:t>
      </w:r>
      <w:r w:rsidR="007424D7" w:rsidRPr="0034391B">
        <w:rPr>
          <w:rFonts w:asciiTheme="minorHAnsi" w:hAnsiTheme="minorHAnsi" w:cstheme="minorHAnsi"/>
          <w:color w:val="000000" w:themeColor="text1"/>
          <w:lang w:val="en-GB"/>
        </w:rPr>
        <w:t>which are available</w:t>
      </w:r>
      <w:r w:rsidRPr="0034391B">
        <w:rPr>
          <w:rFonts w:asciiTheme="minorHAnsi" w:hAnsiTheme="minorHAnsi" w:cstheme="minorHAnsi"/>
          <w:color w:val="000000" w:themeColor="text1"/>
          <w:lang w:val="en-GB"/>
        </w:rPr>
        <w:t xml:space="preserve"> through dbGaP</w:t>
      </w:r>
      <w:r w:rsidR="0076107B" w:rsidRPr="0034391B">
        <w:rPr>
          <w:rFonts w:asciiTheme="minorHAnsi" w:hAnsiTheme="minorHAnsi" w:cstheme="minorHAnsi"/>
          <w:color w:val="000000" w:themeColor="text1"/>
          <w:lang w:val="en-GB"/>
        </w:rPr>
        <w:t xml:space="preserve"> (study accession numbers phs000206.v5.p3 and phs000648.v1.p1; project reference #12644</w:t>
      </w:r>
      <w:r w:rsidR="0076107B" w:rsidRPr="004B08E4">
        <w:rPr>
          <w:rFonts w:asciiTheme="minorHAnsi" w:hAnsiTheme="minorHAnsi" w:cstheme="minorHAnsi"/>
          <w:lang w:val="en-GB"/>
        </w:rPr>
        <w:t>)</w:t>
      </w:r>
      <w:r w:rsidRPr="004B08E4">
        <w:rPr>
          <w:rFonts w:asciiTheme="minorHAnsi" w:hAnsiTheme="minorHAnsi" w:cstheme="minorHAnsi"/>
          <w:lang w:val="en-GB"/>
        </w:rPr>
        <w:t xml:space="preserve">. </w:t>
      </w:r>
      <w:r w:rsidR="00BA3FB5" w:rsidRPr="007424D7">
        <w:rPr>
          <w:rFonts w:asciiTheme="minorHAnsi" w:hAnsiTheme="minorHAnsi" w:cstheme="minorHAnsi"/>
          <w:color w:val="000000" w:themeColor="text1"/>
          <w:lang w:val="en-GB"/>
        </w:rPr>
        <w:t xml:space="preserve">Each participating study obtained informed consent from study participants, approval from </w:t>
      </w:r>
      <w:r w:rsidR="00461C7D" w:rsidRPr="00461C7D">
        <w:rPr>
          <w:rFonts w:asciiTheme="minorHAnsi" w:hAnsiTheme="minorHAnsi" w:cstheme="minorHAnsi"/>
          <w:lang w:val="en-GB"/>
        </w:rPr>
        <w:t>the responsible</w:t>
      </w:r>
      <w:r w:rsidR="00BA3FB5" w:rsidRPr="007424D7">
        <w:rPr>
          <w:rFonts w:asciiTheme="minorHAnsi" w:hAnsiTheme="minorHAnsi" w:cstheme="minorHAnsi"/>
          <w:color w:val="000000" w:themeColor="text1"/>
          <w:lang w:val="en-GB"/>
        </w:rPr>
        <w:t xml:space="preserve"> institutional review board (IRB) and IRB certification permitting data sharing in accordance with the NIH Policy for Sharing of Data Obtained in NIH-Supported or NIH-Conducted Genome Wide Association Studies.</w:t>
      </w:r>
    </w:p>
    <w:p w14:paraId="6735BA0D" w14:textId="4BCBF441" w:rsidR="00626947" w:rsidRDefault="00342215" w:rsidP="0034391B">
      <w:pPr>
        <w:spacing w:line="480" w:lineRule="auto"/>
        <w:ind w:firstLine="426"/>
        <w:jc w:val="both"/>
        <w:rPr>
          <w:rFonts w:asciiTheme="minorHAnsi" w:hAnsiTheme="minorHAnsi" w:cstheme="minorHAnsi"/>
          <w:color w:val="000000" w:themeColor="text1"/>
          <w:lang w:val="en-GB"/>
        </w:rPr>
      </w:pPr>
      <w:r w:rsidRPr="004B08E4">
        <w:rPr>
          <w:rFonts w:asciiTheme="minorHAnsi" w:hAnsiTheme="minorHAnsi" w:cstheme="minorHAnsi"/>
          <w:lang w:val="en-GB"/>
        </w:rPr>
        <w:t xml:space="preserve">Specific details on the data </w:t>
      </w:r>
      <w:r w:rsidRPr="0034391B">
        <w:rPr>
          <w:rFonts w:asciiTheme="minorHAnsi" w:hAnsiTheme="minorHAnsi" w:cstheme="minorHAnsi"/>
          <w:color w:val="000000" w:themeColor="text1"/>
          <w:lang w:val="en-GB"/>
        </w:rPr>
        <w:t xml:space="preserve">collection and genotyping have </w:t>
      </w:r>
      <w:r w:rsidRPr="0034391B">
        <w:rPr>
          <w:rFonts w:asciiTheme="minorHAnsi" w:hAnsiTheme="minorHAnsi" w:cstheme="minorHAnsi"/>
          <w:noProof/>
          <w:color w:val="000000" w:themeColor="text1"/>
          <w:lang w:val="en-GB"/>
        </w:rPr>
        <w:t>been previously described</w:t>
      </w:r>
      <w:r w:rsidR="0073321C">
        <w:rPr>
          <w:rFonts w:asciiTheme="minorHAnsi" w:hAnsiTheme="minorHAnsi" w:cstheme="minorHAnsi"/>
          <w:noProof/>
          <w:color w:val="000000" w:themeColor="text1"/>
          <w:lang w:val="en-GB"/>
        </w:rPr>
        <w:t xml:space="preserve"> </w:t>
      </w:r>
      <w:r w:rsidR="007F29A6" w:rsidRPr="0034391B">
        <w:rPr>
          <w:rFonts w:asciiTheme="minorHAnsi" w:hAnsiTheme="minorHAnsi" w:cstheme="minorHAnsi"/>
          <w:noProof/>
          <w:color w:val="000000" w:themeColor="text1"/>
          <w:lang w:val="en-GB"/>
        </w:rPr>
        <w:fldChar w:fldCharType="begin" w:fldLock="1"/>
      </w:r>
      <w:r w:rsidR="00675992">
        <w:rPr>
          <w:rFonts w:asciiTheme="minorHAnsi" w:hAnsiTheme="minorHAnsi" w:cstheme="minorHAnsi"/>
          <w:noProof/>
          <w:color w:val="000000" w:themeColor="text1"/>
          <w:lang w:val="en-GB"/>
        </w:rPr>
        <w:instrText>ADDIN CSL_CITATION {"citationItems":[{"id":"ITEM-1","itemData":{"DOI":"10.1038/ng.3341","ISBN":"1546-1718 (Electronic)$\\$r1061-4036 (Linking)","ISSN":"1546-1718","PMID":"26098869","abstract":"We performed a multistage genome-wide association study including 7,683 individuals with pancreatic cancer and 14,397 controls of European descent. Four new loci reached genome-wide significance: rs6971499 at 7q32.3 (LINC-PINT, per-allele odds ratio (OR) = 0.79, 95% confidence interval (CI) 0.74-0.84, P = 3.0 × 10(-12)), rs7190458 at 16q23.1 (BCAR1/CTRB1/CTRB2, OR = 1.46, 95% CI 1.30-1.65, P = 1.1 × 10(-10)), rs9581943 at 13q12.2 (PDX1, OR = 1.15, 95% CI 1.10-1.20, P = 2.4 × 10(-9)) and rs16986825 at 22q12.1 (ZNRF3, OR = 1.18, 95% CI 1.12-1.25, P = 1.2 × 10(-8)). We identified an independent signal in exon 2 of TERT at the established region 5p15.33 (rs2736098, OR = 0.80, 95% CI 0.76-0.85, P = 9.8 × 10(-14)). We also identified a locus at 8q24.21 (rs1561927, P = 1.3 × 10(-7)) that approached genome-wide significance located 455 kb telomeric of PVT1. Our study identified multiple new susceptibility alleles for pancreatic cancer that are worthy of follow-up studies.","author":[{"dropping-particle":"","family":"Childs","given":"Erica J","non-dropping-particle":"","parse-names":false,"suffix":""},{"dropping-particle":"","family":"Mocci","given":"Evelina","non-dropping-particle":"","parse-names":false,"suffix":""},{"dropping-particle":"","family":"Campa","given":"Daniele","non-dropping-particle":"","parse-names":false,"suffix":""},{"dropping-particle":"","family":"Bracci","given":"Paige M","non-dropping-particle":"","parse-names":false,"suffix":""},{"dropping-particle":"","family":"Gallinger","given":"Steven","non-dropping-particle":"","parse-names":false,"suffix":""},{"dropping-particle":"","family":"Goggins","given":"Michael","non-dropping-particle":"","parse-names":false,"suffix":""},{"dropping-particle":"","family":"Li","given":"Donghui","non-dropping-particle":"","parse-names":false,"suffix":""},{"dropping-particle":"","family":"Neale","given":"Rachel E","non-dropping-particle":"","parse-names":false,"suffix":""},{"dropping-particle":"","family":"Olson","given":"Sara H","non-dropping-particle":"","parse-names":false,"suffix":""},{"dropping-particle":"","family":"Scelo","given":"Ghislaine","non-dropping-particle":"","parse-names":false,"suffix":""},{"dropping-particle":"","family":"Amundadottir","given":"Laufey T","non-dropping-particle":"","parse-names":false,"suffix":""},{"dropping-particle":"","family":"Bamlet","given":"William R","non-dropping-particle":"","parse-names":false,"suffix":""},{"dropping-particle":"","family":"Bijlsma","given":"Maarten F","non-dropping-particle":"","parse-names":false,"suffix":""},{"dropping-particle":"","family":"Blackford","given":"Amanda","non-dropping-particle":"","parse-names":false,"suffix":""},{"dropping-particle":"","family":"Borges","given":"Michael","non-dropping-particle":"","parse-names":false,"suffix":""},{"dropping-particle":"","family":"Brennan","given":"Paul","non-dropping-particle":"","parse-names":false,"suffix":""},{"dropping-particle":"","family":"Brenner","given":"Hermann","non-dropping-particle":"","parse-names":false,"suffix":""},{"dropping-particle":"","family":"Bueno-De-Mesquita","given":"H. Bas","non-dropping-particle":"","parse-names":false,"suffix":""},{"dropping-particle":"","family":"Canzian","given":"Federico","non-dropping-particle":"","parse-names":false,"suffix":""},{"dropping-particle":"","family":"Capurso","given":"Gabriele","non-dropping-particle":"","parse-names":false,"suffix":""},{"dropping-particle":"","family":"Cavestro","given":"Giulia M","non-dropping-particle":"","parse-names":false,"suffix":""},{"dropping-particle":"","family":"Chaffee","given":"Kari G","non-dropping-particle":"","parse-names":false,"suffix":""},{"dropping-particle":"","family":"Chanock","given":"Stephen J","non-dropping-particle":"","parse-names":false,"suffix":""},{"dropping-particle":"","family":"Cleary","given":"Sean P","non-dropping-particle":"","parse-names":false,"suffix":""},{"dropping-particle":"","family":"Cotterchio","given":"Michelle","non-dropping-particle":"","parse-names":false,"suffix":""},{"dropping-particle":"","family":"Foretova","given":"Lenka","non-dropping-particle":"","parse-names":false,"suffix":""},{"dropping-particle":"","family":"Fuchs","given":"Charles","non-dropping-particle":"","parse-names":false,"suffix":""},{"dropping-particle":"","family":"Funel","given":"Niccola","non-dropping-particle":"","parse-names":false,"suffix":""},{"dropping-particle":"","family":"Gazouli","given":"Maria","non-dropping-particle":"","parse-names":false,"suffix":""},{"dropping-particle":"","family":"Hassan","given":"Manal","non-dropping-particle":"","parse-names":false,"suffix":""},{"dropping-particle":"","family":"Herman","given":"Joseph M","non-dropping-particle":"","parse-names":false,"suffix":""},{"dropping-particle":"","family":"Holcatova","given":"Ivana","non-dropping-particle":"","parse-names":false,"suffix":""},{"dropping-particle":"","family":"Holly","given":"Elizabeth A","non-dropping-particle":"","parse-names":false,"suffix":""},{"dropping-particle":"","family":"Hoover","given":"Robert N","non-dropping-particle":"","parse-names":false,"suffix":""},{"dropping-particle":"","family":"Hung","given":"Rayjean J","non-dropping-particle":"","parse-names":false,"suffix":""},{"dropping-particle":"","family":"Janout","given":"Vladimir","non-dropping-particle":"","parse-names":false,"suffix":""},{"dropping-particle":"","family":"Key","given":"Timothy J","non-dropping-particle":"","parse-names":false,"suffix":""},{"dropping-particle":"","family":"Kupcinskas","given":"Juozas","non-dropping-particle":"","parse-names":false,"suffix":""},{"dropping-particle":"","family":"Kurtz","given":"Robert C","non-dropping-particle":"","parse-names":false,"suffix":""},{"dropping-particle":"","family":"Landi","given":"Stefano","non-dropping-particle":"","parse-names":false,"suffix":""},{"dropping-particle":"","family":"Lu","given":"Lingeng","non-dropping-particle":"","parse-names":false,"suffix":""},{"dropping-particle":"","family":"Malecka-Panas","given":"Ewa","non-dropping-particle":"","parse-names":false,"suffix":""},{"dropping-particle":"","family":"Mambrini","given":"Andrea","non-dropping-particle":"","parse-names":false,"suffix":""},{"dropping-particle":"","family":"Mohelnikova-Duchonova","given":"Beatrice","non-dropping-particle":"","parse-names":false,"suffix":""},{"dropping-particle":"","family":"Neoptolemos","given":"John P","non-dropping-particle":"","parse-names":false,"suffix":""},{"dropping-particle":"","family":"Oberg","given":"Ann L","non-dropping-particle":"","parse-names":false,"suffix":""},{"dropping-particle":"","family":"Orlow","given":"Irene","non-dropping-particle":"","parse-names":false,"suffix":""},{"dropping-particle":"","family":"Pasquali","given":"Claudio","non-dropping-particle":"","parse-names":false,"suffix":""},{"dropping-particle":"","family":"Pezzilli","given":"Raffaele","non-dropping-particle":"","parse-names":false,"suffix":""},{"dropping-particle":"","family":"Rizzato","given":"Cosmeri","non-dropping-particle":"","parse-names":false,"suffix":""},{"dropping-particle":"","family":"Saldia","given":"Amethyst","non-dropping-particle":"","parse-names":false,"suffix":""},{"dropping-particle":"","family":"Scarpa","given":"Aldo","non-dropping-particle":"","parse-names":false,"suffix":""},{"dropping-particle":"","family":"Stolzenberg-Solomon","given":"Rachael Z","non-dropping-particle":"","parse-names":false,"suffix":""},{"dropping-particle":"","family":"Strobel","given":"Oliver","non-dropping-particle":"","parse-names":false,"suffix":""},{"dropping-particle":"","family":"Tavano","given":"Francesca","non-dropping-particle":"","parse-names":false,"suffix":""},{"dropping-particle":"","family":"Vashist","given":"Yogesh K","non-dropping-particle":"","parse-names":false,"suffix":""},{"dropping-particle":"","family":"Vodicka","given":"Pavel","non-dropping-particle":"","parse-names":false,"suffix":""},{"dropping-particle":"","family":"Wolpin","given":"Brian M","non-dropping-particle":"","parse-names":false,"suffix":""},{"dropping-particle":"","family":"Yu","given":"Herbert","non-dropping-particle":"","parse-names":false,"suffix":""},{"dropping-particle":"","family":"Petersen","given":"Gloria M","non-dropping-particle":"","parse-names":false,"suffix":""},{"dropping-particle":"","family":"Risch","given":"Harvey A","non-dropping-particle":"","parse-names":false,"suffix":""},{"dropping-particle":"","family":"Klein","given":"Alison P","non-dropping-particle":"","parse-names":false,"suffix":""}],"container-title":"Nature Genetics","id":"ITEM-1","issue":"8","issued":{"date-parts":[["2015","6"]]},"page":"911-916","publisher":"NIH Public Access","title":"Common variation at 2p13.3, 3q29, 7p13 and 17q25.1 associated with susceptibility to pancreatic cancer","type":"article-journal","volume":"47"},"uris":["http://www.mendeley.com/documents/?uuid=ce84119b-10ed-478b-aacc-b232d7bd8ede"]},{"id":"ITEM-2","itemData":{"DOI":"10.1038/s41467-018-02942-5","ISBN":"4146701802942","ISSN":"20411723","PMID":"29422604","abstract":"In 2020, 146,063 deaths due to pancreatic cancer are estimated to occur in Europe and the United States combined. To identify common susceptibility alleles, we performed the largest pancreatic cancer GWAS to date, including 9040 patients and 12,496 controls of European ancestry from the Pancreatic Cancer Cohort Consortium (PanScan) and the Pancreatic Cancer Case-Control Consortium (PanC4). Here, we find significant evidence of a novel association at rs78417682 (7p12/TNS3, P = 4.35 × 10−8). Replication of 10 promising signals in up to 2737 patients and 4752 controls from the PANcreatic Disease ReseArch (PANDoRA) consortium yields new genome-wide significant loci: rs13303010 at 1p36.33 (NOC2L, P = 8.36 × 10−14), rs2941471 at 8q21.11 (HNF4G, P = 6.60 × 10−10), rs4795218 at 17q12 (HNF1B, P = 1.32 × 10−8), and rs1517037 at 18q21.32 (GRP, P = 3.28 × 10−8). rs78417682 is not statistically significantly associated with pancreatic cancer in PANDoRA. Expression quantitative trait locus analysis in three independent pancreatic data sets provides molecular support of NOC2L as a pancreatic cancer susceptibility gene.","author":[{"dropping-particle":"","family":"Klein","given":"Alison P.","non-dropping-particle":"","parse-names":false,"suffix":""},{"dropping-particle":"","family":"Wolpin","given":"Brian M","non-dropping-particle":"","parse-names":false,"suffix":""},{"dropping-particle":"","family":"Risch","given":"Harvey A","non-dropping-particle":"","parse-names":false,"suffix":""},{"dropping-particle":"","family":"Stolzenberg-Solomon","given":"Rachael Z","non-dropping-particle":"","parse-names":false,"suffix":""},{"dropping-particle":"","family":"Mocci","given":"Evelina","non-dropping-particle":"","parse-names":false,"suffix":""},{"dropping-particle":"","family":"Zhang","given":"Mingfeng","non-dropping-particle":"","parse-names":false,"suffix":""},{"dropping-particle":"","family":"Canzian","given":"Federico","non-dropping-particle":"","parse-names":false,"suffix":""},{"dropping-particle":"","family":"Childs","given":"Erica J","non-dropping-particle":"","parse-names":false,"suffix":""},{"dropping-particle":"","family":"Hoskins","given":"Jason W","non-dropping-particle":"","parse-names":false,"suffix":""},{"dropping-particle":"","family":"Jermusyk","given":"Ashley","non-dropping-particle":"","parse-names":false,"suffix":""},{"dropping-particle":"","family":"Zhong","given":"Jun","non-dropping-particle":"","parse-names":false,"suffix":""},{"dropping-particle":"","family":"Chen","given":"Fei","non-dropping-particle":"","parse-names":false,"suffix":""},{"dropping-particle":"","family":"Albanes","given":"Demetrius","non-dropping-particle":"","parse-names":false,"suffix":""},{"dropping-particle":"","family":"Andreotti","given":"Gabriella","non-dropping-particle":"","parse-names":false,"suffix":""},{"dropping-particle":"","family":"Arslan","given":"Alan A","non-dropping-particle":"","parse-names":false,"suffix":""},{"dropping-particle":"","family":"Babic","given":"Ana","non-dropping-particle":"","parse-names":false,"suffix":""},{"dropping-particle":"","family":"Bamlet","given":"William R","non-dropping-particle":"","parse-names":false,"suffix":""},{"dropping-particle":"","family":"Beane-Freeman","given":"Laura","non-dropping-particle":"","parse-names":false,"suffix":""},{"dropping-particle":"","family":"Berndt","given":"Sonja I","non-dropping-particle":"","parse-names":false,"suffix":""},{"dropping-particle":"","family":"Blackford","given":"Amanda","non-dropping-particle":"","parse-names":false,"suffix":""},{"dropping-particle":"","family":"Borges","given":"Michael","non-dropping-particle":"","parse-names":false,"suffix":""},{"dropping-particle":"","family":"Borgida","given":"Ayelet","non-dropping-particle":"","parse-names":false,"suffix":""},{"dropping-particle":"","family":"Bracci","given":"Paige M","non-dropping-particle":"","parse-names":false,"suffix":""},{"dropping-particle":"","family":"Brais","given":"Lauren","non-dropping-particle":"","parse-names":false,"suffix":""},{"dropping-particle":"","family":"Brennan","given":"Paul","non-dropping-particle":"","parse-names":false,"suffix":""},{"dropping-particle":"","family":"Brenner","given":"Hermann","non-dropping-particle":"","parse-names":false,"suffix":""},{"dropping-particle":"","family":"Bueno-De-Mesquita","given":"Bas","non-dropping-particle":"","parse-names":false,"suffix":""},{"dropping-particle":"","family":"Buring","given":"Julie","non-dropping-particle":"","parse-names":false,"suffix":""},{"dropping-particle":"","family":"Campa","given":"Daniele","non-dropping-particle":"","parse-names":false,"suffix":""},{"dropping-particle":"","family":"Capurso","given":"Gabriele","non-dropping-particle":"","parse-names":false,"suffix":""},{"dropping-particle":"","family":"Cavestro","given":"Giulia Martina","non-dropping-particle":"","parse-names":false,"suffix":""},{"dropping-particle":"","family":"Chaffee","given":"Kari G","non-dropping-particle":"","parse-names":false,"suffix":""},{"dropping-particle":"","family":"Chung","given":"Charles C","non-dropping-particle":"","parse-names":false,"suffix":""},{"dropping-particle":"","family":"Cleary","given":"Sean","non-dropping-particle":"","parse-names":false,"suffix":""},{"dropping-particle":"","family":"Cotterchio","given":"Michelle","non-dropping-particle":"","parse-names":false,"suffix":""},{"dropping-particle":"","family":"Dijk","given":"Frederike","non-dropping-particle":"","parse-names":false,"suffix":""},{"dropping-particle":"","family":"Duell","given":"Eric J","non-dropping-particle":"","parse-names":false,"suffix":""},{"dropping-particle":"","family":"Foretova","given":"Lenka","non-dropping-particle":"","parse-names":false,"suffix":""},{"dropping-particle":"","family":"Fuchs","given":"Charles","non-dropping-particle":"","parse-names":false,"suffix":""},{"dropping-particle":"","family":"Funel","given":"Niccola","non-dropping-particle":"","parse-names":false,"suffix":""},{"dropping-particle":"","family":"Gallinger","given":"Steven","non-dropping-particle":"","parse-names":false,"suffix":""},{"dropping-particle":"","family":"Gaziano","given":"J. Michael M.","non-dropping-particle":"","parse-names":false,"suffix":""},{"dropping-particle":"","family":"Gazouli","given":"Maria","non-dropping-particle":"","parse-names":false,"suffix":""},{"dropping-particle":"","family":"Giles","given":"Graham G","non-dropping-particle":"","parse-names":false,"suffix":""},{"dropping-particle":"","family":"Giovannucci","given":"Edward","non-dropping-particle":"","parse-names":false,"suffix":""},{"dropping-particle":"","family":"Goggins","given":"Michael","non-dropping-particle":"","parse-names":false,"suffix":""},{"dropping-particle":"","family":"Goodman","given":"Gary E.","non-dropping-particle":"","parse-names":false,"suffix":""},{"dropping-particle":"","family":"Goodman","given":"Phyllis J","non-dropping-particle":"","parse-names":false,"suffix":""},{"dropping-particle":"","family":"Hackert","given":"Thilo","non-dropping-particle":"","parse-names":false,"suffix":""},{"dropping-particle":"","family":"Haiman","given":"Christopher","non-dropping-particle":"","parse-names":false,"suffix":""},{"dropping-particle":"","family":"Hartge","given":"Patricia","non-dropping-particle":"","parse-names":false,"suffix":""},{"dropping-particle":"","family":"Hasan","given":"Manal","non-dropping-particle":"","parse-names":false,"suffix":""},{"dropping-particle":"","family":"Hegyi","given":"Peter","non-dropping-particle":"","parse-names":false,"suffix":""},{"dropping-particle":"","family":"Helzlsouer","given":"Kathy J","non-dropping-particle":"","parse-names":false,"suffix":""},{"dropping-particle":"","family":"Herman","given":"Joseph","non-dropping-particle":"","parse-names":false,"suffix":""},{"dropping-particle":"","family":"Holcatova","given":"Ivana","non-dropping-particle":"","parse-names":false,"suffix":""},{"dropping-particle":"","family":"Holly","given":"Elizabeth A","non-dropping-particle":"","parse-names":false,"suffix":""},{"dropping-particle":"","family":"Hoover","given":"Robert","non-dropping-particle":"","parse-names":false,"suffix":""},{"dropping-particle":"","family":"Hung","given":"Rayjean J","non-dropping-particle":"","parse-names":false,"suffix":""},{"dropping-particle":"","family":"Jacobs","given":"Eric J","non-dropping-particle":"","parse-names":false,"suffix":""},{"dropping-particle":"","family":"Jamroziak","given":"Krzysztof","non-dropping-particle":"","parse-names":false,"suffix":""},{"dropping-particle":"","family":"Janout","given":"Vladimir","non-dropping-particle":"","parse-names":false,"suffix":""},{"dropping-particle":"","family":"Kaaks","given":"Rudolf","non-dropping-particle":"","parse-names":false,"suffix":""},{"dropping-particle":"","family":"Khaw","given":"Kay Tee","non-dropping-particle":"","parse-names":false,"suffix":""},{"dropping-particle":"","family":"Klein","given":"Eric A","non-dropping-particle":"","parse-names":false,"suffix":""},{"dropping-particle":"","family":"Kogevinas","given":"Manolis","non-dropping-particle":"","parse-names":false,"suffix":""},{"dropping-particle":"","family":"Kooperberg","given":"Charles","non-dropping-particle":"","parse-names":false,"suffix":""},{"dropping-particle":"","family":"Kulke","given":"Matthew H","non-dropping-particle":"","parse-names":false,"suffix":""},{"dropping-particle":"","family":"Kupcinskas","given":"Juozas","non-dropping-particle":"","parse-names":false,"suffix":""},{"dropping-particle":"","family":"Kurtz","given":"Robert J","non-dropping-particle":"","parse-names":false,"suffix":""},{"dropping-particle":"","family":"Laheru","given":"Daniel","non-dropping-particle":"","parse-names":false,"suffix":""},{"dropping-particle":"","family":"Landi","given":"Stefano","non-dropping-particle":"","parse-names":false,"suffix":""},{"dropping-particle":"","family":"Lawlor","given":"Rita T","non-dropping-particle":"","parse-names":false,"suffix":""},{"dropping-particle":"","family":"Lee","given":"I. Min","non-dropping-particle":"","parse-names":false,"suffix":""},{"dropping-particle":"","family":"Lemarchand","given":"Loic","non-dropping-particle":"","parse-names":false,"suffix":""},{"dropping-particle":"","family":"Lu","given":"Lingeng","non-dropping-particle":"","parse-names":false,"suffix":""},{"dropping-particle":"","family":"Malats","given":"Núria","non-dropping-partic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L","non-dropping-particle":"","parse-names":false,"suffix":""},{"dropping-particle":"","family":"Mohelníková-Duchoňová","given":"Beatrice","non-dropping-particle":"","parse-names":false,"suffix":""},{"dropping-particle":"","family":"Neale","given":"Rachel E","non-dropping-particle":"","parse-names":false,"suffix":""},{"dropping-particle":"","family":"Neoptolemos","given":"John P","non-dropping-particle":"","parse-names":false,"suffix":""},{"dropping-particle":"","family":"Oberg","given":"Ann L","non-dropping-particle":"","parse-names":false,"suffix":""},{"dropping-particle":"","family":"Olson","given":"Sara H","non-dropping-particle":"","parse-names":false,"suffix":""},{"dropping-particle":"","family":"Orlow","given":"Irene","non-dropping-particle":"","parse-names":false,"suffix":""},{"dropping-particle":"","family":"Pasquali","given":"Claudio","non-dropping-particle":"","parse-names":false,"suffix":""},{"dropping-particle":"V","family":"Patel","given":"Alpa","non-dropping-particle":"","parse-names":false,"suffix":""},{"dropping-particle":"","family":"Peters","given":"Ulrike","non-dropping-particle":"","parse-names":false,"suffix":""},{"dropping-particle":"","family":"Pezzilli","given":"Raffaele","non-dropping-particle":"","parse-names":false,"suffix":""},{"dropping-particle":"","family":"Porta","given":"Miquel","non-dropping-particle":"","parse-names":false,"suffix":""},{"dropping-particle":"","family":"Real","given":"Francisco X","non-dropping-particle":"","parse-names":false,"suffix":""},{"dropping-particle":"","family":"Rothman","given":"Nathaniel","non-dropping-particle":"","parse-names":false,"suffix":""},{"dropping-particle":"","family":"Scelo","given":"Ghislaine","non-dropping-particle":"","parse-names":false,"suffix":""},{"dropping-particle":"","family":"Sesso","given":"Howard D","non-dropping-particle":"","parse-names":false,"suffix":""},{"dropping-particle":"","family":"Severi","given":"Gianluca","non-dropping-particle":"","parse-names":false,"suffix":""},{"dropping-particle":"","family":"Shu","given":"Xiao Ou","non-dropping-particle":"","parse-names":false,"suffix":""},{"dropping-particle":"","family":"Silverman","given":"Debra","non-dropping-particle":"","parse-names":false,"suffix":""},{"dropping-particle":"","family":"Smith","given":"Jill P","non-dropping-particle":"","parse-names":false,"suffix":""},{"dropping-particle":"","family":"Soucek","given":"Pavel","non-dropping-particle":"","parse-names":false,"suffix":""},{"dropping-particle":"","family":"Sund","given":"Malin","non-dropping-particle":"","parse-names":false,"suffix":""},{"dropping-particle":"","family":"Talar-Wojnarowska","given":"Renata","non-dropping-particle":"","parse-names":false,"suffix":""},{"dropping-particle":"","family":"Tavano","given":"Francesca","non-dropping-particle":"","parse-names":false,"suffix":""},{"dropping-particle":"","family":"Thornquist","given":"Mark D","non-dropping-particle":"","parse-names":false,"suffix":""},{"dropping-particle":"","family":"Tobias","given":"Geoffrey S","non-dropping-particle":"","parse-names":false,"suffix":""},{"dropping-particle":"","family":"Eeden","given":"Stephen K","non-dropping-particle":"Van Den","parse-names":false,"suffix":""},{"dropping-particle":"","family":"Vashist","given":"Yogesh","non-dropping-particle":"","parse-names":false,"suffix":""},{"dropping-particle":"","family":"Visvanathan","given":"Kala","non-dropping-particle":"","parse-names":false,"suffix":""},{"dropping-particle":"","family":"Vodicka","given":"Pavel","non-dropping-particle":"","parse-names":false,"suffix":""},{"dropping-particle":"","family":"Wactawski-Wende","given":"Jean","non-dropping-particle":"","parse-names":false,"suffix":""},{"dropping-particle":"","family":"Wang","given":"Zhaoming","non-dropping-particle":"","parse-names":false,"suffix":""},{"dropping-particle":"","family":"Wentzensen","given":"Nicolas","non-dropping-particle":"","parse-names":false,"suffix":""},{"dropping-particle":"","family":"White","given":"Emily","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Zheng","given":"Wei","non-dropping-particle":"","parse-names":false,"suffix":""},{"dropping-particle":"","family":"Kraft","given":"Peter","non-dropping-particle":"","parse-names":false,"suffix":""},{"dropping-particle":"","family":"Li","given":"Donghui","non-dropping-particle":"","parse-names":false,"suffix":""},{"dropping-particle":"","family":"Chanock","given":"Stephen","non-dropping-particle":"","parse-names":false,"suffix":""},{"dropping-particle":"","family":"Obazee","given":"Ofure","non-dropping-particle":"","parse-names":false,"suffix":""},{"dropping-particle":"","family":"Petersen","given":"Gloria M","non-dropping-particle":"","parse-names":false,"suffix":""},{"dropping-particle":"","family":"Amundadottir","given":"Laufey T","non-dropping-particle":"","parse-names":false,"suffix":""}],"container-title":"Nature Communications","id":"ITEM-2","issue":"1","issued":{"date-parts":[["2018","2"]]},"page":"556","publisher":"Nature Publishing Group","title":"Genome-wide meta-analysis identifies five new susceptibility loci for pancreatic cancer","type":"article-journal","volume":"9"},"uris":["http://www.mendeley.com/documents/?uuid=b1d84e75-bf23-4598-bdcd-4bd850cfe080"]},{"id":"ITEM-3","itemData":{"DOI":"10.1038/ng.522","ISBN":"1546-1718 (Electronic)$\\$r1061-4036 (Linking)","ISSN":"1061-4036","PMID":"20101243","abstract":"We conducted a genome-wide association study of pancreatic cancer in 3,851 affected individuals (cases) and 3,934 unaffected controls drawn from 12 prospective cohort studies and 8 case-control studies. Based on a logistic regression model for genotype trend effect that was adjusted for study, age, sex, self-described ancestry and five principal components, we identified eight SNPs that map to three loci on chromosomes 13q22.1, 1q32.1 and 5p15.33. Two correlated SNPs, rs9543325 (P = 3.27 x 10(-11), per-allele odds ratio (OR) 1.26, 95% CI 1.18-1.35) and rs9564966 (P = 5.86 x 10(-8), per-allele OR 1.21, 95% CI 1.13-1.30), map to a nongenic region on chromosome 13q22.1. Five SNPs on 1q32.1 map to NR5A2, and the strongest signal was at rs3790844 (P = 2.45 x 10(-10), per-allele OR 0.77, 95% CI 0.71-0.84). A single SNP, rs401681 (P = 3.66 x 10(-7), per-allele OR 1.19, 95% CI 1.11-1.27), maps to the CLPTM1L-TERT locus on 5p15.33, which is associated with multiple cancers. Our study has identified common susceptibility loci for pancreatic cancer that warrant follow-up studies.","author":[{"dropping-particle":"","family":"Petersen","given":"Gloria M","non-dropping-particle":"","parse-names":false,"suffix":""},{"dropping-particle":"","family":"Amundadottir","given":"Laufey","non-dropping-particle":"","parse-names":false,"suffix":""},{"dropping-particle":"","family":"Fuchs","given":"Charles S","non-dropping-particle":"","parse-names":false,"suffix":""},{"dropping-particle":"","family":"Kraft","given":"Peter","non-dropping-particle":"","parse-names":false,"suffix":""},{"dropping-particle":"","family":"Stolzenberg-Solomon","given":"Rachael Z","non-dropping-particle":"","parse-names":false,"suffix":""},{"dropping-particle":"","family":"Jacobs","given":"Kevin B.","non-dropping-particle":"","parse-names":false,"suffix":""},{"dropping-particle":"","family":"Arslan","given":"Alan A","non-dropping-particle":"","parse-names":false,"suffix":""},{"dropping-particle":"","family":"Bueno-De-Mesquita","given":"H. Bas","non-dropping-particle":"","parse-names":false,"suffix":""},{"dropping-particle":"","family":"Gallinger","given":"Steven","non-dropping-particle":"","parse-names":false,"suffix":""},{"dropping-particle":"","family":"Gross","given":"Myron","non-dropping-particle":"","parse-names":false,"suffix":""},{"dropping-particle":"","family":"Helzlsouer","given":"Kathy","non-dropping-particle":"","parse-names":false,"suffix":""},{"dropping-particle":"","family":"Holly","given":"Elizabeth A","non-dropping-particle":"","parse-names":false,"suffix":""},{"dropping-particle":"","family":"Jacobs","given":"Eric J","non-dropping-particle":"","parse-names":false,"suffix":""},{"dropping-particle":"","family":"Klein","given":"Alison P","non-dropping-particle":"","parse-names":false,"suffix":""},{"dropping-particle":"","family":"Lacroix","given":"Andrea","non-dropping-particle":"","parse-names":false,"suffix":""},{"dropping-particle":"","family":"Li","given":"Donghui","non-dropping-particle":"","parse-names":false,"suffix":""},{"dropping-particle":"","family":"Mandelson","given":"Margaret T","non-dropping-particle":"","parse-names":false,"suffix":""},{"dropping-particle":"","family":"Olson","given":"Sara H","non-dropping-particle":"","parse-names":false,"suffix":""},{"dropping-particle":"","family":"Risch","given":"Harvey A","non-dropping-particle":"","parse-names":false,"suffix":""},{"dropping-particle":"","family":"Zheng","given":"Wei","non-dropping-particle":"","parse-names":false,"suffix":""},{"dropping-particle":"","family":"Albanes","given":"Demetrius","non-dropping-particle":"","parse-names":false,"suffix":""},{"dropping-particle":"","family":"Bamlet","given":"William R","non-dropping-particle":"","parse-names":false,"suffix":""},{"dropping-particle":"","family":"Berg","given":"Christine D","non-dropping-particle":"","parse-names":false,"suffix":""},{"dropping-particle":"","family":"Boutron-Ruault","given":"Marie-Christine Christine","non-dropping-particle":"","parse-names":false,"suffix":""},{"dropping-particle":"","family":"Buring","given":"Julie E","non-dropping-particle":"","parse-names":false,"suffix":""},{"dropping-particle":"","family":"Bracci","given":"Paige M","non-dropping-particle":"","parse-names":false,"suffix":""},{"dropping-particle":"","family":"Canzian","given":"Federico","non-dropping-particle":"","parse-names":false,"suffix":""},{"dropping-particle":"","family":"Clipp","given":"Sandra","non-dropping-particle":"","parse-names":false,"suffix":""},{"dropping-particle":"","family":"Cotterchio","given":"Michelle","non-dropping-particle":"","parse-names":false,"suffix":""},{"dropping-particle":"","family":"Andrade","given":"Mariza","non-dropping-particle":"de","parse-names":false,"suffix":""},{"dropping-particle":"","family":"Duell","given":"Eric J","non-dropping-particle":"","parse-names":false,"suffix":""},{"dropping-particle":"","family":"Gaziano","given":"J Michael","non-dropping-particle":"","parse-names":false,"suffix":""},{"dropping-particle":"","family":"Giovannucci","given":"Edward L","non-dropping-particle":"","parse-names":false,"suffix":""},{"dropping-particle":"","family":"Goggins","given":"Michael","non-dropping-particle":"","parse-names":false,"suffix":""},{"dropping-particle":"","family":"Hallmans","given":"Göran","non-dropping-particle":"","parse-names":false,"suffix":""},{"dropping-particle":"","family":"Hankinson","given":"Susan E","non-dropping-particle":"","parse-names":false,"suffix":""},{"dropping-particle":"","family":"Hassan","given":"Manal","non-dropping-particle":"","parse-names":false,"suffix":""},{"dropping-particle":"","family":"Howard","given":"Barbara","non-dropping-particle":"","parse-names":false,"suffix":""},{"dropping-particle":"","family":"Hunter","given":"David J","non-dropping-particle":"","parse-names":false,"suffix":""},{"dropping-particle":"","family":"Hutchinson","given":"Amy","non-dropping-particle":"","parse-names":false,"suffix":""},{"dropping-particle":"","family":"Jenab","given":"Mazda","non-dropping-particle":"","parse-names":false,"suffix":""},{"dropping-particle":"","family":"Kaaks","given":"Rudolf","non-dropping-particle":"","parse-names":false,"suffix":""},{"dropping-particle":"","family":"Kooperberg","given":"Charles","non-dropping-particle":"","parse-names":false,"suffix":""},{"dropping-particle":"","family":"Krogh","given":"Vittorio","non-dropping-particle":"","parse-names":false,"suffix":""},{"dropping-particle":"","family":"Kurtz","given":"Robert C","non-dropping-particle":"","parse-names":false,"suffix":""},{"dropping-particle":"","family":"Lynch","given":"Shannon M","non-dropping-particle":"","parse-names":false,"suffix":""},{"dropping-particle":"","family":"McWilliams","given":"Robert R","non-dropping-particle":"","parse-names":false,"suffix":""},{"dropping-particle":"","family":"Mendelsohn","given":"Julie B","non-dropping-particle":"","parse-names":false,"suffix":""},{"dropping-particle":"","family":"Michaud","given":"Dominique S","non-dropping-particle":"","parse-names":false,"suffix":""},{"dropping-particle":"","family":"Parikh","given":"Hemang","non-dropping-particle":"","parse-names":false,"suffix":""},{"dropping-particle":"V","family":"Patel","given":"Alpa","non-dropping-particle":"","parse-names":false,"suffix":""},{"dropping-particle":"","family":"Peeters","given":"Petra H.M. M M","non-dropping-particle":"","parse-names":false,"suffix":""},{"dropping-particle":"","family":"Rajkovic","given":"Aleksandar","non-dropping-particle":"","parse-names":false,"suffix":""},{"dropping-particle":"","family":"Riboli","given":"Elio","non-dropping-particle":"","parse-names":false,"suffix":""},{"dropping-particle":"","family":"Rodriguez","given":"Laudina","non-dropping-particle":"","parse-names":false,"suffix":""},{"dropping-particle":"","family":"Seminara","given":"Daniela","non-dropping-particle":"","parse-names":false,"suffix":""},{"dropping-particle":"","family":"Shu","given":"Xiao-Ou Ou","non-dropping-particle":"","parse-names":false,"suffix":""},{"dropping-particle":"","family":"Thomas","given":"Gilles","non-dropping-particle":"","parse-names":false,"suffix":""},{"dropping-particle":"","family":"Tjønneland","given":"Anne","non-dropping-particle":"","parse-names":false,"suffix":""},{"dropping-particle":"","family":"Tobias","given":"Geoffrey S","non-dropping-particle":"","parse-names":false,"suffix":""},{"dropping-particle":"","family":"Trichopoulos","given":"Dimitrios","non-dropping-particle":"","parse-names":false,"suffix":""},{"dropping-particle":"","family":"Eeden","given":"Stephen K","non-dropping-particle":"Van Den","parse-names":false,"suffix":""},{"dropping-particle":"","family":"Virtamo","given":"Jarmo","non-dropping-particle":"","parse-names":false,"suffix":""},{"dropping-particle":"","family":"Wactawski-Wende","given":"Jean","non-dropping-particle":"","parse-names":false,"suffix":""},{"dropping-particle":"","family":"Wang","given":"Zhaoming","non-dropping-particle":"","parse-names":false,"suffix":""},{"dropping-particle":"","family":"Wolpin","given":"Brian M","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Fraumeni","given":"Joseph F","non-dropping-particle":"","parse-names":false,"suffix":""},{"dropping-particle":"","family":"Hoover","given":"Robert N","non-dropping-particle":"","parse-names":false,"suffix":""},{"dropping-particle":"","family":"Hartge","given":"Patricia","non-dropping-particle":"","parse-names":false,"suffix":""},{"dropping-particle":"","family":"Chanock","given":"Stephen J.","non-dropping-particle":"","parse-names":false,"suffix":""}],"container-title":"Nature Genetics","id":"ITEM-3","issue":"3","issued":{"date-parts":[["2010","3"]]},"page":"224-228","publisher":"NIH Public Access","title":"A genome-wide association study identifies pancreatic cancer susceptibility loci on chromosomes 13q22.1, 1q32.1 and 5p15.33","type":"article-journal","volume":"42"},"uris":["http://www.mendeley.com/documents/?uuid=bb95b4ed-dd60-4611-b0c3-19ada03d67aa","http://www.mendeley.com/documents/?uuid=0cd9eb15-b09c-4bcf-bd68-49d49a7fc7d2","http://www.mendeley.com/documents/?uuid=32d582f0-ec46-4f35-ac47-99906ba3ce51"]},{"id":"ITEM-4","itemData":{"DOI":"10.1038/ng.3052","ISBN":"1061-4036","ISSN":"15461718","PMID":"25086665","abstract":"We performed a multistage genome-wide association study including 7,683 individuals with pancreatic cancer and 14,397 controls of European descent. Four new loci reached genome-wide significance: rs6971499 at 7q32.3 (LINC-PINT, per-allele odds ratio (OR) = 0.79, 95% confidence interval (CI) 0.74-0.84, P = 3.0 × 10(-12)), rs7190458 at 16q23.1 (BCAR1/CTRB1/CTRB2, OR = 1.46, 95% CI 1.30-1.65, P = 1.1 × 10(-10)), rs9581943 at 13q12.2 (PDX1, OR = 1.15, 95% CI 1.10-1.20, P = 2.4 × 10(-9)) and rs16986825 at 22q12.1 (ZNRF3, OR = 1.18, 95% CI 1.12-1.25, P = 1.2 × 10(-8)). We identified an independent signal in exon 2 of TERT at the established region 5p15.33 (rs2736098, OR = 0.80, 95% CI 0.76-0.85, P = 9.8 × 10(-14)). We also identified a locus at 8q24.21 (rs1561927, P = 1.3 × 10(-7)) that approached genome-wide significance located 455 kb telomeric of PVT1. Our study identified multiple new susceptibility alleles for pancreatic cancer that are worthy of follow-up studies.","author":[{"dropping-particle":"","family":"Wolpin","given":"Brian M.","non-dropping-particle":"","parse-names":false,"suffix":""},{"dropping-particle":"","family":"Rizzato","given":"Cosmeri","non-dropping-particle":"","parse-names":false,"suffix":""},{"dropping-particle":"","family":"Kraft","given":"Peter","non-dropping-particle":"","parse-names":false,"suffix":""},{"dropping-particle":"","family":"Kooperberg","given":"Charles","non-dropping-particle":"","parse-names":false,"suffix":""},{"dropping-particle":"","family":"Petersen","given":"Gloria M.","non-dropping-particle":"","parse-names":false,"suffix":""},{"dropping-particle":"","family":"Wang","given":"Zhaoming","non-dropping-particle":"","parse-names":false,"suffix":""},{"dropping-particle":"","family":"Arslan","given":"Alan A.","non-dropping-particle":"","parse-names":false,"suffix":""},{"dropping-particle":"","family":"Beane-Freeman","given":"Laura","non-dropping-particle":"","parse-names":false,"suffix":""},{"dropping-particle":"","family":"Bracci","given":"Paige M.","non-dropping-particle":"","parse-names":false,"suffix":""},{"dropping-particle":"","family":"Buring","given":"Julie","non-dropping-particle":"","parse-names":false,"suffix":""},{"dropping-particle":"","family":"Canzian","given":"Federico","non-dropping-particle":"","parse-names":false,"suffix":""},{"dropping-particle":"","family":"Duell","given":"Eric J.","non-dropping-particle":"","parse-names":false,"suffix":""},{"dropping-particle":"","family":"Gallinger","given":"Steven","non-dropping-particle":"","parse-names":false,"suffix":""},{"dropping-particle":"","family":"Giles","given":"Graham G.","non-dropping-particle":"","parse-names":false,"suffix":""},{"dropping-particle":"","family":"Goodman","given":"Gary E.","non-dropping-particle":"","parse-names":false,"suffix":""},{"dropping-particle":"","family":"Goodman","given":"Phyllis J.","non-dropping-particle":"","parse-names":false,"suffix":""},{"dropping-particle":"","family":"Jacobs","given":"Eric J.","non-dropping-particle":"","parse-names":false,"suffix":""},{"dropping-particle":"","family":"Kamineni","given":"Aruna","non-dropping-particle":"","parse-names":false,"suffix":""},{"dropping-particle":"","family":"Klein","given":"Alison P.","non-dropping-particle":"","parse-names":false,"suffix":""},{"dropping-particle":"","family":"Kolonel","given":"Laurence N.","non-dropping-particle":"","parse-names":false,"suffix":""},{"dropping-particle":"","family":"Kulke","given":"Matthew H.","non-dropping-particle":"","parse-names":false,"suffix":""},{"dropping-particle":"","family":"Li","given":"Donghui","non-dropping-particle":"","parse-names":false,"suffix":""},{"dropping-particle":"","family":"Malats","given":"Núria","non-dropping-particle":"","parse-names":false,"suffix":""},{"dropping-particle":"","family":"Olson","given":"Sara H.","non-dropping-particle":"","parse-names":false,"suffix":""},{"dropping-particle":"","family":"Risch","given":"Harvey A.","non-dropping-particle":"","parse-names":false,"suffix":""},{"dropping-particle":"","family":"Sesso","given":"Howard D.","non-dropping-particle":"","parse-names":false,"suffix":""},{"dropping-particle":"","family":"Visvanathan","given":"Kala","non-dropping-particle":"","parse-names":false,"suffix":""},{"dropping-particle":"","family":"White","given":"Emily","non-dropping-particle":"","parse-names":false,"suffix":""},{"dropping-particle":"","family":"Zheng","given":"Wei","non-dropping-particle":"","parse-names":false,"suffix":""},{"dropping-particle":"","family":"Abnet","given":"Christian C.","non-dropping-particle":"","parse-names":false,"suffix":""},{"dropping-particle":"","family":"Albanes","given":"Demetrius","non-dropping-particle":"","parse-names":false,"suffix":""},{"dropping-particle":"","family":"Andreotti","given":"Gabriella","non-dropping-particle":"","parse-names":false,"suffix":""},{"dropping-particle":"","family":"Austin","given":"Melissa A.","non-dropping-particle":"","parse-names":false,"suffix":""},{"dropping-particle":"","family":"Barfield","given":"Richard","non-dropping-particle":"","parse-names":false,"suffix":""},{"dropping-particle":"","family":"Basso","given":"Daniela","non-dropping-particle":"","parse-names":false,"suffix":""},{"dropping-particle":"","family":"Berndt","given":"Sonja I.","non-dropping-particle":"","parse-names":false,"suffix":""},{"dropping-particle":"","family":"Boutron-Ruault","given":"Marie-Christine Christine","non-dropping-particle":"","parse-names":false,"suffix":""},{"dropping-particle":"","family":"Brotzman","given":"Michelle","non-dropping-particle":"","parse-names":false,"suffix":""},{"dropping-particle":"","family":"Büchler","given":"Markus W.","non-dropping-particle":"","parse-names":false,"suffix":""},{"dropping-particle":"","family":"Bueno-De-Mesquita","given":"H. Bas","non-dropping-particle":"","parse-names":false,"suffix":""},{"dropping-particle":"","family":"Bugert","given":"Peter","non-dropping-particle":"","parse-names":false,"suffix":""},{"dropping-particle":"","family":"Burdette","given":"Laurie","non-dropping-particle":"","parse-names":false,"suffix":""},{"dropping-particle":"","family":"Campa","given":"Daniele","non-dropping-particle":"","parse-names":false,"suffix":""},{"dropping-particle":"","family":"Caporaso","given":"Neil E.","non-dropping-particle":"","parse-names":false,"suffix":""},{"dropping-particle":"","family":"Capurso","given":"Gabriele","non-dropping-particle":"","parse-names":false,"suffix":""},{"dropping-particle":"","family":"Chung","given":"Charles","non-dropping-particle":"","parse-names":false,"suffix":""},{"dropping-particle":"","family":"Cotterchio","given":"Michelle","non-dropping-particle":"","parse-names":false,"suffix":""},{"dropping-particle":"","family":"Costello","given":"Eithne","non-dropping-particle":"","parse-names":false,"suffix":""},{"dropping-particle":"","family":"Elena","given":"Joanne","non-dropping-particle":"","parse-names":false,"suffix":""},{"dropping-particle":"","family":"Funel","given":"Niccola","non-dropping-particle":"","parse-names":false,"suffix":""},{"dropping-particle":"","family":"Gaziano","given":"J. Michael","non-dropping-particle":"","parse-names":false,"suffix":""},{"dropping-particle":"","family":"Giese","given":"Nathalia A.","non-dropping-particle":"","parse-names":false,"suffix":""},{"dropping-particle":"","family":"Giovannucci","given":"Edward L.","non-dropping-particle":"","parse-names":false,"suffix":""},{"dropping-particle":"","family":"Goggins","given":"Michael","non-dropping-particle":"","parse-names":false,"suffix":""},{"dropping-particle":"","family":"Gorman","given":"Megan J.","non-dropping-particle":"","parse-names":false,"suffix":""},{"dropping-particle":"","family":"Gross","given":"Myron","non-dropping-particle":"","parse-names":false,"suffix":""},{"dropping-particle":"","family":"Haiman","given":"Christopher A.","non-dropping-particle":"","parse-names":false,"suffix":""},{"dropping-particle":"","family":"Hassan","given":"Manal","non-dropping-particle":"","parse-names":false,"suffix":""},{"dropping-particle":"","family":"Helzlsouer","given":"Kathy J.","non-dropping-particle":"","parse-names":false,"suffix":""},{"dropping-particle":"","family":"Henderson","given":"Brian E.","non-dropping-particle":"","parse-names":false,"suffix":""},{"dropping-particle":"","family":"Holly","given":"Elizabeth A.","non-dropping-particle":"","parse-names":false,"suffix":""},{"dropping-particle":"","family":"Hu","given":"Nan","non-dropping-particle":"","parse-names":false,"suffix":""},{"dropping-particle":"","family":"Hunter","given":"David J.","non-dropping-particle":"","parse-names":false,"suffix":""},{"dropping-particle":"","family":"Innocenti","given":"Federico","non-dropping-particle":"","parse-names":false,"suffix":""},{"dropping-particle":"","family":"Jenab","given":"Mazda","non-dropping-particle":"","parse-names":false,"suffix":""},{"dropping-particle":"","family":"Kaaks","given":"Rudolf","non-dropping-particle":"","parse-names":false,"suffix":""},{"dropping-particle":"","family":"Key","given":"Timothy J.","non-dropping-particle":"","parse-names":false,"suffix":""},{"dropping-particle":"","family":"Khaw","given":"Kay-Tee Tee","non-dropping-particle":"","parse-names":false,"suffix":""},{"dropping-particle":"","family":"Klein","given":"Eric A.","non-dropping-particle":"","parse-names":false,"suffix":""},{"dropping-particle":"","family":"Kogevinas","given":"Manolis","non-dropping-particle":"","parse-names":false,"suffix":""},{"dropping-particle":"","family":"Krogh","given":"Vittorio","non-dropping-particle":"","parse-names":false,"suffix":""},{"dropping-particle":"","family":"Kupcinskas","given":"Juozas","non-dropping-particle":"","parse-names":false,"suffix":""},{"dropping-particle":"","family":"Kurtz","given":"Robert C.","non-dropping-particle":"","parse-names":false,"suffix":""},{"dropping-particle":"","family":"Lacroix","given":"Andrea","non-dropping-particle":"","parse-names":false,"suffix":""},{"dropping-particle":"","family":"Landi","given":"Maria T.","non-dropping-particle":"","parse-names":false,"suffix":""},{"dropping-particle":"","family":"Landi","given":"Stefano","non-dropping-particle":"","parse-names":false,"suffix":""},{"dropping-particle":"","family":"Marchand","given":"Loic","non-dropping-particle":"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L.","non-dropping-particle":"","parse-names":false,"suffix":""},{"dropping-particle":"","family":"Nakamura","given":"Yusuke","non-dropping-particle":"","parse-names":false,"suffix":""},{"dropping-particle":"","family":"Oberg","given":"Ann L.","non-dropping-particle":"","parse-names":false,"suffix":""},{"dropping-particle":"","family":"Owzar","given":"Kouros","non-dropping-particle":"","parse-names":false,"suffix":""},{"dropping-particle":"V.","family":"Patel","given":"Alpa","non-dropping-particle":"","parse-names":false,"suffix":""},{"dropping-particle":"","family":"Peeters","given":"Petra H.M. M","non-dropping-particle":"","parse-names":false,"suffix":""},{"dropping-particle":"","family":"Peters","given":"Ulrike","non-dropping-particle":"","parse-names":false,"suffix":""},{"dropping-particle":"","family":"Pezzilli","given":"Raffaele","non-dropping-particle":"","parse-names":false,"suffix":""},{"dropping-particle":"","family":"Piepoli","given":"Ada","non-dropping-particle":"","parse-names":false,"suffix":""},{"dropping-particle":"","family":"Porta","given":"Miquel","non-dropping-particle":"","parse-names":false,"suffix":""},{"dropping-particle":"","family":"Real","given":"Francisco X.","non-dropping-particle":"","parse-names":false,"suffix":""},{"dropping-particle":"","family":"Riboli","given":"Elio","non-dropping-particle":"","parse-names":false,"suffix":""},{"dropping-particle":"","family":"Rothman","given":"Nathaniel","non-dropping-particle":"","parse-names":false,"suffix":""},{"dropping-particle":"","family":"Scarpa","given":"Aldo","non-dropping-particle":"","parse-names":false,"suffix":""},{"dropping-particle":"","family":"Shu","given":"Xiao-Ou Ou","non-dropping-particle":"","parse-names":false,"suffix":""},{"dropping-particle":"","family":"Silverman","given":"Debra T.","non-dropping-particle":"","parse-names":false,"suffix":""},{"dropping-particle":"","family":"Soucek","given":"Pavel","non-dropping-particle":"","parse-names":false,"suffix":""},{"dropping-particle":"","family":"Sund","given":"Malin","non-dropping-particle":"","parse-names":false,"suffix":""},{"dropping-particle":"","family":"Talar-Wojnarowska","given":"Renata","non-dropping-particle":"","parse-names":false,"suffix":""},{"dropping-particle":"","family":"Taylor","given":"Philip R.","non-dropping-particle":"","parse-names":false,"suffix":""},{"dropping-particle":"","family":"Theodoropoulos","given":"George E.","non-dropping-particle":"","parse-names":false,"suffix":""},{"dropping-particle":"","family":"Thornquist","given":"Mark","non-dropping-particle":"","parse-names":false,"suffix":""},{"dropping-particle":"","family":"Tjønneland","given":"Anne","non-dropping-particle":"","parse-names":false,"suffix":""},{"dropping-particle":"","family":"Tobias","given":"Geoffrey S.","non-dropping-particle":"","parse-names":false,"suffix":""},{"dropping-particle":"","family":"Trichopoulos","given":"Dimitrios","non-dropping-particle":"","parse-names":false,"suffix":""},{"dropping-particle":"","family":"Vodicka","given":"Pavel","non-dropping-particle":"","parse-names":false,"suffix":""},{"dropping-particle":"","family":"Wactawski-Wende","given":"Jean","non-dropping-particle":"","parse-names":false,"suffix":""},{"dropping-particle":"","family":"Wentzensen","given":"Nicolas","non-dropping-particle":"","parse-names":false,"suffix":""},{"dropping-particle":"","family":"Wu","given":"Chen","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Hoover","given":"Robert","non-dropping-particle":"","parse-names":false,"suffix":""},{"dropping-particle":"","family":"Hartge","given":"Patricia","non-dropping-particle":"","parse-names":false,"suffix":""},{"dropping-particle":"","family":"Fuchs","given":"Charles","non-dropping-particle":"","parse-names":false,"suffix":""},{"dropping-particle":"","family":"Chanock","given":"Stephen J.","non-dropping-particle":"","parse-names":false,"suffix":""},{"dropping-particle":"","family":"Stolzenberg-Solomon","given":"Rachael S.","non-dropping-particle":"","parse-names":false,"suffix":""},{"dropping-particle":"","family":"Amundadottir","given":"Laufey T.","non-dropping-particle":"","parse-names":false,"suffix":""}],"container-title":"Nature Genetics","id":"ITEM-4","issue":"9","issued":{"date-parts":[["2014","8"]]},"page":"994-1000","title":"Genome-wide association study identifies multiple susceptibility loci for pancreatic cancer","type":"article-journal","volume":"46"},"uris":["http://www.mendeley.com/documents/?uuid=c1f02759-6fc8-4fae-81fb-2befecfd543a"]},{"id":"ITEM-5","itemData":{"DOI":"10.18632/oncotarget.11041","ISBN":"1949-2553","ISSN":"1949-2553","PMID":"27579533","abstract":"Genome-wide association studies (GWAS) have identified common pancreatic cancer susceptibility variants at 13 chromosomal loci in individuals of European descent. To identify new susceptibility variants, we performed imputation based on 1000 Genomes (1000G) Project data and association analysis using 5,107 case and 8,845 control subjects from 27 cohort and case-control studies that participated in the PanScan I-III GWAS. This analysis, in combination with a two-staged replication in an additional 6,076 case and 7,555 control subjects from the PANcreatic Disease ReseArch (PANDoRA) and Pancreatic Cancer Case-Control (PanC4) Consortia uncovered 3 new pancreatic cancer risk signals marked by single nucleotide polymorphisms (SNPs) rs2816938 at chromosome 1q32.1 (per allele odds ratio (OR) = 1.20, P = 4.88x10 -15), rs10094872 at 8q24.21 (OR = 1.15, P = 3.22x10 -9) and rs35226131 at 5p15.33 (OR = 0.71, P = 1.70x10 -8). These SNPs represent independent risk variants at previously identified pancreatic cancer risk loci on chr1q32.1 ( NR5A2), chr8q24.21 ( MYC) and chr5p15.33 ( CLPTM1L- TERT) as per analyses conditioned on previously reported susceptibility variants. We assessed expression of candidate genes at the three risk loci in histologically normal ( n = 10) and tumor ( n = 8) derived pancreatic tissue samples and observed a marked reduction of NR5A2 expression (chr1q32.1) in the tumors (fold change -7.6, P = 5.7x10 -8). This finding was validated in a second set of paired ( n = 20) histologically normal and tumor derived pancreatic tissue samples (average fold change for three NR5A2 isoforms -31.3 to -95.7, P = 7.5x10 -4-2.0x10 -3). Our study has identified new susceptibility variants independently conferring pancreatic cancer risk that merit functional follow-up to identify target genes and explain the underlying biology.","author":[{"dropping-particle":"","family":"Zhang","given":"Mingfeng","non-dropping-particle":"","parse-names":false,"suffix":""},{"dropping-particle":"","family":"Wang","given":"Zhaoming","non-dropping-particle":"","parse-names":false,"suffix":""},{"dropping-particle":"","family":"Obazee","given":"Ofure","non-dropping-particle":"","parse-names":false,"suffix":""},{"dropping-particle":"","family":"Jia","given":"Jinping","non-dropping-particle":"","parse-names":false,"suffix":""},{"dropping-particle":"","family":"Childs","given":"Erica J","non-dropping-particle":"","parse-names":false,"suffix":""},{"dropping-particle":"","family":"Hoskins","given":"Jason","non-dropping-particle":"","parse-names":false,"suffix":""},{"dropping-particle":"","family":"Figlioli","given":"Gisella","non-dropping-particle":"","parse-names":false,"suffix":""},{"dropping-particle":"","family":"Mocci","given":"Evelina","non-dropping-particle":"","parse-names":false,"suffix":""},{"dropping-particle":"","family":"Collins","given":"Irene","non-dropping-particle":"","parse-names":false,"suffix":""},{"dropping-particle":"","family":"Chung","given":"Charles C","non-dropping-particle":"","parse-names":false,"suffix":""},{"dropping-particle":"","family":"Hautman","given":"Christopher","non-dropping-particle":"","parse-names":false,"suffix":""},{"dropping-particle":"","family":"Arslan","given":"Alan A","non-dropping-particle":"","parse-names":false,"suffix":""},{"dropping-particle":"","family":"Beane-Freeman","given":"Laura","non-dropping-particle":"","parse-names":false,"suffix":""},{"dropping-particle":"","family":"Bracci","given":"Paige M","non-dropping-particle":"","parse-names":false,"suffix":""},{"dropping-particle":"","family":"Buring","given":"Julie","non-dropping-particle":"","parse-names":false,"suffix":""},{"dropping-particle":"","family":"Duell","given":"Eric J","non-dropping-particle":"","parse-names":false,"suffix":""},{"dropping-particle":"","family":"Gallinger","given":"Steven","non-dropping-particle":"","parse-names":false,"suffix":""},{"dropping-particle":"","family":"Giles","given":"Graham G","non-dropping-particle":"","parse-names":false,"suffix":""},{"dropping-particle":"","family":"Goodman","given":"Gary E.","non-dropping-particle":"","parse-names":false,"suffix":""},{"dropping-particle":"","family":"Goodman","given":"Phyllis J","non-dropping-particle":"","parse-names":false,"suffix":""},{"dropping-particle":"","family":"Kamineni","given":"Aruna","non-dropping-particle":"","parse-names":false,"suffix":""},{"dropping-particle":"","family":"Kolonel","given":"Laurence N","non-dropping-particle":"","parse-names":false,"suffix":""},{"dropping-particle":"","family":"Kulke","given":"Matthew H","non-dropping-particle":"","parse-names":false,"suffix":""},{"dropping-particle":"","family":"Malats","given":"Núria","non-dropping-particle":"","parse-names":false,"suffix":""},{"dropping-particle":"","family":"Olson","given":"Sara H","non-dropping-particle":"","parse-names":false,"suffix":""},{"dropping-particle":"","family":"Sesso","given":"Howard D","non-dropping-particle":"","parse-names":false,"suffix":""},{"dropping-particle":"","family":"Visvanathan","given":"Kala","non-dropping-particle":"","parse-names":false,"suffix":""},{"dropping-particle":"","family":"White","given":"Emily","non-dropping-particle":"","parse-names":false,"suffix":""},{"dropping-particle":"","family":"Zheng","given":"Wei","non-dropping-particle":"","parse-names":false,"suffix":""},{"dropping-particle":"","family":"Abnet","given":"Christian C","non-dropping-particle":"","parse-names":false,"suffix":""},{"dropping-particle":"","family":"Albanes","given":"Demetrius","non-dropping-particle":"","parse-names":false,"suffix":""},{"dropping-particle":"","family":"Andreotti","given":"Gabriella","non-dropping-particle":"","parse-names":false,"suffix":""},{"dropping-particle":"","family":"Brais","given":"Lauren","non-dropping-particle":"","parse-names":false,"suffix":""},{"dropping-particle":"","family":"Bueno-de-Mesquita","given":"H Bas","non-dropping-particle":"","parse-names":false,"suffix":""},{"dropping-particle":"","family":"Basso","given":"Daniela","non-dropping-particle":"","parse-names":false,"suffix":""},{"dropping-particle":"","family":"Berndt","given":"Sonja I","non-dropping-particle":"","parse-names":false,"suffix":""},{"dropping-particle":"","family":"Boutron-Ruault","given":"Marie-Christine","non-dropping-particle":"","parse-names":false,"suffix":""},{"dropping-particle":"","family":"Bijlsma","given":"Maarten F","non-dropping-particle":"","parse-names":false,"suffix":""},{"dropping-particle":"","family":"Brenner","given":"Hermann","non-dropping-particle":"","parse-names":false,"suffix":""},{"dropping-particle":"","family":"Burdette","given":"Laurie","non-dropping-particle":"","parse-names":false,"suffix":""},{"dropping-particle":"","family":"Campa","given":"Daniele","non-dropping-particle":"","parse-names":false,"suffix":""},{"dropping-particle":"","family":"Caporaso","given":"Neil E","non-dropping-particle":"","parse-names":false,"suffix":""},{"dropping-particle":"","family":"Capurso","given":"Gabriele","non-dropping-particle":"","parse-names":false,"suffix":""},{"dropping-particle":"","family":"Cavestro","given":"Giulia Martina","non-dropping-particle":"","parse-names":false,"suffix":""},{"dropping-particle":"","family":"Cotterchio","given":"Michelle","non-dropping-particle":"","parse-names":false,"suffix":""},{"dropping-particle":"","family":"Costello","given":"Eithne","non-dropping-particle":"","parse-names":false,"suffix":""},{"dropping-particle":"","family":"Elena","given":"Joanne","non-dropping-particle":"","parse-names":false,"suffix":""},{"dropping-particle":"","family":"Boggi","given":"Ugo","non-dropping-particle":"","parse-names":false,"suffix":""},{"dropping-particle":"","family":"Gaziano","given":"J Michael","non-dropping-particle":"","parse-names":false,"suffix":""},{"dropping-particle":"","family":"Gazouli","given":"Maria","non-dropping-particle":"","parse-names":false,"suffix":""},{"dropping-particle":"","family":"Giovannucci","given":"Edward L","non-dropping-particle":"","parse-names":false,"suffix":""},{"dropping-particle":"","family":"Goggins","given":"Michael","non-dropping-particle":"","parse-names":false,"suffix":""},{"dropping-particle":"","family":"Gross","given":"Myron","non-dropping-particle":"","parse-names":false,"suffix":""},{"dropping-particle":"","family":"Haiman","given":"Christopher A","non-dropping-particle":"","parse-names":false,"suffix":""},{"dropping-particle":"","family":"Hassan","given":"Manal","non-dropping-particle":"","parse-names":false,"suffix":""},{"dropping-particle":"","family":"Helzlsouer","given":"Kathy J","non-dropping-particle":"","parse-names":false,"suffix":""},{"dropping-particle":"","family":"Hu","given":"Nan","non-dropping-particle":"","parse-names":false,"suffix":""},{"dropping-particle":"","family":"Hunter","given":"David J","non-dropping-particle":"","parse-names":false,"suffix":""},{"dropping-particle":"","family":"Iskierka-Jazdzewska","given":"Elzbieta","non-dropping-particle":"","parse-names":false,"suffix":""},{"dropping-particle":"","family":"Jenab","given":"Mazda","non-dropping-particle":"","parse-names":false,"suffix":""},{"dropping-particle":"","family":"Kaaks","given":"Rudolf","non-dropping-particle":"","parse-names":false,"suffix":""},{"dropping-particle":"","family":"Key","given":"Timothy J","non-dropping-particle":"","parse-names":false,"suffix":""},{"dropping-particle":"","family":"Khaw","given":"Kay-Tee","non-dropping-particle":"","parse-names":false,"suffix":""},{"dropping-particle":"","family":"Klein","given":"Eric A.","non-dropping-particle":"","parse-names":false,"suffix":""},{"dropping-particle":"","family":"Kogevinas","given":"Manolis","non-dropping-particle":"","parse-names":false,"suffix":""},{"dropping-particle":"","family":"Krogh","given":"Vittorio","non-dropping-particle":"","parse-names":false,"suffix":""},{"dropping-particle":"","family":"Kupcinskas","given":"Juozas","non-dropping-particle":"","parse-names":false,"suffix":""},{"dropping-particle":"","family":"Kurtz","given":"Robert C","non-dropping-particle":"","parse-names":false,"suffix":""},{"dropping-particle":"","family":"Landi","given":"Maria T.","non-dropping-particle":"","parse-names":false,"suffix":""},{"dropping-particle":"","family":"Landi","given":"Stefano","non-dropping-particle":"","parse-names":false,"suffix":""},{"dropping-particle":"","family":"Marchand","given":"Loic","non-dropping-particle":"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L","non-dropping-particle":"","parse-names":false,"suffix":""},{"dropping-particle":"","family":"Neale","given":"Rachel E","non-dropping-particle":"","parse-names":false,"suffix":""},{"dropping-particle":"","family":"Oberg","given":"Ann L","non-dropping-particle":"","parse-names":false,"suffix":""},{"dropping-particle":"","family":"Panico","given":"Salvatore","non-dropping-particle":"","parse-names":false,"suffix":""},{"dropping-particle":"V","family":"Patel","given":"Alpa","non-dropping-particle":"","parse-names":false,"suffix":""},{"dropping-particle":"","family":"Peeters","given":"Petra H M","non-dropping-particle":"","parse-names":false,"suffix":""},{"dropping-particle":"","family":"Peters","given":"Ulrike","non-dropping-particle":"","parse-names":false,"suffix":""},{"dropping-particle":"","family":"Pezzilli","given":"Raffaele","non-dropping-particle":"","parse-names":false,"suffix":""},{"dropping-particle":"","family":"Porta","given":"Miquel","non-dropping-particle":"","parse-names":false,"suffix":""},{"dropping-particle":"","family":"Purdue","given":"Mark","non-dropping-particle":"","parse-names":false,"suffix":""},{"dropping-particle":"","family":"Quiros","given":"J Ramón","non-dropping-particle":"","parse-names":false,"suffix":""},{"dropping-particle":"","family":"Riboli","given":"Elio","non-dropping-particle":"","parse-names":false,"suffix":""},{"dropping-particle":"","family":"Rothman","given":"Nathaniel","non-dropping-particle":"","parse-names":false,"suffix":""},{"dropping-particle":"","family":"Scarpa","given":"Aldo","non-dropping-particle":"","parse-names":false,"suffix":""},{"dropping-particle":"","family":"Scelo","given":"Ghislaine","non-dropping-particle":"","parse-names":false,"suffix":""},{"dropping-particle":"","family":"Shu","given":"Xiao-Ou","non-dropping-particle":"","parse-names":false,"suffix":""},{"dropping-particle":"","family":"Silverman","given":"Debra T","non-dropping-particle":"","parse-names":false,"suffix":""},{"dropping-particle":"","family":"Soucek","given":"Pavel","non-dropping-particle":"","parse-names":false,"suffix":""},{"dropping-particle":"","family":"Strobel","given":"Oliver","non-dropping-particle":"","parse-names":false,"suffix":""},{"dropping-particle":"","family":"Sund","given":"Malin","non-dropping-particle":"","parse-names":false,"suffix":""},{"dropping-particle":"","family":"Małecka-Panas","given":"Ewa","non-dropping-particle":"","parse-names":false,"suffix":""},{"dropping-particle":"","family":"Taylor","given":"Philip R","non-dropping-particle":"","parse-names":false,"suffix":""},{"dropping-particle":"","family":"Tavano","given":"Francesca","non-dropping-particle":"","parse-names":false,"suffix":""},{"dropping-particle":"","family":"Travis","given":"Ruth C","non-dropping-particle":"","parse-names":false,"suffix":""},{"dropping-particle":"","family":"Thornquist","given":"Mark","non-dropping-particle":"","parse-names":false,"suffix":""},{"dropping-particle":"","family":"Tjønneland","given":"Anne","non-dropping-particle":"","parse-names":false,"suffix":""},{"dropping-particle":"","family":"Tobias","given":"Geoffrey S","non-dropping-particle":"","parse-names":false,"suffix":""},{"dropping-particle":"","family":"Trichopoulos","given":"Dimitrios","non-dropping-particle":"","parse-names":false,"suffix":""},{"dropping-particle":"","family":"Vashist","given":"Yogesh","non-dropping-particle":"","parse-names":false,"suffix":""},{"dropping-particle":"","family":"Vodicka","given":"Pavel","non-dropping-particle":"","parse-names":false,"suffix":""},{"dropping-particle":"","family":"Wactawski-Wende","given":"Jean","non-dropping-particle":"","parse-names":false,"suffix":""},{"dropping-particle":"","family":"Wentzensen","given":"Nicolas","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Kooperberg","given":"Charles","non-dropping-particle":"","parse-names":false,"suffix":""},{"dropping-particle":"","family":"Risch","given":"Harvey A","non-dropping-particle":"","parse-names":false,"suffix":""},{"dropping-particle":"","family":"Jacobs","given":"Eric J","non-dropping-particle":"","parse-names":false,"suffix":""},{"dropping-particle":"","family":"Li","given":"Donghui","non-dropping-particle":"","parse-names":false,"suffix":""},{"dropping-particle":"","family":"Fuchs","given":"Charles","non-dropping-particle":"","parse-names":false,"suffix":""},{"dropping-particle":"","family":"Hoover","given":"Robert","non-dropping-particle":"","parse-names":false,"suffix":""},{"dropping-particle":"","family":"Hartge","given":"Patricia","non-dropping-particle":"","parse-names":false,"suffix":""},{"dropping-particle":"","family":"Chanock","given":"Stephen J","non-dropping-particle":"","parse-names":false,"suffix":""},{"dropping-particle":"","family":"Petersen","given":"Gloria M","non-dropping-particle":"","parse-names":false,"suffix":""},{"dropping-particle":"","family":"Stolzenberg-Solomon","given":"Rachael S","non-dropping-particle":"","parse-names":false,"suffix":""},{"dropping-particle":"","family":"Wolpin","given":"Brian M","non-dropping-particle":"","parse-names":false,"suffix":""},{"dropping-particle":"","family":"Kraft","given":"Peter","non-dropping-particle":"","parse-names":false,"suffix":""},{"dropping-particle":"","family":"Klein","given":"Alison P","non-dropping-particle":"","parse-names":false,"suffix":""},{"dropping-particle":"","family":"Canzian","given":"Federico","non-dropping-particle":"","parse-names":false,"suffix":""},{"dropping-particle":"","family":"Amundadottir","given":"Laufey T","non-dropping-particle":"","parse-names":false,"suffix":""},{"dropping-particle":"Le","family":"Marchand","given":"Loic","non-dropping-particle":"","parse-names":false,"suffix":""},{"dropping-particle":"","family":"Mambrini","given":"Andrea","non-dropping-particle":"","parse-names":false,"suffix":""},{"dropping-particle":"","family":"Mannisto","given":"Satu","non-dropping-particle":"","parse-names":false,"suffix":""},{"dropping-particle":"","family":"Milne","given":"Roger L","non-dropping-particle":"","parse-names":false,"suffix":""},{"dropping-particle":"","family":"Neale","given":"Rachel E","non-dropping-particle":"","parse-names":false,"suffix":""},{"dropping-particle":"","family":"Oberg","given":"Ann L","non-dropping-particle":"","parse-names":false,"suffix":""},{"dropping-particle":"","family":"Panico","given":"Salvatore","non-dropping-particle":"","parse-names":false,"suffix":""},{"dropping-particle":"V","family":"Patel","given":"Alpa","non-dropping-particle":"","parse-names":false,"suffix":""},{"dropping-particle":"","family":"Peeters","given":"Petra H M","non-dropping-particle":"","parse-names":false,"suffix":""},{"dropping-particle":"","family":"Peters","given":"Ulrike","non-dropping-particle":"","parse-names":false,"suffix":""},{"dropping-particle":"","family":"Pezzilli","given":"Raffaele","non-dropping-particle":"","parse-names":false,"suffix":""},{"dropping-particle":"","family":"Porta","given":"Miquel","non-dropping-particle":"","parse-names":false,"suffix":""},{"dropping-particle":"","family":"Purdue","given":"Mark","non-dropping-particle":"","parse-names":false,"suffix":""},{"dropping-particle":"","family":"Quiros","given":"J Ramón","non-dropping-particle":"","parse-names":false,"suffix":""},{"dropping-particle":"","family":"Riboli","given":"Elio","non-dropping-particle":"","parse-names":false,"suffix":""},{"dropping-particle":"","family":"Rothman","given":"Nathaniel","non-dropping-particle":"","parse-names":false,"suffix":""},{"dropping-particle":"","family":"Scarpa","given":"Aldo","non-dropping-particle":"","parse-names":false,"suffix":""},{"dropping-particle":"","family":"Scelo","given":"Ghislaine","non-dropping-particle":"","parse-names":false,"suffix":""},{"dropping-particle":"","family":"Shu","given":"Xiao-Ou","non-dropping-particle":"","parse-names":false,"suffix":""},{"dropping-particle":"","family":"Silverman","given":"Debra T","non-dropping-particle":"","parse-names":false,"suffix":""},{"dropping-particle":"","family":"Soucek","given":"Pavel","non-dropping-particle":"","parse-names":false,"suffix":""},{"dropping-particle":"","family":"Strobel","given":"Oliver","non-dropping-particle":"","parse-names":false,"suffix":""},{"dropping-particle":"","family":"Sund","given":"Malin","non-dropping-particle":"","parse-names":false,"suffix":""},{"dropping-particle":"","family":"Małecka-Panas","given":"Ewa","non-dropping-particle":"","parse-names":false,"suffix":""},{"dropping-particle":"","family":"Taylor","given":"Philip R","non-dropping-particle":"","parse-names":false,"suffix":""},{"dropping-particle":"","family":"Tavano","given":"Francesca","non-dropping-particle":"","parse-names":false,"suffix":""},{"dropping-particle":"","family":"Travis","given":"Ruth C","non-dropping-particle":"","parse-names":false,"suffix":""},{"dropping-particle":"","family":"Thornquist","given":"Mark","non-dropping-particle":"","parse-names":false,"suffix":""},{"dropping-particle":"","family":"Null","given":"Anne","non-dropping-particle":"","parse-names":false,"suffix":""},{"dropping-particle":"","family":"Tobias","given":"Geoffrey S","non-dropping-particle":"","parse-names":false,"suffix":""},{"dropping-particle":"","family":"Trichopoulos","given":"Dimitrios","non-dropping-particle":"","parse-names":false,"suffix":""},{"dropping-particle":"","family":"Vashist","given":"Yogesh","non-dropping-particle":"","parse-names":false,"suffix":""},{"dropping-particle":"","family":"Vodicka","given":"Pavel","non-dropping-particle":"","parse-names":false,"suffix":""},{"dropping-particle":"","family":"Wactawski-Wende","given":"Jean","non-dropping-particle":"","parse-names":false,"suffix":""},{"dropping-particle":"","family":"Wentzensen","given":"Nicolas","non-dropping-particle":"","parse-names":false,"suffix":""},{"dropping-particle":"","family":"Yu","given":"Herbert","non-dropping-particle":"","parse-names":false,"suffix":""},{"dropping-particle":"","family":"Zeleniuch-Jacquotte","given":"Anne","non-dropping-particle":"","parse-names":false,"suffix":""},{"dropping-particle":"","family":"Kooperberg","given":"Charles","non-dropping-particle":"","parse-names":false,"suffix":""},{"dropping-particle":"","family":"Risch","given":"Harvey A","non-dropping-particle":"","parse-names":false,"suffix":""},{"dropping-particle":"","family":"Jacobs","given":"Eric J","non-dropping-particle":"","parse-names":false,"suffix":""},{"dropping-particle":"","family":"Li","given":"Donghui","non-dropping-particle":"","parse-names":false,"suffix":""},{"dropping-particle":"","family":"Fuchs","given":"Charles","non-dropping-particle":"","parse-names":false,"suffix":""},{"dropping-particle":"","family":"Hoover","given":"Robert","non-dropping-particle":"","parse-names":false,"suffix":""},{"dropping-particle":"","family":"Hartge","given":"Patricia","non-dropping-particle":"","parse-names":false,"suffix":""},{"dropping-particle":"","family":"Chanock","given":"Stephen J","non-dropping-particle":"","parse-names":false,"suffix":""},{"dropping-particle":"","family":"Petersen","given":"Gloria M","non-dropping-particle":"","parse-names":false,"suffix":""},{"dropping-particle":"","family":"Stolzenberg-Solomon","given":"Rachael S","non-dropping-particle":"","parse-names":false,"suffix":""},{"dropping-particle":"","family":"Wolpin","given":"Brian M","non-dropping-particle":"","parse-names":false,"suffix":""},{"dropping-particle":"","family":"Kraft","given":"Peter","non-dropping-particle":"","parse-names":false,"suffix":""},{"dropping-particle":"","family":"Klein","given":"Alison P","non-dropping-particle":"","parse-names":false,"suffix":""},{"dropping-particle":"","family":"Canzian","given":"Federico","non-dropping-particle":"","parse-names":false,"suffix":""},{"dropping-particle":"","family":"Amundadottir","given":"Laufey T","non-dropping-particle":"","parse-names":false,"suffix":""}],"container-title":"Oncotarget","id":"ITEM-5","issue":"41","issued":{"date-parts":[["2016","10"]]},"page":"66328-66343","publisher":"Impact Journals, LLC","title":"Three new pancreatic cancer susceptibility signals identified on chromosomes 1q32.1, 5p15.33 and 8q24.21.","type":"article-journal","volume":"7"},"uris":["http://www.mendeley.com/documents/?uuid=326b00af-791f-4b2a-9aee-140ed18fc695"]},{"id":"ITEM-6","itemData":{"DOI":"10.1038/ng.429","ISBN":"1546-1718 (Electronic)$\\$r1061-4036 (Linking)","ISSN":"10614036","PMID":"19648918","abstract":"We conducted a two-stage genome-wide association study of pancreatic cancer, a cancer with one of the lowest survival rates worldwide. We genotyped 558,542 SNPs in 1,896 individuals with pancreatic cancer and 1,939 controls drawn from 12 prospective cohorts plus one hospital-based case-control study. We conducted a combined analysis of these groups plus an additional 2,457 affected individuals and 2,654 controls from eight case-control studies, adjusting for study, sex, ancestry and five principal components. We identified an association between a locus on 9q34 and pancreatic cancer marked by the SNP rs505922 (combined P = 5.37 x 10(-8); multiplicative per-allele odds ratio 1.20; 95% confidence interval 1.12-1.28). This SNP maps to the first intron of the ABO blood group gene. Our results are consistent with earlier epidemiologic evidence suggesting that people with blood group O may have a lower risk of pancreatic cancer than those with groups A or B.","author":[{"dropping-particle":"","family":"Amundadottir","given":"Laufey","non-dropping-particle":"","parse-names":false,"suffix":""},{"dropping-particle":"","family":"Kraft","given":"Peter","non-dropping-particle":"","parse-names":false,"suffix":""},{"dropping-particle":"","family":"Stolzenberg-Solomon","given":"Rachael Z","non-dropping-particle":"","parse-names":false,"suffix":""},{"dropping-particle":"","family":"Fuchs","given":"Charles S","non-dropping-particle":"","parse-names":false,"suffix":""},{"dropping-particle":"","family":"Petersen","given":"Gloria M","non-dropping-particle":"","parse-names":false,"suffix":""},{"dropping-particle":"","family":"Arslan","given":"Alan A","non-dropping-particle":"","parse-names":false,"suffix":""},{"dropping-particle":"","family":"Bueno-De-Mesquita","given":"H. Bas","non-dropping-particle":"","parse-names":false,"suffix":""},{"dropping-particle":"","family":"Gross","given":"Myron","non-dropping-particle":"","parse-names":false,"suffix":""},{"dropping-particle":"","family":"Helzlsouer","given":"Kathy","non-dropping-particle":"","parse-names":false,"suffix":""},{"dropping-particle":"","family":"Jacobs","given":"Eric J.","non-dropping-particle":"","parse-names":false,"suffix":""},{"dropping-particle":"","family":"LaCroix","given":"Andrea","non-dropping-particle":"","parse-names":false,"suffix":""},{"dropping-particle":"","family":"Zheng","given":"Wei","non-dropping-particle":"","parse-names":false,"suffix":""},{"dropping-particle":"","family":"Albanes","given":"Demetrius","non-dropping-particle":"","parse-names":false,"suffix":""},{"dropping-particle":"","family":"Bamlet","given":"William","non-dropping-particle":"","parse-names":false,"suffix":""},{"dropping-particle":"","family":"Berg","given":"Christine D","non-dropping-particle":"","parse-names":false,"suffix":""},{"dropping-particle":"","family":"Berrino","given":"Franco","non-dropping-particle":"","parse-names":false,"suffix":""},{"dropping-particle":"","family":"Bingham","given":"Sheila","non-dropping-particle":"","parse-names":false,"suffix":""},{"dropping-particle":"","family":"Buring","given":"Julie E","non-dropping-particle":"","parse-names":false,"suffix":""},{"dropping-particle":"","family":"Bracci","given":"Paige M","non-dropping-particle":"","parse-names":false,"suffix":""},{"dropping-particle":"","family":"Canzian","given":"Federico","non-dropping-particle":"","parse-names":false,"suffix":""},{"dropping-particle":"","family":"Clavel-Chapelon","given":"Françoise","non-dropping-particle":"","parse-names":false,"suffix":""},{"dropping-particle":"","family":"Clipp","given":"Sandra","non-dropping-particle":"","parse-names":false,"suffix":""},{"dropping-particle":"","family":"Cotterchio","given":"Michelle","non-dropping-particle":"","parse-names":false,"suffix":""},{"dropping-particle":"","family":"Andrade","given":"Mariza","non-dropping-particle":"De","parse-names":false,"suffix":""},{"dropping-particle":"","family":"Duell","given":"Eric J","non-dropping-particle":"","parse-names":false,"suffix":""},{"dropping-particle":"","family":"Fox","given":"John W","non-dropping-particle":"","parse-names":false,"suffix":""},{"dropping-particle":"","family":"Gallinger","given":"Steven","non-dropping-particle":"","parse-names":false,"suffix":""},{"dropping-particle":"","family":"Gaziano","given":"J Michael","non-dropping-particle":"","parse-names":false,"suffix":""},{"dropping-particle":"","family":"Giovannucci","given":"Edward L","non-dropping-particle":"","parse-names":false,"suffix":""},{"dropping-particle":"","family":"Goggins","given":"Michael","non-dropping-particle":"","parse-names":false,"suffix":""},{"dropping-particle":"","family":"González","given":"Carlos A","non-dropping-particle":"","parse-names":false,"suffix":""},{"dropping-particle":"","family":"Hallmans","given":"Göran","non-dropping-particle":"","parse-names":false,"suffix":""},{"dropping-particle":"","family":"Hankinson","given":"Susan E","non-dropping-particle":"","parse-names":false,"suffix":""},{"dropping-particle":"","family":"Hassan","given":"Manal","non-dropping-particle":"","parse-names":false,"suffix":""},{"dropping-particle":"","family":"Holly","given":"Elizabeth A","non-dropping-particle":"","parse-names":false,"suffix":""},{"dropping-particle":"","family":"Hunter","given":"David J","non-dropping-particle":"","parse-names":false,"suffix":""},{"dropping-particle":"","family":"Hutchinson","given":"Amy","non-dropping-particle":"","parse-names":false,"suffix":""},{"dropping-particle":"","family":"Jackson","given":"Rebecca","non-dropping-particle":"","parse-names":false,"suffix":""},{"dropping-particle":"","family":"Jacobs","given":"Kevin B","non-dropping-particle":"","parse-names":false,"suffix":""},{"dropping-particle":"","family":"Jenab","given":"Mazda","non-dropping-particle":"","parse-names":false,"suffix":""},{"dropping-particle":"","family":"Kaaks","given":"Rudolf","non-dropping-particle":"","parse-names":false,"suffix":""},{"dropping-particle":"","family":"Klein","given":"Alison P","non-dropping-particle":"","parse-names":false,"suffix":""},{"dropping-particle":"","family":"Kooperberg","given":"Charles","non-dropping-particle":"","parse-names":false,"suffix":""},{"dropping-particle":"","family":"Kurtz","given":"Robert C","non-dropping-particle":"","parse-names":false,"suffix":""},{"dropping-particle":"","family":"Li","given":"Donghui","non-dropping-particle":"","parse-names":false,"suffix":""},{"dropping-particle":"","family":"Lynch","given":"Shannon M","non-dropping-particle":"","parse-names":false,"suffix":""},{"dropping-particle":"","family":"Mandelson","given":"Margaret","non-dropping-particle":"","parse-names":false,"suffix":""},{"dropping-particle":"","family":"McWilliams","given":"Robert R","non-dropping-particle":"","parse-names":false,"suffix":""},{"dropping-particle":"","family":"Mendelsohn","given":"Julie B","non-dropping-particle":"","parse-names":false,"suffix":""},{"dropping-particle":"","family":"Michaud","given":"Dominique S","non-dropping-particle":"","parse-names":false,"suffix":""},{"dropping-particle":"","family":"Olson","given":"Sara H","non-dropping-particle":"","parse-names":false,"suffix":""},{"dropping-particle":"","family":"Overvad","given":"Kim","non-dropping-particle":"","parse-names":false,"suffix":""},{"dropping-particle":"V","family":"Patel","given":"Alpa","non-dropping-particle":"","parse-names":false,"suffix":""},{"dropping-particle":"","family":"Peeters","given":"Petra H.M. M","non-dropping-particle":"","parse-names":false,"suffix":""},{"dropping-particle":"","family":"Rajkovic","given":"Aleksandar","non-dropping-particle":"","parse-names":false,"suffix":""},{"dropping-particle":"","family":"Riboli","given":"Elio","non-dropping-particle":"","parse-names":false,"suffix":""},{"dropping-particle":"","family":"Risch","given":"Harvey A","non-dropping-particle":"","parse-names":false,"suffix":""},{"dropping-particle":"","family":"Shu","given":"Xiao-Ou Ou","non-dropping-particle":"","parse-names":false,"suffix":""},{"dropping-particle":"","family":"Thomas","given":"Gilles","non-dropping-particle":"","parse-names":false,"suffix":""},{"dropping-particle":"","family":"Tobias","given":"Geoffrey S","non-dropping-particle":"","parse-names":false,"suffix":""},{"dropping-particle":"","family":"Trichopoulos","given":"Dimitrios","non-dropping-particle":"","parse-names":false,"suffix":""},{"dropping-particle":"","family":"Eeden","given":"Stephen K","non-dropping-particle":"Van Den","parse-names":false,"suffix":""},{"dropping-particle":"","family":"Virtamo","given":"Jarmo","non-dropping-particle":"","parse-names":false,"suffix":""},{"dropping-particle":"","family":"Wactawski-Wende","given":"Jean","non-dropping-particle":"","parse-names":false,"suffix":""},{"dropping-particle":"","family":"Wolpin","given":"Brian M","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Chanock","given":"Stephen J","non-dropping-particle":"","parse-names":false,"suffix":""},{"dropping-particle":"","family":"Hartge","given":"Patricia","non-dropping-particle":"","parse-names":false,"suffix":""},{"dropping-particle":"","family":"Hoover","given":"Robert N.","non-dropping-particle":"","parse-names":false,"suffix":""},{"dropping-particle":"","family":"Fox Jr","given":"John W","non-dropping-particle":"","parse-names":false,"suffix":""},{"dropping-particle":"","family":"Gallinger","given":"Steven","non-dropping-particle":"","parse-names":false,"suffix":""},{"dropping-particle":"","family":"Gaziano","given":"J Michael","non-dropping-particle":"","parse-names":false,"suffix":""},{"dropping-particle":"","family":"Giovannucci","given":"Edward L","non-dropping-particle":"","parse-names":false,"suffix":""},{"dropping-particle":"","family":"Goggins","given":"Michael","non-dropping-particle":"","parse-names":false,"suffix":""},{"dropping-particle":"","family":"González","given":"Carlos A","non-dropping-particle":"","parse-names":false,"suffix":""},{"dropping-particle":"","family":"Hallmans","given":"Göran","non-dropping-particle":"","parse-names":false,"suffix":""},{"dropping-particle":"","family":"Hankinson","given":"Susan E","non-dropping-particle":"","parse-names":false,"suffix":""},{"dropping-particle":"","family":"Hassan","given":"Manal","non-dropping-particle":"","parse-names":false,"suffix":""},{"dropping-particle":"","family":"Holly","given":"Elizabeth A","non-dropping-particle":"","parse-names":false,"suffix":""},{"dropping-particle":"","family":"Hunter","given":"David J","non-dropping-particle":"","parse-names":false,"suffix":""},{"dropping-particle":"","family":"Hutchinson","given":"Amy","non-dropping-particle":"","parse-names":false,"suffix":""},{"dropping-particle":"","family":"Jackson","given":"Rebecca","non-dropping-particle":"","parse-names":false,"suffix":""},{"dropping-particle":"","family":"Jacobs","given":"Kevin B","non-dropping-particle":"","parse-names":false,"suffix":""},{"dropping-particle":"","family":"Jenab","given":"Mazda","non-dropping-particle":"","parse-names":false,"suffix":""},{"dropping-particle":"","family":"Kaaks","given":"Rudolf","non-dropping-particle":"","parse-names":false,"suffix":""},{"dropping-particle":"","family":"Klein","given":"Alison P","non-dropping-particle":"","parse-names":false,"suffix":""},{"dropping-particle":"","family":"Kooperberg","given":"Charles","non-dropping-particle":"","parse-names":false,"suffix":""},{"dropping-particle":"","family":"Kurtz","given":"Robert C","non-dropping-particle":"","parse-names":false,"suffix":""},{"dropping-particle":"","family":"Li","given":"Donghui","non-dropping-particle":"","parse-names":false,"suffix":""},{"dropping-particle":"","family":"Lynch","given":"Shannon M","non-dropping-particle":"","parse-names":false,"suffix":""},{"dropping-particle":"","family":"Mandelson","given":"Margaret","non-dropping-particle":"","parse-names":false,"suffix":""},{"dropping-particle":"","family":"McWilliams","given":"Robert R","non-dropping-particle":"","parse-names":false,"suffix":""},{"dropping-particle":"","family":"Mendelsohn","given":"Julie B","non-dropping-particle":"","parse-names":false,"suffix":""},{"dropping-particle":"","family":"Michaud","given":"Dominique S","non-dropping-particle":"","parse-names":false,"suffix":""},{"dropping-particle":"","family":"Olson","given":"Sara H","non-dropping-particle":"","parse-names":false,"suffix":""},{"dropping-particle":"","family":"Overvad","given":"Kim","non-dropping-particle":"","parse-names":false,"suffix":""},{"dropping-particle":"V","family":"Patel","given":"Alpa","non-dropping-particle":"","parse-names":false,"suffix":""},{"dropping-particle":"","family":"Peeters","given":"Petra H.M. M","non-dropping-particle":"","parse-names":false,"suffix":""},{"dropping-particle":"","family":"Rajkovic","given":"Aleksandar","non-dropping-particle":"","parse-names":false,"suffix":""},{"dropping-particle":"","family":"Riboli","given":"Elio","non-dropping-particle":"","parse-names":false,"suffix":""},{"dropping-particle":"","family":"Risch","given":"Harvey A","non-dropping-particle":"","parse-names":false,"suffix":""},{"dropping-particle":"","family":"Shu","given":"Xiao-Ou Ou","non-dropping-particle":"","parse-names":false,"suffix":""},{"dropping-particle":"","family":"Thomas","given":"Gilles","non-dropping-particle":"","parse-names":false,"suffix":""},{"dropping-particle":"","family":"Tobias","given":"Geoffrey S","non-dropping-particle":"","parse-names":false,"suffix":""},{"dropping-particle":"","family":"Trichopoulos","given":"Dimitrios","non-dropping-particle":"","parse-names":false,"suffix":""},{"dropping-particle":"","family":"Eeden","given":"Stephen K","non-dropping-particle":"Van Den","parse-names":false,"suffix":""},{"dropping-particle":"","family":"Virtamo","given":"Jarmo","non-dropping-particle":"","parse-names":false,"suffix":""},{"dropping-particle":"","family":"Wactawski-Wende","given":"Jean","non-dropping-particle":"","parse-names":false,"suffix":""},{"dropping-particle":"","family":"Wolpin","given":"Brian M","non-dropping-particle":"","parse-names":false,"suffix":""},{"dropping-particle":"","family":"Yu","given":"Herbert","non-dropping-particle":"","parse-names":false,"suffix":""},{"dropping-particle":"","family":"Yu","given":"Kai","non-dropping-particle":"","parse-names":false,"suffix":""},{"dropping-particle":"","family":"Zeleniuch-Jacquotte","given":"Anne","non-dropping-particle":"","parse-names":false,"suffix":""},{"dropping-particle":"","family":"Chanock","given":"Stephen J","non-dropping-particle":"","parse-names":false,"suffix":""},{"dropping-particle":"","family":"Hartge","given":"Patricia","non-dropping-particle":"","parse-names":false,"suffix":""},{"dropping-particle":"","family":"Hoover","given":"Robert N.","non-dropping-particle":"","parse-names":false,"suffix":""}],"container-title":"Nature Genetics","id":"ITEM-6","issue":"9","issued":{"date-parts":[["2009","9"]]},"page":"986-990","publisher":"NIH Public Access","title":"Genome-wide association study identifies variants in the ABO locus associated with susceptibility to pancreatic cancer","type":"article-journal","volume":"41"},"uris":["http://www.mendeley.com/documents/?uuid=3288651b-fbef-49fd-9fb9-5c1fb3c26552"]}],"mendeley":{"formattedCitation":"&lt;sup&gt;4, 6–8, 11, 12&lt;/sup&gt;","plainTextFormattedCitation":"4, 6–8, 11, 12","previouslyFormattedCitation":"&lt;sup&gt;4, 6–8, 11, 12&lt;/sup&gt;"},"properties":{"noteIndex":0},"schema":"https://github.com/citation-style-language/schema/raw/master/csl-citation.json"}</w:instrText>
      </w:r>
      <w:r w:rsidR="007F29A6" w:rsidRPr="0034391B">
        <w:rPr>
          <w:rFonts w:asciiTheme="minorHAnsi" w:hAnsiTheme="minorHAnsi" w:cstheme="minorHAnsi"/>
          <w:noProof/>
          <w:color w:val="000000" w:themeColor="text1"/>
          <w:lang w:val="en-GB"/>
        </w:rPr>
        <w:fldChar w:fldCharType="separate"/>
      </w:r>
      <w:r w:rsidR="008E00D1" w:rsidRPr="008E00D1">
        <w:rPr>
          <w:rFonts w:asciiTheme="minorHAnsi" w:hAnsiTheme="minorHAnsi" w:cstheme="minorHAnsi"/>
          <w:noProof/>
          <w:color w:val="000000" w:themeColor="text1"/>
          <w:vertAlign w:val="superscript"/>
        </w:rPr>
        <w:t>4, 6–8, 11, 12</w:t>
      </w:r>
      <w:r w:rsidR="007F29A6" w:rsidRPr="0034391B">
        <w:rPr>
          <w:rFonts w:asciiTheme="minorHAnsi" w:hAnsiTheme="minorHAnsi" w:cstheme="minorHAnsi"/>
          <w:noProof/>
          <w:color w:val="000000" w:themeColor="text1"/>
          <w:lang w:val="en-GB"/>
        </w:rPr>
        <w:fldChar w:fldCharType="end"/>
      </w:r>
      <w:r w:rsidR="0073321C">
        <w:rPr>
          <w:rFonts w:asciiTheme="minorHAnsi" w:hAnsiTheme="minorHAnsi" w:cstheme="minorHAnsi"/>
          <w:noProof/>
          <w:color w:val="000000" w:themeColor="text1"/>
          <w:lang w:val="en-GB"/>
        </w:rPr>
        <w:t>.</w:t>
      </w:r>
      <w:r w:rsidRPr="0034391B">
        <w:rPr>
          <w:rFonts w:asciiTheme="minorHAnsi" w:hAnsiTheme="minorHAnsi" w:cstheme="minorHAnsi"/>
          <w:color w:val="000000" w:themeColor="text1"/>
        </w:rPr>
        <w:t xml:space="preserve"> </w:t>
      </w:r>
      <w:bookmarkEnd w:id="16"/>
      <w:bookmarkEnd w:id="17"/>
      <w:bookmarkEnd w:id="18"/>
      <w:r w:rsidR="00626947" w:rsidRPr="0034391B">
        <w:rPr>
          <w:rFonts w:asciiTheme="minorHAnsi" w:hAnsiTheme="minorHAnsi" w:cstheme="minorHAnsi"/>
          <w:color w:val="000000" w:themeColor="text1"/>
          <w:lang w:val="en-GB"/>
        </w:rPr>
        <w:t xml:space="preserve">Briefly, collected samples were initially genotyped at the Cancer Genomics Research Laboratory (CGR) of the National Cancer Institute (NCI) and the Johns Hopkins Center for Inherited Disease Research (CIDR) using Illumina arrays. Supplementary Table 2 describes the characteristics of the consortia, arrays used for genotyping, and participating studies. </w:t>
      </w:r>
      <w:r w:rsidR="007424D7" w:rsidRPr="0034391B">
        <w:rPr>
          <w:rFonts w:asciiTheme="minorHAnsi" w:hAnsiTheme="minorHAnsi" w:cstheme="minorHAnsi"/>
          <w:color w:val="000000" w:themeColor="text1"/>
          <w:lang w:val="en-GB"/>
        </w:rPr>
        <w:t xml:space="preserve">We performed </w:t>
      </w:r>
      <w:r w:rsidR="007424D7">
        <w:rPr>
          <w:rFonts w:asciiTheme="minorHAnsi" w:hAnsiTheme="minorHAnsi" w:cstheme="minorHAnsi"/>
          <w:color w:val="000000" w:themeColor="text1"/>
          <w:lang w:val="en-GB"/>
        </w:rPr>
        <w:t>i</w:t>
      </w:r>
      <w:r w:rsidR="00626947" w:rsidRPr="0034391B">
        <w:rPr>
          <w:rFonts w:asciiTheme="minorHAnsi" w:hAnsiTheme="minorHAnsi" w:cstheme="minorHAnsi"/>
          <w:color w:val="000000" w:themeColor="text1"/>
          <w:lang w:val="en-GB"/>
        </w:rPr>
        <w:t xml:space="preserve">mputation using </w:t>
      </w:r>
      <w:r w:rsidR="00E847AE">
        <w:rPr>
          <w:rFonts w:asciiTheme="minorHAnsi" w:hAnsiTheme="minorHAnsi" w:cstheme="minorHAnsi"/>
          <w:color w:val="000000" w:themeColor="text1"/>
          <w:lang w:val="en-GB"/>
        </w:rPr>
        <w:t xml:space="preserve">the </w:t>
      </w:r>
      <w:r w:rsidR="00626947" w:rsidRPr="0034391B">
        <w:rPr>
          <w:rFonts w:asciiTheme="minorHAnsi" w:hAnsiTheme="minorHAnsi" w:cstheme="minorHAnsi"/>
          <w:color w:val="000000" w:themeColor="text1"/>
          <w:lang w:val="en-GB"/>
        </w:rPr>
        <w:t xml:space="preserve">Michigan Imputation Server </w:t>
      </w:r>
      <w:r w:rsidR="005F5ED1">
        <w:rPr>
          <w:rFonts w:asciiTheme="minorHAnsi" w:hAnsiTheme="minorHAnsi" w:cstheme="minorHAnsi"/>
          <w:color w:val="000000" w:themeColor="text1"/>
          <w:lang w:val="en-GB"/>
        </w:rPr>
        <w:t>(</w:t>
      </w:r>
      <w:r w:rsidR="0034391B" w:rsidRPr="008E1F85">
        <w:rPr>
          <w:rFonts w:asciiTheme="minorHAnsi" w:hAnsiTheme="minorHAnsi" w:cstheme="minorHAnsi"/>
          <w:lang w:val="en-GB"/>
        </w:rPr>
        <w:t>https://imputationserver.sph.umich.edu</w:t>
      </w:r>
      <w:r w:rsidR="005F5ED1">
        <w:rPr>
          <w:rFonts w:asciiTheme="minorHAnsi" w:hAnsiTheme="minorHAnsi" w:cstheme="minorHAnsi"/>
          <w:color w:val="000000" w:themeColor="text1"/>
          <w:lang w:val="en-GB"/>
        </w:rPr>
        <w:t>)</w:t>
      </w:r>
      <w:r w:rsidR="0034391B">
        <w:rPr>
          <w:rFonts w:asciiTheme="minorHAnsi" w:hAnsiTheme="minorHAnsi" w:cstheme="minorHAnsi"/>
          <w:color w:val="000000" w:themeColor="text1"/>
          <w:lang w:val="en-GB"/>
        </w:rPr>
        <w:t xml:space="preserve"> </w:t>
      </w:r>
      <w:r w:rsidR="000D49E4">
        <w:rPr>
          <w:rFonts w:asciiTheme="minorHAnsi" w:hAnsiTheme="minorHAnsi" w:cstheme="minorHAnsi"/>
          <w:color w:val="000000" w:themeColor="text1"/>
          <w:lang w:val="en-GB"/>
        </w:rPr>
        <w:fldChar w:fldCharType="begin" w:fldLock="1"/>
      </w:r>
      <w:r w:rsidR="008E00D1">
        <w:rPr>
          <w:rFonts w:asciiTheme="minorHAnsi" w:hAnsiTheme="minorHAnsi" w:cstheme="minorHAnsi"/>
          <w:color w:val="000000" w:themeColor="text1"/>
          <w:lang w:val="en-GB"/>
        </w:rPr>
        <w:instrText>ADDIN CSL_CITATION {"citationItems":[{"id":"ITEM-1","itemData":{"DOI":"10.1038/ng.3656","ISSN":"15461718","PMID":"27571263","abstract":"Genotype imputation is a key component of genetic association studies, where it increases power, facilitates meta-analysis, and aids interpretation of signals. Genotype imputation is computationally demanding and, with current tools, typically requires access to a high-performance computing cluster and to a reference panel of sequenced genomes. Here we describe improvements to imputation machinery that reduce computational requirements by more than an order of magnitude with no loss of accuracy in comparison to standard imputation tools. We also describe a new web-based service for imputation that facilitates access to new reference panels and greatly improves user experience and productivity.","author":[{"dropping-particle":"","family":"Das","given":"Sayantan","non-dropping-particle":"","parse-names":false,"suffix":""},{"dropping-particle":"","family":"Forer","given":"Lukas","non-dropping-particle":"","parse-names":false,"suffix":""},{"dropping-particle":"","family":"Schönherr","given":"Sebastian","non-dropping-particle":"","parse-names":false,"suffix":""},{"dropping-particle":"","family":"Sidore","given":"Carlo","non-dropping-particle":"","parse-names":false,"suffix":""},{"dropping-particle":"","family":"Locke","given":"Adam E","non-dropping-particle":"","parse-names":false,"suffix":""},{"dropping-particle":"","family":"Kwong","given":"Alan","non-dropping-particle":"","parse-names":false,"suffix":""},{"dropping-particle":"","family":"Vrieze","given":"Scott I","non-dropping-particle":"","parse-names":false,"suffix":""},{"dropping-particle":"","family":"Chew","given":"Emily Y","non-dropping-particle":"","parse-names":false,"suffix":""},{"dropping-particle":"","family":"Levy","given":"Shawn","non-dropping-particle":"","parse-names":false,"suffix":""},{"dropping-particle":"","family":"McGue","given":"Matt","non-dropping-particle":"","parse-names":false,"suffix":""},{"dropping-particle":"","family":"Schlessinger","given":"David","non-dropping-particle":"","parse-names":false,"suffix":""},{"dropping-particle":"","family":"Stambolian","given":"Dwight","non-dropping-particle":"","parse-names":false,"suffix":""},{"dropping-particle":"","family":"Loh","given":"Po Ru","non-dropping-particle":"","parse-names":false,"suffix":""},{"dropping-particle":"","family":"Iacono","given":"William G","non-dropping-particle":"","parse-names":false,"suffix":""},{"dropping-particle":"","family":"Swaroop","given":"Anand","non-dropping-particle":"","parse-names":false,"suffix":""},{"dropping-particle":"","family":"Scott","given":"Laura J","non-dropping-particle":"","parse-names":false,"suffix":""},{"dropping-particle":"","family":"Cucca","given":"Francesco","non-dropping-particle":"","parse-names":false,"suffix":""},{"dropping-particle":"","family":"Kronenberg","given":"Florian","non-dropping-particle":"","parse-names":false,"suffix":""},{"dropping-particle":"","family":"Boehnke","given":"Michael","non-dropping-particle":"","parse-names":false,"suffix":""},{"dropping-particle":"","family":"Abecasis","given":"Gonçalo R","non-dropping-particle":"","parse-names":false,"suffix":""},{"dropping-particle":"","family":"Fuchsberger","given":"Christian","non-dropping-particle":"","parse-names":false,"suffix":""}],"container-title":"Nature Genetics","id":"ITEM-1","issue":"10","issued":{"date-parts":[["2016"]]},"page":"1284-1287","title":"Next-generation genotype imputation service and methods","type":"article-journal","volume":"48"},"uris":["http://www.mendeley.com/documents/?uuid=751961a0-28fe-4c6a-8787-8c898c1a0a15"]}],"mendeley":{"formattedCitation":"&lt;sup&gt;35&lt;/sup&gt;","plainTextFormattedCitation":"35","previouslyFormattedCitation":"&lt;sup&gt;35&lt;/sup&gt;"},"properties":{"noteIndex":0},"schema":"https://github.com/citation-style-language/schema/raw/master/csl-citation.json"}</w:instrText>
      </w:r>
      <w:r w:rsidR="000D49E4">
        <w:rPr>
          <w:rFonts w:asciiTheme="minorHAnsi" w:hAnsiTheme="minorHAnsi" w:cstheme="minorHAnsi"/>
          <w:color w:val="000000" w:themeColor="text1"/>
          <w:lang w:val="en-GB"/>
        </w:rPr>
        <w:fldChar w:fldCharType="separate"/>
      </w:r>
      <w:r w:rsidR="00DE3151" w:rsidRPr="00DE3151">
        <w:rPr>
          <w:rFonts w:asciiTheme="minorHAnsi" w:hAnsiTheme="minorHAnsi" w:cstheme="minorHAnsi"/>
          <w:noProof/>
          <w:color w:val="000000" w:themeColor="text1"/>
          <w:vertAlign w:val="superscript"/>
          <w:lang w:val="en-GB"/>
        </w:rPr>
        <w:t>35</w:t>
      </w:r>
      <w:r w:rsidR="000D49E4">
        <w:rPr>
          <w:rFonts w:asciiTheme="minorHAnsi" w:hAnsiTheme="minorHAnsi" w:cstheme="minorHAnsi"/>
          <w:color w:val="000000" w:themeColor="text1"/>
          <w:lang w:val="en-GB"/>
        </w:rPr>
        <w:fldChar w:fldCharType="end"/>
      </w:r>
      <w:r w:rsidR="005F5ED1">
        <w:rPr>
          <w:rFonts w:asciiTheme="minorHAnsi" w:hAnsiTheme="minorHAnsi" w:cstheme="minorHAnsi"/>
          <w:color w:val="000000" w:themeColor="text1"/>
          <w:lang w:val="en-GB"/>
        </w:rPr>
        <w:t xml:space="preserve"> </w:t>
      </w:r>
      <w:r w:rsidR="00626947" w:rsidRPr="0034391B">
        <w:rPr>
          <w:rFonts w:asciiTheme="minorHAnsi" w:hAnsiTheme="minorHAnsi" w:cstheme="minorHAnsi"/>
          <w:color w:val="000000" w:themeColor="text1"/>
          <w:lang w:val="en-GB"/>
        </w:rPr>
        <w:t>and</w:t>
      </w:r>
      <w:r w:rsidR="00E847AE">
        <w:rPr>
          <w:rFonts w:asciiTheme="minorHAnsi" w:hAnsiTheme="minorHAnsi" w:cstheme="minorHAnsi"/>
          <w:color w:val="000000" w:themeColor="text1"/>
          <w:lang w:val="en-GB"/>
        </w:rPr>
        <w:t xml:space="preserve"> the</w:t>
      </w:r>
      <w:r w:rsidR="00626947" w:rsidRPr="0034391B">
        <w:rPr>
          <w:rFonts w:asciiTheme="minorHAnsi" w:hAnsiTheme="minorHAnsi" w:cstheme="minorHAnsi"/>
          <w:color w:val="000000" w:themeColor="text1"/>
          <w:lang w:val="en-GB"/>
        </w:rPr>
        <w:t xml:space="preserve"> Haplotype </w:t>
      </w:r>
      <w:r w:rsidR="00626947" w:rsidRPr="0034391B">
        <w:rPr>
          <w:rFonts w:asciiTheme="minorHAnsi" w:hAnsiTheme="minorHAnsi" w:cstheme="minorHAnsi"/>
          <w:color w:val="000000" w:themeColor="text1"/>
          <w:lang w:val="en-GB"/>
        </w:rPr>
        <w:lastRenderedPageBreak/>
        <w:t>Reference Consortium (HRC, Version r1.1) reference panel</w:t>
      </w:r>
      <w:r w:rsidR="00CF0F00">
        <w:rPr>
          <w:rFonts w:asciiTheme="minorHAnsi" w:hAnsiTheme="minorHAnsi" w:cstheme="minorHAnsi"/>
          <w:color w:val="000000" w:themeColor="text1"/>
          <w:lang w:val="en-GB"/>
        </w:rPr>
        <w:t xml:space="preserve"> </w:t>
      </w:r>
      <w:r w:rsidR="000D49E4">
        <w:rPr>
          <w:rFonts w:asciiTheme="minorHAnsi" w:hAnsiTheme="minorHAnsi" w:cstheme="minorHAnsi"/>
          <w:color w:val="000000" w:themeColor="text1"/>
          <w:lang w:val="en-GB"/>
        </w:rPr>
        <w:fldChar w:fldCharType="begin" w:fldLock="1"/>
      </w:r>
      <w:r w:rsidR="008E00D1">
        <w:rPr>
          <w:rFonts w:asciiTheme="minorHAnsi" w:hAnsiTheme="minorHAnsi" w:cstheme="minorHAnsi"/>
          <w:color w:val="000000" w:themeColor="text1"/>
          <w:lang w:val="en-GB"/>
        </w:rPr>
        <w:instrText>ADDIN CSL_CITATION {"citationItems":[{"id":"ITEM-1","itemData":{"DOI":"10.1038/ng.3643","ISSN":"15461718","PMID":"27548312","abstract":"We describe a reference panel of 64,976 human haplotypes at 39,235,157 SNPs constructed using whole-genome sequence data from 20 studies of predominantly European ancestry. Using this resource leads to accurate genotype imputation at minor allele frequencies as low as 0.1% and a large increase in the number of SNPs tested in association studies, and it can help to discover and refine causal loci. We describe remote server resources that allow researchers to carry out imputation and phasing consistently and efficiently.","author":[{"dropping-particle":"","family":"McCarthy","given":"Shane","non-dropping-particle":"","parse-names":false,"suffix":""},{"dropping-particle":"","family":"Das","given":"Sayantan","non-dropping-particle":"","parse-names":false,"suffix":""},{"dropping-particle":"","family":"Kretzschmar","given":"Warren","non-dropping-particle":"","parse-names":false,"suffix":""},{"dropping-particle":"","family":"Delaneau","given":"Olivier","non-dropping-particle":"","parse-names":false,"suffix":""},{"dropping-particle":"","family":"Wood","given":"Andrew R","non-dropping-particle":"","parse-names":false,"suffix":""},{"dropping-particle":"","family":"Teumer","given":"Alexander","non-dropping-particle":"","parse-names":false,"suffix":""},{"dropping-particle":"","family":"Kang","given":"Hyun Min","non-dropping-particle":"","parse-names":false,"suffix":""},{"dropping-particle":"","family":"Fuchsberger","given":"Christian","non-dropping-particle":"","parse-names":false,"suffix":""},{"dropping-particle":"","family":"Danecek","given":"Petr","non-dropping-particle":"","parse-names":false,"suffix":""},{"dropping-particle":"","family":"Sharp","given":"Kevin","non-dropping-particle":"","parse-names":false,"suffix":""},{"dropping-particle":"","family":"Luo","given":"Yang","non-dropping-particle":"","parse-names":false,"suffix":""},{"dropping-particle":"","family":"Sidore","given":"Carlo","non-dropping-particle":"","parse-names":false,"suffix":""},{"dropping-particle":"","family":"Kwong","given":"Alan","non-dropping-particle":"","parse-names":false,"suffix":""},{"dropping-particle":"","family":"Timpson","given":"Nicholas","non-dropping-particle":"","parse-names":false,"suffix":""},{"dropping-particle":"","family":"Koskinen","given":"Seppo","non-dropping-particle":"","parse-names":false,"suffix":""},{"dropping-particle":"","family":"Vrieze","given":"Scott","non-dropping-particle":"","parse-names":false,"suffix":""},{"dropping-particle":"","family":"Scott","given":"Laura J","non-dropping-particle":"","parse-names":false,"suffix":""},{"dropping-particle":"","family":"Zhang","given":"He","non-dropping-particle":"","parse-names":false,"suffix":""},{"dropping-particle":"","family":"Mahajan","given":"Anubha","non-dropping-particle":"","parse-names":false,"suffix":""},{"dropping-particle":"","family":"Veldink","given":"Jan","non-dropping-particle":"","parse-names":false,"suffix":""},{"dropping-particle":"","family":"Peters","given":"Ulrike","non-dropping-particle":"","parse-names":false,"suffix":""},{"dropping-particle":"","family":"Pato","given":"Carlos","non-dropping-particle":"","parse-names":false,"suffix":""},{"dropping-particle":"","family":"Duijn","given":"Cornelia M.","non-dropping-particle":"Van","parse-names":false,"suffix":""},{"dropping-particle":"","family":"Gillies","given":"Christopher E","non-dropping-particle":"","parse-names":false,"suffix":""},{"dropping-particle":"","family":"Gandin","given":"Ilaria","non-dropping-particle":"","parse-names":false,"suffix":""},{"dropping-particle":"","family":"Mezzavilla","given":"Massimo","non-dropping-particle":"","parse-names":false,"suffix":""},{"dropping-particle":"","family":"Gilly","given":"Arthur","non-dropping-particle":"","parse-names":false,"suffix":""},{"dropping-particle":"","family":"Cocca","given":"Massimiliano","non-dropping-particle":"","parse-names":false,"suffix":""},{"dropping-particle":"","family":"Traglia","given":"Michela","non-dropping-particle":"","parse-names":false,"suffix":""},{"dropping-particle":"","family":"Angius","given":"Andrea","non-dropping-particle":"","parse-names":false,"suffix":""},{"dropping-particle":"","family":"Barrett","given":"Jeffrey C","non-dropping-particle":"","parse-names":false,"suffix":""},{"dropping-particle":"","family":"Boomsma","given":"Dorrett","non-dropping-particle":"","parse-names":false,"suffix":""},{"dropping-particle":"","family":"Branham","given":"Kari","non-dropping-particle":"","parse-names":false,"suffix":""},{"dropping-particle":"","family":"Breen","given":"Gerome","non-dropping-particle":"","parse-names":false,"suffix":""},{"dropping-particle":"","family":"Brummett","given":"Chad M","non-dropping-particle":"","parse-names":false,"suffix":""},{"dropping-particle":"","family":"Busonero","given":"Fabio","non-dropping-particle":"","parse-names":false,"suffix":""},{"dropping-particle":"","family":"Campbell","given":"Harry","non-dropping-particle":"","parse-names":false,"suffix":""},{"dropping-particle":"","family":"Chan","given":"Andrew","non-dropping-particle":"","parse-names":false,"suffix":""},{"dropping-particle":"","family":"Chen","given":"Sai","non-dropping-particle":"","parse-names":false,"suffix":""},{"dropping-particle":"","family":"Chew","given":"Emily","non-dropping-particle":"","parse-names":false,"suffix":""},{"dropping-particle":"","family":"Collins","given":"Francis S","non-dropping-particle":"","parse-names":false,"suffix":""},{"dropping-particle":"","family":"Corbin","given":"Laura J","non-dropping-particle":"","parse-names":false,"suffix":""},{"dropping-particle":"","family":"Smith","given":"George Davey","non-dropping-particle":"","parse-names":false,"suffix":""},{"dropping-particle":"","family":"Dedoussis","given":"George","non-dropping-particle":"","parse-names":false,"suffix":""},{"dropping-particle":"","family":"Dorr","given":"Marcus","non-dropping-particle":"","parse-names":false,"suffix":""},{"dropping-particle":"","family":"Farmaki","given":"Aliki Eleni","non-dropping-particle":"","parse-names":false,"suffix":""},{"dropping-particle":"","family":"Ferrucci","given":"Luigi","non-dropping-particle":"","parse-names":false,"suffix":""},{"dropping-particle":"","family":"Forer","given":"Lukas","non-dropping-particle":"","parse-names":false,"suffix":""},{"dropping-particle":"","family":"Fraser","given":"Ross M","non-dropping-particle":"","parse-names":false,"suffix":""},{"dropping-particle":"","family":"Gabriel","given":"Stacey","non-dropping-particle":"","parse-names":false,"suffix":""},{"dropping-particle":"","family":"Levy","given":"Shawn","non-dropping-particle":"","parse-names":false,"suffix":""},{"dropping-particle":"","family":"Groop","given":"Leif","non-dropping-particle":"","parse-names":false,"suffix":""},{"dropping-particle":"","family":"Harrison","given":"Tabitha","non-dropping-particle":"","parse-names":false,"suffix":""},{"dropping-particle":"","family":"Hattersley","given":"Andrew","non-dropping-particle":"","parse-names":false,"suffix":""},{"dropping-particle":"","family":"Holmen","given":"Oddgeir L","non-dropping-particle":"","parse-names":false,"suffix":""},{"dropping-particle":"","family":"Hveem","given":"Kristian","non-dropping-particle":"","parse-names":false,"suffix":""},{"dropping-particle":"","family":"Kretzler","given":"Matthias","non-dropping-particle":"","parse-names":false,"suffix":""},{"dropping-particle":"","family":"Lee","given":"James C","non-dropping-particle":"","parse-names":false,"suffix":""},{"dropping-particle":"","family":"McGue","given":"Matt","non-dropping-particle":"","parse-names":false,"suffix":""},{"dropping-particle":"","family":"Meitinger","given":"Thomas","non-dropping-particle":"","parse-names":false,"suffix":""},{"dropping-particle":"","family":"Melzer","given":"David","non-dropping-particle":"","parse-names":false,"suffix":""},{"dropping-particle":"","family":"Min","given":"Josine L","non-dropping-particle":"","parse-names":false,"suffix":""},{"dropping-particle":"","family":"Mohlke","given":"Karen L","non-dropping-particle":"","parse-names":false,"suffix":""},{"dropping-particle":"","family":"Vincent","given":"John B","non-dropping-particle":"","parse-names":false,"suffix":""},{"dropping-particle":"","family":"Nauck","given":"Matthias","non-dropping-particle":"","parse-names":false,"suffix":""},{"dropping-particle":"","family":"Nickerson","given":"Deborah","non-dropping-particle":"","parse-names":false,"suffix":""},{"dropping-particle":"","family":"Palotie","given":"Aarno","non-dropping-particle":"","parse-names":false,"suffix":""},{"dropping-particle":"","family":"Pato","given":"Michele","non-dropping-particle":"","parse-names":false,"suffix":""},{"dropping-particle":"","family":"Pirastu","given":"Nicola","non-dropping-particle":"","parse-names":false,"suffix":""},{"dropping-particle":"","family":"McInnis","given":"Melvin","non-dropping-particle":"","parse-names":false,"suffix":""},{"dropping-particle":"","family":"Richards","given":"J Brent","non-dropping-particle":"","parse-names":false,"suffix":""},{"dropping-particle":"","family":"Sala","given":"Cinzia","non-dropping-particle":"","parse-names":false,"suffix":""},{"dropping-particle":"","family":"Salomaa","given":"Veikko","non-dropping-particle":"","parse-names":false,"suffix":""},{"dropping-particle":"","family":"Schlessinger","given":"David","non-dropping-particle":"","parse-names":false,"suffix":""},{"dropping-particle":"","family":"Schoenherr","given":"Sebastian","non-dropping-particle":"","parse-names":false,"suffix":""},{"dropping-particle":"","family":"Slagboom","given":"P Eline","non-dropping-particle":"","parse-names":false,"suffix":""},{"dropping-particle":"","family":"Small","given":"Kerrin","non-dropping-particle":"","parse-names":false,"suffix":""},{"dropping-particle":"","family":"Spector","given":"Timothy","non-dropping-particle":"","parse-names":false,"suffix":""},{"dropping-particle":"","family":"Stambolian","given":"Dwight","non-dropping-particle":"","parse-names":false,"suffix":""},{"dropping-particle":"","family":"Tuke","given":"Marcus","non-dropping-particle":"","parse-names":false,"suffix":""},{"dropping-particle":"","family":"Tuomilehto","given":"Jaakko","non-dropping-particle":"","parse-names":false,"suffix":""},{"dropping-particle":"","family":"Berg","given":"Leonard H.","non-dropping-particle":"Van Den","parse-names":false,"suffix":""},{"dropping-particle":"","family":"Rheenen","given":"Wouter","non-dropping-particle":"Van","parse-names":false,"suffix":""},{"dropping-particle":"","family":"Volker","given":"Uwe","non-dropping-particle":"","parse-names":false,"suffix":""},{"dropping-particle":"","family":"Wijmenga","given":"Cisca","non-dropping-particle":"","parse-names":false,"suffix":""},{"dropping-particle":"","family":"Toniolo","given":"Daniela","non-dropping-particle":"","parse-names":false,"suffix":""},{"dropping-particle":"","family":"Zeggini","given":"Eleftheria","non-dropping-particle":"","parse-names":false,"suffix":""},{"dropping-particle":"","family":"Gasparini","given":"Paolo","non-dropping-particle":"","parse-names":false,"suffix":""},{"dropping-particle":"","family":"Sampson","given":"Matthew G","non-dropping-particle":"","parse-names":false,"suffix":""},{"dropping-particle":"","family":"Wilson","given":"James F","non-dropping-particle":"","parse-names":false,"suffix":""},{"dropping-particle":"","family":"Frayling","given":"Timothy","non-dropping-particle":"","parse-names":false,"suffix":""},{"dropping-particle":"","family":"Bakker","given":"Paul I.W.","non-dropping-particle":"De","parse-names":false,"suffix":""},{"dropping-particle":"","family":"Swertz","given":"Morris A","non-dropping-particle":"","parse-names":false,"suffix":""},{"dropping-particle":"","family":"McCarroll","given":"Steven","non-dropping-particle":"","parse-names":false,"suffix":""},{"dropping-particle":"","family":"Kooperberg","given":"Charles","non-dropping-particle":"","parse-names":false,"suffix":""},{"dropping-particle":"","family":"Dekker","given":"Annelot","non-dropping-particle":"","parse-names":false,"suffix":""},{"dropping-particle":"","family":"Altshuler","given":"David","non-dropping-particle":"","parse-names":false,"suffix":""},{"dropping-particle":"","family":"Willer","given":"Cristen","non-dropping-particle":"","parse-names":false,"suffix":""},{"dropping-particle":"","family":"Iacono","given":"William","non-dropping-particle":"","parse-names":false,"suffix":""},{"dropping-particle":"","family":"Ripatti","given":"Samuli","non-dropping-particle":"","parse-names":false,"suffix":""},{"dropping-particle":"","family":"Soranzo","given":"Nicole","non-dropping-particle":"","parse-names":false,"suffix":""},{"dropping-particle":"","family":"Walter","given":"Klaudia","non-dropping-particle":"","parse-names":false,"suffix":""},{"dropping-particle":"","family":"Swaroop","given":"Anand","non-dropping-particle":"","parse-names":false,"suffix":""},{"dropping-particle":"","family":"Cucca","given":"Francesco","non-dropping-particle":"","parse-names":false,"suffix":""},{"dropping-particle":"","family":"Anderson","given":"Carl A","non-dropping-particle":"","parse-names":false,"suffix":""},{"dropping-particle":"","family":"Myers","given":"Richard M","non-dropping-particle":"","parse-names":false,"suffix":""},{"dropping-particle":"","family":"Boehnke","given":"Michael","non-dropping-particle":"","parse-names":false,"suffix":""},{"dropping-particle":"","family":"McCarthy","given":"Mark I","non-dropping-particle":"","parse-names":false,"suffix":""},{"dropping-particle":"","family":"Durbin","given":"Richard","non-dropping-particle":"","parse-names":false,"suffix":""},{"dropping-particle":"","family":"Abecasis","given":"Gonçalo","non-dropping-particle":"","parse-names":false,"suffix":""},{"dropping-particle":"","family":"Marchini","given":"Jonathan","non-dropping-particle":"","parse-names":false,"suffix":""}],"container-title":"Nature Genetics","id":"ITEM-1","issue":"10","issued":{"date-parts":[["2016"]]},"page":"1279-1283","publisher":"Europe PMC Funders","title":"A reference panel of 64,976 haplotypes for genotype imputation","type":"article-journal","volume":"48"},"uris":["http://www.mendeley.com/documents/?uuid=eb45692f-c0d2-395c-a441-76a7b2ec78a0"]}],"mendeley":{"formattedCitation":"&lt;sup&gt;36&lt;/sup&gt;","plainTextFormattedCitation":"36","previouslyFormattedCitation":"&lt;sup&gt;36&lt;/sup&gt;"},"properties":{"noteIndex":0},"schema":"https://github.com/citation-style-language/schema/raw/master/csl-citation.json"}</w:instrText>
      </w:r>
      <w:r w:rsidR="000D49E4">
        <w:rPr>
          <w:rFonts w:asciiTheme="minorHAnsi" w:hAnsiTheme="minorHAnsi" w:cstheme="minorHAnsi"/>
          <w:color w:val="000000" w:themeColor="text1"/>
          <w:lang w:val="en-GB"/>
        </w:rPr>
        <w:fldChar w:fldCharType="separate"/>
      </w:r>
      <w:r w:rsidR="00DE3151" w:rsidRPr="00DE3151">
        <w:rPr>
          <w:rFonts w:asciiTheme="minorHAnsi" w:hAnsiTheme="minorHAnsi" w:cstheme="minorHAnsi"/>
          <w:noProof/>
          <w:color w:val="000000" w:themeColor="text1"/>
          <w:vertAlign w:val="superscript"/>
          <w:lang w:val="en-GB"/>
        </w:rPr>
        <w:t>36</w:t>
      </w:r>
      <w:r w:rsidR="000D49E4">
        <w:rPr>
          <w:rFonts w:asciiTheme="minorHAnsi" w:hAnsiTheme="minorHAnsi" w:cstheme="minorHAnsi"/>
          <w:color w:val="000000" w:themeColor="text1"/>
          <w:lang w:val="en-GB"/>
        </w:rPr>
        <w:fldChar w:fldCharType="end"/>
      </w:r>
      <w:r w:rsidR="00626947" w:rsidRPr="0034391B">
        <w:rPr>
          <w:rFonts w:asciiTheme="minorHAnsi" w:hAnsiTheme="minorHAnsi" w:cstheme="minorHAnsi"/>
          <w:color w:val="000000" w:themeColor="text1"/>
          <w:lang w:val="en-GB"/>
        </w:rPr>
        <w:t xml:space="preserve"> for the datasets (namely PanScan I, PanScan II, PanScan III, and PanC4) separately. Prior to imputation, quality control (QC) filters included removal of individuals with gender mismatches, call rate &lt; 0.9, minimal or excessive heterozygosity (&gt; 3 standard deviations from the mean) or cryptic relatedness (PI_HAT&gt;0.2). Population structure was captured by principal component analysis (PCA) to remove non-European ancestry individuals</w:t>
      </w:r>
      <w:r w:rsidR="00D74AAD">
        <w:rPr>
          <w:rFonts w:asciiTheme="minorHAnsi" w:hAnsiTheme="minorHAnsi" w:cstheme="minorHAnsi"/>
          <w:color w:val="000000" w:themeColor="text1"/>
          <w:lang w:val="en-GB"/>
        </w:rPr>
        <w:t xml:space="preserve"> (N=439)</w:t>
      </w:r>
      <w:r w:rsidR="00626947" w:rsidRPr="0034391B">
        <w:rPr>
          <w:rFonts w:asciiTheme="minorHAnsi" w:hAnsiTheme="minorHAnsi" w:cstheme="minorHAnsi"/>
          <w:color w:val="000000" w:themeColor="text1"/>
          <w:lang w:val="en-GB"/>
        </w:rPr>
        <w:t>. SNPs with minor allele frequency (MAF) &lt; 0.005, call rate &lt; 0.9, or evidence for violations of Hardy Weinberg Equilibrium (P &lt; 1</w:t>
      </w:r>
      <w:r w:rsidR="00626947" w:rsidRPr="007424D7">
        <w:rPr>
          <w:rFonts w:asciiTheme="minorHAnsi" w:hAnsiTheme="minorHAnsi" w:cstheme="minorHAnsi"/>
          <w:color w:val="000000" w:themeColor="text1"/>
        </w:rPr>
        <w:sym w:font="Symbol" w:char="F0B4"/>
      </w:r>
      <w:r w:rsidR="00626947" w:rsidRPr="007424D7">
        <w:rPr>
          <w:rFonts w:asciiTheme="minorHAnsi" w:hAnsiTheme="minorHAnsi" w:cstheme="minorHAnsi"/>
          <w:color w:val="000000" w:themeColor="text1"/>
          <w:lang w:val="en-GB"/>
        </w:rPr>
        <w:t>10</w:t>
      </w:r>
      <w:r w:rsidR="00626947" w:rsidRPr="007424D7">
        <w:rPr>
          <w:rFonts w:asciiTheme="minorHAnsi" w:hAnsiTheme="minorHAnsi" w:cstheme="minorHAnsi"/>
          <w:color w:val="000000" w:themeColor="text1"/>
          <w:vertAlign w:val="superscript"/>
          <w:lang w:val="en-GB"/>
        </w:rPr>
        <w:t>-6</w:t>
      </w:r>
      <w:r w:rsidR="00626947" w:rsidRPr="007424D7">
        <w:rPr>
          <w:rFonts w:asciiTheme="minorHAnsi" w:hAnsiTheme="minorHAnsi" w:cstheme="minorHAnsi"/>
          <w:color w:val="000000" w:themeColor="text1"/>
          <w:lang w:val="en-GB"/>
        </w:rPr>
        <w:t>) were excluded. Post-imputation SNPs with low imputation quality (INFO score r</w:t>
      </w:r>
      <w:r w:rsidR="00626947" w:rsidRPr="007424D7">
        <w:rPr>
          <w:rFonts w:asciiTheme="minorHAnsi" w:hAnsiTheme="minorHAnsi" w:cstheme="minorHAnsi"/>
          <w:color w:val="000000" w:themeColor="text1"/>
          <w:vertAlign w:val="superscript"/>
          <w:lang w:val="en-GB"/>
        </w:rPr>
        <w:t>2</w:t>
      </w:r>
      <w:r w:rsidR="00626947" w:rsidRPr="007424D7">
        <w:rPr>
          <w:rFonts w:asciiTheme="minorHAnsi" w:hAnsiTheme="minorHAnsi" w:cstheme="minorHAnsi"/>
          <w:color w:val="000000" w:themeColor="text1"/>
          <w:lang w:val="en-GB"/>
        </w:rPr>
        <w:t xml:space="preserve"> &lt; 0.7), MAF &lt; 0.005, or call rate &lt; 0.9</w:t>
      </w:r>
      <w:r w:rsidR="007424D7">
        <w:rPr>
          <w:rFonts w:asciiTheme="minorHAnsi" w:hAnsiTheme="minorHAnsi" w:cstheme="minorHAnsi"/>
          <w:color w:val="000000" w:themeColor="text1"/>
          <w:lang w:val="en-GB"/>
        </w:rPr>
        <w:t>)</w:t>
      </w:r>
      <w:r w:rsidR="00626947" w:rsidRPr="007424D7">
        <w:rPr>
          <w:rFonts w:asciiTheme="minorHAnsi" w:hAnsiTheme="minorHAnsi" w:cstheme="minorHAnsi"/>
          <w:color w:val="000000" w:themeColor="text1"/>
          <w:lang w:val="en-GB"/>
        </w:rPr>
        <w:t xml:space="preserve"> were excluded. Then, we merged the imputed datasets and applied additional filters to exclude close relatives and SNPs with call rate &lt; 0.9. </w:t>
      </w:r>
      <w:r w:rsidR="000D49E4" w:rsidRPr="007424D7">
        <w:rPr>
          <w:rFonts w:asciiTheme="minorHAnsi" w:hAnsiTheme="minorHAnsi" w:cstheme="minorHAnsi"/>
          <w:color w:val="000000" w:themeColor="text1"/>
          <w:lang w:val="en-GB"/>
        </w:rPr>
        <w:t xml:space="preserve">A total of 7,543,430 SNPs passed QC on the autosomal genome, and 8769 cases and 7055 controls (8600 males and 7224 females) were left for further analysis. </w:t>
      </w:r>
      <w:r w:rsidR="00D949A2">
        <w:rPr>
          <w:rFonts w:asciiTheme="minorHAnsi" w:hAnsiTheme="minorHAnsi" w:cstheme="minorHAnsi"/>
          <w:color w:val="000000" w:themeColor="text1"/>
          <w:lang w:val="en-GB"/>
        </w:rPr>
        <w:t>Forty-nine</w:t>
      </w:r>
      <w:r w:rsidR="00D949A2" w:rsidRPr="00D949A2">
        <w:rPr>
          <w:rFonts w:asciiTheme="minorHAnsi" w:hAnsiTheme="minorHAnsi" w:cstheme="minorHAnsi"/>
          <w:color w:val="000000" w:themeColor="text1"/>
          <w:lang w:val="en-GB"/>
        </w:rPr>
        <w:t xml:space="preserve"> SNPs </w:t>
      </w:r>
      <w:r w:rsidR="00A9369E">
        <w:rPr>
          <w:rFonts w:asciiTheme="minorHAnsi" w:hAnsiTheme="minorHAnsi" w:cstheme="minorHAnsi"/>
          <w:color w:val="000000" w:themeColor="text1"/>
          <w:lang w:val="en-GB"/>
        </w:rPr>
        <w:t xml:space="preserve">selected as genetic instruments for MR </w:t>
      </w:r>
      <w:r w:rsidR="00D949A2" w:rsidRPr="00D949A2">
        <w:rPr>
          <w:rFonts w:asciiTheme="minorHAnsi" w:hAnsiTheme="minorHAnsi" w:cstheme="minorHAnsi"/>
          <w:color w:val="000000" w:themeColor="text1"/>
          <w:lang w:val="en-GB"/>
        </w:rPr>
        <w:t xml:space="preserve">were not present </w:t>
      </w:r>
      <w:r w:rsidR="00A9369E">
        <w:rPr>
          <w:rFonts w:asciiTheme="minorHAnsi" w:hAnsiTheme="minorHAnsi" w:cstheme="minorHAnsi"/>
          <w:color w:val="000000" w:themeColor="text1"/>
          <w:lang w:val="en-GB"/>
        </w:rPr>
        <w:t xml:space="preserve">in the final GWAS dataset </w:t>
      </w:r>
      <w:r w:rsidR="00D949A2" w:rsidRPr="00D949A2">
        <w:rPr>
          <w:rFonts w:asciiTheme="minorHAnsi" w:hAnsiTheme="minorHAnsi" w:cstheme="minorHAnsi"/>
          <w:color w:val="000000" w:themeColor="text1"/>
          <w:lang w:val="en-GB"/>
        </w:rPr>
        <w:t xml:space="preserve">and </w:t>
      </w:r>
      <w:r w:rsidR="00A9369E">
        <w:rPr>
          <w:rFonts w:asciiTheme="minorHAnsi" w:hAnsiTheme="minorHAnsi" w:cstheme="minorHAnsi"/>
          <w:color w:val="000000" w:themeColor="text1"/>
          <w:lang w:val="en-GB"/>
        </w:rPr>
        <w:t xml:space="preserve">therefore </w:t>
      </w:r>
      <w:r w:rsidR="00D949A2" w:rsidRPr="00D949A2">
        <w:rPr>
          <w:rFonts w:asciiTheme="minorHAnsi" w:hAnsiTheme="minorHAnsi" w:cstheme="minorHAnsi"/>
          <w:color w:val="000000" w:themeColor="text1"/>
          <w:lang w:val="en-GB"/>
        </w:rPr>
        <w:t>excluded</w:t>
      </w:r>
      <w:r w:rsidR="00D949A2">
        <w:rPr>
          <w:rFonts w:asciiTheme="minorHAnsi" w:hAnsiTheme="minorHAnsi" w:cstheme="minorHAnsi"/>
          <w:color w:val="000000" w:themeColor="text1"/>
          <w:lang w:val="en-GB"/>
        </w:rPr>
        <w:t>,</w:t>
      </w:r>
      <w:r w:rsidR="00D949A2" w:rsidRPr="00D949A2">
        <w:rPr>
          <w:rFonts w:asciiTheme="minorHAnsi" w:hAnsiTheme="minorHAnsi" w:cstheme="minorHAnsi"/>
          <w:color w:val="000000" w:themeColor="text1"/>
          <w:lang w:val="en-GB"/>
        </w:rPr>
        <w:t xml:space="preserve"> as no proxy variants (r</w:t>
      </w:r>
      <w:r w:rsidR="00D949A2" w:rsidRPr="009C620D">
        <w:rPr>
          <w:rFonts w:asciiTheme="minorHAnsi" w:hAnsiTheme="minorHAnsi" w:cstheme="minorHAnsi"/>
          <w:color w:val="000000" w:themeColor="text1"/>
          <w:vertAlign w:val="superscript"/>
          <w:lang w:val="en-GB"/>
        </w:rPr>
        <w:t>2</w:t>
      </w:r>
      <w:r w:rsidR="00D949A2" w:rsidRPr="00D949A2">
        <w:rPr>
          <w:rFonts w:asciiTheme="minorHAnsi" w:hAnsiTheme="minorHAnsi" w:cstheme="minorHAnsi"/>
          <w:color w:val="000000" w:themeColor="text1"/>
          <w:lang w:val="en-GB"/>
        </w:rPr>
        <w:t xml:space="preserve">&gt;0.9) were available in the pooled imputed data. Palindromic SNPs </w:t>
      </w:r>
      <w:r w:rsidR="00D949A2">
        <w:rPr>
          <w:rFonts w:asciiTheme="minorHAnsi" w:hAnsiTheme="minorHAnsi" w:cstheme="minorHAnsi"/>
          <w:color w:val="000000" w:themeColor="text1"/>
          <w:lang w:val="en-GB"/>
        </w:rPr>
        <w:t>(i.e. those where the alleles are G/C or A/T)</w:t>
      </w:r>
      <w:r w:rsidR="00D949A2" w:rsidRPr="00D949A2">
        <w:rPr>
          <w:rFonts w:asciiTheme="minorHAnsi" w:hAnsiTheme="minorHAnsi" w:cstheme="minorHAnsi"/>
          <w:color w:val="000000" w:themeColor="text1"/>
          <w:lang w:val="en-GB"/>
        </w:rPr>
        <w:t xml:space="preserve"> with minor allele frequency (MAF) above 0.42 (N=27) were excluded for further analysis.</w:t>
      </w:r>
      <w:r w:rsidR="00D949A2">
        <w:rPr>
          <w:rFonts w:asciiTheme="minorHAnsi" w:hAnsiTheme="minorHAnsi" w:cstheme="minorHAnsi"/>
          <w:color w:val="000000" w:themeColor="text1"/>
          <w:lang w:val="en-GB"/>
        </w:rPr>
        <w:t xml:space="preserve"> </w:t>
      </w:r>
      <w:r w:rsidR="00626947" w:rsidRPr="007424D7">
        <w:rPr>
          <w:rFonts w:asciiTheme="minorHAnsi" w:hAnsiTheme="minorHAnsi" w:cstheme="minorHAnsi"/>
          <w:color w:val="000000" w:themeColor="text1"/>
          <w:lang w:val="en-GB"/>
        </w:rPr>
        <w:t>Association statistics on pancreatic cancer risk were obtained adjusting for age, sex and the top 10 principal components (PCs) using PLINK version 1.9. Summarised data for the associations of the genetic variants with the risk factors and pancreatic cancer are presented in Supplementary Table 1.</w:t>
      </w:r>
    </w:p>
    <w:p w14:paraId="1881612C" w14:textId="77777777" w:rsidR="0034391B" w:rsidRPr="007424D7" w:rsidRDefault="0034391B" w:rsidP="0034391B">
      <w:pPr>
        <w:spacing w:line="480" w:lineRule="auto"/>
        <w:jc w:val="both"/>
        <w:rPr>
          <w:rFonts w:asciiTheme="minorHAnsi" w:hAnsiTheme="minorHAnsi" w:cstheme="minorHAnsi"/>
          <w:color w:val="000000" w:themeColor="text1"/>
          <w:lang w:val="en-GB"/>
        </w:rPr>
      </w:pPr>
    </w:p>
    <w:bookmarkEnd w:id="19"/>
    <w:p w14:paraId="53EE78B8" w14:textId="0DD5ED4B" w:rsidR="00342215" w:rsidRPr="004B08E4" w:rsidRDefault="00342215" w:rsidP="00086AD2">
      <w:pPr>
        <w:spacing w:line="480" w:lineRule="auto"/>
        <w:jc w:val="both"/>
        <w:rPr>
          <w:rFonts w:asciiTheme="minorHAnsi" w:hAnsiTheme="minorHAnsi" w:cstheme="minorHAnsi"/>
          <w:i/>
          <w:lang w:val="en-GB"/>
        </w:rPr>
      </w:pPr>
      <w:r w:rsidRPr="004B08E4">
        <w:rPr>
          <w:rFonts w:asciiTheme="minorHAnsi" w:hAnsiTheme="minorHAnsi" w:cstheme="minorHAnsi"/>
          <w:i/>
          <w:lang w:val="en-GB"/>
        </w:rPr>
        <w:t xml:space="preserve">Mendelian </w:t>
      </w:r>
      <w:r w:rsidR="008726A3" w:rsidRPr="004B08E4">
        <w:rPr>
          <w:rFonts w:asciiTheme="minorHAnsi" w:hAnsiTheme="minorHAnsi" w:cstheme="minorHAnsi"/>
          <w:i/>
          <w:lang w:val="en-GB"/>
        </w:rPr>
        <w:t>r</w:t>
      </w:r>
      <w:r w:rsidRPr="004B08E4">
        <w:rPr>
          <w:rFonts w:asciiTheme="minorHAnsi" w:hAnsiTheme="minorHAnsi" w:cstheme="minorHAnsi"/>
          <w:i/>
          <w:lang w:val="en-GB"/>
        </w:rPr>
        <w:t>andomization analyses</w:t>
      </w:r>
    </w:p>
    <w:p w14:paraId="2F05AC57" w14:textId="78A4E075" w:rsidR="00256D7A" w:rsidRDefault="000E3815" w:rsidP="00256D7A">
      <w:pPr>
        <w:spacing w:line="480" w:lineRule="auto"/>
        <w:ind w:firstLine="426"/>
        <w:jc w:val="both"/>
        <w:rPr>
          <w:rFonts w:asciiTheme="minorHAnsi" w:hAnsiTheme="minorHAnsi" w:cstheme="minorHAnsi"/>
          <w:lang w:val="en-GB"/>
        </w:rPr>
      </w:pPr>
      <w:bookmarkStart w:id="20" w:name="OLE_LINK18"/>
      <w:bookmarkStart w:id="21" w:name="OLE_LINK26"/>
      <w:bookmarkStart w:id="22" w:name="OLE_LINK39"/>
      <w:bookmarkStart w:id="23" w:name="OLE_LINK40"/>
      <w:r w:rsidRPr="004B08E4">
        <w:rPr>
          <w:rFonts w:asciiTheme="minorHAnsi" w:hAnsiTheme="minorHAnsi" w:cstheme="minorHAnsi"/>
          <w:lang w:val="en-GB"/>
        </w:rPr>
        <w:t xml:space="preserve">For </w:t>
      </w:r>
      <w:r w:rsidR="00342215" w:rsidRPr="004B08E4">
        <w:rPr>
          <w:rFonts w:asciiTheme="minorHAnsi" w:hAnsiTheme="minorHAnsi" w:cstheme="minorHAnsi"/>
          <w:lang w:val="en-GB"/>
        </w:rPr>
        <w:t xml:space="preserve">MR analyses </w:t>
      </w:r>
      <w:r w:rsidRPr="004B08E4">
        <w:rPr>
          <w:rFonts w:asciiTheme="minorHAnsi" w:hAnsiTheme="minorHAnsi" w:cstheme="minorHAnsi"/>
          <w:noProof/>
          <w:lang w:val="en-GB"/>
        </w:rPr>
        <w:t>we performed</w:t>
      </w:r>
      <w:r w:rsidR="00342215" w:rsidRPr="004B08E4">
        <w:rPr>
          <w:rFonts w:asciiTheme="minorHAnsi" w:hAnsiTheme="minorHAnsi" w:cstheme="minorHAnsi"/>
          <w:lang w:val="en-GB"/>
        </w:rPr>
        <w:t xml:space="preserve"> inverse-variance weighted (IVW), as well as weighted median</w:t>
      </w:r>
      <w:r w:rsidR="00B055D6" w:rsidRPr="004B08E4">
        <w:rPr>
          <w:rFonts w:asciiTheme="minorHAnsi" w:hAnsiTheme="minorHAnsi" w:cstheme="minorHAnsi"/>
          <w:lang w:val="en-GB"/>
        </w:rPr>
        <w:t xml:space="preserve"> (WME) </w:t>
      </w:r>
      <w:r w:rsidR="00342215" w:rsidRPr="004B08E4">
        <w:rPr>
          <w:rFonts w:asciiTheme="minorHAnsi" w:hAnsiTheme="minorHAnsi" w:cstheme="minorHAnsi"/>
          <w:lang w:val="en-GB"/>
        </w:rPr>
        <w:t>and MR-Egger estimation methods</w:t>
      </w:r>
      <w:r w:rsidR="00F51EA4" w:rsidRPr="004B08E4">
        <w:rPr>
          <w:rFonts w:asciiTheme="minorHAnsi" w:hAnsiTheme="minorHAnsi" w:cstheme="minorHAnsi"/>
          <w:lang w:val="en-GB"/>
        </w:rPr>
        <w:t>.</w:t>
      </w:r>
      <w:bookmarkEnd w:id="20"/>
      <w:bookmarkEnd w:id="21"/>
      <w:r w:rsidR="00342215" w:rsidRPr="004B08E4">
        <w:rPr>
          <w:rFonts w:asciiTheme="minorHAnsi" w:hAnsiTheme="minorHAnsi" w:cstheme="minorHAnsi"/>
          <w:lang w:val="en-GB"/>
        </w:rPr>
        <w:t xml:space="preserve"> </w:t>
      </w:r>
      <w:bookmarkStart w:id="24" w:name="OLE_LINK17"/>
      <w:bookmarkStart w:id="25" w:name="OLE_LINK27"/>
      <w:r w:rsidR="00B055D6" w:rsidRPr="004B08E4">
        <w:rPr>
          <w:rFonts w:asciiTheme="minorHAnsi" w:hAnsiTheme="minorHAnsi" w:cstheme="minorHAnsi"/>
          <w:lang w:val="en-GB"/>
        </w:rPr>
        <w:t xml:space="preserve">The IVW method applies a weighted linear regression of the Wald ratio estimates (SNP-outcome coefficients on SNP-exposure coefficients), </w:t>
      </w:r>
      <w:r w:rsidR="00490D70">
        <w:rPr>
          <w:rFonts w:asciiTheme="minorHAnsi" w:hAnsiTheme="minorHAnsi" w:cstheme="minorHAnsi"/>
          <w:lang w:val="en-GB"/>
        </w:rPr>
        <w:t>where</w:t>
      </w:r>
      <w:r w:rsidR="00490D70" w:rsidRPr="004B08E4">
        <w:rPr>
          <w:rFonts w:asciiTheme="minorHAnsi" w:hAnsiTheme="minorHAnsi" w:cstheme="minorHAnsi"/>
          <w:lang w:val="en-GB"/>
        </w:rPr>
        <w:t xml:space="preserve"> </w:t>
      </w:r>
      <w:r w:rsidR="00B055D6" w:rsidRPr="004B08E4">
        <w:rPr>
          <w:rFonts w:asciiTheme="minorHAnsi" w:hAnsiTheme="minorHAnsi" w:cstheme="minorHAnsi"/>
          <w:lang w:val="en-GB"/>
        </w:rPr>
        <w:t xml:space="preserve">the regression slope is a weighted average of the causal estimates. On the premise of absence of </w:t>
      </w:r>
      <w:r w:rsidR="00B055D6" w:rsidRPr="004B08E4">
        <w:rPr>
          <w:rFonts w:asciiTheme="minorHAnsi" w:hAnsiTheme="minorHAnsi" w:cstheme="minorHAnsi"/>
          <w:lang w:val="en-GB"/>
        </w:rPr>
        <w:lastRenderedPageBreak/>
        <w:t xml:space="preserve">directional pleiotropy, it provides </w:t>
      </w:r>
      <w:r w:rsidR="00490D70">
        <w:rPr>
          <w:rFonts w:asciiTheme="minorHAnsi" w:hAnsiTheme="minorHAnsi" w:cstheme="minorHAnsi"/>
          <w:lang w:val="en-GB"/>
        </w:rPr>
        <w:t>consistent</w:t>
      </w:r>
      <w:r w:rsidR="00E847AE">
        <w:rPr>
          <w:rFonts w:asciiTheme="minorHAnsi" w:hAnsiTheme="minorHAnsi" w:cstheme="minorHAnsi"/>
          <w:lang w:val="en-GB"/>
        </w:rPr>
        <w:t>ly</w:t>
      </w:r>
      <w:r w:rsidR="00B055D6" w:rsidRPr="004B08E4">
        <w:rPr>
          <w:rFonts w:asciiTheme="minorHAnsi" w:hAnsiTheme="minorHAnsi" w:cstheme="minorHAnsi"/>
          <w:lang w:val="en-GB"/>
        </w:rPr>
        <w:t xml:space="preserve"> robust causal </w:t>
      </w:r>
      <w:r w:rsidR="00490D70">
        <w:rPr>
          <w:rFonts w:asciiTheme="minorHAnsi" w:hAnsiTheme="minorHAnsi" w:cstheme="minorHAnsi"/>
          <w:lang w:val="en-GB"/>
        </w:rPr>
        <w:t xml:space="preserve">effect </w:t>
      </w:r>
      <w:r w:rsidR="00B055D6" w:rsidRPr="004B08E4">
        <w:rPr>
          <w:rFonts w:asciiTheme="minorHAnsi" w:hAnsiTheme="minorHAnsi" w:cstheme="minorHAnsi"/>
          <w:lang w:val="en-GB"/>
        </w:rPr>
        <w:t>estimates</w:t>
      </w:r>
      <w:r w:rsidR="00D949A2">
        <w:rPr>
          <w:rFonts w:asciiTheme="minorHAnsi" w:hAnsiTheme="minorHAnsi" w:cstheme="minorHAnsi"/>
          <w:lang w:val="en-GB"/>
        </w:rPr>
        <w:t>.</w:t>
      </w:r>
      <w:r w:rsidR="00B055D6" w:rsidRPr="004B08E4">
        <w:rPr>
          <w:rFonts w:asciiTheme="minorHAnsi" w:hAnsiTheme="minorHAnsi" w:cstheme="minorHAnsi"/>
          <w:lang w:val="en-GB"/>
        </w:rPr>
        <w:t xml:space="preserve"> WME takes the median of calculated causal estimates using inverse variance weights and it allows up to 50% of the instrumental variables to be invalid instruments</w:t>
      </w:r>
      <w:r w:rsidR="00D949A2">
        <w:rPr>
          <w:rFonts w:asciiTheme="minorHAnsi" w:hAnsiTheme="minorHAnsi" w:cstheme="minorHAnsi"/>
          <w:lang w:val="en-GB"/>
        </w:rPr>
        <w:t>.</w:t>
      </w:r>
      <w:r w:rsidR="00B055D6" w:rsidRPr="004B08E4">
        <w:rPr>
          <w:rFonts w:asciiTheme="minorHAnsi" w:hAnsiTheme="minorHAnsi" w:cstheme="minorHAnsi"/>
          <w:lang w:val="en-GB"/>
        </w:rPr>
        <w:t xml:space="preserve"> MR-Egger involves a linear regression with an intercept (Est) term using inverse variance weights. The </w:t>
      </w:r>
      <w:r w:rsidR="00490D70">
        <w:rPr>
          <w:rFonts w:asciiTheme="minorHAnsi" w:hAnsiTheme="minorHAnsi" w:cstheme="minorHAnsi"/>
          <w:lang w:val="en-GB"/>
        </w:rPr>
        <w:t xml:space="preserve">estimated </w:t>
      </w:r>
      <w:r w:rsidR="00B055D6" w:rsidRPr="004B08E4">
        <w:rPr>
          <w:rFonts w:asciiTheme="minorHAnsi" w:hAnsiTheme="minorHAnsi" w:cstheme="minorHAnsi"/>
          <w:lang w:val="en-GB"/>
        </w:rPr>
        <w:t xml:space="preserve">slope </w:t>
      </w:r>
      <w:r w:rsidR="00490D70" w:rsidRPr="00490D70">
        <w:rPr>
          <w:rFonts w:asciiTheme="minorHAnsi" w:hAnsiTheme="minorHAnsi" w:cstheme="minorHAnsi"/>
          <w:lang w:val="en-GB"/>
        </w:rPr>
        <w:t>from MR-Egger regression</w:t>
      </w:r>
      <w:r w:rsidR="00B055D6" w:rsidRPr="004B08E4">
        <w:rPr>
          <w:rFonts w:asciiTheme="minorHAnsi" w:hAnsiTheme="minorHAnsi" w:cstheme="minorHAnsi"/>
          <w:lang w:val="en-GB"/>
        </w:rPr>
        <w:t xml:space="preserve"> provides the causal effect estimates, and the </w:t>
      </w:r>
      <w:r w:rsidR="00490D70">
        <w:rPr>
          <w:rFonts w:asciiTheme="minorHAnsi" w:hAnsiTheme="minorHAnsi" w:cstheme="minorHAnsi"/>
          <w:lang w:val="en-GB"/>
        </w:rPr>
        <w:t xml:space="preserve">estimated </w:t>
      </w:r>
      <w:r w:rsidR="00B055D6" w:rsidRPr="004B08E4">
        <w:rPr>
          <w:rFonts w:asciiTheme="minorHAnsi" w:hAnsiTheme="minorHAnsi" w:cstheme="minorHAnsi"/>
          <w:lang w:val="en-GB"/>
        </w:rPr>
        <w:t xml:space="preserve">intercept can be interpreted as the average pleiotropic effect across all the genetic instrumental variables. </w:t>
      </w:r>
    </w:p>
    <w:p w14:paraId="6538CB68" w14:textId="78719474" w:rsidR="00256D7A" w:rsidRDefault="000A1B31" w:rsidP="00256D7A">
      <w:pPr>
        <w:spacing w:line="480" w:lineRule="auto"/>
        <w:ind w:firstLine="426"/>
        <w:jc w:val="both"/>
        <w:rPr>
          <w:rFonts w:asciiTheme="minorHAnsi" w:hAnsiTheme="minorHAnsi" w:cstheme="minorHAnsi"/>
          <w:color w:val="000000" w:themeColor="text1"/>
          <w:lang w:val="en-GB"/>
        </w:rPr>
      </w:pPr>
      <w:bookmarkStart w:id="26" w:name="_Hlk20320379"/>
      <w:bookmarkEnd w:id="22"/>
      <w:bookmarkEnd w:id="23"/>
      <w:r w:rsidRPr="004B08E4">
        <w:rPr>
          <w:rFonts w:asciiTheme="minorHAnsi" w:hAnsiTheme="minorHAnsi" w:cstheme="minorHAnsi"/>
          <w:lang w:val="en-GB"/>
        </w:rPr>
        <w:t>To test for pleiotropy, we used the intercept of the MR-Egger</w:t>
      </w:r>
      <w:r w:rsidR="00256D7A">
        <w:rPr>
          <w:rFonts w:asciiTheme="minorHAnsi" w:hAnsiTheme="minorHAnsi" w:cstheme="minorHAnsi"/>
          <w:lang w:val="en-GB"/>
        </w:rPr>
        <w:t xml:space="preserve">. </w:t>
      </w:r>
      <w:r w:rsidR="00256D7A" w:rsidRPr="00D949A2">
        <w:rPr>
          <w:rFonts w:asciiTheme="minorHAnsi" w:hAnsiTheme="minorHAnsi" w:cstheme="minorHAnsi"/>
          <w:color w:val="000000" w:themeColor="text1"/>
          <w:lang w:val="en-GB"/>
        </w:rPr>
        <w:t>To assess evidence of heterogeneity between SNPs (</w:t>
      </w:r>
      <w:r w:rsidR="00E847AE">
        <w:rPr>
          <w:rFonts w:asciiTheme="minorHAnsi" w:hAnsiTheme="minorHAnsi" w:cstheme="minorHAnsi"/>
          <w:color w:val="000000" w:themeColor="text1"/>
          <w:lang w:val="en-GB"/>
        </w:rPr>
        <w:t xml:space="preserve">a </w:t>
      </w:r>
      <w:r w:rsidR="00256D7A" w:rsidRPr="00D949A2">
        <w:rPr>
          <w:rFonts w:asciiTheme="minorHAnsi" w:hAnsiTheme="minorHAnsi" w:cstheme="minorHAnsi"/>
          <w:color w:val="000000" w:themeColor="text1"/>
          <w:lang w:val="en-GB"/>
        </w:rPr>
        <w:t>potential indication of pleiotropy and other violations of MR assumptions), we used the Q’ heterogeneity statistic</w:t>
      </w:r>
      <w:r w:rsidRPr="004B08E4">
        <w:rPr>
          <w:rFonts w:asciiTheme="minorHAnsi" w:hAnsiTheme="minorHAnsi" w:cstheme="minorHAnsi"/>
          <w:lang w:val="en-GB"/>
        </w:rPr>
        <w:t xml:space="preserve"> (R</w:t>
      </w:r>
      <w:r w:rsidR="00F26D51">
        <w:rPr>
          <w:rFonts w:asciiTheme="minorHAnsi" w:hAnsiTheme="minorHAnsi" w:cstheme="minorHAnsi"/>
          <w:lang w:val="en-GB"/>
        </w:rPr>
        <w:t>ü</w:t>
      </w:r>
      <w:r w:rsidRPr="004B08E4">
        <w:rPr>
          <w:rFonts w:asciiTheme="minorHAnsi" w:hAnsiTheme="minorHAnsi" w:cstheme="minorHAnsi"/>
          <w:lang w:val="en-GB"/>
        </w:rPr>
        <w:t>cker’s Q)</w:t>
      </w:r>
      <w:r w:rsidR="0073321C">
        <w:rPr>
          <w:rFonts w:asciiTheme="minorHAnsi" w:hAnsiTheme="minorHAnsi" w:cstheme="minorHAnsi"/>
          <w:lang w:val="en-GB"/>
        </w:rPr>
        <w:t xml:space="preserve"> </w:t>
      </w:r>
      <w:r w:rsidR="005C0F58" w:rsidRPr="004B08E4">
        <w:rPr>
          <w:rFonts w:asciiTheme="minorHAnsi" w:hAnsiTheme="minorHAnsi" w:cstheme="minorHAnsi"/>
        </w:rPr>
        <w:fldChar w:fldCharType="begin" w:fldLock="1"/>
      </w:r>
      <w:r w:rsidR="00DE3151">
        <w:rPr>
          <w:rFonts w:asciiTheme="minorHAnsi" w:hAnsiTheme="minorHAnsi" w:cstheme="minorHAnsi"/>
          <w:lang w:val="en-GB"/>
        </w:rPr>
        <w:instrText>ADDIN CSL_CITATION {"citationItems":[{"id":"ITEM-1","itemData":{"DOI":"10.1093/ije/dyw220","ISSN":"14643685","PMID":"27616674","abstract":"BACKGROUND MR-Egger regression has recently been proposed as a method for Mendelian randomization (MR) analyses incorporating summary data estimates of causal effect from multiple individual variants, which is robust to invalid instruments. It can be used to test for directional pleiotropy and provides an estimate of the causal effect adjusted for its presence. MR-Egger regression provides a useful additional sensitivity analysis to the standard inverse variance weighted (IVW) approach that assumes all variants are valid instruments. Both methods use weights that consider the single nucleotide polymorphism (SNP)-exposure associations to be known, rather than estimated. We call this the `NO Measurement Error' (NOME) assumption. Causal effect estimates from the IVW approach exhibit weak instrument bias whenever the genetic variants utilized violate the NOME assumption, which can be reliably measured using the F-statistic. The effect of NOME violation on MR-Egger regression has yet to be studied. METHODS An adaptation of the [Formula: see text] statistic from the field of meta-analysis is proposed to quantify the strength of NOME violation for MR-Egger. It lies between 0 and 1, and indicates the expected relative bias (or dilution) of the MR-Egger causal estimate in the two-sample MR context. We call it [Formula: see text] The method of simulation extrapolation is also explored to counteract the dilution. Their joint utility is evaluated using simulated data and applied to a real MR example. RESULTS In simulated two-sample MR analyses we show that, when a causal effect exists, the MR-Egger estimate of causal effect is biased towards the null when NOME is violated, and the stronger the violation (as indicated by lower values of [Formula: see text]), the stronger the dilution. When additionally all genetic variants are valid instruments, the type I error rate of the MR-Egger test for pleiotropy is inflated and the causal effect underestimated. Simulation extrapolation is shown to substantially mitigate these adverse effects. We demonstrate our proposed approach for a two-sample summary data MR analysis to estimate the causal effect of low-density lipoprotein on heart disease risk. A high value of [Formula: see text] close to 1 indicates that dilution does not materially affect the standard MR-Egger analyses for these data. CONCLUSIONS Care must be taken to assess the NOME assumption via the [Formula: see text] statistic before implementing standard MR-Egger …","author":[{"dropping-particle":"","family":"Bowden","given":"Jack","non-dropping-particle":"","parse-names":false,"suffix":""},{"dropping-particle":"","family":"Fabiola Del Greco","given":"M.","non-dropping-particle":"","parse-names":false,"suffix":""},{"dropping-particle":"","family":"Minelli","given":"Cosetta","non-dropping-particle":"","parse-names":false,"suffix":""},{"dropping-particle":"","family":"Smith","given":"George Davey","non-dropping-particle":"","parse-names":false,"suffix":""},{"dropping-particle":"","family":"Sheehan","given":"Nuala A.","non-dropping-particle":"","parse-names":false,"suffix":""},{"dropping-particle":"","family":"Thompson","given":"John R.","non-dropping-particle":"","parse-names":false,"suffix":""}],"container-title":"International Journal of Epidemiology","id":"ITEM-1","issue":"6","issued":{"date-parts":[["2016"]]},"page":"1961-1974","title":"Assessing the suitability of summary data for two-sample mendelian randomization analyses using MR-Egger regression: The role of the I2statistic","type":"article-journal","volume":"45"},"uris":["http://www.mendeley.com/documents/?uuid=f07dc6aa-cd35-44b7-9059-442a0198ae2a","http://www.mendeley.com/documents/?uuid=723cf310-7599-46e4-9f86-d50cada459e0"]}],"mendeley":{"formattedCitation":"&lt;sup&gt;37&lt;/sup&gt;","plainTextFormattedCitation":"37","previouslyFormattedCitation":"&lt;sup&gt;37&lt;/sup&gt;"},"properties":{"noteIndex":0},"schema":"https://github.com/citation-style-language/schema/raw/master/csl-citation.json"}</w:instrText>
      </w:r>
      <w:r w:rsidR="005C0F58" w:rsidRPr="004B08E4">
        <w:rPr>
          <w:rFonts w:asciiTheme="minorHAnsi" w:hAnsiTheme="minorHAnsi" w:cstheme="minorHAnsi"/>
        </w:rPr>
        <w:fldChar w:fldCharType="separate"/>
      </w:r>
      <w:r w:rsidR="00DE3151" w:rsidRPr="00DE3151">
        <w:rPr>
          <w:rFonts w:asciiTheme="minorHAnsi" w:hAnsiTheme="minorHAnsi" w:cstheme="minorHAnsi"/>
          <w:noProof/>
          <w:vertAlign w:val="superscript"/>
          <w:lang w:val="en-GB"/>
        </w:rPr>
        <w:t>37</w:t>
      </w:r>
      <w:r w:rsidR="005C0F58" w:rsidRPr="004B08E4">
        <w:rPr>
          <w:rFonts w:asciiTheme="minorHAnsi" w:hAnsiTheme="minorHAnsi" w:cstheme="minorHAnsi"/>
        </w:rPr>
        <w:fldChar w:fldCharType="end"/>
      </w:r>
      <w:bookmarkEnd w:id="26"/>
      <w:r w:rsidR="0073321C">
        <w:rPr>
          <w:rFonts w:asciiTheme="minorHAnsi" w:hAnsiTheme="minorHAnsi" w:cstheme="minorHAnsi"/>
        </w:rPr>
        <w:t>.</w:t>
      </w:r>
      <w:r w:rsidR="00256D7A" w:rsidRPr="00D949A2" w:rsidDel="00D949A2">
        <w:rPr>
          <w:rFonts w:asciiTheme="minorHAnsi" w:hAnsiTheme="minorHAnsi" w:cstheme="minorHAnsi"/>
          <w:color w:val="000000" w:themeColor="text1"/>
          <w:lang w:val="en-GB"/>
        </w:rPr>
        <w:t xml:space="preserve"> </w:t>
      </w:r>
      <w:r w:rsidR="00626947" w:rsidRPr="00D949A2">
        <w:rPr>
          <w:rFonts w:asciiTheme="minorHAnsi" w:hAnsiTheme="minorHAnsi" w:cstheme="minorHAnsi"/>
          <w:color w:val="000000" w:themeColor="text1"/>
          <w:lang w:val="en-GB"/>
        </w:rPr>
        <w:t>Radial</w:t>
      </w:r>
      <w:r w:rsidR="00BA3FB5">
        <w:rPr>
          <w:rFonts w:asciiTheme="minorHAnsi" w:hAnsiTheme="minorHAnsi" w:cstheme="minorHAnsi"/>
          <w:color w:val="000000" w:themeColor="text1"/>
          <w:lang w:val="en-GB"/>
        </w:rPr>
        <w:t xml:space="preserve"> </w:t>
      </w:r>
      <w:r w:rsidR="00626947" w:rsidRPr="00D949A2">
        <w:rPr>
          <w:rFonts w:asciiTheme="minorHAnsi" w:hAnsiTheme="minorHAnsi" w:cstheme="minorHAnsi"/>
          <w:color w:val="000000" w:themeColor="text1"/>
          <w:lang w:val="en-GB"/>
        </w:rPr>
        <w:t>MR</w:t>
      </w:r>
      <w:r w:rsidR="004536C6">
        <w:rPr>
          <w:rFonts w:asciiTheme="minorHAnsi" w:hAnsiTheme="minorHAnsi" w:cstheme="minorHAnsi"/>
          <w:color w:val="000000" w:themeColor="text1"/>
          <w:lang w:val="en-GB"/>
        </w:rPr>
        <w:t xml:space="preserve"> </w:t>
      </w:r>
      <w:r w:rsidR="000D49E4">
        <w:rPr>
          <w:rFonts w:asciiTheme="minorHAnsi" w:hAnsiTheme="minorHAnsi" w:cstheme="minorHAnsi"/>
          <w:color w:val="000000" w:themeColor="text1"/>
          <w:lang w:val="en-GB"/>
        </w:rPr>
        <w:fldChar w:fldCharType="begin" w:fldLock="1"/>
      </w:r>
      <w:r w:rsidR="008E00D1">
        <w:rPr>
          <w:rFonts w:asciiTheme="minorHAnsi" w:hAnsiTheme="minorHAnsi" w:cstheme="minorHAnsi"/>
          <w:color w:val="000000" w:themeColor="text1"/>
          <w:lang w:val="en-GB"/>
        </w:rPr>
        <w:instrText>ADDIN CSL_CITATION {"citationItems":[{"id":"ITEM-1","itemData":{"DOI":"10.1093/ije/dyy101","PMID":"29961852","abstract":"Background data furnishing a two-sample Mendelian randomization (MR) study are often visualized with the aid of a scatter plot, in which single-nucleotide polymorphism (SNP)-outcome associations are plotted against the SNP-exposure associations to provide an immediate picture of the causal-effect estimate for each individual variant. It is also convenient to overlay the standard inverse-variance weighted (IVW) estimate of causal effect as a fitted slope, to see whether an individual SNP provides evidence that supports, or conflicts with, the overall consensus. Unfortunately, the traditional scatter plot is not the most appropriate means to achieve this aim whenever SNP-outcome associations are estimated with varying degrees of precision and this is reflected in the analysis. Methods We propose instead to use a small modification of the scatter plot-the Galbraith Radial plot-for the presentation of data and results from an MR study, which enjoys many advantages over the original method. On a practical level, it removes the need to recode the genetic data and enables a more straightforward detection of outliers and influential data points. Its use extends beyond the purely aesthetic, however, to suggest a more general modelling framework to operate within when conducting an MR study, including a new form of MR-Egger regression. Results We illustrate the methods using data from a two-sample MR study to probe the causal effect of systolic blood pressure on coronary heart disease risk, allowing for the possible effects of pleiotropy. The Radial plot is shown to aid the detection of a single outlying variant that is responsible for large differences between IVW and MR-Egger regression estimates. Several additional plots are also proposed for informative data visualization. Conclusions The Radial plot should be considered in place of the scatter plot for visualizing, analysing and interpreting data from a two-sample summary data MR study. Software is provided to help facilitate its use.","author":[{"dropping-particle":"","family":"Bowden","given":"Jack","non-dropping-particle":"","parse-names":false,"suffix":""},{"dropping-particle":"","family":"Spiller","given":"Wesley","non-dropping-particle":"","parse-names":false,"suffix":""},{"dropping-particle":"","family":"Greco M","given":"Fabiola","non-dropping-particle":"Del","parse-names":false,"suffix":""},{"dropping-particle":"","family":"Sheehan","given":"Nuala","non-dropping-particle":"","parse-names":false,"suffix":""},{"dropping-particle":"","family":"Thompson","given":"John","non-dropping-particle":"","parse-names":false,"suffix":""},{"dropping-particle":"","family":"Minelli","given":"Cosetta","non-dropping-particle":"","parse-names":false,"suffix":""},{"dropping-particle":"","family":"Davey Smith","given":"George","non-dropping-particle":"","parse-names":false,"suffix":""},{"dropping-particle":"","family":"Greco","given":"Fabiola M.","non-dropping-particle":"Del","parse-names":false,"suffix":""},{"dropping-particle":"","family":"Sheehan","given":"Nuala","non-dropping-particle":"","parse-names":false,"suffix":""},{"dropping-particle":"","family":"Thompson","given":"John","non-dropping-particle":"","parse-names":false,"suffix":""},{"dropping-particle":"","family":"Minelli","given":"Cosetta","non-dropping-particle":"","parse-names":false,"suffix":""},{"dropping-particle":"","family":"Smith","given":"George Davey","non-dropping-particle":"","parse-names":false,"suffix":""},{"dropping-particle":"","family":"Greco M","given":"Fabiola","non-dropping-particle":"Del","parse-names":false,"suffix":""},{"dropping-particle":"","family":"Sheehan","given":"Nuala","non-dropping-particle":"","parse-names":false,"suffix":""},{"dropping-particle":"","family":"Thompson","given":"John","non-dropping-particle":"","parse-names":false,"suffix":""},{"dropping-particle":"","family":"Minelli","given":"Cosetta","non-dropping-particle":"","parse-names":false,"suffix":""},{"dropping-particle":"","family":"Davey Smith","given":"George","non-dropping-particle":"","parse-names":false,"suffix":""}],"container-title":"International Journal of Epidemiology","id":"ITEM-1","issue":"4","issued":{"date-parts":[["2018","8","1"]]},"page":"1264-1278","publisher":"Narnia","title":"Improving the visualization, interpretation and analysis of two-sample summary data Mendelian randomization via the Radial plot and Radial regression","type":"article-journal","volume":"47"},"uris":["http://www.mendeley.com/documents/?uuid=ba1f0917-9082-47f1-9d61-20cf0a4d06f8"]}],"mendeley":{"formattedCitation":"&lt;sup&gt;38&lt;/sup&gt;","plainTextFormattedCitation":"38","previouslyFormattedCitation":"&lt;sup&gt;38&lt;/sup&gt;"},"properties":{"noteIndex":0},"schema":"https://github.com/citation-style-language/schema/raw/master/csl-citation.json"}</w:instrText>
      </w:r>
      <w:r w:rsidR="000D49E4">
        <w:rPr>
          <w:rFonts w:asciiTheme="minorHAnsi" w:hAnsiTheme="minorHAnsi" w:cstheme="minorHAnsi"/>
          <w:color w:val="000000" w:themeColor="text1"/>
          <w:lang w:val="en-GB"/>
        </w:rPr>
        <w:fldChar w:fldCharType="separate"/>
      </w:r>
      <w:r w:rsidR="00BC3F9F" w:rsidRPr="00BC3F9F">
        <w:rPr>
          <w:rFonts w:asciiTheme="minorHAnsi" w:hAnsiTheme="minorHAnsi" w:cstheme="minorHAnsi"/>
          <w:noProof/>
          <w:color w:val="000000" w:themeColor="text1"/>
          <w:vertAlign w:val="superscript"/>
          <w:lang w:val="en-GB"/>
        </w:rPr>
        <w:t>38</w:t>
      </w:r>
      <w:r w:rsidR="000D49E4">
        <w:rPr>
          <w:rFonts w:asciiTheme="minorHAnsi" w:hAnsiTheme="minorHAnsi" w:cstheme="minorHAnsi"/>
          <w:color w:val="000000" w:themeColor="text1"/>
          <w:lang w:val="en-GB"/>
        </w:rPr>
        <w:fldChar w:fldCharType="end"/>
      </w:r>
      <w:r w:rsidR="00626947" w:rsidRPr="00D949A2">
        <w:rPr>
          <w:rFonts w:asciiTheme="minorHAnsi" w:hAnsiTheme="minorHAnsi" w:cstheme="minorHAnsi"/>
          <w:color w:val="000000" w:themeColor="text1"/>
          <w:lang w:val="en-GB"/>
        </w:rPr>
        <w:t xml:space="preserve"> was implemented</w:t>
      </w:r>
      <w:r w:rsidR="00132558">
        <w:rPr>
          <w:rFonts w:asciiTheme="minorHAnsi" w:hAnsiTheme="minorHAnsi" w:cstheme="minorHAnsi"/>
          <w:color w:val="000000" w:themeColor="text1"/>
          <w:lang w:val="en-GB"/>
        </w:rPr>
        <w:t xml:space="preserve"> </w:t>
      </w:r>
      <w:r w:rsidR="00876474">
        <w:rPr>
          <w:rFonts w:asciiTheme="minorHAnsi" w:hAnsiTheme="minorHAnsi" w:cstheme="minorHAnsi"/>
          <w:color w:val="000000" w:themeColor="text1"/>
          <w:lang w:val="en-GB"/>
        </w:rPr>
        <w:t xml:space="preserve">as </w:t>
      </w:r>
      <w:r w:rsidR="008E1F85">
        <w:rPr>
          <w:rFonts w:asciiTheme="minorHAnsi" w:hAnsiTheme="minorHAnsi" w:cstheme="minorHAnsi"/>
          <w:color w:val="000000" w:themeColor="text1"/>
          <w:lang w:val="en-GB"/>
        </w:rPr>
        <w:t xml:space="preserve">a method for </w:t>
      </w:r>
      <w:r w:rsidR="00876474">
        <w:rPr>
          <w:rFonts w:asciiTheme="minorHAnsi" w:hAnsiTheme="minorHAnsi" w:cstheme="minorHAnsi"/>
          <w:color w:val="000000" w:themeColor="text1"/>
          <w:lang w:val="en-GB"/>
        </w:rPr>
        <w:t>sensitivity analys</w:t>
      </w:r>
      <w:r w:rsidR="008E1F85">
        <w:rPr>
          <w:rFonts w:asciiTheme="minorHAnsi" w:hAnsiTheme="minorHAnsi" w:cstheme="minorHAnsi"/>
          <w:color w:val="000000" w:themeColor="text1"/>
          <w:lang w:val="en-GB"/>
        </w:rPr>
        <w:t>i</w:t>
      </w:r>
      <w:r w:rsidR="00876474">
        <w:rPr>
          <w:rFonts w:asciiTheme="minorHAnsi" w:hAnsiTheme="minorHAnsi" w:cstheme="minorHAnsi"/>
          <w:color w:val="000000" w:themeColor="text1"/>
          <w:lang w:val="en-GB"/>
        </w:rPr>
        <w:t xml:space="preserve">s as well, </w:t>
      </w:r>
      <w:r w:rsidR="00626947" w:rsidRPr="00D949A2">
        <w:rPr>
          <w:rFonts w:asciiTheme="minorHAnsi" w:hAnsiTheme="minorHAnsi" w:cstheme="minorHAnsi"/>
          <w:color w:val="000000" w:themeColor="text1"/>
          <w:lang w:val="en-GB"/>
        </w:rPr>
        <w:t>to identify outlier</w:t>
      </w:r>
      <w:r w:rsidR="00BA3FB5">
        <w:rPr>
          <w:rFonts w:asciiTheme="minorHAnsi" w:hAnsiTheme="minorHAnsi" w:cstheme="minorHAnsi"/>
          <w:color w:val="000000" w:themeColor="text1"/>
          <w:lang w:val="en-GB"/>
        </w:rPr>
        <w:t xml:space="preserve"> SNP</w:t>
      </w:r>
      <w:r w:rsidR="00626947" w:rsidRPr="00D949A2">
        <w:rPr>
          <w:rFonts w:asciiTheme="minorHAnsi" w:hAnsiTheme="minorHAnsi" w:cstheme="minorHAnsi"/>
          <w:color w:val="000000" w:themeColor="text1"/>
          <w:lang w:val="en-GB"/>
        </w:rPr>
        <w:t xml:space="preserve">s if signiﬁcant at </w:t>
      </w:r>
      <w:r w:rsidR="00626947" w:rsidRPr="003B6DAC">
        <w:rPr>
          <w:rFonts w:asciiTheme="minorHAnsi" w:hAnsiTheme="minorHAnsi" w:cstheme="minorHAnsi"/>
          <w:i/>
          <w:color w:val="000000" w:themeColor="text1"/>
          <w:lang w:val="en-GB"/>
        </w:rPr>
        <w:t>P</w:t>
      </w:r>
      <w:r w:rsidR="00626947" w:rsidRPr="00D949A2">
        <w:rPr>
          <w:rFonts w:asciiTheme="minorHAnsi" w:hAnsiTheme="minorHAnsi" w:cstheme="minorHAnsi"/>
          <w:color w:val="000000" w:themeColor="text1"/>
          <w:lang w:val="en-GB"/>
        </w:rPr>
        <w:t xml:space="preserve"> &lt; 0.05. Then we re-performed the MR estimates and heterogeneity analyses following the removal of the </w:t>
      </w:r>
      <w:r w:rsidR="001511F1" w:rsidRPr="00D949A2">
        <w:rPr>
          <w:rFonts w:asciiTheme="minorHAnsi" w:hAnsiTheme="minorHAnsi" w:cstheme="minorHAnsi"/>
          <w:color w:val="000000" w:themeColor="text1"/>
          <w:lang w:val="en-GB"/>
        </w:rPr>
        <w:t>outliers.</w:t>
      </w:r>
      <w:r w:rsidR="001511F1">
        <w:rPr>
          <w:rFonts w:asciiTheme="minorHAnsi" w:hAnsiTheme="minorHAnsi" w:cstheme="minorHAnsi"/>
          <w:noProof/>
          <w:lang w:val="en-GB"/>
        </w:rPr>
        <w:t xml:space="preserve"> This</w:t>
      </w:r>
      <w:r w:rsidR="001511F1" w:rsidRPr="004B08E4">
        <w:rPr>
          <w:rFonts w:asciiTheme="minorHAnsi" w:hAnsiTheme="minorHAnsi" w:cstheme="minorHAnsi"/>
          <w:noProof/>
          <w:lang w:val="en-GB"/>
        </w:rPr>
        <w:t xml:space="preserve"> result</w:t>
      </w:r>
      <w:r w:rsidR="001511F1">
        <w:rPr>
          <w:rFonts w:asciiTheme="minorHAnsi" w:hAnsiTheme="minorHAnsi" w:cstheme="minorHAnsi"/>
          <w:noProof/>
          <w:lang w:val="en-GB"/>
        </w:rPr>
        <w:t>ed</w:t>
      </w:r>
      <w:r w:rsidR="001511F1" w:rsidRPr="004B08E4">
        <w:rPr>
          <w:rFonts w:asciiTheme="minorHAnsi" w:hAnsiTheme="minorHAnsi" w:cstheme="minorHAnsi"/>
          <w:noProof/>
          <w:lang w:val="en-GB"/>
        </w:rPr>
        <w:t xml:space="preserve"> in a list of 135</w:t>
      </w:r>
      <w:r w:rsidR="001511F1">
        <w:rPr>
          <w:rFonts w:asciiTheme="minorHAnsi" w:hAnsiTheme="minorHAnsi" w:cstheme="minorHAnsi"/>
          <w:noProof/>
          <w:lang w:val="en-GB"/>
        </w:rPr>
        <w:t>9</w:t>
      </w:r>
      <w:r w:rsidR="001511F1" w:rsidRPr="004B08E4">
        <w:rPr>
          <w:rFonts w:asciiTheme="minorHAnsi" w:hAnsiTheme="minorHAnsi" w:cstheme="minorHAnsi"/>
          <w:noProof/>
          <w:lang w:val="en-GB"/>
        </w:rPr>
        <w:t xml:space="preserve"> </w:t>
      </w:r>
      <w:r w:rsidR="001511F1">
        <w:rPr>
          <w:rFonts w:asciiTheme="minorHAnsi" w:hAnsiTheme="minorHAnsi" w:cstheme="minorHAnsi"/>
          <w:noProof/>
          <w:lang w:val="en-GB"/>
        </w:rPr>
        <w:t xml:space="preserve">SNPs for the comprehensive analysis </w:t>
      </w:r>
      <w:r w:rsidR="001511F1" w:rsidRPr="004B08E4">
        <w:rPr>
          <w:rFonts w:asciiTheme="minorHAnsi" w:hAnsiTheme="minorHAnsi" w:cstheme="minorHAnsi"/>
          <w:noProof/>
          <w:lang w:val="en-GB"/>
        </w:rPr>
        <w:t xml:space="preserve">and </w:t>
      </w:r>
      <w:r w:rsidR="000F7607">
        <w:rPr>
          <w:rFonts w:asciiTheme="minorHAnsi" w:hAnsiTheme="minorHAnsi" w:cstheme="minorHAnsi"/>
          <w:noProof/>
          <w:lang w:val="en-GB"/>
        </w:rPr>
        <w:t>1152</w:t>
      </w:r>
      <w:r w:rsidR="001511F1" w:rsidRPr="004B08E4">
        <w:rPr>
          <w:rFonts w:asciiTheme="minorHAnsi" w:hAnsiTheme="minorHAnsi" w:cstheme="minorHAnsi"/>
          <w:noProof/>
          <w:lang w:val="en-GB"/>
        </w:rPr>
        <w:t xml:space="preserve"> SNPs </w:t>
      </w:r>
      <w:r w:rsidR="001511F1">
        <w:rPr>
          <w:rFonts w:asciiTheme="minorHAnsi" w:hAnsiTheme="minorHAnsi" w:cstheme="minorHAnsi"/>
          <w:noProof/>
          <w:lang w:val="en-GB"/>
        </w:rPr>
        <w:t>for the restrictive.</w:t>
      </w:r>
      <w:r w:rsidR="000D49E4">
        <w:rPr>
          <w:rFonts w:asciiTheme="minorHAnsi" w:hAnsiTheme="minorHAnsi" w:cstheme="minorHAnsi"/>
          <w:noProof/>
          <w:lang w:val="en-GB"/>
        </w:rPr>
        <w:t xml:space="preserve"> </w:t>
      </w:r>
      <w:r w:rsidR="00256D7A" w:rsidRPr="004B08E4">
        <w:rPr>
          <w:rFonts w:asciiTheme="minorHAnsi" w:hAnsiTheme="minorHAnsi" w:cstheme="minorHAnsi"/>
          <w:lang w:val="en-GB"/>
        </w:rPr>
        <w:t>We included in the analyses 1</w:t>
      </w:r>
      <w:r w:rsidR="00256D7A">
        <w:rPr>
          <w:rFonts w:asciiTheme="minorHAnsi" w:hAnsiTheme="minorHAnsi" w:cstheme="minorHAnsi"/>
          <w:lang w:val="en-GB"/>
        </w:rPr>
        <w:t>6</w:t>
      </w:r>
      <w:r w:rsidR="00256D7A" w:rsidRPr="004B08E4">
        <w:rPr>
          <w:rFonts w:asciiTheme="minorHAnsi" w:hAnsiTheme="minorHAnsi" w:cstheme="minorHAnsi"/>
          <w:lang w:val="en-GB"/>
        </w:rPr>
        <w:t xml:space="preserve"> PDAC risk factors and </w:t>
      </w:r>
      <w:r w:rsidR="00E847AE">
        <w:rPr>
          <w:rFonts w:asciiTheme="minorHAnsi" w:hAnsiTheme="minorHAnsi" w:cstheme="minorHAnsi"/>
          <w:lang w:val="en-GB"/>
        </w:rPr>
        <w:t xml:space="preserve">therefore, </w:t>
      </w:r>
      <w:r w:rsidR="00256D7A" w:rsidRPr="004B08E4">
        <w:rPr>
          <w:rFonts w:asciiTheme="minorHAnsi" w:hAnsiTheme="minorHAnsi" w:cstheme="minorHAnsi"/>
          <w:lang w:val="en-GB"/>
        </w:rPr>
        <w:t xml:space="preserve">taking </w:t>
      </w:r>
      <w:r w:rsidR="00E847AE">
        <w:rPr>
          <w:rFonts w:asciiTheme="minorHAnsi" w:hAnsiTheme="minorHAnsi" w:cstheme="minorHAnsi"/>
          <w:lang w:val="en-GB"/>
        </w:rPr>
        <w:t xml:space="preserve">into </w:t>
      </w:r>
      <w:r w:rsidR="00256D7A" w:rsidRPr="004B08E4">
        <w:rPr>
          <w:rFonts w:asciiTheme="minorHAnsi" w:hAnsiTheme="minorHAnsi" w:cstheme="minorHAnsi"/>
          <w:lang w:val="en-GB"/>
        </w:rPr>
        <w:t>account multiple testing</w:t>
      </w:r>
      <w:r w:rsidR="00E847AE">
        <w:rPr>
          <w:rFonts w:asciiTheme="minorHAnsi" w:hAnsiTheme="minorHAnsi" w:cstheme="minorHAnsi"/>
          <w:lang w:val="en-GB"/>
        </w:rPr>
        <w:t>,</w:t>
      </w:r>
      <w:r w:rsidR="00256D7A" w:rsidRPr="004B08E4">
        <w:rPr>
          <w:rFonts w:asciiTheme="minorHAnsi" w:hAnsiTheme="minorHAnsi" w:cstheme="minorHAnsi"/>
          <w:lang w:val="en-GB"/>
        </w:rPr>
        <w:t xml:space="preserve"> a Bonferroni corrected significance level </w:t>
      </w:r>
      <w:r w:rsidR="00256D7A" w:rsidRPr="004B08E4">
        <w:rPr>
          <w:rFonts w:asciiTheme="minorHAnsi" w:hAnsiTheme="minorHAnsi" w:cstheme="minorHAnsi"/>
          <w:i/>
          <w:lang w:val="en-GB"/>
        </w:rPr>
        <w:t>P</w:t>
      </w:r>
      <w:r w:rsidR="00256D7A" w:rsidRPr="004B08E4">
        <w:rPr>
          <w:rFonts w:asciiTheme="minorHAnsi" w:hAnsiTheme="minorHAnsi" w:cstheme="minorHAnsi"/>
          <w:lang w:val="en-GB"/>
        </w:rPr>
        <w:t>&lt;0.003 (0.05 divided by 1</w:t>
      </w:r>
      <w:r w:rsidR="00256D7A">
        <w:rPr>
          <w:rFonts w:asciiTheme="minorHAnsi" w:hAnsiTheme="minorHAnsi" w:cstheme="minorHAnsi"/>
          <w:lang w:val="en-GB"/>
        </w:rPr>
        <w:t>6</w:t>
      </w:r>
      <w:r w:rsidR="00256D7A" w:rsidRPr="004B08E4">
        <w:rPr>
          <w:rFonts w:asciiTheme="minorHAnsi" w:hAnsiTheme="minorHAnsi" w:cstheme="minorHAnsi"/>
          <w:lang w:val="en-GB"/>
        </w:rPr>
        <w:t>) was applied.</w:t>
      </w:r>
      <w:r w:rsidR="00626947" w:rsidRPr="00D949A2">
        <w:rPr>
          <w:rFonts w:asciiTheme="minorHAnsi" w:hAnsiTheme="minorHAnsi" w:cstheme="minorHAnsi"/>
          <w:color w:val="000000" w:themeColor="text1"/>
          <w:lang w:val="en-GB"/>
        </w:rPr>
        <w:t xml:space="preserve"> We considered IVW </w:t>
      </w:r>
      <w:r w:rsidR="00085AE2">
        <w:rPr>
          <w:rFonts w:asciiTheme="minorHAnsi" w:hAnsiTheme="minorHAnsi" w:cstheme="minorHAnsi"/>
          <w:color w:val="000000" w:themeColor="text1"/>
          <w:lang w:val="en-GB"/>
        </w:rPr>
        <w:t xml:space="preserve">estimates </w:t>
      </w:r>
      <w:r w:rsidR="00626947" w:rsidRPr="00D949A2">
        <w:rPr>
          <w:rFonts w:asciiTheme="minorHAnsi" w:hAnsiTheme="minorHAnsi" w:cstheme="minorHAnsi"/>
          <w:color w:val="000000" w:themeColor="text1"/>
          <w:lang w:val="en-GB"/>
        </w:rPr>
        <w:t xml:space="preserve">as causal </w:t>
      </w:r>
      <w:r w:rsidR="00085AE2">
        <w:rPr>
          <w:rFonts w:asciiTheme="minorHAnsi" w:hAnsiTheme="minorHAnsi" w:cstheme="minorHAnsi"/>
          <w:color w:val="000000" w:themeColor="text1"/>
          <w:lang w:val="en-GB"/>
        </w:rPr>
        <w:t>associations</w:t>
      </w:r>
      <w:r w:rsidR="00085AE2" w:rsidRPr="00D949A2">
        <w:rPr>
          <w:rFonts w:asciiTheme="minorHAnsi" w:hAnsiTheme="minorHAnsi" w:cstheme="minorHAnsi"/>
          <w:color w:val="000000" w:themeColor="text1"/>
          <w:lang w:val="en-GB"/>
        </w:rPr>
        <w:t xml:space="preserve"> </w:t>
      </w:r>
      <w:r w:rsidR="00626947" w:rsidRPr="00D949A2">
        <w:rPr>
          <w:rFonts w:asciiTheme="minorHAnsi" w:hAnsiTheme="minorHAnsi" w:cstheme="minorHAnsi"/>
          <w:color w:val="000000" w:themeColor="text1"/>
          <w:lang w:val="en-GB"/>
        </w:rPr>
        <w:t xml:space="preserve">only if they had the same direction and magnitude as at least one of other MR methods and did not show evidence of heterogeneity (Q </w:t>
      </w:r>
      <w:r w:rsidR="00626947" w:rsidRPr="003B6DAC">
        <w:rPr>
          <w:rFonts w:asciiTheme="minorHAnsi" w:hAnsiTheme="minorHAnsi" w:cstheme="minorHAnsi"/>
          <w:i/>
          <w:color w:val="000000" w:themeColor="text1"/>
          <w:lang w:val="en-GB"/>
        </w:rPr>
        <w:t>P</w:t>
      </w:r>
      <w:r w:rsidR="00626947" w:rsidRPr="00D949A2">
        <w:rPr>
          <w:rFonts w:asciiTheme="minorHAnsi" w:hAnsiTheme="minorHAnsi" w:cstheme="minorHAnsi"/>
          <w:color w:val="000000" w:themeColor="text1"/>
          <w:lang w:val="en-GB"/>
        </w:rPr>
        <w:t xml:space="preserve"> &gt; 0.10).</w:t>
      </w:r>
      <w:r w:rsidR="00817C97">
        <w:rPr>
          <w:rFonts w:asciiTheme="minorHAnsi" w:hAnsiTheme="minorHAnsi" w:cstheme="minorHAnsi"/>
          <w:color w:val="000000" w:themeColor="text1"/>
          <w:lang w:val="en-GB"/>
        </w:rPr>
        <w:t xml:space="preserve"> We </w:t>
      </w:r>
      <w:r w:rsidR="00924697">
        <w:rPr>
          <w:rFonts w:asciiTheme="minorHAnsi" w:hAnsiTheme="minorHAnsi" w:cstheme="minorHAnsi"/>
          <w:color w:val="000000" w:themeColor="text1"/>
          <w:lang w:val="en-GB"/>
        </w:rPr>
        <w:t>arbitrarily</w:t>
      </w:r>
      <w:r w:rsidR="00817C97">
        <w:rPr>
          <w:rFonts w:asciiTheme="minorHAnsi" w:hAnsiTheme="minorHAnsi" w:cstheme="minorHAnsi"/>
          <w:color w:val="000000" w:themeColor="text1"/>
          <w:lang w:val="en-GB"/>
        </w:rPr>
        <w:t xml:space="preserve"> chose a threshold of </w:t>
      </w:r>
      <w:r w:rsidR="00817C97" w:rsidRPr="003B6DAC">
        <w:rPr>
          <w:rFonts w:asciiTheme="minorHAnsi" w:hAnsiTheme="minorHAnsi" w:cstheme="minorHAnsi"/>
          <w:i/>
          <w:color w:val="000000" w:themeColor="text1"/>
          <w:lang w:val="en-GB"/>
        </w:rPr>
        <w:t>P</w:t>
      </w:r>
      <w:r w:rsidR="00817C97" w:rsidRPr="00D949A2">
        <w:rPr>
          <w:rFonts w:asciiTheme="minorHAnsi" w:hAnsiTheme="minorHAnsi" w:cstheme="minorHAnsi"/>
          <w:color w:val="000000" w:themeColor="text1"/>
          <w:lang w:val="en-GB"/>
        </w:rPr>
        <w:t xml:space="preserve"> &gt; 0.10</w:t>
      </w:r>
      <w:r w:rsidR="00817C97">
        <w:rPr>
          <w:rFonts w:asciiTheme="minorHAnsi" w:hAnsiTheme="minorHAnsi" w:cstheme="minorHAnsi"/>
          <w:color w:val="000000" w:themeColor="text1"/>
          <w:lang w:val="en-GB"/>
        </w:rPr>
        <w:t>, which for this test is more stringent than the usual level of 0.05</w:t>
      </w:r>
      <w:r w:rsidR="00784647">
        <w:rPr>
          <w:rFonts w:asciiTheme="minorHAnsi" w:hAnsiTheme="minorHAnsi" w:cstheme="minorHAnsi"/>
          <w:color w:val="000000" w:themeColor="text1"/>
          <w:lang w:val="en-GB"/>
        </w:rPr>
        <w:t xml:space="preserve">, </w:t>
      </w:r>
      <w:r w:rsidR="00784647" w:rsidRPr="00784647">
        <w:rPr>
          <w:rFonts w:asciiTheme="minorHAnsi" w:hAnsiTheme="minorHAnsi" w:cstheme="minorHAnsi"/>
          <w:color w:val="000000" w:themeColor="text1"/>
          <w:lang w:val="en-GB"/>
        </w:rPr>
        <w:t>to guarantee removal of any potential heterogeneity.</w:t>
      </w:r>
    </w:p>
    <w:p w14:paraId="612C4537" w14:textId="07CA33FE" w:rsidR="00C87C10" w:rsidRPr="00AD6FA2" w:rsidRDefault="00744F8A" w:rsidP="00C87C10">
      <w:pPr>
        <w:spacing w:line="480" w:lineRule="auto"/>
        <w:ind w:firstLine="426"/>
        <w:jc w:val="both"/>
        <w:rPr>
          <w:rFonts w:asciiTheme="minorHAnsi" w:hAnsiTheme="minorHAnsi" w:cstheme="minorHAnsi"/>
          <w:color w:val="000000" w:themeColor="text1"/>
          <w:lang w:val="en-GB"/>
        </w:rPr>
      </w:pPr>
      <w:r w:rsidRPr="00866E0B">
        <w:rPr>
          <w:rFonts w:asciiTheme="minorHAnsi" w:hAnsiTheme="minorHAnsi" w:cstheme="minorHAnsi"/>
          <w:color w:val="000000" w:themeColor="text1"/>
          <w:lang w:val="en-GB"/>
        </w:rPr>
        <w:t xml:space="preserve">For traits where there </w:t>
      </w:r>
      <w:r>
        <w:rPr>
          <w:rFonts w:asciiTheme="minorHAnsi" w:hAnsiTheme="minorHAnsi" w:cstheme="minorHAnsi"/>
          <w:color w:val="000000" w:themeColor="text1"/>
          <w:lang w:val="en-GB"/>
        </w:rPr>
        <w:t>was some evidence for an effect (</w:t>
      </w:r>
      <w:r w:rsidRPr="008E00D1">
        <w:rPr>
          <w:rFonts w:asciiTheme="minorHAnsi" w:hAnsiTheme="minorHAnsi" w:cstheme="minorHAnsi"/>
          <w:i/>
          <w:color w:val="000000" w:themeColor="text1"/>
          <w:lang w:val="en-GB"/>
        </w:rPr>
        <w:t>P</w:t>
      </w:r>
      <w:r>
        <w:rPr>
          <w:rFonts w:asciiTheme="minorHAnsi" w:hAnsiTheme="minorHAnsi" w:cstheme="minorHAnsi"/>
          <w:color w:val="000000" w:themeColor="text1"/>
          <w:lang w:val="en-GB"/>
        </w:rPr>
        <w:t xml:space="preserve">&lt;0.05) </w:t>
      </w:r>
      <w:r w:rsidR="00C87C10" w:rsidRPr="00AD6FA2">
        <w:rPr>
          <w:rFonts w:asciiTheme="minorHAnsi" w:hAnsiTheme="minorHAnsi" w:cstheme="minorHAnsi"/>
          <w:color w:val="000000" w:themeColor="text1"/>
          <w:lang w:val="en-GB"/>
        </w:rPr>
        <w:t>on PDAC</w:t>
      </w:r>
      <w:r w:rsidR="008E1F85">
        <w:rPr>
          <w:rFonts w:asciiTheme="minorHAnsi" w:hAnsiTheme="minorHAnsi" w:cstheme="minorHAnsi"/>
          <w:color w:val="000000" w:themeColor="text1"/>
          <w:lang w:val="en-GB"/>
        </w:rPr>
        <w:t xml:space="preserve"> risk</w:t>
      </w:r>
      <w:r w:rsidR="00C87C10" w:rsidRPr="00AD6FA2">
        <w:rPr>
          <w:rFonts w:asciiTheme="minorHAnsi" w:hAnsiTheme="minorHAnsi" w:cstheme="minorHAnsi"/>
          <w:color w:val="000000" w:themeColor="text1"/>
          <w:lang w:val="en-GB"/>
        </w:rPr>
        <w:t xml:space="preserve"> in comprehensive MR, we </w:t>
      </w:r>
      <w:r w:rsidR="00026530" w:rsidRPr="00AD6FA2">
        <w:rPr>
          <w:rFonts w:asciiTheme="minorHAnsi" w:hAnsiTheme="minorHAnsi" w:cstheme="minorHAnsi"/>
          <w:color w:val="000000" w:themeColor="text1"/>
          <w:lang w:val="en-GB"/>
        </w:rPr>
        <w:t xml:space="preserve">further </w:t>
      </w:r>
      <w:r w:rsidR="00C87C10" w:rsidRPr="00AD6FA2">
        <w:rPr>
          <w:rFonts w:asciiTheme="minorHAnsi" w:hAnsiTheme="minorHAnsi" w:cstheme="minorHAnsi"/>
          <w:color w:val="000000" w:themeColor="text1"/>
          <w:lang w:val="en-GB"/>
        </w:rPr>
        <w:t>applied MR to assess mediation</w:t>
      </w:r>
      <w:r w:rsidR="003B6DAC" w:rsidRPr="00AD6FA2">
        <w:rPr>
          <w:rFonts w:asciiTheme="minorHAnsi" w:hAnsiTheme="minorHAnsi" w:cstheme="minorHAnsi"/>
          <w:color w:val="000000" w:themeColor="text1"/>
          <w:lang w:val="en-GB"/>
        </w:rPr>
        <w:t xml:space="preserve"> </w:t>
      </w:r>
      <w:r w:rsidR="000D49E4" w:rsidRPr="00AD6FA2">
        <w:rPr>
          <w:rFonts w:asciiTheme="minorHAnsi" w:hAnsiTheme="minorHAnsi" w:cstheme="minorHAnsi"/>
          <w:color w:val="000000" w:themeColor="text1"/>
          <w:lang w:val="en-GB"/>
        </w:rPr>
        <w:fldChar w:fldCharType="begin" w:fldLock="1"/>
      </w:r>
      <w:r w:rsidR="00DE3151">
        <w:rPr>
          <w:rFonts w:asciiTheme="minorHAnsi" w:hAnsiTheme="minorHAnsi" w:cstheme="minorHAnsi"/>
          <w:color w:val="000000" w:themeColor="text1"/>
          <w:lang w:val="en-GB"/>
        </w:rPr>
        <w:instrText>ADDIN CSL_CITATION {"citationItems":[{"id":"ITEM-1","itemData":{"DOI":"10.1007/s40471-017-0128-6","ISSN":"2196-2995","PMID":"29226067","abstract":"Purpose of Review Mendelian randomization (MR) is a strategy for evaluating causality in observational epidemiological studies. MR exploits the fact that genotypes are not generally susceptible to reverse causation and confounding, due to their fixed nature and Mendel's First and Second Laws of Inheritance. MR has the potential to provide information on causality in many situations where randomized controlled trials are not possible, but the results of MR studies must be interpreted carefully to avoid drawing erroneous conclusions. Recent Findings In this review, we outline the principles behind MR, as well as assumptions and limitations of the method. Extensions to the basic approach are discussed, including two-sample MR, bidirectional MR, two-step MR, multivariable MR, and factorial MR. We also consider some new applications and recent developments in the methodology, including its ability to inform drug development, automation of the method using tools such as MR-Base, and phenome-wide and hypothesis-free MR. Summary In conjunction with the growing availability of large-scale genomic databases, higher level of automation and increased robustness of the methods, MR promises to be a valuable strategy to examine causality in complex biological/omics networks, inform drug development and prioritize intervention targets for disease prevention in the future.","author":[{"dropping-particle":"","family":"Zheng","given":"Jie","non-dropping-particle":"","parse-names":false,"suffix":""},{"dropping-particle":"","family":"Baird","given":"Denis","non-dropping-particle":"","parse-names":false,"suffix":""},{"dropping-particle":"","family":"Borges","given":"Maria-Carolina","non-dropping-particle":"","parse-names":false,"suffix":""},{"dropping-particle":"","family":"Bowden","given":"Jack","non-dropping-particle":"","parse-names":false,"suffix":""},{"dropping-particle":"","family":"Hemani","given":"Gibran","non-dropping-particle":"","parse-names":false,"suffix":""},{"dropping-particle":"","family":"Haycock","given":"Philip","non-dropping-particle":"","parse-names":false,"suffix":""},{"dropping-particle":"","family":"Evans","given":"David M","non-dropping-particle":"","parse-names":false,"suffix":""},{"dropping-particle":"","family":"Smith","given":"George Davey","non-dropping-particle":"","parse-names":false,"suffix":""}],"container-title":"Current Epidemiology Reports","id":"ITEM-1","issue":"4","issued":{"date-parts":[["2017"]]},"page":"330-345","title":"Recent Developments in Mendelian Randomization Studies","type":"article-journal","volume":"4"},"uris":["http://www.mendeley.com/documents/?uuid=26b76bf4-a26f-36fe-8137-3fc9bbffe546"]}],"mendeley":{"formattedCitation":"&lt;sup&gt;39&lt;/sup&gt;","plainTextFormattedCitation":"39","previouslyFormattedCitation":"&lt;sup&gt;39&lt;/sup&gt;"},"properties":{"noteIndex":0},"schema":"https://github.com/citation-style-language/schema/raw/master/csl-citation.json"}</w:instrText>
      </w:r>
      <w:r w:rsidR="000D49E4" w:rsidRPr="00AD6FA2">
        <w:rPr>
          <w:rFonts w:asciiTheme="minorHAnsi" w:hAnsiTheme="minorHAnsi" w:cstheme="minorHAnsi"/>
          <w:color w:val="000000" w:themeColor="text1"/>
          <w:lang w:val="en-GB"/>
        </w:rPr>
        <w:fldChar w:fldCharType="separate"/>
      </w:r>
      <w:r w:rsidR="00DE3151" w:rsidRPr="00DE3151">
        <w:rPr>
          <w:rFonts w:asciiTheme="minorHAnsi" w:hAnsiTheme="minorHAnsi" w:cstheme="minorHAnsi"/>
          <w:noProof/>
          <w:color w:val="000000" w:themeColor="text1"/>
          <w:vertAlign w:val="superscript"/>
          <w:lang w:val="en-GB"/>
        </w:rPr>
        <w:t>39</w:t>
      </w:r>
      <w:r w:rsidR="000D49E4" w:rsidRPr="00AD6FA2">
        <w:rPr>
          <w:rFonts w:asciiTheme="minorHAnsi" w:hAnsiTheme="minorHAnsi" w:cstheme="minorHAnsi"/>
          <w:color w:val="000000" w:themeColor="text1"/>
          <w:lang w:val="en-GB"/>
        </w:rPr>
        <w:fldChar w:fldCharType="end"/>
      </w:r>
      <w:r w:rsidR="00026530" w:rsidRPr="00AD6FA2">
        <w:rPr>
          <w:rFonts w:asciiTheme="minorHAnsi" w:hAnsiTheme="minorHAnsi" w:cstheme="minorHAnsi"/>
          <w:color w:val="000000" w:themeColor="text1"/>
          <w:lang w:val="en-GB"/>
        </w:rPr>
        <w:t xml:space="preserve">, whereby we tried to infer whether a genetically determined exposure </w:t>
      </w:r>
      <w:r w:rsidR="008A220E" w:rsidRPr="00AD6FA2">
        <w:rPr>
          <w:rFonts w:asciiTheme="minorHAnsi" w:hAnsiTheme="minorHAnsi" w:cstheme="minorHAnsi"/>
          <w:color w:val="000000" w:themeColor="text1"/>
          <w:lang w:val="en-GB"/>
        </w:rPr>
        <w:t>affect</w:t>
      </w:r>
      <w:r w:rsidR="00026530" w:rsidRPr="00AD6FA2">
        <w:rPr>
          <w:rFonts w:asciiTheme="minorHAnsi" w:hAnsiTheme="minorHAnsi" w:cstheme="minorHAnsi"/>
          <w:color w:val="000000" w:themeColor="text1"/>
          <w:lang w:val="en-GB"/>
        </w:rPr>
        <w:t xml:space="preserve"> PDAC risk direct</w:t>
      </w:r>
      <w:r w:rsidR="008A220E" w:rsidRPr="00AD6FA2">
        <w:rPr>
          <w:rFonts w:asciiTheme="minorHAnsi" w:hAnsiTheme="minorHAnsi" w:cstheme="minorHAnsi"/>
          <w:color w:val="000000" w:themeColor="text1"/>
          <w:lang w:val="en-GB"/>
        </w:rPr>
        <w:t>ly</w:t>
      </w:r>
      <w:r w:rsidR="00026530" w:rsidRPr="00AD6FA2">
        <w:rPr>
          <w:rFonts w:asciiTheme="minorHAnsi" w:hAnsiTheme="minorHAnsi" w:cstheme="minorHAnsi"/>
          <w:color w:val="000000" w:themeColor="text1"/>
          <w:lang w:val="en-GB"/>
        </w:rPr>
        <w:t xml:space="preserve"> or </w:t>
      </w:r>
      <w:r w:rsidR="008A220E" w:rsidRPr="00AD6FA2">
        <w:rPr>
          <w:rFonts w:asciiTheme="minorHAnsi" w:hAnsiTheme="minorHAnsi" w:cstheme="minorHAnsi"/>
          <w:color w:val="000000" w:themeColor="text1"/>
          <w:lang w:val="en-GB"/>
        </w:rPr>
        <w:t>through another exposure.</w:t>
      </w:r>
      <w:r w:rsidR="00C87C10" w:rsidRPr="00AD6FA2">
        <w:rPr>
          <w:rFonts w:asciiTheme="minorHAnsi" w:hAnsiTheme="minorHAnsi" w:cstheme="minorHAnsi"/>
          <w:color w:val="000000" w:themeColor="text1"/>
          <w:lang w:val="en-GB"/>
        </w:rPr>
        <w:t xml:space="preserve"> Evidence of association in both steps (for example, </w:t>
      </w:r>
      <w:r w:rsidR="008A220E" w:rsidRPr="00AD6FA2">
        <w:rPr>
          <w:rFonts w:asciiTheme="minorHAnsi" w:hAnsiTheme="minorHAnsi" w:cstheme="minorHAnsi"/>
          <w:color w:val="000000" w:themeColor="text1"/>
          <w:lang w:val="en-GB"/>
        </w:rPr>
        <w:t>LDL cholesterol</w:t>
      </w:r>
      <w:r w:rsidR="00C87C10" w:rsidRPr="00AD6FA2">
        <w:rPr>
          <w:rFonts w:asciiTheme="minorHAnsi" w:hAnsiTheme="minorHAnsi" w:cstheme="minorHAnsi" w:hint="eastAsia"/>
          <w:color w:val="000000" w:themeColor="text1"/>
          <w:lang w:val="en-GB"/>
        </w:rPr>
        <w:t xml:space="preserve"> </w:t>
      </w:r>
      <w:r w:rsidR="007672ED">
        <w:rPr>
          <w:rFonts w:asciiTheme="minorHAnsi" w:hAnsiTheme="minorHAnsi" w:cstheme="minorHAnsi" w:hint="eastAsia"/>
          <w:color w:val="000000" w:themeColor="text1"/>
          <w:lang w:val="en-GB"/>
        </w:rPr>
        <w:t>t</w:t>
      </w:r>
      <w:r w:rsidR="007672ED">
        <w:rPr>
          <w:rFonts w:asciiTheme="minorHAnsi" w:hAnsiTheme="minorHAnsi" w:cstheme="minorHAnsi"/>
          <w:color w:val="000000" w:themeColor="text1"/>
          <w:lang w:val="en-GB"/>
        </w:rPr>
        <w:t>o</w:t>
      </w:r>
      <w:r w:rsidR="007672ED" w:rsidRPr="00AD6FA2">
        <w:rPr>
          <w:rFonts w:asciiTheme="minorHAnsi" w:hAnsiTheme="minorHAnsi" w:cstheme="minorHAnsi" w:hint="eastAsia"/>
          <w:color w:val="000000" w:themeColor="text1"/>
          <w:lang w:val="en-GB"/>
        </w:rPr>
        <w:t xml:space="preserve"> </w:t>
      </w:r>
      <w:r w:rsidR="008A220E" w:rsidRPr="00AD6FA2">
        <w:rPr>
          <w:rFonts w:asciiTheme="minorHAnsi" w:hAnsiTheme="minorHAnsi" w:cstheme="minorHAnsi"/>
          <w:color w:val="000000" w:themeColor="text1"/>
          <w:lang w:val="en-GB"/>
        </w:rPr>
        <w:t>BMI</w:t>
      </w:r>
      <w:r w:rsidR="00C87C10" w:rsidRPr="00AD6FA2">
        <w:rPr>
          <w:rFonts w:asciiTheme="minorHAnsi" w:hAnsiTheme="minorHAnsi" w:cstheme="minorHAnsi"/>
          <w:color w:val="000000" w:themeColor="text1"/>
          <w:lang w:val="en-GB"/>
        </w:rPr>
        <w:t xml:space="preserve"> and </w:t>
      </w:r>
      <w:r w:rsidR="008A220E" w:rsidRPr="00AD6FA2">
        <w:rPr>
          <w:rFonts w:asciiTheme="minorHAnsi" w:hAnsiTheme="minorHAnsi" w:cstheme="minorHAnsi"/>
          <w:color w:val="000000" w:themeColor="text1"/>
          <w:lang w:val="en-GB"/>
        </w:rPr>
        <w:t>BMI</w:t>
      </w:r>
      <w:r w:rsidR="007672ED">
        <w:rPr>
          <w:rFonts w:asciiTheme="minorHAnsi" w:hAnsiTheme="minorHAnsi" w:cstheme="minorHAnsi"/>
          <w:color w:val="000000" w:themeColor="text1"/>
          <w:lang w:val="en-GB"/>
        </w:rPr>
        <w:t xml:space="preserve"> to</w:t>
      </w:r>
      <w:r w:rsidR="00C87C10" w:rsidRPr="00AD6FA2">
        <w:rPr>
          <w:rFonts w:asciiTheme="minorHAnsi" w:hAnsiTheme="minorHAnsi" w:cstheme="minorHAnsi" w:hint="eastAsia"/>
          <w:color w:val="000000" w:themeColor="text1"/>
          <w:lang w:val="en-GB"/>
        </w:rPr>
        <w:t xml:space="preserve"> </w:t>
      </w:r>
      <w:r w:rsidR="008A220E" w:rsidRPr="00AD6FA2">
        <w:rPr>
          <w:rFonts w:asciiTheme="minorHAnsi" w:hAnsiTheme="minorHAnsi" w:cstheme="minorHAnsi"/>
          <w:color w:val="000000" w:themeColor="text1"/>
          <w:lang w:val="en-GB"/>
        </w:rPr>
        <w:t>PDAC</w:t>
      </w:r>
      <w:r w:rsidR="00C87C10" w:rsidRPr="00AD6FA2">
        <w:rPr>
          <w:rFonts w:asciiTheme="minorHAnsi" w:hAnsiTheme="minorHAnsi" w:cstheme="minorHAnsi"/>
          <w:color w:val="000000" w:themeColor="text1"/>
          <w:lang w:val="en-GB"/>
        </w:rPr>
        <w:t>) implies some degree of mediation between the exposure and the outcome by the intermediate trait.</w:t>
      </w:r>
      <w:r w:rsidR="00475E2C" w:rsidRPr="00AD6FA2">
        <w:rPr>
          <w:rFonts w:asciiTheme="minorHAnsi" w:hAnsiTheme="minorHAnsi" w:cstheme="minorHAnsi"/>
          <w:color w:val="000000" w:themeColor="text1"/>
          <w:lang w:val="en-GB"/>
        </w:rPr>
        <w:t xml:space="preserve"> </w:t>
      </w:r>
      <w:r w:rsidR="00132558">
        <w:rPr>
          <w:rFonts w:asciiTheme="minorHAnsi" w:hAnsiTheme="minorHAnsi" w:cstheme="minorHAnsi"/>
          <w:color w:val="000000" w:themeColor="text1"/>
          <w:lang w:val="en-GB"/>
        </w:rPr>
        <w:t>A Steiger test ha</w:t>
      </w:r>
      <w:r w:rsidR="00974AB3">
        <w:rPr>
          <w:rFonts w:asciiTheme="minorHAnsi" w:hAnsiTheme="minorHAnsi" w:cstheme="minorHAnsi"/>
          <w:color w:val="000000" w:themeColor="text1"/>
          <w:lang w:val="en-GB"/>
        </w:rPr>
        <w:t>s</w:t>
      </w:r>
      <w:r w:rsidR="00132558">
        <w:rPr>
          <w:rFonts w:asciiTheme="minorHAnsi" w:hAnsiTheme="minorHAnsi" w:cstheme="minorHAnsi"/>
          <w:color w:val="000000" w:themeColor="text1"/>
          <w:lang w:val="en-GB"/>
        </w:rPr>
        <w:t xml:space="preserve"> also been done to check the causal direction of the effect</w:t>
      </w:r>
      <w:r w:rsidR="008E00D1">
        <w:rPr>
          <w:rFonts w:asciiTheme="minorHAnsi" w:hAnsiTheme="minorHAnsi" w:cstheme="minorHAnsi"/>
          <w:color w:val="000000" w:themeColor="text1"/>
          <w:lang w:val="en-GB"/>
        </w:rPr>
        <w:t xml:space="preserve"> </w:t>
      </w:r>
      <w:r w:rsidR="008E00D1">
        <w:rPr>
          <w:rFonts w:asciiTheme="minorHAnsi" w:hAnsiTheme="minorHAnsi" w:cstheme="minorHAnsi"/>
          <w:color w:val="000000" w:themeColor="text1"/>
          <w:lang w:val="en-GB"/>
        </w:rPr>
        <w:fldChar w:fldCharType="begin" w:fldLock="1"/>
      </w:r>
      <w:r w:rsidR="00675992">
        <w:rPr>
          <w:rFonts w:asciiTheme="minorHAnsi" w:hAnsiTheme="minorHAnsi" w:cstheme="minorHAnsi"/>
          <w:color w:val="000000" w:themeColor="text1"/>
          <w:lang w:val="en-GB"/>
        </w:rPr>
        <w:instrText>ADDIN CSL_CITATION {"citationItems":[{"id":"ITEM-1","itemData":{"DOI":"10.1371/journal.pgen.1007081","ISBN":"1111111111","ISSN":"15537404","abstract":"Inference about the causal structure that induces correlations between two traits can be achieved by combining genetic associations with a mediation-based approach, as is done in the causal inference test (CIT). However, we show that measurement error in the phenotypes can lead to the CIT inferring the wrong causal direction, and that increasing sample sizes has the adverse effect of increasing confidence in the wrong answer. This problem is likely to be general to other mediation-based approaches. Here we introduce an extension to Mendelian randomisation, a method that uses genetic associations in an instrumentation framework, that enables inference of the causal direction between traits, with some advantages. First, it can be performed using only summary level data from genome-wide association studies; second, it is less susceptible to bias in the presence of measurement error or unmeasured confounding. We apply the method to infer the causal direction between DNA methylation and gene expression levels. Our results demonstrate that, in general, DNA methylation is more likely to be the causal factor, but this result is highly susceptible to bias induced by systematic differences in measurement error between the platforms, and by horizontal pleiotropy. We emphasise that, where possible, implementing MR and appropriate sensitivity analyses alongside other approaches such as CIT is important to triangulate reliable conclusions about causality.","author":[{"dropping-particle":"","family":"Hemani","given":"Gibran","non-dropping-particle":"","parse-names":false,"suffix":""},{"dropping-particle":"","family":"Tilling","given":"Kate","non-dropping-particle":"","parse-names":false,"suffix":""},{"dropping-particle":"","family":"Davey Smith","given":"George","non-dropping-particle":"","parse-names":false,"suffix":""}],"container-title":"PLoS Genetics","id":"ITEM-1","issue":"11","issued":{"date-parts":[["2017"]]},"title":"Orienting the causal relationship between imprecisely measured traits using GWAS summary data","type":"article-journal","volume":"13"},"uris":["http://www.mendeley.com/documents/?uuid=746c3e1b-0464-38ad-8ef1-70be8e59b341"]}],"mendeley":{"formattedCitation":"&lt;sup&gt;40&lt;/sup&gt;","plainTextFormattedCitation":"40","previouslyFormattedCitation":"&lt;sup&gt;40&lt;/sup&gt;"},"properties":{"noteIndex":0},"schema":"https://github.com/citation-style-language/schema/raw/master/csl-citation.json"}</w:instrText>
      </w:r>
      <w:r w:rsidR="008E00D1">
        <w:rPr>
          <w:rFonts w:asciiTheme="minorHAnsi" w:hAnsiTheme="minorHAnsi" w:cstheme="minorHAnsi"/>
          <w:color w:val="000000" w:themeColor="text1"/>
          <w:lang w:val="en-GB"/>
        </w:rPr>
        <w:fldChar w:fldCharType="separate"/>
      </w:r>
      <w:r w:rsidR="008E00D1" w:rsidRPr="008E00D1">
        <w:rPr>
          <w:rFonts w:asciiTheme="minorHAnsi" w:hAnsiTheme="minorHAnsi" w:cstheme="minorHAnsi"/>
          <w:noProof/>
          <w:color w:val="000000" w:themeColor="text1"/>
          <w:vertAlign w:val="superscript"/>
          <w:lang w:val="en-GB"/>
        </w:rPr>
        <w:t>40</w:t>
      </w:r>
      <w:r w:rsidR="008E00D1">
        <w:rPr>
          <w:rFonts w:asciiTheme="minorHAnsi" w:hAnsiTheme="minorHAnsi" w:cstheme="minorHAnsi"/>
          <w:color w:val="000000" w:themeColor="text1"/>
          <w:lang w:val="en-GB"/>
        </w:rPr>
        <w:fldChar w:fldCharType="end"/>
      </w:r>
      <w:r w:rsidR="00132558">
        <w:rPr>
          <w:rFonts w:asciiTheme="minorHAnsi" w:hAnsiTheme="minorHAnsi" w:cstheme="minorHAnsi"/>
          <w:color w:val="000000" w:themeColor="text1"/>
          <w:lang w:val="en-GB"/>
        </w:rPr>
        <w:t xml:space="preserve">. </w:t>
      </w:r>
      <w:r w:rsidR="00974AB3">
        <w:rPr>
          <w:rFonts w:asciiTheme="minorHAnsi" w:hAnsiTheme="minorHAnsi" w:cstheme="minorHAnsi"/>
          <w:color w:val="000000" w:themeColor="text1"/>
          <w:lang w:val="en-GB"/>
        </w:rPr>
        <w:t xml:space="preserve">It calculates the variance explained in the </w:t>
      </w:r>
      <w:r w:rsidR="00974AB3">
        <w:rPr>
          <w:rFonts w:asciiTheme="minorHAnsi" w:hAnsiTheme="minorHAnsi" w:cstheme="minorHAnsi"/>
          <w:color w:val="000000" w:themeColor="text1"/>
          <w:lang w:val="en-GB"/>
        </w:rPr>
        <w:lastRenderedPageBreak/>
        <w:t xml:space="preserve">exposure and the outcome by the instruments, and tests if the variance in the outcome is less than the exposure. </w:t>
      </w:r>
      <w:r w:rsidR="00475E2C" w:rsidRPr="00AD6FA2">
        <w:rPr>
          <w:rFonts w:asciiTheme="minorHAnsi" w:hAnsiTheme="minorHAnsi" w:cstheme="minorHAnsi"/>
          <w:color w:val="000000" w:themeColor="text1"/>
          <w:lang w:val="en-GB"/>
        </w:rPr>
        <w:t xml:space="preserve">Genetic instruments for these factors were </w:t>
      </w:r>
      <w:r w:rsidR="007672ED">
        <w:rPr>
          <w:rFonts w:asciiTheme="minorHAnsi" w:hAnsiTheme="minorHAnsi" w:cstheme="minorHAnsi"/>
          <w:color w:val="000000" w:themeColor="text1"/>
          <w:lang w:val="en-GB"/>
        </w:rPr>
        <w:t xml:space="preserve">the </w:t>
      </w:r>
      <w:r w:rsidR="00475E2C" w:rsidRPr="00AD6FA2">
        <w:rPr>
          <w:rFonts w:asciiTheme="minorHAnsi" w:hAnsiTheme="minorHAnsi" w:cstheme="minorHAnsi"/>
          <w:color w:val="000000" w:themeColor="text1"/>
          <w:lang w:val="en-GB"/>
        </w:rPr>
        <w:t>same as described above, and the summary statistics of the mediator (BMI) were obtained from the MR-Base database</w:t>
      </w:r>
      <w:r w:rsidR="00AE7A5A" w:rsidRPr="00AD6FA2">
        <w:rPr>
          <w:rFonts w:asciiTheme="minorHAnsi" w:hAnsiTheme="minorHAnsi" w:cstheme="minorHAnsi"/>
          <w:color w:val="000000" w:themeColor="text1"/>
          <w:lang w:val="en-GB"/>
        </w:rPr>
        <w:t xml:space="preserve"> (</w:t>
      </w:r>
      <w:r w:rsidR="003B6DAC" w:rsidRPr="00FF4117">
        <w:rPr>
          <w:rFonts w:asciiTheme="minorHAnsi" w:hAnsiTheme="minorHAnsi" w:cstheme="minorHAnsi"/>
          <w:color w:val="000000" w:themeColor="text1"/>
          <w:lang w:val="en-GB"/>
        </w:rPr>
        <w:t>http://www.mrbase.org</w:t>
      </w:r>
      <w:r w:rsidR="00AE7A5A" w:rsidRPr="00AD6FA2">
        <w:rPr>
          <w:rFonts w:asciiTheme="minorHAnsi" w:hAnsiTheme="minorHAnsi" w:cstheme="minorHAnsi"/>
          <w:color w:val="000000" w:themeColor="text1"/>
          <w:lang w:val="en-GB"/>
        </w:rPr>
        <w:t>)</w:t>
      </w:r>
      <w:r w:rsidR="003B6DAC" w:rsidRPr="00AD6FA2">
        <w:rPr>
          <w:rFonts w:asciiTheme="minorHAnsi" w:hAnsiTheme="minorHAnsi" w:cstheme="minorHAnsi"/>
          <w:color w:val="000000" w:themeColor="text1"/>
          <w:lang w:val="en-GB"/>
        </w:rPr>
        <w:t xml:space="preserve"> </w:t>
      </w:r>
      <w:r w:rsidR="005B5AE1" w:rsidRPr="00AD6FA2">
        <w:rPr>
          <w:rFonts w:asciiTheme="minorHAnsi" w:hAnsiTheme="minorHAnsi" w:cstheme="minorHAnsi"/>
          <w:color w:val="000000" w:themeColor="text1"/>
          <w:lang w:val="en-GB"/>
        </w:rPr>
        <w:fldChar w:fldCharType="begin" w:fldLock="1"/>
      </w:r>
      <w:r w:rsidR="00675992">
        <w:rPr>
          <w:rFonts w:asciiTheme="minorHAnsi" w:hAnsiTheme="minorHAnsi" w:cstheme="minorHAnsi"/>
          <w:color w:val="000000" w:themeColor="text1"/>
          <w:lang w:val="en-GB"/>
        </w:rPr>
        <w:instrText>ADDIN CSL_CITATION {"citationItems":[{"id":"ITEM-1","itemData":{"DOI":"10.7554/eLife.34408","ISSN":"2050-084X","PMID":"29846171","abstract":"&lt;p&gt;Results from genome-wide association studies (GWAS) can be used to infer causal relationships between phenotypes, using a strategy known as 2-sample Mendelian randomization (2SMR) and bypassing the need for individual-level data. However, 2SMR methods are evolving rapidly and GWAS results are often insufficiently curated, undermining efficient implementation of the approach. We therefore developed MR-Base (http://www.mrbase.org): a platform that integrates a curated database of complete GWAS results (no restrictions according to statistical significance) with an application programming interface, web app and R packages that automate 2SMR. The software includes several sensitivity analyses for assessing the impact of horizontal pleiotropy and other violations of assumptions. The database currently comprises 11 billion single nucleotide polymorphism-trait associations from 1673 GWAS and is updated on a regular basis. Integrating data with software ensures more rigorous application of hypothesis-driven analyses and allows millions of potential causal relationships to be efficiently evaluated in phenome-wide association studies.&lt;/p&gt;","author":[{"dropping-particle":"","family":"Hemani","given":"Gibran","non-dropping-particle":"","parse-names":false,"suffix":""},{"dropping-particle":"","family":"Zheng","given":"Jie","non-dropping-particle":"","parse-names":false,"suffix":""},{"dropping-particle":"","family":"Elsworth","given":"Benjamin","non-dropping-particle":"","parse-names":false,"suffix":""},{"dropping-particle":"","family":"Wade","given":"Kaitlin H","non-dropping-particle":"","parse-names":false,"suffix":""},{"dropping-particle":"","family":"Haberland","given":"Valeriia","non-dropping-particle":"","parse-names":false,"suffix":""},{"dropping-particle":"","family":"Baird","given":"Denis","non-dropping-particle":"","parse-names":false,"suffix":""},{"dropping-particle":"","family":"Laurin","given":"Charles","non-dropping-particle":"","parse-names":false,"suffix":""},{"dropping-particle":"","family":"Burgess","given":"Stephen","non-dropping-particle":"","parse-names":false,"suffix":""},{"dropping-particle":"","family":"Bowden","given":"Jack","non-dropping-particle":"","parse-names":false,"suffix":""},{"dropping-particle":"","family":"Langdon","given":"Ryan","non-dropping-particle":"","parse-names":false,"suffix":""},{"dropping-particle":"","family":"Tan","given":"Vanessa Y","non-dropping-particle":"","parse-names":false,"suffix":""},{"dropping-particle":"","family":"Yarmolinsky","given":"James","non-dropping-particle":"","parse-names":false,"suffix":""},{"dropping-particle":"","family":"Shihab","given":"Hashem A","non-dropping-particle":"","parse-names":false,"suffix":""},{"dropping-particle":"","family":"Timpson","given":"Nicholas J","non-dropping-particle":"","parse-names":false,"suffix":""},{"dropping-particle":"","family":"Evans","given":"David M","non-dropping-particle":"","parse-names":false,"suffix":""},{"dropping-particle":"","family":"Relton","given":"Caroline","non-dropping-particle":"","parse-names":false,"suffix":""},{"dropping-particle":"","family":"Martin","given":"Richard M","non-dropping-particle":"","parse-names":false,"suffix":""},{"dropping-particle":"","family":"Davey Smith","given":"George","non-dropping-particle":"","parse-names":false,"suffix":""},{"dropping-particle":"","family":"Gaunt","given":"Tom R","non-dropping-particle":"","parse-names":false,"suffix":""},{"dropping-particle":"","family":"Haycock","given":"Philip C","non-dropping-particle":"","parse-names":false,"suffix":""}],"container-title":"eLife","id":"ITEM-1","issued":{"date-parts":[["2018"]]},"page":"e34408","title":"The MR-Base platform supports systematic causal inference across the human phenome","type":"article-journal","volume":"7"},"uris":["http://www.mendeley.com/documents/?uuid=20ba61c5-2439-48a3-ae69-b68cb3623efd"]}],"mendeley":{"formattedCitation":"&lt;sup&gt;41&lt;/sup&gt;","plainTextFormattedCitation":"41","previouslyFormattedCitation":"&lt;sup&gt;41&lt;/sup&gt;"},"properties":{"noteIndex":0},"schema":"https://github.com/citation-style-language/schema/raw/master/csl-citation.json"}</w:instrText>
      </w:r>
      <w:r w:rsidR="005B5AE1" w:rsidRPr="00AD6FA2">
        <w:rPr>
          <w:rFonts w:asciiTheme="minorHAnsi" w:hAnsiTheme="minorHAnsi" w:cstheme="minorHAnsi"/>
          <w:color w:val="000000" w:themeColor="text1"/>
          <w:lang w:val="en-GB"/>
        </w:rPr>
        <w:fldChar w:fldCharType="separate"/>
      </w:r>
      <w:r w:rsidR="008E00D1" w:rsidRPr="008E00D1">
        <w:rPr>
          <w:rFonts w:asciiTheme="minorHAnsi" w:hAnsiTheme="minorHAnsi" w:cstheme="minorHAnsi"/>
          <w:noProof/>
          <w:color w:val="000000" w:themeColor="text1"/>
          <w:vertAlign w:val="superscript"/>
          <w:lang w:val="en-GB"/>
        </w:rPr>
        <w:t>41</w:t>
      </w:r>
      <w:r w:rsidR="005B5AE1" w:rsidRPr="00AD6FA2">
        <w:rPr>
          <w:rFonts w:asciiTheme="minorHAnsi" w:hAnsiTheme="minorHAnsi" w:cstheme="minorHAnsi"/>
          <w:color w:val="000000" w:themeColor="text1"/>
          <w:lang w:val="en-GB"/>
        </w:rPr>
        <w:fldChar w:fldCharType="end"/>
      </w:r>
      <w:r w:rsidR="00475E2C" w:rsidRPr="00AD6FA2">
        <w:rPr>
          <w:rFonts w:asciiTheme="minorHAnsi" w:hAnsiTheme="minorHAnsi" w:cstheme="minorHAnsi"/>
          <w:color w:val="000000" w:themeColor="text1"/>
          <w:lang w:val="en-GB"/>
        </w:rPr>
        <w:t xml:space="preserve"> to assess the causal effects of the factors on the mediator.</w:t>
      </w:r>
    </w:p>
    <w:p w14:paraId="3D8C3D92" w14:textId="42909E07" w:rsidR="00110E84" w:rsidRPr="00D949A2" w:rsidRDefault="00626947" w:rsidP="00256D7A">
      <w:pPr>
        <w:spacing w:line="480" w:lineRule="auto"/>
        <w:ind w:firstLine="426"/>
        <w:jc w:val="both"/>
        <w:rPr>
          <w:rFonts w:asciiTheme="minorHAnsi" w:hAnsiTheme="minorHAnsi" w:cstheme="minorHAnsi"/>
          <w:color w:val="000000" w:themeColor="text1"/>
          <w:lang w:val="en-GB"/>
        </w:rPr>
      </w:pPr>
      <w:r w:rsidRPr="00D949A2">
        <w:rPr>
          <w:rFonts w:asciiTheme="minorHAnsi" w:hAnsiTheme="minorHAnsi" w:cstheme="minorHAnsi" w:hint="eastAsia"/>
          <w:color w:val="000000" w:themeColor="text1"/>
          <w:lang w:val="en-GB"/>
        </w:rPr>
        <w:t>A</w:t>
      </w:r>
      <w:r w:rsidRPr="00D949A2">
        <w:rPr>
          <w:rFonts w:asciiTheme="minorHAnsi" w:hAnsiTheme="minorHAnsi" w:cstheme="minorHAnsi"/>
          <w:color w:val="000000" w:themeColor="text1"/>
          <w:lang w:val="en-GB"/>
        </w:rPr>
        <w:t>nalyses were carried out with the TwoSampleMR and RadialMR packages in R version 3.6.1 (2019-07-05)</w:t>
      </w:r>
      <w:r w:rsidR="00475E2A">
        <w:rPr>
          <w:rFonts w:asciiTheme="minorHAnsi" w:hAnsiTheme="minorHAnsi" w:cstheme="minorHAnsi"/>
          <w:color w:val="000000" w:themeColor="text1"/>
          <w:lang w:val="en-GB"/>
        </w:rPr>
        <w:t xml:space="preserve"> </w:t>
      </w:r>
      <w:r w:rsidR="00475E2A">
        <w:rPr>
          <w:rFonts w:asciiTheme="minorHAnsi" w:hAnsiTheme="minorHAnsi" w:cstheme="minorHAnsi"/>
          <w:color w:val="000000" w:themeColor="text1"/>
          <w:lang w:val="en-GB"/>
        </w:rPr>
        <w:fldChar w:fldCharType="begin" w:fldLock="1"/>
      </w:r>
      <w:r w:rsidR="00675992">
        <w:rPr>
          <w:rFonts w:asciiTheme="minorHAnsi" w:hAnsiTheme="minorHAnsi" w:cstheme="minorHAnsi"/>
          <w:color w:val="000000" w:themeColor="text1"/>
          <w:lang w:val="en-GB"/>
        </w:rPr>
        <w:instrText>ADDIN CSL_CITATION {"citationItems":[{"id":"ITEM-1","itemData":{"DOI":"10.1093/ije/dyy101","PMID":"29961852","abstract":"Background data furnishing a two-sample Mendelian randomization (MR) study are often visualized with the aid of a scatter plot, in which single-nucleotide polymorphism (SNP)-outcome associations are plotted against the SNP-exposure associations to provide an immediate picture of the causal-effect estimate for each individual variant. It is also convenient to overlay the standard inverse-variance weighted (IVW) estimate of causal effect as a fitted slope, to see whether an individual SNP provides evidence that supports, or conflicts with, the overall consensus. Unfortunately, the traditional scatter plot is not the most appropriate means to achieve this aim whenever SNP-outcome associations are estimated with varying degrees of precision and this is reflected in the analysis. Methods We propose instead to use a small modification of the scatter plot-the Galbraith Radial plot-for the presentation of data and results from an MR study, which enjoys many advantages over the original method. On a practical level, it removes the need to recode the genetic data and enables a more straightforward detection of outliers and influential data points. Its use extends beyond the purely aesthetic, however, to suggest a more general modelling framework to operate within when conducting an MR study, including a new form of MR-Egger regression. Results We illustrate the methods using data from a two-sample MR study to probe the causal effect of systolic blood pressure on coronary heart disease risk, allowing for the possible effects of pleiotropy. The Radial plot is shown to aid the detection of a single outlying variant that is responsible for large differences between IVW and MR-Egger regression estimates. Several additional plots are also proposed for informative data visualization. Conclusions The Radial plot should be considered in place of the scatter plot for visualizing, analysing and interpreting data from a two-sample summary data MR study. Software is provided to help facilitate its use.","author":[{"dropping-particle":"","family":"Bowden","given":"Jack","non-dropping-particle":"","parse-names":false,"suffix":""},{"dropping-particle":"","family":"Spiller","given":"Wesley","non-dropping-particle":"","parse-names":false,"suffix":""},{"dropping-particle":"","family":"Greco M","given":"Fabiola","non-dropping-particle":"Del","parse-names":false,"suffix":""},{"dropping-particle":"","family":"Sheehan","given":"Nuala","non-dropping-particle":"","parse-names":false,"suffix":""},{"dropping-particle":"","family":"Thompson","given":"John","non-dropping-particle":"","parse-names":false,"suffix":""},{"dropping-particle":"","family":"Minelli","given":"Cosetta","non-dropping-particle":"","parse-names":false,"suffix":""},{"dropping-particle":"","family":"Davey Smith","given":"George","non-dropping-particle":"","parse-names":false,"suffix":""},{"dropping-particle":"","family":"Greco","given":"Fabiola M.","non-dropping-particle":"Del","parse-names":false,"suffix":""},{"dropping-particle":"","family":"Sheehan","given":"Nuala","non-dropping-particle":"","parse-names":false,"suffix":""},{"dropping-particle":"","family":"Thompson","given":"John","non-dropping-particle":"","parse-names":false,"suffix":""},{"dropping-particle":"","family":"Minelli","given":"Cosetta","non-dropping-particle":"","parse-names":false,"suffix":""},{"dropping-particle":"","family":"Smith","given":"George Davey","non-dropping-particle":"","parse-names":false,"suffix":""},{"dropping-particle":"","family":"Greco M","given":"Fabiola","non-dropping-particle":"Del","parse-names":false,"suffix":""},{"dropping-particle":"","family":"Sheehan","given":"Nuala","non-dropping-particle":"","parse-names":false,"suffix":""},{"dropping-particle":"","family":"Thompson","given":"John","non-dropping-particle":"","parse-names":false,"suffix":""},{"dropping-particle":"","family":"Minelli","given":"Cosetta","non-dropping-particle":"","parse-names":false,"suffix":""},{"dropping-particle":"","family":"Davey Smith","given":"George","non-dropping-particle":"","parse-names":false,"suffix":""}],"container-title":"International Journal of Epidemiology","id":"ITEM-1","issue":"4","issued":{"date-parts":[["2018","8","1"]]},"page":"1264-1278","publisher":"Narnia","title":"Improving the visualization, interpretation and analysis of two-sample summary data Mendelian randomization via the Radial plot and Radial regression","type":"article-journal","volume":"47"},"uris":["http://www.mendeley.com/documents/?uuid=ba1f0917-9082-47f1-9d61-20cf0a4d06f8"]},{"id":"ITEM-2","itemData":{"DOI":"10.7554/eLife.34408","ISSN":"2050-084X","PMID":"29846171","abstract":"&lt;p&gt;Results from genome-wide association studies (GWAS) can be used to infer causal relationships between phenotypes, using a strategy known as 2-sample Mendelian randomization (2SMR) and bypassing the need for individual-level data. However, 2SMR methods are evolving rapidly and GWAS results are often insufficiently curated, undermining efficient implementation of the approach. We therefore developed MR-Base (http://www.mrbase.org): a platform that integrates a curated database of complete GWAS results (no restrictions according to statistical significance) with an application programming interface, web app and R packages that automate 2SMR. The software includes several sensitivity analyses for assessing the impact of horizontal pleiotropy and other violations of assumptions. The database currently comprises 11 billion single nucleotide polymorphism-trait associations from 1673 GWAS and is updated on a regular basis. Integrating data with software ensures more rigorous application of hypothesis-driven analyses and allows millions of potential causal relationships to be efficiently evaluated in phenome-wide association studies.&lt;/p&gt;","author":[{"dropping-particle":"","family":"Hemani","given":"Gibran","non-dropping-particle":"","parse-names":false,"suffix":""},{"dropping-particle":"","family":"Zheng","given":"Jie","non-dropping-particle":"","parse-names":false,"suffix":""},{"dropping-particle":"","family":"Elsworth","given":"Benjamin","non-dropping-particle":"","parse-names":false,"suffix":""},{"dropping-particle":"","family":"Wade","given":"Kaitlin H","non-dropping-particle":"","parse-names":false,"suffix":""},{"dropping-particle":"","family":"Haberland","given":"Valeriia","non-dropping-particle":"","parse-names":false,"suffix":""},{"dropping-particle":"","family":"Baird","given":"Denis","non-dropping-particle":"","parse-names":false,"suffix":""},{"dropping-particle":"","family":"Laurin","given":"Charles","non-dropping-particle":"","parse-names":false,"suffix":""},{"dropping-particle":"","family":"Burgess","given":"Stephen","non-dropping-particle":"","parse-names":false,"suffix":""},{"dropping-particle":"","family":"Bowden","given":"Jack","non-dropping-particle":"","parse-names":false,"suffix":""},{"dropping-particle":"","family":"Langdon","given":"Ryan","non-dropping-particle":"","parse-names":false,"suffix":""},{"dropping-particle":"","family":"Tan","given":"Vanessa Y","non-dropping-particle":"","parse-names":false,"suffix":""},{"dropping-particle":"","family":"Yarmolinsky","given":"James","non-dropping-particle":"","parse-names":false,"suffix":""},{"dropping-particle":"","family":"Shihab","given":"Hashem A","non-dropping-particle":"","parse-names":false,"suffix":""},{"dropping-particle":"","family":"Timpson","given":"Nicholas J","non-dropping-particle":"","parse-names":false,"suffix":""},{"dropping-particle":"","family":"Evans","given":"David M","non-dropping-particle":"","parse-names":false,"suffix":""},{"dropping-particle":"","family":"Relton","given":"Caroline","non-dropping-particle":"","parse-names":false,"suffix":""},{"dropping-particle":"","family":"Martin","given":"Richard M","non-dropping-particle":"","parse-names":false,"suffix":""},{"dropping-particle":"","family":"Davey Smith","given":"George","non-dropping-particle":"","parse-names":false,"suffix":""},{"dropping-particle":"","family":"Gaunt","given":"Tom R","non-dropping-particle":"","parse-names":false,"suffix":""},{"dropping-particle":"","family":"Haycock","given":"Philip C","non-dropping-particle":"","parse-names":false,"suffix":""}],"container-title":"eLife","id":"ITEM-2","issued":{"date-parts":[["2018"]]},"page":"e34408","title":"The MR-Base platform supports systematic causal inference across the human phenome","type":"article-journal","volume":"7"},"uris":["http://www.mendeley.com/documents/?uuid=20ba61c5-2439-48a3-ae69-b68cb3623efd"]}],"mendeley":{"formattedCitation":"&lt;sup&gt;38, 41&lt;/sup&gt;","plainTextFormattedCitation":"38, 41","previouslyFormattedCitation":"&lt;sup&gt;38, 41&lt;/sup&gt;"},"properties":{"noteIndex":0},"schema":"https://github.com/citation-style-language/schema/raw/master/csl-citation.json"}</w:instrText>
      </w:r>
      <w:r w:rsidR="00475E2A">
        <w:rPr>
          <w:rFonts w:asciiTheme="minorHAnsi" w:hAnsiTheme="minorHAnsi" w:cstheme="minorHAnsi"/>
          <w:color w:val="000000" w:themeColor="text1"/>
          <w:lang w:val="en-GB"/>
        </w:rPr>
        <w:fldChar w:fldCharType="separate"/>
      </w:r>
      <w:r w:rsidR="008E00D1" w:rsidRPr="008E00D1">
        <w:rPr>
          <w:rFonts w:asciiTheme="minorHAnsi" w:hAnsiTheme="minorHAnsi" w:cstheme="minorHAnsi"/>
          <w:noProof/>
          <w:color w:val="000000" w:themeColor="text1"/>
          <w:vertAlign w:val="superscript"/>
          <w:lang w:val="en-GB"/>
        </w:rPr>
        <w:t>38, 41</w:t>
      </w:r>
      <w:r w:rsidR="00475E2A">
        <w:rPr>
          <w:rFonts w:asciiTheme="minorHAnsi" w:hAnsiTheme="minorHAnsi" w:cstheme="minorHAnsi"/>
          <w:color w:val="000000" w:themeColor="text1"/>
          <w:lang w:val="en-GB"/>
        </w:rPr>
        <w:fldChar w:fldCharType="end"/>
      </w:r>
      <w:r w:rsidRPr="00D949A2">
        <w:rPr>
          <w:rFonts w:asciiTheme="minorHAnsi" w:hAnsiTheme="minorHAnsi" w:cstheme="minorHAnsi"/>
          <w:color w:val="000000" w:themeColor="text1"/>
          <w:lang w:val="en-GB"/>
        </w:rPr>
        <w:t>.</w:t>
      </w:r>
    </w:p>
    <w:p w14:paraId="7DBA52ED" w14:textId="70EBAFF0" w:rsidR="00305AB0" w:rsidRPr="00D949A2" w:rsidRDefault="00305AB0" w:rsidP="00305AB0">
      <w:pPr>
        <w:spacing w:line="480" w:lineRule="auto"/>
        <w:jc w:val="both"/>
        <w:rPr>
          <w:rFonts w:asciiTheme="minorHAnsi" w:hAnsiTheme="minorHAnsi" w:cstheme="minorHAnsi"/>
          <w:color w:val="000000" w:themeColor="text1"/>
        </w:rPr>
      </w:pPr>
    </w:p>
    <w:p w14:paraId="62C0F4EB" w14:textId="77777777" w:rsidR="00305AB0" w:rsidRPr="00D949A2" w:rsidRDefault="00305AB0" w:rsidP="00305AB0">
      <w:pPr>
        <w:spacing w:line="480" w:lineRule="auto"/>
        <w:rPr>
          <w:rFonts w:asciiTheme="minorHAnsi" w:hAnsiTheme="minorHAnsi" w:cstheme="minorHAnsi"/>
          <w:i/>
          <w:color w:val="000000" w:themeColor="text1"/>
          <w:lang w:val="en-GB"/>
        </w:rPr>
      </w:pPr>
      <w:r w:rsidRPr="00D949A2">
        <w:rPr>
          <w:rFonts w:asciiTheme="minorHAnsi" w:hAnsiTheme="minorHAnsi" w:cstheme="minorHAnsi"/>
          <w:i/>
          <w:color w:val="000000" w:themeColor="text1"/>
          <w:lang w:val="en-GB"/>
        </w:rPr>
        <w:t>Power calculation</w:t>
      </w:r>
    </w:p>
    <w:p w14:paraId="1CC97A95" w14:textId="64AB408F" w:rsidR="00305AB0" w:rsidRPr="001C52E3" w:rsidRDefault="00305AB0" w:rsidP="00F558F1">
      <w:pPr>
        <w:spacing w:line="480" w:lineRule="auto"/>
        <w:ind w:firstLine="426"/>
        <w:jc w:val="both"/>
        <w:rPr>
          <w:rFonts w:asciiTheme="minorHAnsi" w:hAnsiTheme="minorHAnsi"/>
          <w:color w:val="000000" w:themeColor="text1"/>
        </w:rPr>
      </w:pPr>
      <w:r w:rsidRPr="00D949A2">
        <w:rPr>
          <w:rFonts w:asciiTheme="minorHAnsi" w:hAnsiTheme="minorHAnsi" w:cstheme="minorHAnsi"/>
          <w:color w:val="000000" w:themeColor="text1"/>
          <w:lang w:val="en-GB"/>
        </w:rPr>
        <w:t xml:space="preserve">We performed post-hoc power calculations using </w:t>
      </w:r>
      <w:r w:rsidR="00F558F1">
        <w:rPr>
          <w:rFonts w:asciiTheme="minorHAnsi" w:hAnsiTheme="minorHAnsi" w:cstheme="minorHAnsi"/>
          <w:color w:val="000000" w:themeColor="text1"/>
          <w:lang w:val="en-GB"/>
        </w:rPr>
        <w:t>the</w:t>
      </w:r>
      <w:r w:rsidR="00F558F1" w:rsidRPr="00D949A2">
        <w:rPr>
          <w:rFonts w:asciiTheme="minorHAnsi" w:hAnsiTheme="minorHAnsi" w:cstheme="minorHAnsi"/>
          <w:color w:val="000000" w:themeColor="text1"/>
          <w:lang w:val="en-GB"/>
        </w:rPr>
        <w:t xml:space="preserve"> </w:t>
      </w:r>
      <w:r w:rsidRPr="00D949A2">
        <w:rPr>
          <w:rFonts w:asciiTheme="minorHAnsi" w:hAnsiTheme="minorHAnsi" w:cstheme="minorHAnsi"/>
          <w:color w:val="000000" w:themeColor="text1"/>
          <w:lang w:val="en-GB"/>
        </w:rPr>
        <w:t>online software mRnd (</w:t>
      </w:r>
      <w:r w:rsidR="003B6DAC" w:rsidRPr="00AD6FA2">
        <w:rPr>
          <w:rFonts w:asciiTheme="minorHAnsi" w:hAnsiTheme="minorHAnsi" w:cstheme="minorHAnsi"/>
          <w:lang w:val="en-GB"/>
        </w:rPr>
        <w:t>http://cnsgenomics.com/shiny/mRnd/</w:t>
      </w:r>
      <w:r w:rsidRPr="00D949A2">
        <w:rPr>
          <w:rFonts w:asciiTheme="minorHAnsi" w:hAnsiTheme="minorHAnsi" w:cstheme="minorHAnsi"/>
          <w:color w:val="000000" w:themeColor="text1"/>
          <w:lang w:val="en-GB"/>
        </w:rPr>
        <w:t>)</w:t>
      </w:r>
      <w:r w:rsidR="003B6DAC">
        <w:rPr>
          <w:rFonts w:asciiTheme="minorHAnsi" w:hAnsiTheme="minorHAnsi" w:cstheme="minorHAnsi"/>
          <w:color w:val="000000" w:themeColor="text1"/>
          <w:lang w:val="en-GB"/>
        </w:rPr>
        <w:t xml:space="preserve"> </w:t>
      </w:r>
      <w:r w:rsidR="003B6DAC">
        <w:rPr>
          <w:rFonts w:asciiTheme="minorHAnsi" w:hAnsiTheme="minorHAnsi" w:cstheme="minorHAnsi"/>
          <w:color w:val="000000" w:themeColor="text1"/>
          <w:lang w:val="en-GB"/>
        </w:rPr>
        <w:fldChar w:fldCharType="begin" w:fldLock="1"/>
      </w:r>
      <w:r w:rsidR="00675992">
        <w:rPr>
          <w:rFonts w:asciiTheme="minorHAnsi" w:hAnsiTheme="minorHAnsi" w:cstheme="minorHAnsi"/>
          <w:color w:val="000000" w:themeColor="text1"/>
          <w:lang w:val="en-GB"/>
        </w:rPr>
        <w:instrText>ADDIN CSL_CITATION {"citationItems":[{"id":"ITEM-1","itemData":{"DOI":"10.1093/ije/dyt179","ISSN":"1464-3685","author":[{"dropping-particle":"","family":"Brion","given":"Marie-Jo A","non-dropping-particle":"","parse-names":false,"suffix":""},{"dropping-particle":"","family":"Shakhbazov","given":"Konstantin","non-dropping-particle":"","parse-names":false,"suffix":""},{"dropping-particle":"","family":"Visscher","given":"Peter M","non-dropping-particle":"","parse-names":false,"suffix":""}],"container-title":"International Journal of Epidemiology","id":"ITEM-1","issue":"5","issued":{"date-parts":[["2013","10","1"]]},"page":"1497-1501","publisher":"Oxford University Press","title":"Calculating statistical power in Mendelian randomization studies","type":"article-journal","volume":"42"},"uris":["http://www.mendeley.com/documents/?uuid=08f8d1a7-8a90-3a35-ac2d-c56ac7fdec5c"]}],"mendeley":{"formattedCitation":"&lt;sup&gt;42&lt;/sup&gt;","plainTextFormattedCitation":"42","previouslyFormattedCitation":"&lt;sup&gt;42&lt;/sup&gt;"},"properties":{"noteIndex":0},"schema":"https://github.com/citation-style-language/schema/raw/master/csl-citation.json"}</w:instrText>
      </w:r>
      <w:r w:rsidR="003B6DAC">
        <w:rPr>
          <w:rFonts w:asciiTheme="minorHAnsi" w:hAnsiTheme="minorHAnsi" w:cstheme="minorHAnsi"/>
          <w:color w:val="000000" w:themeColor="text1"/>
          <w:lang w:val="en-GB"/>
        </w:rPr>
        <w:fldChar w:fldCharType="separate"/>
      </w:r>
      <w:r w:rsidR="008E00D1" w:rsidRPr="008E00D1">
        <w:rPr>
          <w:rFonts w:asciiTheme="minorHAnsi" w:hAnsiTheme="minorHAnsi" w:cstheme="minorHAnsi"/>
          <w:noProof/>
          <w:color w:val="000000" w:themeColor="text1"/>
          <w:vertAlign w:val="superscript"/>
          <w:lang w:val="en-GB"/>
        </w:rPr>
        <w:t>42</w:t>
      </w:r>
      <w:r w:rsidR="003B6DAC">
        <w:rPr>
          <w:rFonts w:asciiTheme="minorHAnsi" w:hAnsiTheme="minorHAnsi" w:cstheme="minorHAnsi"/>
          <w:color w:val="000000" w:themeColor="text1"/>
          <w:lang w:val="en-GB"/>
        </w:rPr>
        <w:fldChar w:fldCharType="end"/>
      </w:r>
      <w:r w:rsidRPr="00D949A2">
        <w:rPr>
          <w:rFonts w:asciiTheme="minorHAnsi" w:hAnsiTheme="minorHAnsi" w:cstheme="minorHAnsi"/>
          <w:color w:val="000000" w:themeColor="text1"/>
          <w:lang w:val="en-GB"/>
        </w:rPr>
        <w:t>, based on a pooled sample size of 15</w:t>
      </w:r>
      <w:r w:rsidR="0080305D">
        <w:rPr>
          <w:rFonts w:asciiTheme="minorHAnsi" w:hAnsiTheme="minorHAnsi" w:cstheme="minorHAnsi"/>
          <w:color w:val="000000" w:themeColor="text1"/>
          <w:lang w:val="en-GB"/>
        </w:rPr>
        <w:t>,</w:t>
      </w:r>
      <w:r w:rsidRPr="00D949A2">
        <w:rPr>
          <w:rFonts w:asciiTheme="minorHAnsi" w:hAnsiTheme="minorHAnsi" w:cstheme="minorHAnsi"/>
          <w:color w:val="000000" w:themeColor="text1"/>
          <w:lang w:val="en-GB"/>
        </w:rPr>
        <w:t>824</w:t>
      </w:r>
      <w:r w:rsidR="0080305D">
        <w:rPr>
          <w:rFonts w:asciiTheme="minorHAnsi" w:hAnsiTheme="minorHAnsi" w:cstheme="minorHAnsi"/>
          <w:color w:val="000000" w:themeColor="text1"/>
          <w:lang w:val="en-GB"/>
        </w:rPr>
        <w:t xml:space="preserve"> subjects</w:t>
      </w:r>
      <w:r w:rsidR="00B14090">
        <w:rPr>
          <w:rFonts w:asciiTheme="minorHAnsi" w:hAnsiTheme="minorHAnsi" w:cstheme="minorHAnsi"/>
          <w:color w:val="000000" w:themeColor="text1"/>
          <w:lang w:val="en-GB"/>
        </w:rPr>
        <w:t xml:space="preserve"> (</w:t>
      </w:r>
      <w:r w:rsidR="001B61BC">
        <w:rPr>
          <w:rFonts w:asciiTheme="minorHAnsi" w:hAnsiTheme="minorHAnsi" w:cstheme="minorHAnsi"/>
          <w:color w:val="000000" w:themeColor="text1"/>
          <w:lang w:val="en-GB"/>
        </w:rPr>
        <w:t>t</w:t>
      </w:r>
      <w:r w:rsidR="00B14090">
        <w:rPr>
          <w:rFonts w:asciiTheme="minorHAnsi" w:hAnsiTheme="minorHAnsi" w:cstheme="minorHAnsi"/>
          <w:color w:val="000000" w:themeColor="text1"/>
          <w:lang w:val="en-GB"/>
        </w:rPr>
        <w:t>able 1)</w:t>
      </w:r>
      <w:r w:rsidRPr="00D949A2">
        <w:rPr>
          <w:rFonts w:asciiTheme="minorHAnsi" w:hAnsiTheme="minorHAnsi" w:cstheme="minorHAnsi"/>
          <w:color w:val="000000" w:themeColor="text1"/>
          <w:lang w:val="en-GB"/>
        </w:rPr>
        <w:t xml:space="preserve">. At a significance level of 0.05, we had 80% power to detect causal effects on pancreatic cancer of minimum odds ratio (OR) of 1.27 for BMI, OR of </w:t>
      </w:r>
      <w:r w:rsidR="00E62A85">
        <w:rPr>
          <w:rFonts w:asciiTheme="minorHAnsi" w:hAnsiTheme="minorHAnsi" w:cstheme="minorHAnsi"/>
          <w:color w:val="000000" w:themeColor="text1"/>
          <w:lang w:val="en-GB"/>
        </w:rPr>
        <w:t>3.35</w:t>
      </w:r>
      <w:r w:rsidRPr="00D949A2">
        <w:rPr>
          <w:rFonts w:asciiTheme="minorHAnsi" w:hAnsiTheme="minorHAnsi" w:cstheme="minorHAnsi"/>
          <w:color w:val="000000" w:themeColor="text1"/>
          <w:lang w:val="en-GB"/>
        </w:rPr>
        <w:t xml:space="preserve"> for fasting insulin, OR of 1.11 for T2D, and OR of 1.21 for LDL.</w:t>
      </w:r>
    </w:p>
    <w:bookmarkEnd w:id="24"/>
    <w:bookmarkEnd w:id="25"/>
    <w:p w14:paraId="15131FFA" w14:textId="77777777" w:rsidR="00CD71A9" w:rsidRDefault="00CD71A9" w:rsidP="00F558F1">
      <w:pPr>
        <w:spacing w:line="480" w:lineRule="auto"/>
        <w:ind w:firstLine="426"/>
        <w:jc w:val="both"/>
        <w:rPr>
          <w:rFonts w:asciiTheme="minorHAnsi" w:hAnsiTheme="minorHAnsi" w:cstheme="minorHAnsi"/>
          <w:lang w:val="en-GB"/>
        </w:rPr>
      </w:pPr>
    </w:p>
    <w:p w14:paraId="4082D329" w14:textId="77777777" w:rsidR="005E777D" w:rsidRPr="004B08E4" w:rsidRDefault="005E777D" w:rsidP="00086AD2">
      <w:pPr>
        <w:spacing w:line="480" w:lineRule="auto"/>
        <w:jc w:val="both"/>
        <w:rPr>
          <w:rFonts w:asciiTheme="minorHAnsi" w:eastAsia="Arial" w:hAnsiTheme="minorHAnsi" w:cstheme="minorHAnsi"/>
          <w:b/>
          <w:color w:val="000000" w:themeColor="text1"/>
          <w:lang w:val="en-GB" w:eastAsia="en-GB"/>
        </w:rPr>
      </w:pPr>
      <w:r w:rsidRPr="004B08E4">
        <w:rPr>
          <w:rFonts w:asciiTheme="minorHAnsi" w:hAnsiTheme="minorHAnsi" w:cstheme="minorHAnsi"/>
          <w:color w:val="000000" w:themeColor="text1"/>
          <w:lang w:val="en-GB"/>
        </w:rPr>
        <w:br w:type="page"/>
      </w:r>
    </w:p>
    <w:p w14:paraId="2FAD9BF2" w14:textId="2B6BE02E" w:rsidR="00C4442B" w:rsidRPr="004B08E4" w:rsidRDefault="00C4442B" w:rsidP="00086AD2">
      <w:pPr>
        <w:pStyle w:val="Heading1"/>
        <w:rPr>
          <w:rFonts w:asciiTheme="minorHAnsi" w:hAnsiTheme="minorHAnsi" w:cstheme="minorHAnsi"/>
          <w:color w:val="000000" w:themeColor="text1"/>
          <w:lang w:val="en-GB"/>
        </w:rPr>
      </w:pPr>
      <w:r w:rsidRPr="004B08E4">
        <w:rPr>
          <w:rFonts w:asciiTheme="minorHAnsi" w:hAnsiTheme="minorHAnsi" w:cstheme="minorHAnsi"/>
          <w:color w:val="000000" w:themeColor="text1"/>
          <w:lang w:val="en-GB"/>
        </w:rPr>
        <w:lastRenderedPageBreak/>
        <w:t>Results</w:t>
      </w:r>
    </w:p>
    <w:p w14:paraId="64840825" w14:textId="0B1FF131" w:rsidR="008F05E5" w:rsidRPr="004B08E4" w:rsidRDefault="007F2D7F" w:rsidP="00F558F1">
      <w:pPr>
        <w:spacing w:line="480" w:lineRule="auto"/>
        <w:ind w:firstLine="426"/>
        <w:jc w:val="both"/>
        <w:rPr>
          <w:rFonts w:asciiTheme="minorHAnsi" w:eastAsiaTheme="minorHAnsi" w:hAnsiTheme="minorHAnsi" w:cstheme="minorHAnsi"/>
        </w:rPr>
      </w:pPr>
      <w:bookmarkStart w:id="27" w:name="OLE_LINK28"/>
      <w:bookmarkStart w:id="28" w:name="OLE_LINK29"/>
      <w:r w:rsidRPr="004B08E4">
        <w:rPr>
          <w:rFonts w:asciiTheme="minorHAnsi" w:hAnsiTheme="minorHAnsi" w:cstheme="minorHAnsi"/>
          <w:noProof/>
          <w:lang w:val="en-GB"/>
        </w:rPr>
        <w:t xml:space="preserve">We </w:t>
      </w:r>
      <w:r w:rsidR="000F16FB" w:rsidRPr="004B08E4">
        <w:rPr>
          <w:rFonts w:asciiTheme="minorHAnsi" w:hAnsiTheme="minorHAnsi" w:cstheme="minorHAnsi"/>
          <w:noProof/>
          <w:lang w:val="en-GB"/>
        </w:rPr>
        <w:t>conducted</w:t>
      </w:r>
      <w:r w:rsidRPr="004B08E4">
        <w:rPr>
          <w:rFonts w:asciiTheme="minorHAnsi" w:hAnsiTheme="minorHAnsi" w:cstheme="minorHAnsi"/>
          <w:noProof/>
          <w:lang w:val="en-GB"/>
        </w:rPr>
        <w:t xml:space="preserve"> two MR approaches</w:t>
      </w:r>
      <w:r w:rsidR="000F16FB" w:rsidRPr="004B08E4">
        <w:rPr>
          <w:rFonts w:asciiTheme="minorHAnsi" w:hAnsiTheme="minorHAnsi" w:cstheme="minorHAnsi"/>
          <w:noProof/>
          <w:lang w:val="en-GB"/>
        </w:rPr>
        <w:t xml:space="preserve"> to evaluate the </w:t>
      </w:r>
      <w:r w:rsidR="00D709D7" w:rsidRPr="004B08E4">
        <w:rPr>
          <w:rFonts w:asciiTheme="minorHAnsi" w:hAnsiTheme="minorHAnsi" w:cstheme="minorHAnsi"/>
          <w:noProof/>
          <w:lang w:val="en-GB"/>
        </w:rPr>
        <w:t xml:space="preserve">associations between </w:t>
      </w:r>
      <w:r w:rsidR="00F558F1">
        <w:rPr>
          <w:rFonts w:asciiTheme="minorHAnsi" w:hAnsiTheme="minorHAnsi" w:cstheme="minorHAnsi"/>
          <w:noProof/>
          <w:lang w:val="en-GB"/>
        </w:rPr>
        <w:t xml:space="preserve">exposure to </w:t>
      </w:r>
      <w:r w:rsidR="00D709D7" w:rsidRPr="004B08E4">
        <w:rPr>
          <w:rFonts w:asciiTheme="minorHAnsi" w:hAnsiTheme="minorHAnsi" w:cstheme="minorHAnsi"/>
          <w:noProof/>
          <w:lang w:val="en-GB"/>
        </w:rPr>
        <w:t xml:space="preserve">genetically predicted </w:t>
      </w:r>
      <w:r w:rsidR="00A965E3" w:rsidRPr="004B08E4">
        <w:rPr>
          <w:rFonts w:asciiTheme="minorHAnsi" w:hAnsiTheme="minorHAnsi" w:cstheme="minorHAnsi"/>
          <w:noProof/>
          <w:lang w:val="en-GB"/>
        </w:rPr>
        <w:t xml:space="preserve">PDAC risk </w:t>
      </w:r>
      <w:r w:rsidR="00D709D7" w:rsidRPr="004B08E4">
        <w:rPr>
          <w:rFonts w:asciiTheme="minorHAnsi" w:hAnsiTheme="minorHAnsi" w:cstheme="minorHAnsi"/>
          <w:noProof/>
          <w:lang w:val="en-GB"/>
        </w:rPr>
        <w:t>factors</w:t>
      </w:r>
      <w:r w:rsidR="00A965E3" w:rsidRPr="004B08E4">
        <w:rPr>
          <w:rFonts w:asciiTheme="minorHAnsi" w:hAnsiTheme="minorHAnsi" w:cstheme="minorHAnsi"/>
          <w:noProof/>
          <w:lang w:val="en-GB"/>
        </w:rPr>
        <w:t xml:space="preserve"> </w:t>
      </w:r>
      <w:r w:rsidR="00D709D7" w:rsidRPr="004B08E4">
        <w:rPr>
          <w:rFonts w:asciiTheme="minorHAnsi" w:hAnsiTheme="minorHAnsi" w:cstheme="minorHAnsi"/>
          <w:noProof/>
          <w:lang w:val="en-GB"/>
        </w:rPr>
        <w:t>and</w:t>
      </w:r>
      <w:r w:rsidR="00385EE6" w:rsidRPr="004B08E4">
        <w:rPr>
          <w:rFonts w:asciiTheme="minorHAnsi" w:hAnsiTheme="minorHAnsi" w:cstheme="minorHAnsi"/>
          <w:noProof/>
          <w:lang w:val="en-GB"/>
        </w:rPr>
        <w:t xml:space="preserve"> </w:t>
      </w:r>
      <w:r w:rsidR="00A965E3" w:rsidRPr="004B08E4">
        <w:rPr>
          <w:rFonts w:asciiTheme="minorHAnsi" w:hAnsiTheme="minorHAnsi" w:cstheme="minorHAnsi"/>
          <w:noProof/>
          <w:lang w:val="en-GB"/>
        </w:rPr>
        <w:t>risk of developing the disease.</w:t>
      </w:r>
      <w:r w:rsidRPr="004B08E4">
        <w:rPr>
          <w:rFonts w:asciiTheme="minorHAnsi" w:hAnsiTheme="minorHAnsi" w:cstheme="minorHAnsi"/>
          <w:noProof/>
          <w:lang w:val="en-GB"/>
        </w:rPr>
        <w:t xml:space="preserve"> </w:t>
      </w:r>
      <w:r w:rsidR="00B21447" w:rsidRPr="00B21447">
        <w:rPr>
          <w:rFonts w:asciiTheme="minorHAnsi" w:hAnsiTheme="minorHAnsi" w:cstheme="minorHAnsi"/>
          <w:noProof/>
          <w:lang w:val="en-GB"/>
        </w:rPr>
        <w:t>Comprehensive MR refers to using all independent variants associated with the traits, whilst restrictive MR excludes overlapped variants between any different traits except for shared SNPs among the sub-traits of alcohol-related, smoking-related, and allergy-related traits.</w:t>
      </w:r>
      <w:r w:rsidRPr="004B08E4">
        <w:rPr>
          <w:rFonts w:asciiTheme="minorHAnsi" w:hAnsiTheme="minorHAnsi" w:cstheme="minorHAnsi"/>
          <w:noProof/>
          <w:lang w:val="en-GB"/>
        </w:rPr>
        <w:t xml:space="preserve"> </w:t>
      </w:r>
      <w:r w:rsidR="00A965E3" w:rsidRPr="004B08E4">
        <w:rPr>
          <w:rFonts w:asciiTheme="minorHAnsi" w:hAnsiTheme="minorHAnsi" w:cstheme="minorHAnsi"/>
          <w:noProof/>
          <w:lang w:val="en-GB"/>
        </w:rPr>
        <w:t>In addition</w:t>
      </w:r>
      <w:r w:rsidR="00F558F1">
        <w:rPr>
          <w:rFonts w:asciiTheme="minorHAnsi" w:hAnsiTheme="minorHAnsi" w:cstheme="minorHAnsi"/>
          <w:noProof/>
          <w:lang w:val="en-GB"/>
        </w:rPr>
        <w:t>,</w:t>
      </w:r>
      <w:r w:rsidR="00DE4A74" w:rsidRPr="004B08E4">
        <w:rPr>
          <w:rFonts w:asciiTheme="minorHAnsi" w:hAnsiTheme="minorHAnsi" w:cstheme="minorHAnsi"/>
          <w:noProof/>
          <w:lang w:val="en-GB"/>
        </w:rPr>
        <w:t xml:space="preserve"> </w:t>
      </w:r>
      <w:r w:rsidR="00B81016">
        <w:rPr>
          <w:rFonts w:asciiTheme="minorHAnsi" w:hAnsiTheme="minorHAnsi" w:cstheme="minorHAnsi"/>
          <w:noProof/>
          <w:lang w:val="en-GB"/>
        </w:rPr>
        <w:t>w</w:t>
      </w:r>
      <w:r w:rsidR="00E62439">
        <w:rPr>
          <w:rFonts w:asciiTheme="minorHAnsi" w:hAnsiTheme="minorHAnsi" w:cstheme="minorHAnsi"/>
          <w:noProof/>
          <w:lang w:val="en-GB"/>
        </w:rPr>
        <w:t>e also applied the r</w:t>
      </w:r>
      <w:r w:rsidR="00B81016" w:rsidRPr="00B81016">
        <w:rPr>
          <w:rFonts w:asciiTheme="minorHAnsi" w:hAnsiTheme="minorHAnsi" w:cstheme="minorHAnsi"/>
          <w:noProof/>
          <w:lang w:val="en-GB"/>
        </w:rPr>
        <w:t xml:space="preserve">adial MR to identify and remove outliers for those </w:t>
      </w:r>
      <w:bookmarkStart w:id="29" w:name="_Hlk26261522"/>
      <w:r w:rsidR="00B81016" w:rsidRPr="00B81016">
        <w:rPr>
          <w:rFonts w:asciiTheme="minorHAnsi" w:hAnsiTheme="minorHAnsi" w:cstheme="minorHAnsi"/>
          <w:noProof/>
          <w:lang w:val="en-GB"/>
        </w:rPr>
        <w:t>traits showing evidence of heterogeneity</w:t>
      </w:r>
      <w:r w:rsidR="008E1F85">
        <w:rPr>
          <w:rFonts w:asciiTheme="minorHAnsi" w:hAnsiTheme="minorHAnsi" w:cstheme="minorHAnsi"/>
          <w:noProof/>
          <w:lang w:val="en-GB"/>
        </w:rPr>
        <w:t xml:space="preserve"> </w:t>
      </w:r>
      <w:bookmarkEnd w:id="29"/>
      <w:r w:rsidR="008E1F85">
        <w:rPr>
          <w:rFonts w:asciiTheme="minorHAnsi" w:hAnsiTheme="minorHAnsi" w:cstheme="minorHAnsi"/>
          <w:noProof/>
          <w:lang w:val="en-GB"/>
        </w:rPr>
        <w:t>(drinks per week, fasting glucose, fasting insulin, type 1 diabetes, type 2 diabetes, BMI, HDL, LDL and total  cholesterol, triglycerides, self-reported allergy, allergic rhinitis and allergic disease, supplementary tables 3 and 4)</w:t>
      </w:r>
      <w:r w:rsidR="000F2DDC">
        <w:rPr>
          <w:rFonts w:asciiTheme="minorHAnsi" w:hAnsiTheme="minorHAnsi" w:cstheme="minorHAnsi"/>
          <w:noProof/>
          <w:lang w:val="en-GB"/>
        </w:rPr>
        <w:t>.</w:t>
      </w:r>
    </w:p>
    <w:p w14:paraId="5E62D60D" w14:textId="22132C5F" w:rsidR="00422323" w:rsidRDefault="00CD35E0" w:rsidP="00F558F1">
      <w:pPr>
        <w:spacing w:line="480" w:lineRule="auto"/>
        <w:ind w:firstLine="426"/>
        <w:jc w:val="both"/>
        <w:rPr>
          <w:rFonts w:asciiTheme="minorHAnsi" w:hAnsiTheme="minorHAnsi" w:cstheme="minorHAnsi"/>
          <w:lang w:val="en-GB"/>
        </w:rPr>
      </w:pPr>
      <w:bookmarkStart w:id="30" w:name="OLE_LINK30"/>
      <w:bookmarkStart w:id="31" w:name="OLE_LINK31"/>
      <w:bookmarkStart w:id="32" w:name="OLE_LINK67"/>
      <w:bookmarkStart w:id="33" w:name="OLE_LINK68"/>
      <w:bookmarkEnd w:id="27"/>
      <w:bookmarkEnd w:id="28"/>
      <w:r w:rsidRPr="004B08E4">
        <w:rPr>
          <w:rFonts w:asciiTheme="minorHAnsi" w:hAnsiTheme="minorHAnsi" w:cstheme="minorHAnsi"/>
          <w:lang w:val="en-GB"/>
        </w:rPr>
        <w:t>In the comprehensive</w:t>
      </w:r>
      <w:r w:rsidR="00BC2795" w:rsidRPr="004B08E4">
        <w:rPr>
          <w:rFonts w:asciiTheme="minorHAnsi" w:hAnsiTheme="minorHAnsi" w:cstheme="minorHAnsi"/>
          <w:lang w:val="en-GB"/>
        </w:rPr>
        <w:t xml:space="preserve"> </w:t>
      </w:r>
      <w:r w:rsidR="00422323">
        <w:rPr>
          <w:rFonts w:asciiTheme="minorHAnsi" w:hAnsiTheme="minorHAnsi" w:cstheme="minorHAnsi"/>
          <w:lang w:val="en-GB"/>
        </w:rPr>
        <w:t xml:space="preserve">analysis after removal of outliers by use of </w:t>
      </w:r>
      <w:r w:rsidR="00BC2795" w:rsidRPr="004B08E4">
        <w:rPr>
          <w:rFonts w:asciiTheme="minorHAnsi" w:hAnsiTheme="minorHAnsi" w:cstheme="minorHAnsi"/>
          <w:lang w:val="en-GB"/>
        </w:rPr>
        <w:t>radial</w:t>
      </w:r>
      <w:r w:rsidRPr="004B08E4">
        <w:rPr>
          <w:rFonts w:asciiTheme="minorHAnsi" w:hAnsiTheme="minorHAnsi" w:cstheme="minorHAnsi"/>
          <w:lang w:val="en-GB"/>
        </w:rPr>
        <w:t xml:space="preserve"> MR, we observed </w:t>
      </w:r>
      <w:r w:rsidR="00373DA3" w:rsidRPr="004B08E4">
        <w:rPr>
          <w:rFonts w:asciiTheme="minorHAnsi" w:hAnsiTheme="minorHAnsi" w:cstheme="minorHAnsi"/>
          <w:lang w:val="en-GB"/>
        </w:rPr>
        <w:t xml:space="preserve">four </w:t>
      </w:r>
      <w:r w:rsidR="0080419B" w:rsidRPr="004B08E4">
        <w:rPr>
          <w:rFonts w:asciiTheme="minorHAnsi" w:hAnsiTheme="minorHAnsi" w:cstheme="minorHAnsi"/>
          <w:lang w:val="en-GB"/>
        </w:rPr>
        <w:t xml:space="preserve">associations between metabolic traits </w:t>
      </w:r>
      <w:r w:rsidR="00DB2D3F" w:rsidRPr="004B08E4">
        <w:rPr>
          <w:rFonts w:asciiTheme="minorHAnsi" w:hAnsiTheme="minorHAnsi" w:cstheme="minorHAnsi"/>
          <w:lang w:val="en-GB"/>
        </w:rPr>
        <w:t xml:space="preserve">and </w:t>
      </w:r>
      <w:r w:rsidRPr="004B08E4">
        <w:rPr>
          <w:rFonts w:asciiTheme="minorHAnsi" w:hAnsiTheme="minorHAnsi" w:cstheme="minorHAnsi"/>
          <w:lang w:val="en-GB"/>
        </w:rPr>
        <w:t>PDAC risk</w:t>
      </w:r>
      <w:r w:rsidR="00422323">
        <w:rPr>
          <w:rFonts w:asciiTheme="minorHAnsi" w:hAnsiTheme="minorHAnsi" w:cstheme="minorHAnsi"/>
          <w:lang w:val="en-GB"/>
        </w:rPr>
        <w:t xml:space="preserve"> (table 2)</w:t>
      </w:r>
      <w:r w:rsidRPr="004B08E4">
        <w:rPr>
          <w:rFonts w:asciiTheme="minorHAnsi" w:hAnsiTheme="minorHAnsi" w:cstheme="minorHAnsi"/>
          <w:lang w:val="en-GB"/>
        </w:rPr>
        <w:t xml:space="preserve">. </w:t>
      </w:r>
      <w:r w:rsidR="0035122E">
        <w:rPr>
          <w:rFonts w:asciiTheme="minorHAnsi" w:hAnsiTheme="minorHAnsi" w:cstheme="minorHAnsi"/>
          <w:lang w:val="en-GB"/>
        </w:rPr>
        <w:t xml:space="preserve">We found an </w:t>
      </w:r>
      <w:r w:rsidR="0080419B" w:rsidRPr="004B08E4">
        <w:rPr>
          <w:rFonts w:asciiTheme="minorHAnsi" w:hAnsiTheme="minorHAnsi" w:cstheme="minorHAnsi"/>
          <w:lang w:val="en-GB"/>
        </w:rPr>
        <w:t xml:space="preserve">association between BMI and </w:t>
      </w:r>
      <w:r w:rsidR="00422323">
        <w:rPr>
          <w:rFonts w:asciiTheme="minorHAnsi" w:hAnsiTheme="minorHAnsi" w:cstheme="minorHAnsi"/>
          <w:lang w:val="en-GB"/>
        </w:rPr>
        <w:t xml:space="preserve">PDAC </w:t>
      </w:r>
      <w:r w:rsidR="0080419B" w:rsidRPr="004B08E4">
        <w:rPr>
          <w:rFonts w:asciiTheme="minorHAnsi" w:hAnsiTheme="minorHAnsi" w:cstheme="minorHAnsi"/>
          <w:lang w:val="en-GB"/>
        </w:rPr>
        <w:t>risk</w:t>
      </w:r>
      <w:r w:rsidR="00DB2D3F" w:rsidRPr="004B08E4">
        <w:rPr>
          <w:rFonts w:asciiTheme="minorHAnsi" w:hAnsiTheme="minorHAnsi" w:cstheme="minorHAnsi"/>
          <w:lang w:val="en-GB"/>
        </w:rPr>
        <w:t xml:space="preserve"> (</w:t>
      </w:r>
      <w:bookmarkStart w:id="34" w:name="OLE_LINK7"/>
      <w:bookmarkStart w:id="35" w:name="OLE_LINK8"/>
      <w:r w:rsidR="00DB2D3F" w:rsidRPr="004B08E4">
        <w:rPr>
          <w:rFonts w:asciiTheme="minorHAnsi" w:hAnsiTheme="minorHAnsi" w:cstheme="minorHAnsi"/>
          <w:lang w:val="en-GB"/>
        </w:rPr>
        <w:t>OR=</w:t>
      </w:r>
      <w:r w:rsidR="00373DA3" w:rsidRPr="004B08E4">
        <w:rPr>
          <w:rFonts w:asciiTheme="minorHAnsi" w:hAnsiTheme="minorHAnsi" w:cstheme="minorHAnsi"/>
          <w:lang w:val="en-GB"/>
        </w:rPr>
        <w:t>1</w:t>
      </w:r>
      <w:r w:rsidR="00DB2D3F" w:rsidRPr="004B08E4">
        <w:rPr>
          <w:rFonts w:asciiTheme="minorHAnsi" w:hAnsiTheme="minorHAnsi" w:cstheme="minorHAnsi"/>
          <w:lang w:val="en-GB"/>
        </w:rPr>
        <w:t>.</w:t>
      </w:r>
      <w:r w:rsidR="00373DA3" w:rsidRPr="004B08E4">
        <w:rPr>
          <w:rFonts w:asciiTheme="minorHAnsi" w:hAnsiTheme="minorHAnsi" w:cstheme="minorHAnsi"/>
          <w:lang w:val="en-GB"/>
        </w:rPr>
        <w:t>38</w:t>
      </w:r>
      <w:r w:rsidR="00DB2D3F" w:rsidRPr="004B08E4">
        <w:rPr>
          <w:rFonts w:asciiTheme="minorHAnsi" w:hAnsiTheme="minorHAnsi" w:cstheme="minorHAnsi"/>
          <w:lang w:val="en-GB"/>
        </w:rPr>
        <w:t>, 95%</w:t>
      </w:r>
      <w:r w:rsidR="000F2DDC" w:rsidRPr="004B08E4">
        <w:rPr>
          <w:rFonts w:asciiTheme="minorHAnsi" w:hAnsiTheme="minorHAnsi" w:cstheme="minorHAnsi"/>
          <w:lang w:val="en-GB"/>
        </w:rPr>
        <w:t>CI</w:t>
      </w:r>
      <w:r w:rsidR="000F2DDC">
        <w:rPr>
          <w:rFonts w:asciiTheme="minorHAnsi" w:hAnsiTheme="minorHAnsi" w:cstheme="minorHAnsi"/>
          <w:lang w:val="en-GB"/>
        </w:rPr>
        <w:t>=</w:t>
      </w:r>
      <w:r w:rsidR="00373DA3" w:rsidRPr="000D35D6">
        <w:rPr>
          <w:rFonts w:asciiTheme="minorHAnsi" w:hAnsiTheme="minorHAnsi" w:cstheme="minorHAnsi"/>
          <w:lang w:val="en-GB"/>
        </w:rPr>
        <w:t>1</w:t>
      </w:r>
      <w:r w:rsidR="00DB2D3F" w:rsidRPr="000D35D6">
        <w:rPr>
          <w:rFonts w:asciiTheme="minorHAnsi" w:hAnsiTheme="minorHAnsi" w:cstheme="minorHAnsi"/>
          <w:lang w:val="en-GB"/>
        </w:rPr>
        <w:t>.</w:t>
      </w:r>
      <w:r w:rsidR="00373DA3" w:rsidRPr="000D35D6">
        <w:rPr>
          <w:rFonts w:asciiTheme="minorHAnsi" w:hAnsiTheme="minorHAnsi" w:cstheme="minorHAnsi"/>
          <w:lang w:val="en-GB"/>
        </w:rPr>
        <w:t>17</w:t>
      </w:r>
      <w:r w:rsidR="00DB2D3F" w:rsidRPr="000D35D6">
        <w:rPr>
          <w:rFonts w:asciiTheme="minorHAnsi" w:hAnsiTheme="minorHAnsi" w:cstheme="minorHAnsi"/>
          <w:lang w:val="en-GB"/>
        </w:rPr>
        <w:t>-</w:t>
      </w:r>
      <w:r w:rsidR="00373DA3" w:rsidRPr="000D35D6">
        <w:rPr>
          <w:rFonts w:asciiTheme="minorHAnsi" w:hAnsiTheme="minorHAnsi" w:cstheme="minorHAnsi"/>
          <w:lang w:val="en-GB"/>
        </w:rPr>
        <w:t>1</w:t>
      </w:r>
      <w:r w:rsidR="00DB2D3F" w:rsidRPr="000D35D6">
        <w:rPr>
          <w:rFonts w:asciiTheme="minorHAnsi" w:hAnsiTheme="minorHAnsi" w:cstheme="minorHAnsi"/>
          <w:lang w:val="en-GB"/>
        </w:rPr>
        <w:t>.</w:t>
      </w:r>
      <w:r w:rsidR="00373DA3" w:rsidRPr="000D35D6">
        <w:rPr>
          <w:rFonts w:asciiTheme="minorHAnsi" w:hAnsiTheme="minorHAnsi" w:cstheme="minorHAnsi"/>
          <w:lang w:val="en-GB"/>
        </w:rPr>
        <w:t>64</w:t>
      </w:r>
      <w:r w:rsidR="007672ED">
        <w:rPr>
          <w:rFonts w:asciiTheme="minorHAnsi" w:hAnsiTheme="minorHAnsi" w:cstheme="minorHAnsi"/>
          <w:lang w:val="en-GB"/>
        </w:rPr>
        <w:t>,</w:t>
      </w:r>
      <w:r w:rsidR="00DB2D3F" w:rsidRPr="000D35D6">
        <w:rPr>
          <w:rFonts w:asciiTheme="minorHAnsi" w:hAnsiTheme="minorHAnsi" w:cstheme="minorHAnsi"/>
          <w:lang w:val="en-GB"/>
        </w:rPr>
        <w:t xml:space="preserve"> </w:t>
      </w:r>
      <w:r w:rsidR="007672ED" w:rsidRPr="00BA56A0">
        <w:rPr>
          <w:rFonts w:asciiTheme="minorHAnsi" w:hAnsiTheme="minorHAnsi" w:cstheme="minorHAnsi"/>
          <w:i/>
          <w:lang w:val="en-GB"/>
        </w:rPr>
        <w:t>P</w:t>
      </w:r>
      <w:r w:rsidR="007672ED" w:rsidRPr="000D35D6">
        <w:rPr>
          <w:rFonts w:asciiTheme="minorHAnsi" w:hAnsiTheme="minorHAnsi" w:cstheme="minorHAnsi"/>
          <w:lang w:val="en-GB"/>
        </w:rPr>
        <w:t>=</w:t>
      </w:r>
      <w:r w:rsidR="007672ED" w:rsidRPr="00BA56A0">
        <w:rPr>
          <w:rFonts w:asciiTheme="minorHAnsi" w:hAnsiTheme="minorHAnsi" w:cstheme="minorHAnsi"/>
          <w:bCs/>
          <w:color w:val="000000"/>
        </w:rPr>
        <w:t>1.79x10</w:t>
      </w:r>
      <w:r w:rsidR="007672ED" w:rsidRPr="00BA56A0">
        <w:rPr>
          <w:rFonts w:asciiTheme="minorHAnsi" w:hAnsiTheme="minorHAnsi" w:cstheme="minorHAnsi"/>
          <w:bCs/>
          <w:color w:val="000000"/>
          <w:vertAlign w:val="superscript"/>
        </w:rPr>
        <w:t>-4</w:t>
      </w:r>
      <w:bookmarkEnd w:id="34"/>
      <w:bookmarkEnd w:id="35"/>
      <w:r w:rsidR="0035122E">
        <w:rPr>
          <w:rFonts w:asciiTheme="minorHAnsi" w:hAnsiTheme="minorHAnsi" w:cstheme="minorHAnsi"/>
          <w:bCs/>
          <w:color w:val="000000"/>
          <w:vertAlign w:val="superscript"/>
        </w:rPr>
        <w:t xml:space="preserve"> </w:t>
      </w:r>
      <w:r w:rsidR="00422323" w:rsidRPr="000D35D6">
        <w:rPr>
          <w:rFonts w:asciiTheme="minorHAnsi" w:hAnsiTheme="minorHAnsi" w:cstheme="minorHAnsi"/>
          <w:lang w:val="en-GB"/>
        </w:rPr>
        <w:t>using the IVW method</w:t>
      </w:r>
      <w:r w:rsidR="00DB2D3F" w:rsidRPr="000D35D6">
        <w:rPr>
          <w:rFonts w:asciiTheme="minorHAnsi" w:hAnsiTheme="minorHAnsi" w:cstheme="minorHAnsi"/>
          <w:lang w:val="en-GB"/>
        </w:rPr>
        <w:t>)</w:t>
      </w:r>
      <w:r w:rsidR="00676AAD" w:rsidRPr="000D35D6">
        <w:rPr>
          <w:rFonts w:asciiTheme="minorHAnsi" w:hAnsiTheme="minorHAnsi" w:cstheme="minorHAnsi"/>
          <w:lang w:val="en-GB"/>
        </w:rPr>
        <w:t>.</w:t>
      </w:r>
      <w:bookmarkEnd w:id="30"/>
      <w:bookmarkEnd w:id="31"/>
      <w:r w:rsidR="00373DA3" w:rsidRPr="000D35D6">
        <w:rPr>
          <w:rFonts w:asciiTheme="minorHAnsi" w:hAnsiTheme="minorHAnsi" w:cstheme="minorHAnsi"/>
          <w:lang w:val="en-GB"/>
        </w:rPr>
        <w:t xml:space="preserve"> </w:t>
      </w:r>
      <w:r w:rsidR="001B61BC" w:rsidRPr="001B61BC">
        <w:rPr>
          <w:rFonts w:asciiTheme="minorHAnsi" w:hAnsiTheme="minorHAnsi" w:cstheme="minorHAnsi"/>
          <w:lang w:val="en-GB"/>
        </w:rPr>
        <w:t xml:space="preserve">Similar results to the IVW estimates were provided by the weighted median and </w:t>
      </w:r>
      <w:r w:rsidR="001B61BC">
        <w:rPr>
          <w:rFonts w:asciiTheme="minorHAnsi" w:hAnsiTheme="minorHAnsi" w:cstheme="minorHAnsi"/>
          <w:lang w:val="en-GB"/>
        </w:rPr>
        <w:t>MR-Egger</w:t>
      </w:r>
      <w:r w:rsidR="001B61BC" w:rsidRPr="001B61BC">
        <w:rPr>
          <w:rFonts w:asciiTheme="minorHAnsi" w:hAnsiTheme="minorHAnsi" w:cstheme="minorHAnsi"/>
          <w:lang w:val="en-GB"/>
        </w:rPr>
        <w:t xml:space="preserve"> for </w:t>
      </w:r>
      <w:r w:rsidR="001B61BC">
        <w:rPr>
          <w:rFonts w:asciiTheme="minorHAnsi" w:hAnsiTheme="minorHAnsi" w:cstheme="minorHAnsi"/>
          <w:lang w:val="en-GB"/>
        </w:rPr>
        <w:t>BMI</w:t>
      </w:r>
      <w:r w:rsidR="001B61BC" w:rsidRPr="001B61BC">
        <w:rPr>
          <w:rFonts w:asciiTheme="minorHAnsi" w:hAnsiTheme="minorHAnsi" w:cstheme="minorHAnsi"/>
          <w:lang w:val="en-GB"/>
        </w:rPr>
        <w:t xml:space="preserve"> (</w:t>
      </w:r>
      <w:r w:rsidR="001B61BC" w:rsidRPr="004B08E4">
        <w:rPr>
          <w:rFonts w:asciiTheme="minorHAnsi" w:hAnsiTheme="minorHAnsi" w:cstheme="minorHAnsi"/>
          <w:lang w:val="en-GB"/>
        </w:rPr>
        <w:t>OR=</w:t>
      </w:r>
      <w:r w:rsidR="000D5A14">
        <w:rPr>
          <w:rFonts w:asciiTheme="minorHAnsi" w:hAnsiTheme="minorHAnsi" w:cstheme="minorHAnsi"/>
          <w:lang w:val="en-GB"/>
        </w:rPr>
        <w:t>1.57</w:t>
      </w:r>
      <w:r w:rsidR="001B61BC" w:rsidRPr="004B08E4">
        <w:rPr>
          <w:rFonts w:asciiTheme="minorHAnsi" w:hAnsiTheme="minorHAnsi" w:cstheme="minorHAnsi"/>
          <w:lang w:val="en-GB"/>
        </w:rPr>
        <w:t>, 95%CI</w:t>
      </w:r>
      <w:r w:rsidR="001B61BC">
        <w:rPr>
          <w:rFonts w:asciiTheme="minorHAnsi" w:hAnsiTheme="minorHAnsi" w:cstheme="minorHAnsi"/>
          <w:lang w:val="en-GB"/>
        </w:rPr>
        <w:t>=</w:t>
      </w:r>
      <w:r w:rsidR="001B61BC" w:rsidRPr="000D35D6">
        <w:rPr>
          <w:rFonts w:asciiTheme="minorHAnsi" w:hAnsiTheme="minorHAnsi" w:cstheme="minorHAnsi"/>
          <w:lang w:val="en-GB"/>
        </w:rPr>
        <w:t>1.</w:t>
      </w:r>
      <w:r w:rsidR="000D5A14">
        <w:rPr>
          <w:rFonts w:asciiTheme="minorHAnsi" w:hAnsiTheme="minorHAnsi" w:cstheme="minorHAnsi"/>
          <w:lang w:val="en-GB"/>
        </w:rPr>
        <w:t>20</w:t>
      </w:r>
      <w:r w:rsidR="001B61BC" w:rsidRPr="000D35D6">
        <w:rPr>
          <w:rFonts w:asciiTheme="minorHAnsi" w:hAnsiTheme="minorHAnsi" w:cstheme="minorHAnsi"/>
          <w:lang w:val="en-GB"/>
        </w:rPr>
        <w:t>-</w:t>
      </w:r>
      <w:r w:rsidR="000D5A14">
        <w:rPr>
          <w:rFonts w:asciiTheme="minorHAnsi" w:hAnsiTheme="minorHAnsi" w:cstheme="minorHAnsi"/>
          <w:lang w:val="en-GB"/>
        </w:rPr>
        <w:t>2.06</w:t>
      </w:r>
      <w:r w:rsidR="001B61BC">
        <w:rPr>
          <w:rFonts w:asciiTheme="minorHAnsi" w:hAnsiTheme="minorHAnsi" w:cstheme="minorHAnsi"/>
          <w:lang w:val="en-GB"/>
        </w:rPr>
        <w:t>,</w:t>
      </w:r>
      <w:r w:rsidR="001B61BC" w:rsidRPr="000D35D6">
        <w:rPr>
          <w:rFonts w:asciiTheme="minorHAnsi" w:hAnsiTheme="minorHAnsi" w:cstheme="minorHAnsi"/>
          <w:lang w:val="en-GB"/>
        </w:rPr>
        <w:t xml:space="preserve"> </w:t>
      </w:r>
      <w:r w:rsidR="001B61BC" w:rsidRPr="00BA56A0">
        <w:rPr>
          <w:rFonts w:asciiTheme="minorHAnsi" w:hAnsiTheme="minorHAnsi" w:cstheme="minorHAnsi"/>
          <w:i/>
          <w:lang w:val="en-GB"/>
        </w:rPr>
        <w:t>P</w:t>
      </w:r>
      <w:r w:rsidR="001B61BC" w:rsidRPr="000D35D6">
        <w:rPr>
          <w:rFonts w:asciiTheme="minorHAnsi" w:hAnsiTheme="minorHAnsi" w:cstheme="minorHAnsi"/>
          <w:lang w:val="en-GB"/>
        </w:rPr>
        <w:t>=</w:t>
      </w:r>
      <w:r w:rsidR="001B61BC" w:rsidRPr="00BA56A0">
        <w:rPr>
          <w:rFonts w:asciiTheme="minorHAnsi" w:hAnsiTheme="minorHAnsi" w:cstheme="minorHAnsi"/>
          <w:bCs/>
          <w:color w:val="000000"/>
        </w:rPr>
        <w:t>1.</w:t>
      </w:r>
      <w:r w:rsidR="000D5A14">
        <w:rPr>
          <w:rFonts w:asciiTheme="minorHAnsi" w:hAnsiTheme="minorHAnsi" w:cstheme="minorHAnsi"/>
          <w:bCs/>
          <w:color w:val="000000"/>
        </w:rPr>
        <w:t>05</w:t>
      </w:r>
      <w:r w:rsidR="001B61BC" w:rsidRPr="00BA56A0">
        <w:rPr>
          <w:rFonts w:asciiTheme="minorHAnsi" w:hAnsiTheme="minorHAnsi" w:cstheme="minorHAnsi"/>
          <w:bCs/>
          <w:color w:val="000000"/>
        </w:rPr>
        <w:t>x10</w:t>
      </w:r>
      <w:r w:rsidR="001B61BC" w:rsidRPr="00BA56A0">
        <w:rPr>
          <w:rFonts w:asciiTheme="minorHAnsi" w:hAnsiTheme="minorHAnsi" w:cstheme="minorHAnsi"/>
          <w:bCs/>
          <w:color w:val="000000"/>
          <w:vertAlign w:val="superscript"/>
        </w:rPr>
        <w:t>-</w:t>
      </w:r>
      <w:r w:rsidR="000D5A14">
        <w:rPr>
          <w:rFonts w:asciiTheme="minorHAnsi" w:hAnsiTheme="minorHAnsi" w:cstheme="minorHAnsi"/>
          <w:bCs/>
          <w:color w:val="000000"/>
          <w:vertAlign w:val="superscript"/>
        </w:rPr>
        <w:t>3</w:t>
      </w:r>
      <w:r w:rsidR="001B61BC" w:rsidRPr="001B61BC">
        <w:rPr>
          <w:rFonts w:asciiTheme="minorHAnsi" w:hAnsiTheme="minorHAnsi" w:cstheme="minorHAnsi"/>
          <w:lang w:val="en-GB"/>
        </w:rPr>
        <w:t xml:space="preserve"> and </w:t>
      </w:r>
      <w:r w:rsidR="001B61BC" w:rsidRPr="004B08E4">
        <w:rPr>
          <w:rFonts w:asciiTheme="minorHAnsi" w:hAnsiTheme="minorHAnsi" w:cstheme="minorHAnsi"/>
          <w:lang w:val="en-GB"/>
        </w:rPr>
        <w:t>OR=1.</w:t>
      </w:r>
      <w:r w:rsidR="000D5A14">
        <w:rPr>
          <w:rFonts w:asciiTheme="minorHAnsi" w:hAnsiTheme="minorHAnsi" w:cstheme="minorHAnsi"/>
          <w:lang w:val="en-GB"/>
        </w:rPr>
        <w:t>71</w:t>
      </w:r>
      <w:r w:rsidR="001B61BC" w:rsidRPr="004B08E4">
        <w:rPr>
          <w:rFonts w:asciiTheme="minorHAnsi" w:hAnsiTheme="minorHAnsi" w:cstheme="minorHAnsi"/>
          <w:lang w:val="en-GB"/>
        </w:rPr>
        <w:t>, 95%CI</w:t>
      </w:r>
      <w:r w:rsidR="001B61BC">
        <w:rPr>
          <w:rFonts w:asciiTheme="minorHAnsi" w:hAnsiTheme="minorHAnsi" w:cstheme="minorHAnsi"/>
          <w:lang w:val="en-GB"/>
        </w:rPr>
        <w:t>=</w:t>
      </w:r>
      <w:r w:rsidR="001B61BC" w:rsidRPr="000D35D6">
        <w:rPr>
          <w:rFonts w:asciiTheme="minorHAnsi" w:hAnsiTheme="minorHAnsi" w:cstheme="minorHAnsi"/>
          <w:lang w:val="en-GB"/>
        </w:rPr>
        <w:t>1.</w:t>
      </w:r>
      <w:r w:rsidR="000D5A14">
        <w:rPr>
          <w:rFonts w:asciiTheme="minorHAnsi" w:hAnsiTheme="minorHAnsi" w:cstheme="minorHAnsi"/>
          <w:lang w:val="en-GB"/>
        </w:rPr>
        <w:t>11</w:t>
      </w:r>
      <w:r w:rsidR="001B61BC" w:rsidRPr="000D35D6">
        <w:rPr>
          <w:rFonts w:asciiTheme="minorHAnsi" w:hAnsiTheme="minorHAnsi" w:cstheme="minorHAnsi"/>
          <w:lang w:val="en-GB"/>
        </w:rPr>
        <w:t>-</w:t>
      </w:r>
      <w:r w:rsidR="000D5A14">
        <w:rPr>
          <w:rFonts w:asciiTheme="minorHAnsi" w:hAnsiTheme="minorHAnsi" w:cstheme="minorHAnsi"/>
          <w:lang w:val="en-GB"/>
        </w:rPr>
        <w:t>2</w:t>
      </w:r>
      <w:r w:rsidR="001B61BC" w:rsidRPr="000D35D6">
        <w:rPr>
          <w:rFonts w:asciiTheme="minorHAnsi" w:hAnsiTheme="minorHAnsi" w:cstheme="minorHAnsi"/>
          <w:lang w:val="en-GB"/>
        </w:rPr>
        <w:t>.64</w:t>
      </w:r>
      <w:r w:rsidR="001B61BC">
        <w:rPr>
          <w:rFonts w:asciiTheme="minorHAnsi" w:hAnsiTheme="minorHAnsi" w:cstheme="minorHAnsi"/>
          <w:lang w:val="en-GB"/>
        </w:rPr>
        <w:t>,</w:t>
      </w:r>
      <w:r w:rsidR="001B61BC" w:rsidRPr="000D35D6">
        <w:rPr>
          <w:rFonts w:asciiTheme="minorHAnsi" w:hAnsiTheme="minorHAnsi" w:cstheme="minorHAnsi"/>
          <w:lang w:val="en-GB"/>
        </w:rPr>
        <w:t xml:space="preserve"> </w:t>
      </w:r>
      <w:r w:rsidR="001B61BC" w:rsidRPr="00BA56A0">
        <w:rPr>
          <w:rFonts w:asciiTheme="minorHAnsi" w:hAnsiTheme="minorHAnsi" w:cstheme="minorHAnsi"/>
          <w:i/>
          <w:lang w:val="en-GB"/>
        </w:rPr>
        <w:t>P</w:t>
      </w:r>
      <w:r w:rsidR="001B61BC" w:rsidRPr="000D35D6">
        <w:rPr>
          <w:rFonts w:asciiTheme="minorHAnsi" w:hAnsiTheme="minorHAnsi" w:cstheme="minorHAnsi"/>
          <w:lang w:val="en-GB"/>
        </w:rPr>
        <w:t>=</w:t>
      </w:r>
      <w:r w:rsidR="000D5A14">
        <w:rPr>
          <w:rFonts w:asciiTheme="minorHAnsi" w:hAnsiTheme="minorHAnsi" w:cstheme="minorHAnsi"/>
          <w:bCs/>
          <w:color w:val="000000"/>
        </w:rPr>
        <w:t>0.02</w:t>
      </w:r>
      <w:r w:rsidR="001B61BC" w:rsidRPr="000D5A14">
        <w:rPr>
          <w:rFonts w:asciiTheme="minorHAnsi" w:hAnsiTheme="minorHAnsi" w:cstheme="minorHAnsi"/>
          <w:bCs/>
          <w:color w:val="000000"/>
        </w:rPr>
        <w:t>,</w:t>
      </w:r>
      <w:r w:rsidR="001B61BC" w:rsidRPr="001B61BC">
        <w:rPr>
          <w:rFonts w:asciiTheme="minorHAnsi" w:hAnsiTheme="minorHAnsi" w:cstheme="minorHAnsi"/>
          <w:bCs/>
          <w:color w:val="000000"/>
        </w:rPr>
        <w:t xml:space="preserve"> respectively</w:t>
      </w:r>
      <w:r w:rsidR="001B61BC" w:rsidRPr="001B61BC">
        <w:rPr>
          <w:rFonts w:asciiTheme="minorHAnsi" w:hAnsiTheme="minorHAnsi" w:cstheme="minorHAnsi"/>
          <w:lang w:val="en-GB"/>
        </w:rPr>
        <w:t>)</w:t>
      </w:r>
      <w:r w:rsidR="001B61BC">
        <w:rPr>
          <w:rFonts w:asciiTheme="minorHAnsi" w:hAnsiTheme="minorHAnsi" w:cstheme="minorHAnsi"/>
          <w:lang w:val="en-GB"/>
        </w:rPr>
        <w:t xml:space="preserve">. </w:t>
      </w:r>
      <w:r w:rsidR="00373DA3" w:rsidRPr="000D35D6">
        <w:rPr>
          <w:rFonts w:asciiTheme="minorHAnsi" w:hAnsiTheme="minorHAnsi" w:cstheme="minorHAnsi"/>
          <w:lang w:val="en-GB"/>
        </w:rPr>
        <w:t>In addition, we observed association</w:t>
      </w:r>
      <w:r w:rsidR="00422323" w:rsidRPr="000D35D6">
        <w:rPr>
          <w:rFonts w:asciiTheme="minorHAnsi" w:hAnsiTheme="minorHAnsi" w:cstheme="minorHAnsi"/>
          <w:lang w:val="en-GB"/>
        </w:rPr>
        <w:t>s</w:t>
      </w:r>
      <w:r w:rsidR="00373DA3" w:rsidRPr="000D35D6">
        <w:rPr>
          <w:rFonts w:asciiTheme="minorHAnsi" w:hAnsiTheme="minorHAnsi" w:cstheme="minorHAnsi"/>
          <w:lang w:val="en-GB"/>
        </w:rPr>
        <w:t xml:space="preserve"> between genetically determined </w:t>
      </w:r>
      <w:r w:rsidR="00F14F27" w:rsidRPr="000D35D6">
        <w:rPr>
          <w:rFonts w:asciiTheme="minorHAnsi" w:hAnsiTheme="minorHAnsi" w:cstheme="minorHAnsi"/>
          <w:lang w:val="en-GB"/>
        </w:rPr>
        <w:t xml:space="preserve">high </w:t>
      </w:r>
      <w:r w:rsidR="00373DA3" w:rsidRPr="000D35D6">
        <w:rPr>
          <w:rFonts w:asciiTheme="minorHAnsi" w:hAnsiTheme="minorHAnsi" w:cstheme="minorHAnsi"/>
          <w:lang w:val="en-GB"/>
        </w:rPr>
        <w:t>insulin level and increased risk of PDAC (OR=</w:t>
      </w:r>
      <w:r w:rsidR="00F14F27" w:rsidRPr="000D35D6">
        <w:rPr>
          <w:rFonts w:asciiTheme="minorHAnsi" w:hAnsiTheme="minorHAnsi" w:cstheme="minorHAnsi"/>
          <w:lang w:val="en-GB"/>
        </w:rPr>
        <w:t>2.84</w:t>
      </w:r>
      <w:r w:rsidR="00373DA3" w:rsidRPr="000D35D6">
        <w:rPr>
          <w:rFonts w:asciiTheme="minorHAnsi" w:hAnsiTheme="minorHAnsi" w:cstheme="minorHAnsi"/>
          <w:lang w:val="en-GB"/>
        </w:rPr>
        <w:t>, 95%</w:t>
      </w:r>
      <w:r w:rsidR="000F2DDC" w:rsidRPr="000D35D6">
        <w:rPr>
          <w:rFonts w:asciiTheme="minorHAnsi" w:hAnsiTheme="minorHAnsi" w:cstheme="minorHAnsi"/>
          <w:lang w:val="en-GB"/>
        </w:rPr>
        <w:t>CI</w:t>
      </w:r>
      <w:r w:rsidR="000F2DDC">
        <w:rPr>
          <w:rFonts w:asciiTheme="minorHAnsi" w:hAnsiTheme="minorHAnsi" w:cstheme="minorHAnsi"/>
          <w:lang w:val="en-GB"/>
        </w:rPr>
        <w:t>=</w:t>
      </w:r>
      <w:r w:rsidR="00373DA3" w:rsidRPr="000D35D6">
        <w:rPr>
          <w:rFonts w:asciiTheme="minorHAnsi" w:hAnsiTheme="minorHAnsi" w:cstheme="minorHAnsi"/>
          <w:lang w:val="en-GB"/>
        </w:rPr>
        <w:t>1.</w:t>
      </w:r>
      <w:r w:rsidR="00F14F27" w:rsidRPr="000D35D6">
        <w:rPr>
          <w:rFonts w:asciiTheme="minorHAnsi" w:hAnsiTheme="minorHAnsi" w:cstheme="minorHAnsi"/>
          <w:lang w:val="en-GB"/>
        </w:rPr>
        <w:t>23</w:t>
      </w:r>
      <w:r w:rsidR="00373DA3" w:rsidRPr="000D35D6">
        <w:rPr>
          <w:rFonts w:asciiTheme="minorHAnsi" w:hAnsiTheme="minorHAnsi" w:cstheme="minorHAnsi"/>
          <w:lang w:val="en-GB"/>
        </w:rPr>
        <w:t>-</w:t>
      </w:r>
      <w:r w:rsidR="00F14F27" w:rsidRPr="000D35D6">
        <w:rPr>
          <w:rFonts w:asciiTheme="minorHAnsi" w:hAnsiTheme="minorHAnsi" w:cstheme="minorHAnsi"/>
          <w:lang w:val="en-GB"/>
        </w:rPr>
        <w:t>6</w:t>
      </w:r>
      <w:r w:rsidR="00373DA3" w:rsidRPr="000D35D6">
        <w:rPr>
          <w:rFonts w:asciiTheme="minorHAnsi" w:hAnsiTheme="minorHAnsi" w:cstheme="minorHAnsi"/>
          <w:lang w:val="en-GB"/>
        </w:rPr>
        <w:t>.</w:t>
      </w:r>
      <w:r w:rsidR="00F14F27" w:rsidRPr="000D35D6">
        <w:rPr>
          <w:rFonts w:asciiTheme="minorHAnsi" w:hAnsiTheme="minorHAnsi" w:cstheme="minorHAnsi"/>
          <w:lang w:val="en-GB"/>
        </w:rPr>
        <w:t>56</w:t>
      </w:r>
      <w:r w:rsidR="007672ED">
        <w:rPr>
          <w:rFonts w:asciiTheme="minorHAnsi" w:hAnsiTheme="minorHAnsi" w:cstheme="minorHAnsi"/>
          <w:lang w:val="en-GB"/>
        </w:rPr>
        <w:t>,</w:t>
      </w:r>
      <w:r w:rsidR="007672ED" w:rsidRPr="007672ED">
        <w:rPr>
          <w:rFonts w:asciiTheme="minorHAnsi" w:hAnsiTheme="minorHAnsi" w:cstheme="minorHAnsi"/>
          <w:i/>
          <w:lang w:val="en-GB"/>
        </w:rPr>
        <w:t xml:space="preserve"> </w:t>
      </w:r>
      <w:r w:rsidR="007672ED" w:rsidRPr="00BA56A0">
        <w:rPr>
          <w:rFonts w:asciiTheme="minorHAnsi" w:hAnsiTheme="minorHAnsi" w:cstheme="minorHAnsi"/>
          <w:i/>
          <w:lang w:val="en-GB"/>
        </w:rPr>
        <w:t>P</w:t>
      </w:r>
      <w:r w:rsidR="007672ED" w:rsidRPr="000D35D6">
        <w:rPr>
          <w:rFonts w:asciiTheme="minorHAnsi" w:hAnsiTheme="minorHAnsi" w:cstheme="minorHAnsi"/>
          <w:lang w:val="en-GB"/>
        </w:rPr>
        <w:t>=0.01</w:t>
      </w:r>
      <w:r w:rsidR="00373DA3" w:rsidRPr="000D35D6">
        <w:rPr>
          <w:rFonts w:asciiTheme="minorHAnsi" w:hAnsiTheme="minorHAnsi" w:cstheme="minorHAnsi"/>
          <w:lang w:val="en-GB"/>
        </w:rPr>
        <w:t xml:space="preserve">), </w:t>
      </w:r>
      <w:r w:rsidR="00300765" w:rsidRPr="000D35D6">
        <w:rPr>
          <w:rFonts w:asciiTheme="minorHAnsi" w:hAnsiTheme="minorHAnsi" w:cstheme="minorHAnsi"/>
          <w:lang w:val="en-GB"/>
        </w:rPr>
        <w:t>T2D and increased risk of PDAC (OR=1.09, 95%</w:t>
      </w:r>
      <w:r w:rsidR="000F2DDC" w:rsidRPr="000D35D6">
        <w:rPr>
          <w:rFonts w:asciiTheme="minorHAnsi" w:hAnsiTheme="minorHAnsi" w:cstheme="minorHAnsi"/>
          <w:lang w:val="en-GB"/>
        </w:rPr>
        <w:t>CI</w:t>
      </w:r>
      <w:r w:rsidR="000F2DDC">
        <w:rPr>
          <w:rFonts w:asciiTheme="minorHAnsi" w:hAnsiTheme="minorHAnsi" w:cstheme="minorHAnsi"/>
          <w:lang w:val="en-GB"/>
        </w:rPr>
        <w:t>=</w:t>
      </w:r>
      <w:r w:rsidR="00300765" w:rsidRPr="000D35D6">
        <w:rPr>
          <w:rFonts w:asciiTheme="minorHAnsi" w:hAnsiTheme="minorHAnsi" w:cstheme="minorHAnsi"/>
          <w:lang w:val="en-GB"/>
        </w:rPr>
        <w:t>1.02-1.17</w:t>
      </w:r>
      <w:r w:rsidR="007672ED">
        <w:rPr>
          <w:rFonts w:asciiTheme="minorHAnsi" w:hAnsiTheme="minorHAnsi" w:cstheme="minorHAnsi"/>
          <w:lang w:val="en-GB"/>
        </w:rPr>
        <w:t>,</w:t>
      </w:r>
      <w:r w:rsidR="007672ED" w:rsidRPr="007672ED">
        <w:rPr>
          <w:rFonts w:asciiTheme="minorHAnsi" w:hAnsiTheme="minorHAnsi" w:cstheme="minorHAnsi"/>
          <w:i/>
          <w:lang w:val="en-GB"/>
        </w:rPr>
        <w:t xml:space="preserve"> </w:t>
      </w:r>
      <w:r w:rsidR="007672ED" w:rsidRPr="00BA56A0">
        <w:rPr>
          <w:rFonts w:asciiTheme="minorHAnsi" w:hAnsiTheme="minorHAnsi" w:cstheme="minorHAnsi"/>
          <w:i/>
          <w:lang w:val="en-GB"/>
        </w:rPr>
        <w:t>P</w:t>
      </w:r>
      <w:r w:rsidR="007672ED" w:rsidRPr="000D35D6">
        <w:rPr>
          <w:rFonts w:asciiTheme="minorHAnsi" w:hAnsiTheme="minorHAnsi" w:cstheme="minorHAnsi"/>
          <w:lang w:val="en-GB"/>
        </w:rPr>
        <w:t>=0.01</w:t>
      </w:r>
      <w:r w:rsidR="00300765" w:rsidRPr="000D35D6">
        <w:rPr>
          <w:rFonts w:asciiTheme="minorHAnsi" w:hAnsiTheme="minorHAnsi" w:cstheme="minorHAnsi"/>
          <w:lang w:val="en-GB"/>
        </w:rPr>
        <w:t>)</w:t>
      </w:r>
      <w:r w:rsidR="00300765" w:rsidRPr="004B08E4">
        <w:rPr>
          <w:rFonts w:asciiTheme="minorHAnsi" w:hAnsiTheme="minorHAnsi" w:cstheme="minorHAnsi"/>
          <w:lang w:val="en-GB"/>
        </w:rPr>
        <w:t xml:space="preserve"> and high level of LDL and increased PDAC risk (OR=1.16, 95%</w:t>
      </w:r>
      <w:r w:rsidR="000F2DDC" w:rsidRPr="004B08E4">
        <w:rPr>
          <w:rFonts w:asciiTheme="minorHAnsi" w:hAnsiTheme="minorHAnsi" w:cstheme="minorHAnsi"/>
          <w:lang w:val="en-GB"/>
        </w:rPr>
        <w:t>CI</w:t>
      </w:r>
      <w:r w:rsidR="000F2DDC">
        <w:rPr>
          <w:rFonts w:asciiTheme="minorHAnsi" w:hAnsiTheme="minorHAnsi" w:cstheme="minorHAnsi"/>
          <w:lang w:val="en-GB"/>
        </w:rPr>
        <w:t>=</w:t>
      </w:r>
      <w:r w:rsidR="00300765" w:rsidRPr="004B08E4">
        <w:rPr>
          <w:rFonts w:asciiTheme="minorHAnsi" w:hAnsiTheme="minorHAnsi" w:cstheme="minorHAnsi"/>
          <w:lang w:val="en-GB"/>
        </w:rPr>
        <w:t>1.02-1.32</w:t>
      </w:r>
      <w:r w:rsidR="007672ED">
        <w:rPr>
          <w:rFonts w:asciiTheme="minorHAnsi" w:hAnsiTheme="minorHAnsi" w:cstheme="minorHAnsi"/>
          <w:lang w:val="en-GB"/>
        </w:rPr>
        <w:t>,</w:t>
      </w:r>
      <w:r w:rsidR="007672ED" w:rsidRPr="007672ED">
        <w:rPr>
          <w:rFonts w:asciiTheme="minorHAnsi" w:hAnsiTheme="minorHAnsi" w:cstheme="minorHAnsi"/>
          <w:i/>
          <w:lang w:val="en-GB"/>
        </w:rPr>
        <w:t xml:space="preserve"> </w:t>
      </w:r>
      <w:r w:rsidR="007672ED" w:rsidRPr="00BA56A0">
        <w:rPr>
          <w:rFonts w:asciiTheme="minorHAnsi" w:hAnsiTheme="minorHAnsi" w:cstheme="minorHAnsi"/>
          <w:i/>
          <w:lang w:val="en-GB"/>
        </w:rPr>
        <w:t>P</w:t>
      </w:r>
      <w:r w:rsidR="007672ED" w:rsidRPr="004B08E4">
        <w:rPr>
          <w:rFonts w:asciiTheme="minorHAnsi" w:hAnsiTheme="minorHAnsi" w:cstheme="minorHAnsi"/>
          <w:lang w:val="en-GB"/>
        </w:rPr>
        <w:t>=0.03</w:t>
      </w:r>
      <w:r w:rsidR="00300765" w:rsidRPr="004B08E4">
        <w:rPr>
          <w:rFonts w:asciiTheme="minorHAnsi" w:hAnsiTheme="minorHAnsi" w:cstheme="minorHAnsi"/>
          <w:lang w:val="en-GB"/>
        </w:rPr>
        <w:t>).</w:t>
      </w:r>
      <w:r w:rsidR="000D5A14">
        <w:rPr>
          <w:rFonts w:asciiTheme="minorHAnsi" w:hAnsiTheme="minorHAnsi" w:cstheme="minorHAnsi"/>
          <w:lang w:val="en-GB"/>
        </w:rPr>
        <w:t xml:space="preserve"> </w:t>
      </w:r>
    </w:p>
    <w:p w14:paraId="606FC833" w14:textId="38591722" w:rsidR="00401218" w:rsidRPr="00BA56A0" w:rsidRDefault="00422323" w:rsidP="00086AD2">
      <w:pPr>
        <w:spacing w:line="480" w:lineRule="auto"/>
        <w:ind w:firstLine="426"/>
        <w:jc w:val="both"/>
        <w:rPr>
          <w:rFonts w:asciiTheme="minorHAnsi" w:hAnsiTheme="minorHAnsi" w:cstheme="minorHAnsi"/>
          <w:color w:val="000000" w:themeColor="text1"/>
          <w:lang w:val="en-GB"/>
        </w:rPr>
      </w:pPr>
      <w:bookmarkStart w:id="36" w:name="OLE_LINK21"/>
      <w:bookmarkStart w:id="37" w:name="OLE_LINK22"/>
      <w:r w:rsidRPr="00BA56A0">
        <w:rPr>
          <w:rFonts w:asciiTheme="minorHAnsi" w:hAnsiTheme="minorHAnsi" w:cstheme="minorHAnsi"/>
          <w:color w:val="000000" w:themeColor="text1"/>
          <w:lang w:val="en-GB"/>
        </w:rPr>
        <w:t>In the restrictive MR after removal of outliers, BMI (OR=1.43, 95%CI=1.20</w:t>
      </w:r>
      <w:r w:rsidR="000F2DDC" w:rsidRPr="00BA56A0">
        <w:rPr>
          <w:rFonts w:asciiTheme="minorHAnsi" w:hAnsiTheme="minorHAnsi" w:cstheme="minorHAnsi"/>
          <w:color w:val="000000" w:themeColor="text1"/>
          <w:lang w:val="en-GB"/>
        </w:rPr>
        <w:t>-</w:t>
      </w:r>
      <w:r w:rsidRPr="00BA56A0">
        <w:rPr>
          <w:rFonts w:asciiTheme="minorHAnsi" w:hAnsiTheme="minorHAnsi" w:cstheme="minorHAnsi"/>
          <w:color w:val="000000" w:themeColor="text1"/>
          <w:lang w:val="en-GB"/>
        </w:rPr>
        <w:t>1.71</w:t>
      </w:r>
      <w:r w:rsidR="007672ED">
        <w:rPr>
          <w:rFonts w:asciiTheme="minorHAnsi" w:hAnsiTheme="minorHAnsi" w:cstheme="minorHAnsi"/>
          <w:color w:val="000000" w:themeColor="text1"/>
          <w:lang w:val="en-GB"/>
        </w:rPr>
        <w:t>,</w:t>
      </w:r>
      <w:r w:rsidR="007672ED" w:rsidRPr="007672ED">
        <w:rPr>
          <w:rFonts w:asciiTheme="minorHAnsi" w:hAnsiTheme="minorHAnsi" w:cstheme="minorHAnsi"/>
          <w:i/>
          <w:color w:val="000000" w:themeColor="text1"/>
          <w:lang w:val="en-GB"/>
        </w:rPr>
        <w:t xml:space="preserve"> </w:t>
      </w:r>
      <w:r w:rsidR="007672ED" w:rsidRPr="00BA56A0">
        <w:rPr>
          <w:rFonts w:asciiTheme="minorHAnsi" w:hAnsiTheme="minorHAnsi" w:cstheme="minorHAnsi"/>
          <w:i/>
          <w:color w:val="000000" w:themeColor="text1"/>
          <w:lang w:val="en-GB"/>
        </w:rPr>
        <w:t>P</w:t>
      </w:r>
      <w:r w:rsidR="007672ED" w:rsidRPr="00BA56A0">
        <w:rPr>
          <w:rFonts w:asciiTheme="minorHAnsi" w:hAnsiTheme="minorHAnsi" w:cstheme="minorHAnsi"/>
          <w:color w:val="000000" w:themeColor="text1"/>
          <w:lang w:val="en-GB"/>
        </w:rPr>
        <w:t>=8.43x10</w:t>
      </w:r>
      <w:r w:rsidR="007672ED" w:rsidRPr="00BA56A0">
        <w:rPr>
          <w:rFonts w:asciiTheme="minorHAnsi" w:hAnsiTheme="minorHAnsi" w:cstheme="minorHAnsi"/>
          <w:color w:val="000000" w:themeColor="text1"/>
          <w:vertAlign w:val="superscript"/>
          <w:lang w:val="en-GB"/>
        </w:rPr>
        <w:t>-5</w:t>
      </w:r>
      <w:r w:rsidRPr="00BA56A0">
        <w:rPr>
          <w:rFonts w:asciiTheme="minorHAnsi" w:hAnsiTheme="minorHAnsi" w:cstheme="minorHAnsi"/>
          <w:color w:val="000000" w:themeColor="text1"/>
          <w:lang w:val="en-GB"/>
        </w:rPr>
        <w:t>) and fasting insulin (OR=3.38, 95%CI=1.13-10.06</w:t>
      </w:r>
      <w:r w:rsidR="007672ED">
        <w:rPr>
          <w:rFonts w:asciiTheme="minorHAnsi" w:hAnsiTheme="minorHAnsi" w:cstheme="minorHAnsi"/>
          <w:color w:val="000000" w:themeColor="text1"/>
          <w:lang w:val="en-GB"/>
        </w:rPr>
        <w:t>,</w:t>
      </w:r>
      <w:r w:rsidR="007672ED" w:rsidRPr="007672ED">
        <w:rPr>
          <w:rFonts w:asciiTheme="minorHAnsi" w:hAnsiTheme="minorHAnsi" w:cstheme="minorHAnsi"/>
          <w:i/>
          <w:color w:val="000000" w:themeColor="text1"/>
          <w:lang w:val="en-GB"/>
        </w:rPr>
        <w:t xml:space="preserve"> </w:t>
      </w:r>
      <w:r w:rsidR="007672ED" w:rsidRPr="00BA56A0">
        <w:rPr>
          <w:rFonts w:asciiTheme="minorHAnsi" w:hAnsiTheme="minorHAnsi" w:cstheme="minorHAnsi"/>
          <w:i/>
          <w:color w:val="000000" w:themeColor="text1"/>
          <w:lang w:val="en-GB"/>
        </w:rPr>
        <w:t>P</w:t>
      </w:r>
      <w:r w:rsidR="007672ED" w:rsidRPr="00BA56A0">
        <w:rPr>
          <w:rFonts w:asciiTheme="minorHAnsi" w:hAnsiTheme="minorHAnsi" w:cstheme="minorHAnsi"/>
          <w:color w:val="000000" w:themeColor="text1"/>
          <w:lang w:val="en-GB"/>
        </w:rPr>
        <w:t>=0.03</w:t>
      </w:r>
      <w:r w:rsidRPr="00BA56A0">
        <w:rPr>
          <w:rFonts w:asciiTheme="minorHAnsi" w:hAnsiTheme="minorHAnsi" w:cstheme="minorHAnsi"/>
          <w:color w:val="000000" w:themeColor="text1"/>
          <w:lang w:val="en-GB"/>
        </w:rPr>
        <w:t xml:space="preserve">) </w:t>
      </w:r>
      <w:r w:rsidR="00AF34B1">
        <w:rPr>
          <w:rFonts w:asciiTheme="minorHAnsi" w:hAnsiTheme="minorHAnsi" w:cstheme="minorHAnsi"/>
          <w:color w:val="000000" w:themeColor="text1"/>
          <w:lang w:val="en-GB"/>
        </w:rPr>
        <w:t>still had</w:t>
      </w:r>
      <w:r w:rsidRPr="00BA56A0">
        <w:rPr>
          <w:rFonts w:asciiTheme="minorHAnsi" w:hAnsiTheme="minorHAnsi" w:cstheme="minorHAnsi"/>
          <w:color w:val="000000" w:themeColor="text1"/>
          <w:lang w:val="en-GB"/>
        </w:rPr>
        <w:t xml:space="preserve"> risk-increasing effects on PDAC. </w:t>
      </w:r>
      <w:r w:rsidR="00876474" w:rsidRPr="00876474">
        <w:rPr>
          <w:rFonts w:asciiTheme="minorHAnsi" w:hAnsiTheme="minorHAnsi" w:cstheme="minorHAnsi"/>
          <w:color w:val="000000" w:themeColor="text1"/>
          <w:lang w:val="en-GB"/>
        </w:rPr>
        <w:t xml:space="preserve">For </w:t>
      </w:r>
      <w:r w:rsidR="00876474">
        <w:rPr>
          <w:rFonts w:asciiTheme="minorHAnsi" w:hAnsiTheme="minorHAnsi" w:cstheme="minorHAnsi"/>
          <w:color w:val="000000" w:themeColor="text1"/>
          <w:lang w:val="en-GB"/>
        </w:rPr>
        <w:t>BMI</w:t>
      </w:r>
      <w:r w:rsidR="00876474" w:rsidRPr="00876474">
        <w:rPr>
          <w:rFonts w:asciiTheme="minorHAnsi" w:hAnsiTheme="minorHAnsi" w:cstheme="minorHAnsi"/>
          <w:color w:val="000000" w:themeColor="text1"/>
          <w:lang w:val="en-GB"/>
        </w:rPr>
        <w:t xml:space="preserve">, we observed an OR of </w:t>
      </w:r>
      <w:r w:rsidR="00876474">
        <w:rPr>
          <w:rFonts w:asciiTheme="minorHAnsi" w:hAnsiTheme="minorHAnsi" w:cstheme="minorHAnsi"/>
          <w:color w:val="000000" w:themeColor="text1"/>
          <w:lang w:val="en-GB"/>
        </w:rPr>
        <w:t>1.57</w:t>
      </w:r>
      <w:r w:rsidR="00876474" w:rsidRPr="00876474">
        <w:rPr>
          <w:rFonts w:asciiTheme="minorHAnsi" w:hAnsiTheme="minorHAnsi" w:cstheme="minorHAnsi"/>
          <w:color w:val="000000" w:themeColor="text1"/>
          <w:lang w:val="en-GB"/>
        </w:rPr>
        <w:t xml:space="preserve"> (95%CI</w:t>
      </w:r>
      <w:r w:rsidR="00876474">
        <w:rPr>
          <w:rFonts w:asciiTheme="minorHAnsi" w:hAnsiTheme="minorHAnsi" w:cstheme="minorHAnsi"/>
          <w:color w:val="000000" w:themeColor="text1"/>
          <w:lang w:val="en-GB"/>
        </w:rPr>
        <w:t>=1.18</w:t>
      </w:r>
      <w:r w:rsidR="00876474" w:rsidRPr="00876474">
        <w:rPr>
          <w:rFonts w:asciiTheme="minorHAnsi" w:hAnsiTheme="minorHAnsi" w:cstheme="minorHAnsi"/>
          <w:color w:val="000000" w:themeColor="text1"/>
          <w:lang w:val="en-GB"/>
        </w:rPr>
        <w:t>-</w:t>
      </w:r>
      <w:r w:rsidR="00876474">
        <w:rPr>
          <w:rFonts w:asciiTheme="minorHAnsi" w:hAnsiTheme="minorHAnsi" w:cstheme="minorHAnsi"/>
          <w:color w:val="000000" w:themeColor="text1"/>
          <w:lang w:val="en-GB"/>
        </w:rPr>
        <w:t>2.09</w:t>
      </w:r>
      <w:r w:rsidR="00876474" w:rsidRPr="00876474">
        <w:rPr>
          <w:rFonts w:asciiTheme="minorHAnsi" w:hAnsiTheme="minorHAnsi" w:cstheme="minorHAnsi"/>
          <w:color w:val="000000" w:themeColor="text1"/>
          <w:lang w:val="en-GB"/>
        </w:rPr>
        <w:t>,</w:t>
      </w:r>
      <w:r w:rsidR="00876474" w:rsidRPr="000D35D6">
        <w:rPr>
          <w:rFonts w:asciiTheme="minorHAnsi" w:hAnsiTheme="minorHAnsi" w:cstheme="minorHAnsi"/>
          <w:lang w:val="en-GB"/>
        </w:rPr>
        <w:t xml:space="preserve"> </w:t>
      </w:r>
      <w:r w:rsidR="00876474" w:rsidRPr="00BA56A0">
        <w:rPr>
          <w:rFonts w:asciiTheme="minorHAnsi" w:hAnsiTheme="minorHAnsi" w:cstheme="minorHAnsi"/>
          <w:i/>
          <w:lang w:val="en-GB"/>
        </w:rPr>
        <w:t>P</w:t>
      </w:r>
      <w:r w:rsidR="00876474" w:rsidRPr="000D35D6">
        <w:rPr>
          <w:rFonts w:asciiTheme="minorHAnsi" w:hAnsiTheme="minorHAnsi" w:cstheme="minorHAnsi"/>
          <w:lang w:val="en-GB"/>
        </w:rPr>
        <w:t>=</w:t>
      </w:r>
      <w:r w:rsidR="00876474" w:rsidRPr="00BA56A0">
        <w:rPr>
          <w:rFonts w:asciiTheme="minorHAnsi" w:hAnsiTheme="minorHAnsi" w:cstheme="minorHAnsi"/>
          <w:bCs/>
          <w:color w:val="000000"/>
        </w:rPr>
        <w:t>1.</w:t>
      </w:r>
      <w:r w:rsidR="00876474">
        <w:rPr>
          <w:rFonts w:asciiTheme="minorHAnsi" w:hAnsiTheme="minorHAnsi" w:cstheme="minorHAnsi"/>
          <w:bCs/>
          <w:color w:val="000000"/>
        </w:rPr>
        <w:t>85</w:t>
      </w:r>
      <w:r w:rsidR="00876474" w:rsidRPr="00BA56A0">
        <w:rPr>
          <w:rFonts w:asciiTheme="minorHAnsi" w:hAnsiTheme="minorHAnsi" w:cstheme="minorHAnsi"/>
          <w:bCs/>
          <w:color w:val="000000"/>
        </w:rPr>
        <w:t>x10</w:t>
      </w:r>
      <w:r w:rsidR="00876474" w:rsidRPr="00BA56A0">
        <w:rPr>
          <w:rFonts w:asciiTheme="minorHAnsi" w:hAnsiTheme="minorHAnsi" w:cstheme="minorHAnsi"/>
          <w:bCs/>
          <w:color w:val="000000"/>
          <w:vertAlign w:val="superscript"/>
        </w:rPr>
        <w:t>-</w:t>
      </w:r>
      <w:r w:rsidR="00876474">
        <w:rPr>
          <w:rFonts w:asciiTheme="minorHAnsi" w:hAnsiTheme="minorHAnsi" w:cstheme="minorHAnsi"/>
          <w:bCs/>
          <w:color w:val="000000"/>
          <w:vertAlign w:val="superscript"/>
        </w:rPr>
        <w:t>3</w:t>
      </w:r>
      <w:r w:rsidR="00876474" w:rsidRPr="00876474">
        <w:rPr>
          <w:rFonts w:asciiTheme="minorHAnsi" w:hAnsiTheme="minorHAnsi" w:cstheme="minorHAnsi"/>
          <w:color w:val="000000" w:themeColor="text1"/>
          <w:lang w:val="en-GB"/>
        </w:rPr>
        <w:t xml:space="preserve">) estimated </w:t>
      </w:r>
      <w:r w:rsidR="000B3298">
        <w:rPr>
          <w:rFonts w:asciiTheme="minorHAnsi" w:hAnsiTheme="minorHAnsi" w:cstheme="minorHAnsi"/>
          <w:color w:val="000000" w:themeColor="text1"/>
          <w:lang w:val="en-GB"/>
        </w:rPr>
        <w:t>by</w:t>
      </w:r>
      <w:r w:rsidR="00876474" w:rsidRPr="00876474">
        <w:rPr>
          <w:rFonts w:asciiTheme="minorHAnsi" w:hAnsiTheme="minorHAnsi" w:cstheme="minorHAnsi"/>
          <w:color w:val="000000" w:themeColor="text1"/>
          <w:lang w:val="en-GB"/>
        </w:rPr>
        <w:t xml:space="preserve"> the weighted median method, and an OR of </w:t>
      </w:r>
      <w:r w:rsidR="004A3E00">
        <w:rPr>
          <w:rFonts w:asciiTheme="minorHAnsi" w:hAnsiTheme="minorHAnsi" w:cstheme="minorHAnsi"/>
          <w:color w:val="000000" w:themeColor="text1"/>
          <w:lang w:val="en-GB"/>
        </w:rPr>
        <w:t>1.60</w:t>
      </w:r>
      <w:r w:rsidR="00876474" w:rsidRPr="00876474">
        <w:rPr>
          <w:rFonts w:asciiTheme="minorHAnsi" w:hAnsiTheme="minorHAnsi" w:cstheme="minorHAnsi"/>
          <w:color w:val="000000" w:themeColor="text1"/>
          <w:lang w:val="en-GB"/>
        </w:rPr>
        <w:t xml:space="preserve"> (</w:t>
      </w:r>
      <w:r w:rsidR="004A3E00" w:rsidRPr="004B08E4">
        <w:rPr>
          <w:rFonts w:asciiTheme="minorHAnsi" w:hAnsiTheme="minorHAnsi" w:cstheme="minorHAnsi"/>
          <w:lang w:val="en-GB"/>
        </w:rPr>
        <w:t>95%CI</w:t>
      </w:r>
      <w:r w:rsidR="004A3E00">
        <w:rPr>
          <w:rFonts w:asciiTheme="minorHAnsi" w:hAnsiTheme="minorHAnsi" w:cstheme="minorHAnsi"/>
          <w:lang w:val="en-GB"/>
        </w:rPr>
        <w:t>=</w:t>
      </w:r>
      <w:r w:rsidR="004A3E00" w:rsidRPr="000D35D6">
        <w:rPr>
          <w:rFonts w:asciiTheme="minorHAnsi" w:hAnsiTheme="minorHAnsi" w:cstheme="minorHAnsi"/>
          <w:lang w:val="en-GB"/>
        </w:rPr>
        <w:t>1.</w:t>
      </w:r>
      <w:r w:rsidR="004A3E00">
        <w:rPr>
          <w:rFonts w:asciiTheme="minorHAnsi" w:hAnsiTheme="minorHAnsi" w:cstheme="minorHAnsi"/>
          <w:lang w:val="en-GB"/>
        </w:rPr>
        <w:t>01</w:t>
      </w:r>
      <w:r w:rsidR="004A3E00" w:rsidRPr="000D35D6">
        <w:rPr>
          <w:rFonts w:asciiTheme="minorHAnsi" w:hAnsiTheme="minorHAnsi" w:cstheme="minorHAnsi"/>
          <w:lang w:val="en-GB"/>
        </w:rPr>
        <w:t>-</w:t>
      </w:r>
      <w:r w:rsidR="004A3E00">
        <w:rPr>
          <w:rFonts w:asciiTheme="minorHAnsi" w:hAnsiTheme="minorHAnsi" w:cstheme="minorHAnsi"/>
          <w:lang w:val="en-GB"/>
        </w:rPr>
        <w:t>2</w:t>
      </w:r>
      <w:r w:rsidR="004A3E00" w:rsidRPr="000D35D6">
        <w:rPr>
          <w:rFonts w:asciiTheme="minorHAnsi" w:hAnsiTheme="minorHAnsi" w:cstheme="minorHAnsi"/>
          <w:lang w:val="en-GB"/>
        </w:rPr>
        <w:t>.</w:t>
      </w:r>
      <w:r w:rsidR="004A3E00">
        <w:rPr>
          <w:rFonts w:asciiTheme="minorHAnsi" w:hAnsiTheme="minorHAnsi" w:cstheme="minorHAnsi"/>
          <w:lang w:val="en-GB"/>
        </w:rPr>
        <w:t>55,</w:t>
      </w:r>
      <w:r w:rsidR="004A3E00" w:rsidRPr="000D35D6">
        <w:rPr>
          <w:rFonts w:asciiTheme="minorHAnsi" w:hAnsiTheme="minorHAnsi" w:cstheme="minorHAnsi"/>
          <w:lang w:val="en-GB"/>
        </w:rPr>
        <w:t xml:space="preserve"> </w:t>
      </w:r>
      <w:r w:rsidR="004A3E00" w:rsidRPr="00BA56A0">
        <w:rPr>
          <w:rFonts w:asciiTheme="minorHAnsi" w:hAnsiTheme="minorHAnsi" w:cstheme="minorHAnsi"/>
          <w:i/>
          <w:lang w:val="en-GB"/>
        </w:rPr>
        <w:t>P</w:t>
      </w:r>
      <w:r w:rsidR="004A3E00" w:rsidRPr="000D35D6">
        <w:rPr>
          <w:rFonts w:asciiTheme="minorHAnsi" w:hAnsiTheme="minorHAnsi" w:cstheme="minorHAnsi"/>
          <w:lang w:val="en-GB"/>
        </w:rPr>
        <w:t>=</w:t>
      </w:r>
      <w:r w:rsidR="004A3E00">
        <w:rPr>
          <w:rFonts w:asciiTheme="minorHAnsi" w:hAnsiTheme="minorHAnsi" w:cstheme="minorHAnsi"/>
          <w:bCs/>
          <w:color w:val="000000"/>
        </w:rPr>
        <w:t>0.05</w:t>
      </w:r>
      <w:r w:rsidR="00876474" w:rsidRPr="00876474">
        <w:rPr>
          <w:rFonts w:asciiTheme="minorHAnsi" w:hAnsiTheme="minorHAnsi" w:cstheme="minorHAnsi"/>
          <w:color w:val="000000" w:themeColor="text1"/>
          <w:lang w:val="en-GB"/>
        </w:rPr>
        <w:t xml:space="preserve">) </w:t>
      </w:r>
      <w:r w:rsidR="000B3298">
        <w:rPr>
          <w:rFonts w:asciiTheme="minorHAnsi" w:hAnsiTheme="minorHAnsi" w:cstheme="minorHAnsi"/>
          <w:color w:val="000000" w:themeColor="text1"/>
          <w:lang w:val="en-GB"/>
        </w:rPr>
        <w:t xml:space="preserve">estimated </w:t>
      </w:r>
      <w:r w:rsidR="00876474" w:rsidRPr="00876474">
        <w:rPr>
          <w:rFonts w:asciiTheme="minorHAnsi" w:hAnsiTheme="minorHAnsi" w:cstheme="minorHAnsi"/>
          <w:color w:val="000000" w:themeColor="text1"/>
          <w:lang w:val="en-GB"/>
        </w:rPr>
        <w:t>by MR-Egger on PDAC risk</w:t>
      </w:r>
      <w:r w:rsidR="004A3E00">
        <w:rPr>
          <w:rFonts w:asciiTheme="minorHAnsi" w:hAnsiTheme="minorHAnsi" w:cstheme="minorHAnsi"/>
          <w:color w:val="000000" w:themeColor="text1"/>
          <w:lang w:val="en-GB"/>
        </w:rPr>
        <w:t>.</w:t>
      </w:r>
      <w:r w:rsidR="00876474" w:rsidRPr="00876474">
        <w:rPr>
          <w:rFonts w:asciiTheme="minorHAnsi" w:hAnsiTheme="minorHAnsi" w:cstheme="minorHAnsi"/>
          <w:color w:val="000000" w:themeColor="text1"/>
          <w:lang w:val="en-GB"/>
        </w:rPr>
        <w:t xml:space="preserve"> </w:t>
      </w:r>
      <w:bookmarkEnd w:id="36"/>
      <w:bookmarkEnd w:id="37"/>
      <w:r w:rsidRPr="00BA56A0">
        <w:rPr>
          <w:rFonts w:asciiTheme="minorHAnsi" w:hAnsiTheme="minorHAnsi" w:cstheme="minorHAnsi"/>
          <w:color w:val="000000" w:themeColor="text1"/>
          <w:lang w:val="en-GB"/>
        </w:rPr>
        <w:t>We also detected a suggestive association between drinks per week and PDAC risk (OR=1.82, 95%CI=1.00</w:t>
      </w:r>
      <w:r w:rsidR="000F2DDC" w:rsidRPr="00BA56A0">
        <w:rPr>
          <w:rFonts w:asciiTheme="minorHAnsi" w:hAnsiTheme="minorHAnsi" w:cstheme="minorHAnsi"/>
          <w:color w:val="000000" w:themeColor="text1"/>
          <w:lang w:val="en-GB"/>
        </w:rPr>
        <w:t>-</w:t>
      </w:r>
      <w:r w:rsidRPr="00BA56A0">
        <w:rPr>
          <w:rFonts w:asciiTheme="minorHAnsi" w:hAnsiTheme="minorHAnsi" w:cstheme="minorHAnsi"/>
          <w:color w:val="000000" w:themeColor="text1"/>
          <w:lang w:val="en-GB"/>
        </w:rPr>
        <w:t>3.34</w:t>
      </w:r>
      <w:r w:rsidR="00E0744C">
        <w:rPr>
          <w:rFonts w:asciiTheme="minorHAnsi" w:hAnsiTheme="minorHAnsi" w:cstheme="minorHAnsi"/>
          <w:color w:val="000000" w:themeColor="text1"/>
          <w:lang w:val="en-GB"/>
        </w:rPr>
        <w:t>,</w:t>
      </w:r>
      <w:r w:rsidR="007672ED" w:rsidRPr="007672ED">
        <w:rPr>
          <w:rFonts w:asciiTheme="minorHAnsi" w:hAnsiTheme="minorHAnsi" w:cstheme="minorHAnsi"/>
          <w:i/>
          <w:color w:val="000000" w:themeColor="text1"/>
          <w:lang w:val="en-GB"/>
        </w:rPr>
        <w:t xml:space="preserve"> </w:t>
      </w:r>
      <w:r w:rsidR="007672ED" w:rsidRPr="00BA56A0">
        <w:rPr>
          <w:rFonts w:asciiTheme="minorHAnsi" w:hAnsiTheme="minorHAnsi" w:cstheme="minorHAnsi"/>
          <w:i/>
          <w:color w:val="000000" w:themeColor="text1"/>
          <w:lang w:val="en-GB"/>
        </w:rPr>
        <w:t>P</w:t>
      </w:r>
      <w:r w:rsidR="007672ED" w:rsidRPr="00BA56A0">
        <w:rPr>
          <w:rFonts w:asciiTheme="minorHAnsi" w:hAnsiTheme="minorHAnsi" w:cstheme="minorHAnsi"/>
          <w:color w:val="000000" w:themeColor="text1"/>
          <w:lang w:val="en-GB"/>
        </w:rPr>
        <w:t>=0.05</w:t>
      </w:r>
      <w:r w:rsidRPr="00BA56A0">
        <w:rPr>
          <w:rFonts w:asciiTheme="minorHAnsi" w:hAnsiTheme="minorHAnsi" w:cstheme="minorHAnsi"/>
          <w:color w:val="000000" w:themeColor="text1"/>
          <w:lang w:val="en-GB"/>
        </w:rPr>
        <w:t>)</w:t>
      </w:r>
      <w:r w:rsidR="00703CB7" w:rsidRPr="00BA56A0">
        <w:rPr>
          <w:rFonts w:asciiTheme="minorHAnsi" w:hAnsiTheme="minorHAnsi" w:cstheme="minorHAnsi"/>
          <w:color w:val="000000" w:themeColor="text1"/>
          <w:lang w:val="en-GB"/>
        </w:rPr>
        <w:t xml:space="preserve"> (figure 1, table 3)</w:t>
      </w:r>
      <w:r w:rsidRPr="00BA56A0">
        <w:rPr>
          <w:rFonts w:asciiTheme="minorHAnsi" w:hAnsiTheme="minorHAnsi" w:cstheme="minorHAnsi"/>
          <w:color w:val="000000" w:themeColor="text1"/>
          <w:lang w:val="en-GB"/>
        </w:rPr>
        <w:t xml:space="preserve">. </w:t>
      </w:r>
      <w:bookmarkStart w:id="38" w:name="OLE_LINK32"/>
      <w:bookmarkStart w:id="39" w:name="OLE_LINK33"/>
      <w:r w:rsidR="00346DD9">
        <w:rPr>
          <w:rFonts w:asciiTheme="minorHAnsi" w:hAnsiTheme="minorHAnsi" w:cstheme="minorHAnsi"/>
          <w:color w:val="000000" w:themeColor="text1"/>
          <w:lang w:val="en-GB"/>
        </w:rPr>
        <w:t xml:space="preserve">We found </w:t>
      </w:r>
      <w:r w:rsidR="006E026D" w:rsidRPr="000D5A14">
        <w:rPr>
          <w:rFonts w:asciiTheme="minorHAnsi" w:hAnsiTheme="minorHAnsi" w:cstheme="minorHAnsi"/>
          <w:lang w:val="en-GB"/>
        </w:rPr>
        <w:t xml:space="preserve">no evidence of </w:t>
      </w:r>
      <w:r w:rsidR="006E026D" w:rsidRPr="000B3298">
        <w:rPr>
          <w:rFonts w:asciiTheme="minorHAnsi" w:hAnsiTheme="minorHAnsi" w:cstheme="minorHAnsi"/>
          <w:lang w:val="en-GB"/>
        </w:rPr>
        <w:t>violation</w:t>
      </w:r>
      <w:r w:rsidR="00346DD9">
        <w:rPr>
          <w:rFonts w:asciiTheme="minorHAnsi" w:hAnsiTheme="minorHAnsi" w:cstheme="minorHAnsi"/>
          <w:lang w:val="en-GB"/>
        </w:rPr>
        <w:t xml:space="preserve"> of the instrumental </w:t>
      </w:r>
      <w:r w:rsidR="00346DD9">
        <w:rPr>
          <w:rFonts w:asciiTheme="minorHAnsi" w:hAnsiTheme="minorHAnsi" w:cstheme="minorHAnsi"/>
          <w:lang w:val="en-GB"/>
        </w:rPr>
        <w:lastRenderedPageBreak/>
        <w:t xml:space="preserve">variable </w:t>
      </w:r>
      <w:r w:rsidR="006E026D" w:rsidRPr="000B3298">
        <w:rPr>
          <w:rFonts w:asciiTheme="minorHAnsi" w:hAnsiTheme="minorHAnsi" w:cstheme="minorHAnsi"/>
          <w:lang w:val="en-GB"/>
        </w:rPr>
        <w:t>assumptions</w:t>
      </w:r>
      <w:r w:rsidR="006E026D">
        <w:rPr>
          <w:rFonts w:asciiTheme="minorHAnsi" w:hAnsiTheme="minorHAnsi" w:cstheme="minorHAnsi"/>
          <w:lang w:val="en-GB"/>
        </w:rPr>
        <w:t xml:space="preserve"> </w:t>
      </w:r>
      <w:r w:rsidR="00346DD9">
        <w:rPr>
          <w:rFonts w:asciiTheme="minorHAnsi" w:hAnsiTheme="minorHAnsi" w:cstheme="minorHAnsi"/>
          <w:lang w:val="en-GB"/>
        </w:rPr>
        <w:t xml:space="preserve">according to our comprehensive sensitivity analyses. </w:t>
      </w:r>
      <w:bookmarkEnd w:id="38"/>
      <w:bookmarkEnd w:id="39"/>
      <w:r w:rsidR="00401218" w:rsidRPr="00BA56A0">
        <w:rPr>
          <w:rFonts w:asciiTheme="minorHAnsi" w:hAnsiTheme="minorHAnsi" w:cstheme="minorHAnsi"/>
          <w:color w:val="000000" w:themeColor="text1"/>
          <w:lang w:val="en-GB"/>
        </w:rPr>
        <w:t>Complete results</w:t>
      </w:r>
      <w:r w:rsidR="0067457D" w:rsidRPr="00BA56A0">
        <w:rPr>
          <w:rFonts w:asciiTheme="minorHAnsi" w:hAnsiTheme="minorHAnsi" w:cstheme="minorHAnsi"/>
          <w:color w:val="000000" w:themeColor="text1"/>
          <w:lang w:val="en-GB"/>
        </w:rPr>
        <w:t xml:space="preserve"> for all traits, before and after radial MR,</w:t>
      </w:r>
      <w:r w:rsidR="00401218" w:rsidRPr="00BA56A0">
        <w:rPr>
          <w:rFonts w:asciiTheme="minorHAnsi" w:hAnsiTheme="minorHAnsi" w:cstheme="minorHAnsi"/>
          <w:color w:val="000000" w:themeColor="text1"/>
          <w:lang w:val="en-GB"/>
        </w:rPr>
        <w:t xml:space="preserve"> </w:t>
      </w:r>
      <w:r w:rsidR="00DE28CA" w:rsidRPr="00BA56A0">
        <w:rPr>
          <w:rFonts w:asciiTheme="minorHAnsi" w:hAnsiTheme="minorHAnsi" w:cstheme="minorHAnsi"/>
          <w:color w:val="000000" w:themeColor="text1"/>
          <w:lang w:val="en-GB"/>
        </w:rPr>
        <w:t>are available in s</w:t>
      </w:r>
      <w:r w:rsidR="00401218" w:rsidRPr="00BA56A0">
        <w:rPr>
          <w:rFonts w:asciiTheme="minorHAnsi" w:hAnsiTheme="minorHAnsi" w:cstheme="minorHAnsi"/>
          <w:color w:val="000000" w:themeColor="text1"/>
          <w:lang w:val="en-GB"/>
        </w:rPr>
        <w:t xml:space="preserve">upplementary </w:t>
      </w:r>
      <w:r w:rsidR="00DE28CA" w:rsidRPr="00BA56A0">
        <w:rPr>
          <w:rFonts w:asciiTheme="minorHAnsi" w:hAnsiTheme="minorHAnsi" w:cstheme="minorHAnsi"/>
          <w:color w:val="000000" w:themeColor="text1"/>
          <w:lang w:val="en-GB"/>
        </w:rPr>
        <w:t>t</w:t>
      </w:r>
      <w:r w:rsidR="00401218" w:rsidRPr="00BA56A0">
        <w:rPr>
          <w:rFonts w:asciiTheme="minorHAnsi" w:hAnsiTheme="minorHAnsi" w:cstheme="minorHAnsi"/>
          <w:color w:val="000000" w:themeColor="text1"/>
          <w:lang w:val="en-GB"/>
        </w:rPr>
        <w:t>ables 3</w:t>
      </w:r>
      <w:r w:rsidR="0067457D" w:rsidRPr="00BA56A0">
        <w:rPr>
          <w:rFonts w:asciiTheme="minorHAnsi" w:hAnsiTheme="minorHAnsi" w:cstheme="minorHAnsi"/>
          <w:color w:val="000000" w:themeColor="text1"/>
          <w:lang w:val="en-GB"/>
        </w:rPr>
        <w:t xml:space="preserve"> and 4</w:t>
      </w:r>
      <w:r w:rsidR="00401218" w:rsidRPr="00BA56A0">
        <w:rPr>
          <w:rFonts w:asciiTheme="minorHAnsi" w:hAnsiTheme="minorHAnsi" w:cstheme="minorHAnsi"/>
          <w:color w:val="000000" w:themeColor="text1"/>
          <w:lang w:val="en-GB"/>
        </w:rPr>
        <w:t>.</w:t>
      </w:r>
    </w:p>
    <w:p w14:paraId="45C42D6F" w14:textId="4CD949E5" w:rsidR="008E1F85" w:rsidRDefault="00626947" w:rsidP="00A8728E">
      <w:pPr>
        <w:spacing w:line="480" w:lineRule="auto"/>
        <w:ind w:firstLine="426"/>
        <w:jc w:val="both"/>
        <w:rPr>
          <w:rFonts w:asciiTheme="minorHAnsi" w:hAnsiTheme="minorHAnsi" w:cstheme="minorHAnsi"/>
          <w:lang w:val="en-GB"/>
        </w:rPr>
      </w:pPr>
      <w:r w:rsidRPr="00C87C10">
        <w:rPr>
          <w:rFonts w:asciiTheme="minorHAnsi" w:hAnsiTheme="minorHAnsi" w:cstheme="minorHAnsi"/>
          <w:lang w:val="en-GB"/>
        </w:rPr>
        <w:t>Figure 2 shows the mediation effects of BMI, fasting insulin, T2D, and LDL cholesterol on pancreatic cancer risk. Th</w:t>
      </w:r>
      <w:r w:rsidR="00C87C10">
        <w:rPr>
          <w:rFonts w:asciiTheme="minorHAnsi" w:hAnsiTheme="minorHAnsi" w:cstheme="minorHAnsi"/>
          <w:lang w:val="en-GB"/>
        </w:rPr>
        <w:t>is analysis</w:t>
      </w:r>
      <w:r w:rsidRPr="00C87C10">
        <w:rPr>
          <w:rFonts w:asciiTheme="minorHAnsi" w:hAnsiTheme="minorHAnsi" w:cstheme="minorHAnsi"/>
          <w:lang w:val="en-GB"/>
        </w:rPr>
        <w:t xml:space="preserve"> </w:t>
      </w:r>
      <w:r w:rsidR="00C87C10">
        <w:rPr>
          <w:rFonts w:asciiTheme="minorHAnsi" w:hAnsiTheme="minorHAnsi" w:cstheme="minorHAnsi"/>
          <w:lang w:val="en-GB"/>
        </w:rPr>
        <w:t>suggest</w:t>
      </w:r>
      <w:r w:rsidR="00C87C10" w:rsidRPr="00C87C10">
        <w:rPr>
          <w:rFonts w:asciiTheme="minorHAnsi" w:hAnsiTheme="minorHAnsi" w:cstheme="minorHAnsi"/>
          <w:lang w:val="en-GB"/>
        </w:rPr>
        <w:t xml:space="preserve">ed </w:t>
      </w:r>
      <w:r w:rsidRPr="00C87C10">
        <w:rPr>
          <w:rFonts w:asciiTheme="minorHAnsi" w:hAnsiTheme="minorHAnsi" w:cstheme="minorHAnsi"/>
          <w:lang w:val="en-GB"/>
        </w:rPr>
        <w:t>causal effects of LDL on BMI (OR=0.96, 95%CI=0.95</w:t>
      </w:r>
      <w:r w:rsidR="000F2DDC">
        <w:rPr>
          <w:rFonts w:asciiTheme="minorHAnsi" w:hAnsiTheme="minorHAnsi" w:cstheme="minorHAnsi"/>
          <w:lang w:val="en-GB"/>
        </w:rPr>
        <w:t>-</w:t>
      </w:r>
      <w:r w:rsidRPr="00C87C10">
        <w:rPr>
          <w:rFonts w:asciiTheme="minorHAnsi" w:hAnsiTheme="minorHAnsi" w:cstheme="minorHAnsi"/>
          <w:lang w:val="en-GB"/>
        </w:rPr>
        <w:t>0.98</w:t>
      </w:r>
      <w:r w:rsidR="007672ED">
        <w:rPr>
          <w:rFonts w:asciiTheme="minorHAnsi" w:hAnsiTheme="minorHAnsi" w:cstheme="minorHAnsi"/>
          <w:lang w:val="en-GB"/>
        </w:rPr>
        <w:t>,</w:t>
      </w:r>
      <w:r w:rsidR="007672ED" w:rsidRPr="007672ED">
        <w:rPr>
          <w:rFonts w:asciiTheme="minorHAnsi" w:hAnsiTheme="minorHAnsi" w:cstheme="minorHAnsi"/>
          <w:i/>
          <w:lang w:val="en-GB"/>
        </w:rPr>
        <w:t xml:space="preserve"> </w:t>
      </w:r>
      <w:r w:rsidR="007672ED" w:rsidRPr="00BA56A0">
        <w:rPr>
          <w:rFonts w:asciiTheme="minorHAnsi" w:hAnsiTheme="minorHAnsi" w:cstheme="minorHAnsi"/>
          <w:i/>
          <w:lang w:val="en-GB"/>
        </w:rPr>
        <w:t>P</w:t>
      </w:r>
      <w:r w:rsidR="007672ED" w:rsidRPr="00C87C10">
        <w:rPr>
          <w:rFonts w:asciiTheme="minorHAnsi" w:hAnsiTheme="minorHAnsi" w:cstheme="minorHAnsi"/>
          <w:lang w:val="en-GB"/>
        </w:rPr>
        <w:t>=2.18</w:t>
      </w:r>
      <w:r w:rsidR="007672ED">
        <w:rPr>
          <w:rFonts w:asciiTheme="minorHAnsi" w:hAnsiTheme="minorHAnsi" w:cstheme="minorHAnsi"/>
          <w:lang w:val="en-GB"/>
        </w:rPr>
        <w:t>x10</w:t>
      </w:r>
      <w:r w:rsidR="007672ED" w:rsidRPr="00DD5898">
        <w:rPr>
          <w:rFonts w:asciiTheme="minorHAnsi" w:hAnsiTheme="minorHAnsi" w:cstheme="minorHAnsi"/>
          <w:vertAlign w:val="superscript"/>
          <w:lang w:val="en-GB"/>
        </w:rPr>
        <w:t>-6</w:t>
      </w:r>
      <w:r w:rsidRPr="00C87C10">
        <w:rPr>
          <w:rFonts w:asciiTheme="minorHAnsi" w:hAnsiTheme="minorHAnsi" w:cstheme="minorHAnsi"/>
          <w:lang w:val="en-GB"/>
        </w:rPr>
        <w:t>) and BMI on fasting insulin (OR=1.20, 95%CI=1.17</w:t>
      </w:r>
      <w:r w:rsidR="000F2DDC">
        <w:rPr>
          <w:rFonts w:asciiTheme="minorHAnsi" w:hAnsiTheme="minorHAnsi" w:cstheme="minorHAnsi"/>
          <w:lang w:val="en-GB"/>
        </w:rPr>
        <w:t>-</w:t>
      </w:r>
      <w:r w:rsidRPr="00C87C10">
        <w:rPr>
          <w:rFonts w:asciiTheme="minorHAnsi" w:hAnsiTheme="minorHAnsi" w:cstheme="minorHAnsi"/>
          <w:lang w:val="en-GB"/>
        </w:rPr>
        <w:t>1.23</w:t>
      </w:r>
      <w:r w:rsidR="007672ED">
        <w:rPr>
          <w:rFonts w:asciiTheme="minorHAnsi" w:hAnsiTheme="minorHAnsi" w:cstheme="minorHAnsi"/>
          <w:lang w:val="en-GB"/>
        </w:rPr>
        <w:t>,</w:t>
      </w:r>
      <w:r w:rsidR="007672ED" w:rsidRPr="007672ED">
        <w:rPr>
          <w:rFonts w:asciiTheme="minorHAnsi" w:hAnsiTheme="minorHAnsi" w:cstheme="minorHAnsi"/>
          <w:i/>
          <w:lang w:val="en-GB"/>
        </w:rPr>
        <w:t xml:space="preserve"> </w:t>
      </w:r>
      <w:r w:rsidR="007672ED" w:rsidRPr="00BA56A0">
        <w:rPr>
          <w:rFonts w:asciiTheme="minorHAnsi" w:hAnsiTheme="minorHAnsi" w:cstheme="minorHAnsi"/>
          <w:i/>
          <w:lang w:val="en-GB"/>
        </w:rPr>
        <w:t>P</w:t>
      </w:r>
      <w:r w:rsidR="007672ED" w:rsidRPr="00C87C10">
        <w:rPr>
          <w:rFonts w:asciiTheme="minorHAnsi" w:hAnsiTheme="minorHAnsi" w:cstheme="minorHAnsi"/>
          <w:lang w:val="en-GB"/>
        </w:rPr>
        <w:t>=8.80</w:t>
      </w:r>
      <w:r w:rsidR="007672ED">
        <w:rPr>
          <w:rFonts w:asciiTheme="minorHAnsi" w:hAnsiTheme="minorHAnsi" w:cstheme="minorHAnsi"/>
          <w:lang w:val="en-GB"/>
        </w:rPr>
        <w:t>x10</w:t>
      </w:r>
      <w:r w:rsidR="007672ED" w:rsidRPr="00DD5898">
        <w:rPr>
          <w:rFonts w:asciiTheme="minorHAnsi" w:hAnsiTheme="minorHAnsi" w:cstheme="minorHAnsi"/>
          <w:vertAlign w:val="superscript"/>
          <w:lang w:val="en-GB"/>
        </w:rPr>
        <w:t>-50</w:t>
      </w:r>
      <w:r w:rsidRPr="00C87C10">
        <w:rPr>
          <w:rFonts w:asciiTheme="minorHAnsi" w:hAnsiTheme="minorHAnsi" w:cstheme="minorHAnsi"/>
          <w:lang w:val="en-GB"/>
        </w:rPr>
        <w:t xml:space="preserve">). </w:t>
      </w:r>
      <w:r w:rsidR="00974AB3">
        <w:rPr>
          <w:rFonts w:asciiTheme="minorHAnsi" w:hAnsiTheme="minorHAnsi" w:cstheme="minorHAnsi"/>
          <w:lang w:val="en-GB"/>
        </w:rPr>
        <w:t xml:space="preserve">The Steiger test showed </w:t>
      </w:r>
      <w:r w:rsidR="008610D2">
        <w:rPr>
          <w:rFonts w:asciiTheme="minorHAnsi" w:hAnsiTheme="minorHAnsi" w:cstheme="minorHAnsi"/>
          <w:lang w:val="en-GB"/>
        </w:rPr>
        <w:t xml:space="preserve">that </w:t>
      </w:r>
      <w:r w:rsidR="00974AB3">
        <w:rPr>
          <w:rFonts w:asciiTheme="minorHAnsi" w:hAnsiTheme="minorHAnsi" w:cstheme="minorHAnsi"/>
          <w:lang w:val="en-GB"/>
        </w:rPr>
        <w:t xml:space="preserve">the causal directions between LDL and BMI, and BMI and fasting insulin were both </w:t>
      </w:r>
      <w:r w:rsidR="00AF34B1">
        <w:rPr>
          <w:rFonts w:asciiTheme="minorHAnsi" w:hAnsiTheme="minorHAnsi" w:cstheme="minorHAnsi"/>
          <w:lang w:val="en-GB"/>
        </w:rPr>
        <w:t>correct</w:t>
      </w:r>
      <w:r w:rsidR="00974AB3">
        <w:rPr>
          <w:rFonts w:asciiTheme="minorHAnsi" w:hAnsiTheme="minorHAnsi" w:cstheme="minorHAnsi"/>
          <w:lang w:val="en-GB"/>
        </w:rPr>
        <w:t xml:space="preserve">. </w:t>
      </w:r>
      <w:r w:rsidRPr="00C87C10">
        <w:rPr>
          <w:rFonts w:asciiTheme="minorHAnsi" w:hAnsiTheme="minorHAnsi" w:cstheme="minorHAnsi"/>
          <w:lang w:val="en-GB"/>
        </w:rPr>
        <w:t>The</w:t>
      </w:r>
      <w:r w:rsidR="00DE28CA">
        <w:rPr>
          <w:rFonts w:asciiTheme="minorHAnsi" w:hAnsiTheme="minorHAnsi" w:cstheme="minorHAnsi"/>
          <w:lang w:val="en-GB"/>
        </w:rPr>
        <w:t>se data suggest</w:t>
      </w:r>
      <w:r w:rsidRPr="00C87C10">
        <w:rPr>
          <w:rFonts w:asciiTheme="minorHAnsi" w:hAnsiTheme="minorHAnsi" w:cstheme="minorHAnsi"/>
          <w:lang w:val="en-GB"/>
        </w:rPr>
        <w:t xml:space="preserve"> some degree of mediation between LDL and PDAC risk by BMI, and BMI and PDAC risk by fasting in</w:t>
      </w:r>
      <w:r w:rsidR="00DE28CA">
        <w:rPr>
          <w:rFonts w:asciiTheme="minorHAnsi" w:hAnsiTheme="minorHAnsi" w:cstheme="minorHAnsi"/>
          <w:lang w:val="en-GB"/>
        </w:rPr>
        <w:t>sulin (</w:t>
      </w:r>
      <w:r w:rsidR="005A1ED6">
        <w:rPr>
          <w:rFonts w:asciiTheme="minorHAnsi" w:hAnsiTheme="minorHAnsi" w:cstheme="minorHAnsi"/>
          <w:lang w:val="en-GB"/>
        </w:rPr>
        <w:t xml:space="preserve">detailed data are shown in </w:t>
      </w:r>
      <w:r w:rsidR="00DE28CA">
        <w:rPr>
          <w:rFonts w:asciiTheme="minorHAnsi" w:hAnsiTheme="minorHAnsi" w:cstheme="minorHAnsi"/>
          <w:lang w:val="en-GB"/>
        </w:rPr>
        <w:t>s</w:t>
      </w:r>
      <w:r w:rsidRPr="00C87C10">
        <w:rPr>
          <w:rFonts w:asciiTheme="minorHAnsi" w:hAnsiTheme="minorHAnsi" w:cstheme="minorHAnsi"/>
          <w:lang w:val="en-GB"/>
        </w:rPr>
        <w:t xml:space="preserve">upplementary </w:t>
      </w:r>
      <w:r w:rsidR="00DE28CA">
        <w:rPr>
          <w:rFonts w:asciiTheme="minorHAnsi" w:hAnsiTheme="minorHAnsi" w:cstheme="minorHAnsi"/>
          <w:lang w:val="en-GB"/>
        </w:rPr>
        <w:t>t</w:t>
      </w:r>
      <w:r w:rsidRPr="00C87C10">
        <w:rPr>
          <w:rFonts w:asciiTheme="minorHAnsi" w:hAnsiTheme="minorHAnsi" w:cstheme="minorHAnsi"/>
          <w:lang w:val="en-GB"/>
        </w:rPr>
        <w:t>able 5).</w:t>
      </w:r>
      <w:bookmarkEnd w:id="32"/>
      <w:bookmarkEnd w:id="33"/>
    </w:p>
    <w:p w14:paraId="53F6D391" w14:textId="120FD444" w:rsidR="00F12910" w:rsidRPr="004B08E4" w:rsidRDefault="00F12910" w:rsidP="00A8728E">
      <w:pPr>
        <w:spacing w:line="480" w:lineRule="auto"/>
        <w:ind w:firstLine="426"/>
        <w:jc w:val="both"/>
        <w:rPr>
          <w:rFonts w:asciiTheme="minorHAnsi" w:hAnsiTheme="minorHAnsi" w:cstheme="minorHAnsi"/>
        </w:rPr>
      </w:pPr>
      <w:r w:rsidRPr="004B08E4">
        <w:rPr>
          <w:rFonts w:asciiTheme="minorHAnsi" w:hAnsiTheme="minorHAnsi" w:cstheme="minorHAnsi"/>
          <w:lang w:val="en-GB" w:eastAsia="en-GB"/>
        </w:rPr>
        <w:br w:type="page"/>
      </w:r>
    </w:p>
    <w:p w14:paraId="52012D66" w14:textId="73451352" w:rsidR="00ED41AE" w:rsidRPr="004B08E4" w:rsidRDefault="00C4442B" w:rsidP="00086AD2">
      <w:pPr>
        <w:pStyle w:val="Heading1"/>
        <w:rPr>
          <w:rFonts w:asciiTheme="minorHAnsi" w:hAnsiTheme="minorHAnsi" w:cstheme="minorHAnsi"/>
          <w:lang w:val="en-GB"/>
        </w:rPr>
      </w:pPr>
      <w:r w:rsidRPr="004B08E4">
        <w:rPr>
          <w:rFonts w:asciiTheme="minorHAnsi" w:hAnsiTheme="minorHAnsi" w:cstheme="minorHAnsi"/>
          <w:lang w:val="en-GB"/>
        </w:rPr>
        <w:lastRenderedPageBreak/>
        <w:t>Discussion</w:t>
      </w:r>
    </w:p>
    <w:p w14:paraId="4F82FA80" w14:textId="43316134" w:rsidR="00AE4E44" w:rsidRPr="004B08E4" w:rsidRDefault="007E5FE5" w:rsidP="00086AD2">
      <w:pPr>
        <w:spacing w:line="480" w:lineRule="auto"/>
        <w:ind w:firstLine="426"/>
        <w:jc w:val="both"/>
        <w:rPr>
          <w:rFonts w:asciiTheme="minorHAnsi" w:eastAsiaTheme="minorHAnsi" w:hAnsiTheme="minorHAnsi" w:cstheme="minorHAnsi"/>
          <w:lang w:val="en-GB" w:eastAsia="en-GB"/>
        </w:rPr>
      </w:pPr>
      <w:bookmarkStart w:id="40" w:name="OLE_LINK49"/>
      <w:bookmarkStart w:id="41" w:name="OLE_LINK50"/>
      <w:r w:rsidRPr="004B08E4">
        <w:rPr>
          <w:rFonts w:asciiTheme="minorHAnsi" w:eastAsiaTheme="minorHAnsi" w:hAnsiTheme="minorHAnsi" w:cstheme="minorHAnsi"/>
          <w:lang w:val="en-GB" w:eastAsia="en-GB"/>
        </w:rPr>
        <w:t xml:space="preserve">We carried out a comprehensive work that included </w:t>
      </w:r>
      <w:r w:rsidR="008C0E81">
        <w:rPr>
          <w:rFonts w:asciiTheme="minorHAnsi" w:eastAsiaTheme="minorHAnsi" w:hAnsiTheme="minorHAnsi" w:cstheme="minorHAnsi"/>
          <w:lang w:val="en-GB" w:eastAsia="en-GB"/>
        </w:rPr>
        <w:t>genetic instruments</w:t>
      </w:r>
      <w:r w:rsidRPr="004B08E4">
        <w:rPr>
          <w:rFonts w:asciiTheme="minorHAnsi" w:eastAsiaTheme="minorHAnsi" w:hAnsiTheme="minorHAnsi" w:cstheme="minorHAnsi"/>
          <w:lang w:val="en-GB" w:eastAsia="en-GB"/>
        </w:rPr>
        <w:t xml:space="preserve"> in 1</w:t>
      </w:r>
      <w:r w:rsidR="008C0E81">
        <w:rPr>
          <w:rFonts w:asciiTheme="minorHAnsi" w:eastAsiaTheme="minorHAnsi" w:hAnsiTheme="minorHAnsi" w:cstheme="minorHAnsi"/>
          <w:lang w:val="en-GB" w:eastAsia="en-GB"/>
        </w:rPr>
        <w:t>6</w:t>
      </w:r>
      <w:r w:rsidRPr="004B08E4">
        <w:rPr>
          <w:rFonts w:asciiTheme="minorHAnsi" w:eastAsiaTheme="minorHAnsi" w:hAnsiTheme="minorHAnsi" w:cstheme="minorHAnsi"/>
          <w:lang w:val="en-GB" w:eastAsia="en-GB"/>
        </w:rPr>
        <w:t xml:space="preserve"> established or potential PDAC risk factors to perform a</w:t>
      </w:r>
      <w:r w:rsidR="0018246A">
        <w:rPr>
          <w:rFonts w:asciiTheme="minorHAnsi" w:eastAsiaTheme="minorHAnsi" w:hAnsiTheme="minorHAnsi" w:cstheme="minorHAnsi"/>
          <w:lang w:val="en-GB" w:eastAsia="en-GB"/>
        </w:rPr>
        <w:t>n</w:t>
      </w:r>
      <w:r w:rsidRPr="004B08E4">
        <w:rPr>
          <w:rFonts w:asciiTheme="minorHAnsi" w:eastAsiaTheme="minorHAnsi" w:hAnsiTheme="minorHAnsi" w:cstheme="minorHAnsi"/>
          <w:lang w:val="en-GB" w:eastAsia="en-GB"/>
        </w:rPr>
        <w:t xml:space="preserve"> MR with the aim of identifying the causal association between genetically predicted traits and PDAC risk. </w:t>
      </w:r>
      <w:r w:rsidR="00332840" w:rsidRPr="004B08E4">
        <w:rPr>
          <w:rFonts w:asciiTheme="minorHAnsi" w:eastAsiaTheme="minorHAnsi" w:hAnsiTheme="minorHAnsi" w:cstheme="minorHAnsi"/>
          <w:lang w:val="en-GB"/>
        </w:rPr>
        <w:t xml:space="preserve">Overall, our results </w:t>
      </w:r>
      <w:r w:rsidR="00332840" w:rsidRPr="004B08E4">
        <w:rPr>
          <w:rFonts w:asciiTheme="minorHAnsi" w:eastAsiaTheme="minorHAnsi" w:hAnsiTheme="minorHAnsi" w:cstheme="minorHAnsi"/>
          <w:lang w:val="en-GB" w:eastAsia="en-GB"/>
        </w:rPr>
        <w:t xml:space="preserve">provide evidence for a causal effect of higher </w:t>
      </w:r>
      <w:r w:rsidR="00155558" w:rsidRPr="004B08E4">
        <w:rPr>
          <w:rFonts w:asciiTheme="minorHAnsi" w:eastAsiaTheme="minorHAnsi" w:hAnsiTheme="minorHAnsi" w:cstheme="minorHAnsi"/>
          <w:lang w:val="en-GB" w:eastAsia="en-GB"/>
        </w:rPr>
        <w:t xml:space="preserve">BMI </w:t>
      </w:r>
      <w:r w:rsidR="00332840" w:rsidRPr="004B08E4">
        <w:rPr>
          <w:rFonts w:asciiTheme="minorHAnsi" w:eastAsiaTheme="minorHAnsi" w:hAnsiTheme="minorHAnsi" w:cstheme="minorHAnsi"/>
          <w:lang w:val="en-GB" w:eastAsia="en-GB"/>
        </w:rPr>
        <w:t>level with PDAC risk</w:t>
      </w:r>
      <w:r w:rsidR="00332840" w:rsidRPr="004B08E4">
        <w:rPr>
          <w:rFonts w:asciiTheme="minorHAnsi" w:eastAsiaTheme="minorHAnsi" w:hAnsiTheme="minorHAnsi" w:cstheme="minorHAnsi"/>
          <w:lang w:val="en-GB"/>
        </w:rPr>
        <w:t xml:space="preserve">, </w:t>
      </w:r>
      <w:r w:rsidR="00155558" w:rsidRPr="004B08E4">
        <w:rPr>
          <w:rFonts w:asciiTheme="minorHAnsi" w:eastAsiaTheme="minorHAnsi" w:hAnsiTheme="minorHAnsi" w:cstheme="minorHAnsi"/>
          <w:lang w:val="en-GB"/>
        </w:rPr>
        <w:t>and suggest a role for</w:t>
      </w:r>
      <w:r w:rsidR="00C23B70" w:rsidRPr="004B08E4">
        <w:rPr>
          <w:rFonts w:asciiTheme="minorHAnsi" w:eastAsiaTheme="minorHAnsi" w:hAnsiTheme="minorHAnsi" w:cstheme="minorHAnsi"/>
          <w:lang w:val="en-GB"/>
        </w:rPr>
        <w:t xml:space="preserve"> insulin</w:t>
      </w:r>
      <w:r w:rsidR="00046E74" w:rsidRPr="004B08E4">
        <w:rPr>
          <w:rFonts w:asciiTheme="minorHAnsi" w:eastAsiaTheme="minorHAnsi" w:hAnsiTheme="minorHAnsi" w:cstheme="minorHAnsi"/>
          <w:lang w:val="en-GB"/>
        </w:rPr>
        <w:t xml:space="preserve"> </w:t>
      </w:r>
      <w:r w:rsidR="00C23B70" w:rsidRPr="004B08E4">
        <w:rPr>
          <w:rFonts w:asciiTheme="minorHAnsi" w:eastAsiaTheme="minorHAnsi" w:hAnsiTheme="minorHAnsi" w:cstheme="minorHAnsi"/>
          <w:lang w:val="en-GB"/>
        </w:rPr>
        <w:t>level,</w:t>
      </w:r>
      <w:r w:rsidR="00155558" w:rsidRPr="004B08E4">
        <w:rPr>
          <w:rFonts w:asciiTheme="minorHAnsi" w:eastAsiaTheme="minorHAnsi" w:hAnsiTheme="minorHAnsi" w:cstheme="minorHAnsi"/>
          <w:lang w:val="en-GB"/>
        </w:rPr>
        <w:t xml:space="preserve"> T2D, LDL and drinks per week</w:t>
      </w:r>
      <w:r w:rsidR="00332840" w:rsidRPr="004B08E4">
        <w:rPr>
          <w:rFonts w:asciiTheme="minorHAnsi" w:eastAsiaTheme="minorHAnsi" w:hAnsiTheme="minorHAnsi" w:cstheme="minorHAnsi"/>
          <w:lang w:val="en-GB"/>
        </w:rPr>
        <w:t>.</w:t>
      </w:r>
      <w:bookmarkEnd w:id="40"/>
      <w:bookmarkEnd w:id="41"/>
      <w:r w:rsidRPr="004B08E4">
        <w:rPr>
          <w:rFonts w:asciiTheme="minorHAnsi" w:eastAsiaTheme="minorHAnsi" w:hAnsiTheme="minorHAnsi" w:cstheme="minorHAnsi"/>
          <w:lang w:val="en-GB"/>
        </w:rPr>
        <w:t xml:space="preserve"> </w:t>
      </w:r>
    </w:p>
    <w:p w14:paraId="7999B086" w14:textId="1431B24F" w:rsidR="00E45705" w:rsidRPr="004B08E4" w:rsidRDefault="00E45705" w:rsidP="00AE4E44">
      <w:pPr>
        <w:spacing w:line="480" w:lineRule="auto"/>
        <w:ind w:firstLine="426"/>
        <w:jc w:val="both"/>
        <w:rPr>
          <w:rFonts w:asciiTheme="minorHAnsi" w:eastAsiaTheme="minorHAnsi" w:hAnsiTheme="minorHAnsi" w:cstheme="minorHAnsi"/>
        </w:rPr>
      </w:pPr>
      <w:bookmarkStart w:id="42" w:name="OLE_LINK51"/>
      <w:bookmarkStart w:id="43" w:name="OLE_LINK52"/>
      <w:bookmarkStart w:id="44" w:name="OLE_LINK56"/>
      <w:bookmarkStart w:id="45" w:name="OLE_LINK57"/>
      <w:r w:rsidRPr="00D77E98">
        <w:rPr>
          <w:rFonts w:asciiTheme="minorHAnsi" w:eastAsiaTheme="minorHAnsi" w:hAnsiTheme="minorHAnsi" w:cstheme="minorHAnsi"/>
          <w:lang w:val="en-GB" w:eastAsia="en-GB"/>
        </w:rPr>
        <w:t xml:space="preserve">Carreras-Torres </w:t>
      </w:r>
      <w:r w:rsidR="001708FE" w:rsidRPr="00D77E98">
        <w:rPr>
          <w:rFonts w:asciiTheme="minorHAnsi" w:eastAsiaTheme="minorHAnsi" w:hAnsiTheme="minorHAnsi" w:cstheme="minorHAnsi"/>
          <w:lang w:val="en-GB" w:eastAsia="en-GB"/>
        </w:rPr>
        <w:t>and colle</w:t>
      </w:r>
      <w:r w:rsidR="00E13EE1" w:rsidRPr="00D77E98">
        <w:rPr>
          <w:rFonts w:asciiTheme="minorHAnsi" w:eastAsiaTheme="minorHAnsi" w:hAnsiTheme="minorHAnsi" w:cstheme="minorHAnsi"/>
          <w:lang w:val="en-GB" w:eastAsia="en-GB"/>
        </w:rPr>
        <w:t xml:space="preserve">agues </w:t>
      </w:r>
      <w:r w:rsidRPr="00D77E98">
        <w:rPr>
          <w:rFonts w:asciiTheme="minorHAnsi" w:eastAsiaTheme="minorHAnsi" w:hAnsiTheme="minorHAnsi" w:cstheme="minorHAnsi"/>
          <w:lang w:val="en-GB" w:eastAsia="en-GB"/>
        </w:rPr>
        <w:t>investigat</w:t>
      </w:r>
      <w:r w:rsidR="00511B9E" w:rsidRPr="00D77E98">
        <w:rPr>
          <w:rFonts w:asciiTheme="minorHAnsi" w:eastAsiaTheme="minorHAnsi" w:hAnsiTheme="minorHAnsi" w:cstheme="minorHAnsi"/>
          <w:lang w:val="en-GB" w:eastAsia="en-GB"/>
        </w:rPr>
        <w:t>ed</w:t>
      </w:r>
      <w:r w:rsidRPr="00D77E98">
        <w:rPr>
          <w:rFonts w:asciiTheme="minorHAnsi" w:eastAsiaTheme="minorHAnsi" w:hAnsiTheme="minorHAnsi" w:cstheme="minorHAnsi"/>
          <w:lang w:val="en-GB" w:eastAsia="en-GB"/>
        </w:rPr>
        <w:t xml:space="preserve"> </w:t>
      </w:r>
      <w:r w:rsidR="00511B9E" w:rsidRPr="00D77E98">
        <w:rPr>
          <w:rFonts w:asciiTheme="minorHAnsi" w:eastAsiaTheme="minorHAnsi" w:hAnsiTheme="minorHAnsi" w:cstheme="minorHAnsi"/>
          <w:lang w:val="en-GB" w:eastAsia="en-GB"/>
        </w:rPr>
        <w:t>the causal relevance of 11 traits on pancreatic cancer using</w:t>
      </w:r>
      <w:r w:rsidR="00C4430B" w:rsidRPr="00D77E98">
        <w:rPr>
          <w:rFonts w:asciiTheme="minorHAnsi" w:eastAsiaTheme="minorHAnsi" w:hAnsiTheme="minorHAnsi" w:cstheme="minorHAnsi"/>
          <w:lang w:val="en-GB" w:eastAsia="en-GB"/>
        </w:rPr>
        <w:t xml:space="preserve"> </w:t>
      </w:r>
      <w:r w:rsidR="00DE611F" w:rsidRPr="00D77E98">
        <w:rPr>
          <w:rFonts w:asciiTheme="minorHAnsi" w:eastAsiaTheme="minorHAnsi" w:hAnsiTheme="minorHAnsi" w:cstheme="minorHAnsi"/>
          <w:lang w:val="en-GB" w:eastAsia="en-GB"/>
        </w:rPr>
        <w:t xml:space="preserve">1040 </w:t>
      </w:r>
      <w:r w:rsidR="009D58C2" w:rsidRPr="00D77E98">
        <w:rPr>
          <w:rFonts w:asciiTheme="minorHAnsi" w:eastAsiaTheme="minorHAnsi" w:hAnsiTheme="minorHAnsi" w:cstheme="minorHAnsi"/>
          <w:lang w:val="en-GB" w:eastAsia="en-GB"/>
        </w:rPr>
        <w:t>SNPs</w:t>
      </w:r>
      <w:r w:rsidR="00DE4E8E" w:rsidRPr="00D77E98">
        <w:rPr>
          <w:rFonts w:asciiTheme="minorHAnsi" w:eastAsiaTheme="minorHAnsi" w:hAnsiTheme="minorHAnsi" w:cstheme="minorHAnsi"/>
          <w:lang w:val="en-GB" w:eastAsia="en-GB"/>
        </w:rPr>
        <w:t>, and found significant or suggestive associations with BMI and fasting insulin</w:t>
      </w:r>
      <w:bookmarkEnd w:id="42"/>
      <w:bookmarkEnd w:id="43"/>
      <w:r w:rsidR="00A47A52" w:rsidRPr="00D77E98">
        <w:rPr>
          <w:rFonts w:asciiTheme="minorHAnsi" w:eastAsiaTheme="minorHAnsi" w:hAnsiTheme="minorHAnsi" w:cstheme="minorHAnsi"/>
          <w:noProof/>
          <w:vertAlign w:val="superscript"/>
          <w:lang w:val="en-GB" w:eastAsia="en-GB"/>
        </w:rPr>
        <w:t xml:space="preserve"> </w:t>
      </w:r>
      <w:r w:rsidR="00D77E98">
        <w:rPr>
          <w:rFonts w:asciiTheme="minorHAnsi" w:eastAsiaTheme="minorHAnsi" w:hAnsiTheme="minorHAnsi" w:cstheme="minorHAnsi"/>
          <w:noProof/>
          <w:vertAlign w:val="superscript"/>
          <w:lang w:val="en-GB" w:eastAsia="en-GB"/>
        </w:rPr>
        <w:fldChar w:fldCharType="begin" w:fldLock="1"/>
      </w:r>
      <w:r w:rsidR="00DE3151">
        <w:rPr>
          <w:rFonts w:asciiTheme="minorHAnsi" w:eastAsiaTheme="minorHAnsi" w:hAnsiTheme="minorHAnsi" w:cstheme="minorHAnsi"/>
          <w:noProof/>
          <w:vertAlign w:val="superscript"/>
          <w:lang w:val="en-GB" w:eastAsia="en-GB"/>
        </w:rPr>
        <w:instrText>ADDIN CSL_CITATION {"citationItems":[{"id":"ITEM-1","itemData":{"DOI":"10.1093/jnci/djx012","ISSN":"0027-8874","PMID":"28954281","abstract":"Background: Risk factors for pancreatic cancer include a cluster of metabolic conditions such as obesity, hypertension, dyslipidemia, insulin resistance, and type 2 diabetes. Given that these risk factors are correlated, separating out causal from confounded effects is challenging. Mendelian randomization (MR), or the use of genetic instrumental variables, may facilitate the identification of the metabolic drivers of pancreatic cancer. Methods: We identified genetic instruments for obesity, body shape, dyslipidemia, insulin resistance, and type 2 diabetes in order to evaluate their causal role in pancreatic cancer etiology. These instruments were analyzed in relation to risk using a likelihood-based MR approach within a series of 7110 pancreatic cancer patients and 7264 control subjects using genome-wide data from the Pancreatic Cancer Cohort Consortium (PanScan) and the Pancreatic Cancer Case-Control Consortium (PanC4). Potential unknown pleiotropic effects were assessed using a weighted median approach and MR-Egger sensitivity analyses. Results: Results indicated a robust causal association of increasing body mass index (BMI) with pancreatic cancer risk (odds ratio [OR] = 1.34, 95% confidence interval [CI] = 1.09 to 1.65, for each standard deviation increase in BMI [4.6 kg/m2]). There was also evidence that genetically increased fasting insulin levels were causally associated with an increased risk of pancreatic cancer (OR = 1.66, 95% CI = 1.05 to 2.63, per SD [44.4 pmol/L]). Notably, no evidence of a causal relationship was observed for type 2 diabetes, nor for dyslipidemia. Sensitivity analyses did not indicate that pleiotropy was an important source of bias. Conclusions: Our results suggest a causal role of BMI and fasting insulin in pancreatic cancer etiology.","author":[{"dropping-particle":"","family":"Carreras-Torres","given":"Robert","non-dropping-particle":"","parse-names":false,"suffix":""},{"dropping-particle":"","family":"Johansson","given":"Mattias","non-dropping-particle":"","parse-names":false,"suffix":""},{"dropping-particle":"","family":"Gaborieau","given":"Valerie","non-dropping-particle":"","parse-names":false,"suffix":""},{"dropping-particle":"","family":"Haycock","given":"Philip C.","non-dropping-particle":"","parse-names":false,"suffix":""},{"dropping-particle":"","family":"Wade","given":"Kaitlin H.","non-dropping-particle":"","parse-names":false,"suffix":""},{"dropping-particle":"","family":"Relton","given":"Caroline L.","non-dropping-particle":"","parse-names":false,"suffix":""},{"dropping-particle":"","family":"Martin","given":"Richard M.","non-dropping-particle":"","parse-names":false,"suffix":""},{"dropping-particle":"","family":"Davey Smith","given":"George","non-dropping-particle":"","parse-names":false,"suffix":""},{"dropping-particle":"","family":"Brennan","given":"Paul","non-dropping-particle":"","parse-names":false,"suffix":""}],"container-title":"JNCI: Journal of the National Cancer Institute","id":"ITEM-1","issue":"9","issued":{"date-parts":[["2017","9","1"]]},"title":"The Role of Obesity, Type 2 Diabetes, and Metabolic Factors in Pancreatic Cancer: A Mendelian Randomization Study","type":"article-journal","volume":"109"},"uris":["http://www.mendeley.com/documents/?uuid=8d922334-01ae-4eb0-9a2f-78d7957df410"]}],"mendeley":{"formattedCitation":"&lt;sup&gt;32&lt;/sup&gt;","plainTextFormattedCitation":"32","previouslyFormattedCitation":"&lt;sup&gt;32&lt;/sup&gt;"},"properties":{"noteIndex":0},"schema":"https://github.com/citation-style-language/schema/raw/master/csl-citation.json"}</w:instrText>
      </w:r>
      <w:r w:rsidR="00D77E98">
        <w:rPr>
          <w:rFonts w:asciiTheme="minorHAnsi" w:eastAsiaTheme="minorHAnsi" w:hAnsiTheme="minorHAnsi" w:cstheme="minorHAnsi"/>
          <w:noProof/>
          <w:vertAlign w:val="superscript"/>
          <w:lang w:val="en-GB" w:eastAsia="en-GB"/>
        </w:rPr>
        <w:fldChar w:fldCharType="separate"/>
      </w:r>
      <w:r w:rsidR="00DE3151" w:rsidRPr="00DE3151">
        <w:rPr>
          <w:rFonts w:asciiTheme="minorHAnsi" w:eastAsiaTheme="minorHAnsi" w:hAnsiTheme="minorHAnsi" w:cstheme="minorHAnsi"/>
          <w:noProof/>
          <w:vertAlign w:val="superscript"/>
          <w:lang w:val="en-GB" w:eastAsia="en-GB"/>
        </w:rPr>
        <w:t>32</w:t>
      </w:r>
      <w:r w:rsidR="00D77E98">
        <w:rPr>
          <w:rFonts w:asciiTheme="minorHAnsi" w:eastAsiaTheme="minorHAnsi" w:hAnsiTheme="minorHAnsi" w:cstheme="minorHAnsi"/>
          <w:noProof/>
          <w:vertAlign w:val="superscript"/>
          <w:lang w:val="en-GB" w:eastAsia="en-GB"/>
        </w:rPr>
        <w:fldChar w:fldCharType="end"/>
      </w:r>
      <w:r w:rsidR="0073321C">
        <w:rPr>
          <w:rFonts w:asciiTheme="minorHAnsi" w:eastAsiaTheme="minorHAnsi" w:hAnsiTheme="minorHAnsi" w:cstheme="minorHAnsi"/>
          <w:lang w:val="en-GB" w:eastAsia="en-GB"/>
        </w:rPr>
        <w:t>.</w:t>
      </w:r>
      <w:r w:rsidRPr="004B08E4">
        <w:rPr>
          <w:rFonts w:asciiTheme="minorHAnsi" w:eastAsiaTheme="minorHAnsi" w:hAnsiTheme="minorHAnsi" w:cstheme="minorHAnsi"/>
          <w:lang w:val="en-GB" w:eastAsia="en-GB"/>
        </w:rPr>
        <w:t xml:space="preserve"> </w:t>
      </w:r>
      <w:r w:rsidR="00D83691" w:rsidRPr="004B08E4">
        <w:rPr>
          <w:rFonts w:asciiTheme="minorHAnsi" w:eastAsiaTheme="minorHAnsi" w:hAnsiTheme="minorHAnsi" w:cstheme="minorHAnsi"/>
          <w:lang w:val="en-GB" w:eastAsia="en-GB"/>
        </w:rPr>
        <w:t>Eight</w:t>
      </w:r>
      <w:r w:rsidR="00CC7BA4" w:rsidRPr="004B08E4">
        <w:rPr>
          <w:rFonts w:asciiTheme="minorHAnsi" w:eastAsiaTheme="minorHAnsi" w:hAnsiTheme="minorHAnsi" w:cstheme="minorHAnsi"/>
          <w:lang w:val="en-GB" w:eastAsia="en-GB"/>
        </w:rPr>
        <w:t xml:space="preserve"> </w:t>
      </w:r>
      <w:r w:rsidRPr="004B08E4">
        <w:rPr>
          <w:rFonts w:asciiTheme="minorHAnsi" w:eastAsiaTheme="minorHAnsi" w:hAnsiTheme="minorHAnsi" w:cstheme="minorHAnsi"/>
          <w:lang w:val="en-GB" w:eastAsia="en-GB"/>
        </w:rPr>
        <w:t xml:space="preserve">of these traits </w:t>
      </w:r>
      <w:r w:rsidR="008C0E81">
        <w:rPr>
          <w:rFonts w:asciiTheme="minorHAnsi" w:eastAsiaTheme="minorHAnsi" w:hAnsiTheme="minorHAnsi" w:cstheme="minorHAnsi"/>
          <w:lang w:eastAsia="en-GB"/>
        </w:rPr>
        <w:t>(</w:t>
      </w:r>
      <w:r w:rsidRPr="004B08E4">
        <w:rPr>
          <w:rFonts w:asciiTheme="minorHAnsi" w:eastAsiaTheme="minorHAnsi" w:hAnsiTheme="minorHAnsi" w:cstheme="minorHAnsi"/>
          <w:lang w:val="en-GB" w:eastAsia="en-GB"/>
        </w:rPr>
        <w:t xml:space="preserve">fasting glucose, fasting insulin, </w:t>
      </w:r>
      <w:r w:rsidR="00A8728E" w:rsidRPr="004B08E4">
        <w:rPr>
          <w:rFonts w:asciiTheme="minorHAnsi" w:eastAsiaTheme="minorHAnsi" w:hAnsiTheme="minorHAnsi" w:cstheme="minorHAnsi"/>
          <w:lang w:val="en-GB" w:eastAsia="en-GB"/>
        </w:rPr>
        <w:t>T2D</w:t>
      </w:r>
      <w:r w:rsidRPr="004B08E4">
        <w:rPr>
          <w:rFonts w:asciiTheme="minorHAnsi" w:eastAsiaTheme="minorHAnsi" w:hAnsiTheme="minorHAnsi" w:cstheme="minorHAnsi"/>
          <w:lang w:val="en-GB" w:eastAsia="en-GB"/>
        </w:rPr>
        <w:t>,</w:t>
      </w:r>
      <w:r w:rsidR="00A8728E" w:rsidRPr="004B08E4">
        <w:rPr>
          <w:rFonts w:asciiTheme="minorHAnsi" w:eastAsiaTheme="minorHAnsi" w:hAnsiTheme="minorHAnsi" w:cstheme="minorHAnsi"/>
          <w:lang w:val="en-GB" w:eastAsia="en-GB"/>
        </w:rPr>
        <w:t xml:space="preserve"> </w:t>
      </w:r>
      <w:r w:rsidRPr="004B08E4">
        <w:rPr>
          <w:rFonts w:asciiTheme="minorHAnsi" w:eastAsiaTheme="minorHAnsi" w:hAnsiTheme="minorHAnsi" w:cstheme="minorHAnsi"/>
          <w:lang w:val="en-GB" w:eastAsia="en-GB"/>
        </w:rPr>
        <w:t>BMI and lipid parameters</w:t>
      </w:r>
      <w:r w:rsidR="008C0E81">
        <w:rPr>
          <w:rFonts w:asciiTheme="minorHAnsi" w:eastAsiaTheme="minorHAnsi" w:hAnsiTheme="minorHAnsi" w:cstheme="minorHAnsi"/>
          <w:lang w:val="en-GB" w:eastAsia="en-GB"/>
        </w:rPr>
        <w:t>)</w:t>
      </w:r>
      <w:r w:rsidRPr="004B08E4">
        <w:rPr>
          <w:rFonts w:asciiTheme="minorHAnsi" w:eastAsiaTheme="minorHAnsi" w:hAnsiTheme="minorHAnsi" w:cstheme="minorHAnsi"/>
          <w:lang w:val="en-GB" w:eastAsia="en-GB"/>
        </w:rPr>
        <w:t xml:space="preserve"> </w:t>
      </w:r>
      <w:r w:rsidR="00CC7BA4" w:rsidRPr="004B08E4">
        <w:rPr>
          <w:rFonts w:asciiTheme="minorHAnsi" w:eastAsiaTheme="minorHAnsi" w:hAnsiTheme="minorHAnsi" w:cstheme="minorHAnsi"/>
          <w:lang w:val="en-GB" w:eastAsia="en-GB"/>
        </w:rPr>
        <w:t xml:space="preserve">are </w:t>
      </w:r>
      <w:r w:rsidRPr="004B08E4">
        <w:rPr>
          <w:rFonts w:asciiTheme="minorHAnsi" w:eastAsiaTheme="minorHAnsi" w:hAnsiTheme="minorHAnsi" w:cstheme="minorHAnsi"/>
          <w:lang w:val="en-GB" w:eastAsia="en-GB"/>
        </w:rPr>
        <w:t xml:space="preserve">in common </w:t>
      </w:r>
      <w:r w:rsidR="00511B9E" w:rsidRPr="004B08E4">
        <w:rPr>
          <w:rFonts w:asciiTheme="minorHAnsi" w:eastAsiaTheme="minorHAnsi" w:hAnsiTheme="minorHAnsi" w:cstheme="minorHAnsi"/>
          <w:lang w:val="en-GB" w:eastAsia="en-GB"/>
        </w:rPr>
        <w:t xml:space="preserve">with </w:t>
      </w:r>
      <w:r w:rsidR="00A8728E" w:rsidRPr="004B08E4">
        <w:rPr>
          <w:rFonts w:asciiTheme="minorHAnsi" w:eastAsiaTheme="minorHAnsi" w:hAnsiTheme="minorHAnsi" w:cstheme="minorHAnsi"/>
          <w:lang w:val="en-GB" w:eastAsia="en-GB"/>
        </w:rPr>
        <w:t>those selected in our study</w:t>
      </w:r>
      <w:r w:rsidR="006F01EF" w:rsidRPr="004B08E4">
        <w:rPr>
          <w:rFonts w:asciiTheme="minorHAnsi" w:eastAsiaTheme="minorHAnsi" w:hAnsiTheme="minorHAnsi" w:cstheme="minorHAnsi"/>
          <w:lang w:val="en-GB" w:eastAsia="en-GB"/>
        </w:rPr>
        <w:t xml:space="preserve">. </w:t>
      </w:r>
      <w:r w:rsidR="00FE1193" w:rsidRPr="00FE1193">
        <w:rPr>
          <w:rFonts w:asciiTheme="minorHAnsi" w:eastAsiaTheme="minorHAnsi" w:hAnsiTheme="minorHAnsi" w:cstheme="minorHAnsi"/>
          <w:lang w:val="en-GB" w:eastAsia="en-GB"/>
        </w:rPr>
        <w:t>Furthermore</w:t>
      </w:r>
      <w:r w:rsidR="00A8728E" w:rsidRPr="004B08E4">
        <w:rPr>
          <w:rFonts w:asciiTheme="minorHAnsi" w:eastAsiaTheme="minorHAnsi" w:hAnsiTheme="minorHAnsi" w:cstheme="minorHAnsi"/>
          <w:lang w:val="en-GB" w:eastAsia="en-GB"/>
        </w:rPr>
        <w:t>,</w:t>
      </w:r>
      <w:r w:rsidR="006F01EF" w:rsidRPr="004B08E4">
        <w:rPr>
          <w:rFonts w:asciiTheme="minorHAnsi" w:eastAsiaTheme="minorHAnsi" w:hAnsiTheme="minorHAnsi" w:cstheme="minorHAnsi"/>
          <w:lang w:val="en-GB" w:eastAsia="en-GB"/>
        </w:rPr>
        <w:t xml:space="preserve"> in a very recent report Langdon and colleagues also used an MR approach to infer the possible causal effect of 486 traits on PDAC risk</w:t>
      </w:r>
      <w:r w:rsidR="00BA56A0">
        <w:rPr>
          <w:rFonts w:asciiTheme="minorHAnsi" w:eastAsiaTheme="minorHAnsi" w:hAnsiTheme="minorHAnsi" w:cstheme="minorHAnsi"/>
          <w:lang w:val="en-GB" w:eastAsia="en-GB"/>
        </w:rPr>
        <w:t xml:space="preserve"> </w:t>
      </w:r>
      <w:r w:rsidR="0018246A">
        <w:rPr>
          <w:rFonts w:asciiTheme="minorHAnsi" w:eastAsiaTheme="minorHAnsi" w:hAnsiTheme="minorHAnsi" w:cstheme="minorHAnsi"/>
          <w:lang w:val="en-GB" w:eastAsia="en-GB"/>
        </w:rPr>
        <w:fldChar w:fldCharType="begin" w:fldLock="1"/>
      </w:r>
      <w:r w:rsidR="00DE3151">
        <w:rPr>
          <w:rFonts w:asciiTheme="minorHAnsi" w:eastAsiaTheme="minorHAnsi" w:hAnsiTheme="minorHAnsi" w:cstheme="minorHAnsi"/>
          <w:lang w:val="en-GB" w:eastAsia="en-GB"/>
        </w:rPr>
        <w:instrText>ADDIN CSL_CITATION {"citationItems":[{"id":"ITEM-1","itemData":{"DOI":"10.1158/1055-9965.EPI-19-0036","ISSN":"1055-9965","author":[{"dropping-particle":"","family":"Langdon","given":"Ryan J","non-dropping-particle":"","parse-names":false,"suffix":""},{"dropping-particle":"","family":"Richmond","given":"Rebecca C","non-dropping-particle":"","parse-names":false,"suffix":""},{"dropping-particle":"","family":"Hemani","given":"Gibran","non-dropping-particle":"","parse-names":false,"suffix":""},{"dropping-particle":"","family":"Zheng","given":"Jie","non-dropping-particle":"","parse-names":false,"suffix":""},{"dropping-particle":"","family":"Wade","given":"Kaitlin H","non-dropping-particle":"","parse-names":false,"suffix":""},{"dropping-particle":"","family":"Carreras-Torres","given":"Robert","non-dropping-particle":"","parse-names":false,"suffix":""},{"dropping-particle":"","family":"Johannson","given":"Mattias","non-dropping-particle":"","parse-names":false,"suffix":""},{"dropping-particle":"","family":"Brennan","given":"Paul","non-dropping-particle":"","parse-names":false,"suffix":""},{"dropping-particle":"","family":"Wootton","given":"Robyn E","non-dropping-particle":"","parse-names":false,"suffix":""},{"dropping-particle":"","family":"Munafo","given":"Marcus R","non-dropping-particle":"","parse-names":false,"suffix":""},{"dropping-particle":"","family":"Davey Smith","given":"George","non-dropping-particle":"","parse-names":false,"suffix":""},{"dropping-particle":"","family":"Relton","given":"Caroline L.","non-dropping-particle":"","parse-names":false,"suffix":""},{"dropping-particle":"","family":"Vincent","given":"Emma E","non-dropping-particle":"","parse-names":false,"suffix":""},{"dropping-particle":"","family":"Martin","given":"Richard M.","non-dropping-particle":"","parse-names":false,"suffix":""},{"dropping-particle":"","family":"Haycock","given":"Philip","non-dropping-particle":"","parse-names":false,"suffix":""}],"container-title":"Cancer Epidemiology Biomarkers &amp; Prevention","id":"ITEM-1","issued":{"date-parts":[["2019","7","17"]]},"page":"cebp.0036.2019","title":"A phenome-wide Mendelian randomization study of pancreatic cancer using summary genetic data","type":"article-journal"},"uris":["http://www.mendeley.com/documents/?uuid=79bba16a-4018-4c1b-8382-b68c73a44aea"]}],"mendeley":{"formattedCitation":"&lt;sup&gt;33&lt;/sup&gt;","plainTextFormattedCitation":"33","previouslyFormattedCitation":"&lt;sup&gt;33&lt;/sup&gt;"},"properties":{"noteIndex":0},"schema":"https://github.com/citation-style-language/schema/raw/master/csl-citation.json"}</w:instrText>
      </w:r>
      <w:r w:rsidR="0018246A">
        <w:rPr>
          <w:rFonts w:asciiTheme="minorHAnsi" w:eastAsiaTheme="minorHAnsi" w:hAnsiTheme="minorHAnsi" w:cstheme="minorHAnsi"/>
          <w:lang w:val="en-GB" w:eastAsia="en-GB"/>
        </w:rPr>
        <w:fldChar w:fldCharType="separate"/>
      </w:r>
      <w:r w:rsidR="00DE3151" w:rsidRPr="00DE3151">
        <w:rPr>
          <w:rFonts w:asciiTheme="minorHAnsi" w:eastAsiaTheme="minorHAnsi" w:hAnsiTheme="minorHAnsi" w:cstheme="minorHAnsi"/>
          <w:noProof/>
          <w:vertAlign w:val="superscript"/>
          <w:lang w:val="en-GB" w:eastAsia="en-GB"/>
        </w:rPr>
        <w:t>33</w:t>
      </w:r>
      <w:r w:rsidR="0018246A">
        <w:rPr>
          <w:rFonts w:asciiTheme="minorHAnsi" w:eastAsiaTheme="minorHAnsi" w:hAnsiTheme="minorHAnsi" w:cstheme="minorHAnsi"/>
          <w:lang w:val="en-GB" w:eastAsia="en-GB"/>
        </w:rPr>
        <w:fldChar w:fldCharType="end"/>
      </w:r>
      <w:r w:rsidR="006F01EF" w:rsidRPr="004B08E4">
        <w:rPr>
          <w:rFonts w:asciiTheme="minorHAnsi" w:eastAsiaTheme="minorHAnsi" w:hAnsiTheme="minorHAnsi" w:cstheme="minorHAnsi"/>
          <w:lang w:val="en-GB" w:eastAsia="en-GB"/>
        </w:rPr>
        <w:t xml:space="preserve">. </w:t>
      </w:r>
      <w:r w:rsidR="008C0E81">
        <w:rPr>
          <w:rFonts w:asciiTheme="minorHAnsi" w:eastAsiaTheme="minorHAnsi" w:hAnsiTheme="minorHAnsi" w:cstheme="minorHAnsi"/>
          <w:lang w:val="en-GB" w:eastAsia="en-GB"/>
        </w:rPr>
        <w:t>H</w:t>
      </w:r>
      <w:r w:rsidR="00511B9E" w:rsidRPr="004B08E4">
        <w:rPr>
          <w:rFonts w:asciiTheme="minorHAnsi" w:eastAsiaTheme="minorHAnsi" w:hAnsiTheme="minorHAnsi" w:cstheme="minorHAnsi"/>
          <w:lang w:val="en-GB" w:eastAsia="en-GB"/>
        </w:rPr>
        <w:t xml:space="preserve">owever, </w:t>
      </w:r>
      <w:r w:rsidR="00821C8F" w:rsidRPr="004B08E4">
        <w:rPr>
          <w:rFonts w:asciiTheme="minorHAnsi" w:eastAsiaTheme="minorHAnsi" w:hAnsiTheme="minorHAnsi" w:cstheme="minorHAnsi"/>
          <w:lang w:val="en-GB" w:eastAsia="en-GB"/>
        </w:rPr>
        <w:t>the</w:t>
      </w:r>
      <w:r w:rsidR="00CC7BA4" w:rsidRPr="004B08E4">
        <w:rPr>
          <w:rFonts w:asciiTheme="minorHAnsi" w:eastAsiaTheme="minorHAnsi" w:hAnsiTheme="minorHAnsi" w:cstheme="minorHAnsi"/>
          <w:lang w:val="en-GB" w:eastAsia="en-GB"/>
        </w:rPr>
        <w:t xml:space="preserve"> SNPs</w:t>
      </w:r>
      <w:r w:rsidR="00597E05" w:rsidRPr="004B08E4">
        <w:rPr>
          <w:rFonts w:asciiTheme="minorHAnsi" w:eastAsiaTheme="minorHAnsi" w:hAnsiTheme="minorHAnsi" w:cstheme="minorHAnsi"/>
          <w:lang w:val="en-GB" w:eastAsia="en-GB"/>
        </w:rPr>
        <w:t xml:space="preserve"> selected</w:t>
      </w:r>
      <w:r w:rsidR="00CC7BA4" w:rsidRPr="004B08E4">
        <w:rPr>
          <w:rFonts w:asciiTheme="minorHAnsi" w:eastAsiaTheme="minorHAnsi" w:hAnsiTheme="minorHAnsi" w:cstheme="minorHAnsi"/>
          <w:lang w:val="en-GB" w:eastAsia="en-GB"/>
        </w:rPr>
        <w:t xml:space="preserve"> </w:t>
      </w:r>
      <w:r w:rsidR="00597E05" w:rsidRPr="004B08E4">
        <w:rPr>
          <w:rFonts w:asciiTheme="minorHAnsi" w:eastAsiaTheme="minorHAnsi" w:hAnsiTheme="minorHAnsi" w:cstheme="minorHAnsi"/>
          <w:lang w:val="en-GB" w:eastAsia="en-GB"/>
        </w:rPr>
        <w:t xml:space="preserve">for each trait </w:t>
      </w:r>
      <w:r w:rsidR="00C23B70" w:rsidRPr="004B08E4">
        <w:rPr>
          <w:rFonts w:asciiTheme="minorHAnsi" w:eastAsiaTheme="minorHAnsi" w:hAnsiTheme="minorHAnsi" w:cstheme="minorHAnsi"/>
          <w:lang w:val="en-GB" w:eastAsia="en-GB"/>
        </w:rPr>
        <w:t xml:space="preserve">are </w:t>
      </w:r>
      <w:r w:rsidR="00CC7BA4" w:rsidRPr="004B08E4">
        <w:rPr>
          <w:rFonts w:asciiTheme="minorHAnsi" w:eastAsiaTheme="minorHAnsi" w:hAnsiTheme="minorHAnsi" w:cstheme="minorHAnsi"/>
          <w:lang w:val="en-GB" w:eastAsia="en-GB"/>
        </w:rPr>
        <w:t>different</w:t>
      </w:r>
      <w:r w:rsidR="00C23B70" w:rsidRPr="004B08E4">
        <w:rPr>
          <w:rFonts w:asciiTheme="minorHAnsi" w:eastAsiaTheme="minorHAnsi" w:hAnsiTheme="minorHAnsi" w:cstheme="minorHAnsi"/>
          <w:lang w:val="en-GB" w:eastAsia="en-GB"/>
        </w:rPr>
        <w:t xml:space="preserve"> </w:t>
      </w:r>
      <w:r w:rsidR="00C81275">
        <w:rPr>
          <w:rFonts w:asciiTheme="minorHAnsi" w:eastAsiaTheme="minorHAnsi" w:hAnsiTheme="minorHAnsi" w:cstheme="minorHAnsi"/>
          <w:lang w:val="en-GB" w:eastAsia="en-GB"/>
        </w:rPr>
        <w:t xml:space="preserve">when </w:t>
      </w:r>
      <w:r w:rsidR="00C23B70" w:rsidRPr="004B08E4">
        <w:rPr>
          <w:rFonts w:asciiTheme="minorHAnsi" w:eastAsiaTheme="minorHAnsi" w:hAnsiTheme="minorHAnsi" w:cstheme="minorHAnsi"/>
          <w:lang w:val="en-GB" w:eastAsia="en-GB"/>
        </w:rPr>
        <w:t>comparing our list and those by Carreras-Torres and Langdon</w:t>
      </w:r>
      <w:r w:rsidR="00C81275">
        <w:rPr>
          <w:rFonts w:asciiTheme="minorHAnsi" w:eastAsiaTheme="minorHAnsi" w:hAnsiTheme="minorHAnsi" w:cstheme="minorHAnsi"/>
          <w:lang w:val="en-GB" w:eastAsia="en-GB"/>
        </w:rPr>
        <w:t>,</w:t>
      </w:r>
      <w:r w:rsidR="00597E05" w:rsidRPr="004B08E4">
        <w:rPr>
          <w:rFonts w:asciiTheme="minorHAnsi" w:eastAsiaTheme="minorHAnsi" w:hAnsiTheme="minorHAnsi" w:cstheme="minorHAnsi"/>
          <w:lang w:val="en-GB" w:eastAsia="en-GB"/>
        </w:rPr>
        <w:t xml:space="preserve"> since we used </w:t>
      </w:r>
      <w:r w:rsidR="00C81275">
        <w:rPr>
          <w:rFonts w:asciiTheme="minorHAnsi" w:eastAsiaTheme="minorHAnsi" w:hAnsiTheme="minorHAnsi" w:cstheme="minorHAnsi"/>
          <w:lang w:val="en-GB" w:eastAsia="en-GB"/>
        </w:rPr>
        <w:t>the most</w:t>
      </w:r>
      <w:r w:rsidR="00C81275" w:rsidRPr="004B08E4">
        <w:rPr>
          <w:rFonts w:asciiTheme="minorHAnsi" w:eastAsiaTheme="minorHAnsi" w:hAnsiTheme="minorHAnsi" w:cstheme="minorHAnsi"/>
          <w:lang w:val="en-GB" w:eastAsia="en-GB"/>
        </w:rPr>
        <w:t xml:space="preserve"> </w:t>
      </w:r>
      <w:r w:rsidR="00597E05" w:rsidRPr="004B08E4">
        <w:rPr>
          <w:rFonts w:asciiTheme="minorHAnsi" w:eastAsiaTheme="minorHAnsi" w:hAnsiTheme="minorHAnsi" w:cstheme="minorHAnsi"/>
          <w:lang w:val="en-GB" w:eastAsia="en-GB"/>
        </w:rPr>
        <w:t>recent GWAS as data source</w:t>
      </w:r>
      <w:bookmarkStart w:id="46" w:name="OLE_LINK53"/>
      <w:bookmarkStart w:id="47" w:name="OLE_LINK54"/>
      <w:bookmarkStart w:id="48" w:name="OLE_LINK55"/>
      <w:r w:rsidR="00C81275">
        <w:rPr>
          <w:rFonts w:asciiTheme="minorHAnsi" w:eastAsiaTheme="minorHAnsi" w:hAnsiTheme="minorHAnsi" w:cstheme="minorHAnsi"/>
          <w:lang w:val="en-GB" w:eastAsia="en-GB"/>
        </w:rPr>
        <w:t xml:space="preserve"> for each exposure</w:t>
      </w:r>
      <w:r w:rsidR="00CC7BA4" w:rsidRPr="004B08E4">
        <w:rPr>
          <w:rFonts w:asciiTheme="minorHAnsi" w:eastAsiaTheme="minorHAnsi" w:hAnsiTheme="minorHAnsi" w:cstheme="minorHAnsi"/>
          <w:lang w:val="en-GB" w:eastAsia="en-GB"/>
        </w:rPr>
        <w:t>.</w:t>
      </w:r>
      <w:bookmarkEnd w:id="46"/>
      <w:bookmarkEnd w:id="47"/>
      <w:bookmarkEnd w:id="48"/>
      <w:r w:rsidRPr="004B08E4">
        <w:rPr>
          <w:rFonts w:asciiTheme="minorHAnsi" w:eastAsiaTheme="minorHAnsi" w:hAnsiTheme="minorHAnsi" w:cstheme="minorHAnsi"/>
          <w:lang w:val="en-GB" w:eastAsia="en-GB"/>
        </w:rPr>
        <w:t xml:space="preserve"> </w:t>
      </w:r>
      <w:r w:rsidR="00CC7BA4" w:rsidRPr="004B08E4">
        <w:rPr>
          <w:rFonts w:asciiTheme="minorHAnsi" w:eastAsiaTheme="minorHAnsi" w:hAnsiTheme="minorHAnsi" w:cstheme="minorHAnsi"/>
          <w:lang w:val="en-GB" w:eastAsia="en-GB"/>
        </w:rPr>
        <w:t>As a consequence of th</w:t>
      </w:r>
      <w:r w:rsidR="006C572A" w:rsidRPr="004B08E4">
        <w:rPr>
          <w:rFonts w:asciiTheme="minorHAnsi" w:eastAsiaTheme="minorHAnsi" w:hAnsiTheme="minorHAnsi" w:cstheme="minorHAnsi"/>
          <w:lang w:val="en-GB" w:eastAsia="en-GB"/>
        </w:rPr>
        <w:t>e</w:t>
      </w:r>
      <w:r w:rsidR="00CC7BA4" w:rsidRPr="004B08E4">
        <w:rPr>
          <w:rFonts w:asciiTheme="minorHAnsi" w:eastAsiaTheme="minorHAnsi" w:hAnsiTheme="minorHAnsi" w:cstheme="minorHAnsi"/>
          <w:lang w:val="en-GB" w:eastAsia="en-GB"/>
        </w:rPr>
        <w:t>s</w:t>
      </w:r>
      <w:r w:rsidR="006C572A" w:rsidRPr="004B08E4">
        <w:rPr>
          <w:rFonts w:asciiTheme="minorHAnsi" w:eastAsiaTheme="minorHAnsi" w:hAnsiTheme="minorHAnsi" w:cstheme="minorHAnsi"/>
          <w:lang w:val="en-GB" w:eastAsia="en-GB"/>
        </w:rPr>
        <w:t>e</w:t>
      </w:r>
      <w:r w:rsidR="00CC7BA4" w:rsidRPr="004B08E4">
        <w:rPr>
          <w:rFonts w:asciiTheme="minorHAnsi" w:eastAsiaTheme="minorHAnsi" w:hAnsiTheme="minorHAnsi" w:cstheme="minorHAnsi"/>
          <w:lang w:val="en-GB" w:eastAsia="en-GB"/>
        </w:rPr>
        <w:t xml:space="preserve"> different selection criteria the SNPs </w:t>
      </w:r>
      <w:r w:rsidR="00C81275">
        <w:rPr>
          <w:rFonts w:asciiTheme="minorHAnsi" w:eastAsiaTheme="minorHAnsi" w:hAnsiTheme="minorHAnsi" w:cstheme="minorHAnsi"/>
          <w:lang w:val="en-GB" w:eastAsia="en-GB"/>
        </w:rPr>
        <w:t xml:space="preserve">of the two previously published studies </w:t>
      </w:r>
      <w:r w:rsidR="00CC7BA4" w:rsidRPr="004B08E4">
        <w:rPr>
          <w:rFonts w:asciiTheme="minorHAnsi" w:eastAsiaTheme="minorHAnsi" w:hAnsiTheme="minorHAnsi" w:cstheme="minorHAnsi"/>
          <w:lang w:val="en-GB" w:eastAsia="en-GB"/>
        </w:rPr>
        <w:t>only partially overlap with our</w:t>
      </w:r>
      <w:r w:rsidR="00C81275">
        <w:rPr>
          <w:rFonts w:asciiTheme="minorHAnsi" w:eastAsiaTheme="minorHAnsi" w:hAnsiTheme="minorHAnsi" w:cstheme="minorHAnsi"/>
          <w:lang w:val="en-GB" w:eastAsia="en-GB"/>
        </w:rPr>
        <w:t>s</w:t>
      </w:r>
      <w:r w:rsidR="006C572A" w:rsidRPr="004B08E4">
        <w:rPr>
          <w:rFonts w:asciiTheme="minorHAnsi" w:eastAsiaTheme="minorHAnsi" w:hAnsiTheme="minorHAnsi" w:cstheme="minorHAnsi"/>
          <w:lang w:val="en-GB" w:eastAsia="en-GB"/>
        </w:rPr>
        <w:t>.</w:t>
      </w:r>
      <w:r w:rsidR="00CC7BA4" w:rsidRPr="004B08E4">
        <w:rPr>
          <w:rFonts w:asciiTheme="minorHAnsi" w:eastAsiaTheme="minorHAnsi" w:hAnsiTheme="minorHAnsi" w:cstheme="minorHAnsi"/>
          <w:lang w:val="en-GB" w:eastAsia="en-GB"/>
        </w:rPr>
        <w:t xml:space="preserve"> </w:t>
      </w:r>
      <w:r w:rsidR="00D53EB4" w:rsidRPr="004B08E4">
        <w:rPr>
          <w:rFonts w:asciiTheme="minorHAnsi" w:eastAsiaTheme="minorHAnsi" w:hAnsiTheme="minorHAnsi" w:cstheme="minorHAnsi"/>
          <w:lang w:val="en-GB" w:eastAsia="en-GB"/>
        </w:rPr>
        <w:t>As an example</w:t>
      </w:r>
      <w:r w:rsidR="006C572A" w:rsidRPr="004B08E4">
        <w:rPr>
          <w:rFonts w:asciiTheme="minorHAnsi" w:eastAsiaTheme="minorHAnsi" w:hAnsiTheme="minorHAnsi" w:cstheme="minorHAnsi"/>
          <w:lang w:val="en-GB" w:eastAsia="en-GB"/>
        </w:rPr>
        <w:t>,</w:t>
      </w:r>
      <w:r w:rsidR="00C23B70" w:rsidRPr="004B08E4">
        <w:rPr>
          <w:rFonts w:asciiTheme="minorHAnsi" w:eastAsiaTheme="minorHAnsi" w:hAnsiTheme="minorHAnsi" w:cstheme="minorHAnsi"/>
          <w:lang w:val="en-GB" w:eastAsia="en-GB"/>
        </w:rPr>
        <w:t xml:space="preserve"> </w:t>
      </w:r>
      <w:r w:rsidR="00D53EB4" w:rsidRPr="004B08E4">
        <w:rPr>
          <w:rFonts w:asciiTheme="minorHAnsi" w:eastAsiaTheme="minorHAnsi" w:hAnsiTheme="minorHAnsi" w:cstheme="minorHAnsi"/>
          <w:lang w:val="en-GB" w:eastAsia="en-GB"/>
        </w:rPr>
        <w:t>if</w:t>
      </w:r>
      <w:r w:rsidR="00C23B70" w:rsidRPr="004B08E4">
        <w:rPr>
          <w:rFonts w:asciiTheme="minorHAnsi" w:eastAsiaTheme="minorHAnsi" w:hAnsiTheme="minorHAnsi" w:cstheme="minorHAnsi"/>
          <w:lang w:val="en-GB" w:eastAsia="en-GB"/>
        </w:rPr>
        <w:t xml:space="preserve"> we consider the eight traits mentioned before</w:t>
      </w:r>
      <w:r w:rsidR="006C572A" w:rsidRPr="004B08E4">
        <w:rPr>
          <w:rFonts w:asciiTheme="minorHAnsi" w:eastAsiaTheme="minorHAnsi" w:hAnsiTheme="minorHAnsi" w:cstheme="minorHAnsi"/>
          <w:lang w:val="en-GB" w:eastAsia="en-GB"/>
        </w:rPr>
        <w:t xml:space="preserve"> we included </w:t>
      </w:r>
      <w:r w:rsidR="00D53EB4" w:rsidRPr="004B08E4">
        <w:rPr>
          <w:rFonts w:asciiTheme="minorHAnsi" w:eastAsiaTheme="minorHAnsi" w:hAnsiTheme="minorHAnsi" w:cstheme="minorHAnsi"/>
          <w:lang w:val="en-GB" w:eastAsia="en-GB"/>
        </w:rPr>
        <w:t>472</w:t>
      </w:r>
      <w:r w:rsidR="00031C00" w:rsidRPr="004B08E4">
        <w:rPr>
          <w:rFonts w:asciiTheme="minorHAnsi" w:eastAsiaTheme="minorHAnsi" w:hAnsiTheme="minorHAnsi" w:cstheme="minorHAnsi"/>
          <w:lang w:val="en-GB" w:eastAsia="en-GB"/>
        </w:rPr>
        <w:t xml:space="preserve"> </w:t>
      </w:r>
      <w:r w:rsidRPr="004B08E4">
        <w:rPr>
          <w:rFonts w:asciiTheme="minorHAnsi" w:eastAsiaTheme="minorHAnsi" w:hAnsiTheme="minorHAnsi" w:cstheme="minorHAnsi"/>
          <w:lang w:val="en-GB" w:eastAsia="en-GB"/>
        </w:rPr>
        <w:t xml:space="preserve">more SNPs </w:t>
      </w:r>
      <w:r w:rsidR="00C23B70" w:rsidRPr="004B08E4">
        <w:rPr>
          <w:rFonts w:asciiTheme="minorHAnsi" w:eastAsiaTheme="minorHAnsi" w:hAnsiTheme="minorHAnsi" w:cstheme="minorHAnsi"/>
          <w:lang w:val="en-GB" w:eastAsia="en-GB"/>
        </w:rPr>
        <w:t>than Carreras Torres-and</w:t>
      </w:r>
      <w:r w:rsidR="00D53EB4" w:rsidRPr="004B08E4">
        <w:rPr>
          <w:rFonts w:asciiTheme="minorHAnsi" w:eastAsiaTheme="minorHAnsi" w:hAnsiTheme="minorHAnsi" w:cstheme="minorHAnsi"/>
          <w:lang w:val="en-GB" w:eastAsia="en-GB"/>
        </w:rPr>
        <w:t xml:space="preserve"> 36 more than Langdon</w:t>
      </w:r>
      <w:r w:rsidRPr="004B08E4">
        <w:rPr>
          <w:rFonts w:asciiTheme="minorHAnsi" w:eastAsiaTheme="minorHAnsi" w:hAnsiTheme="minorHAnsi" w:cstheme="minorHAnsi"/>
          <w:lang w:val="en-GB" w:eastAsia="en-GB"/>
        </w:rPr>
        <w:t>.</w:t>
      </w:r>
      <w:r w:rsidR="0057681D">
        <w:rPr>
          <w:rFonts w:asciiTheme="minorHAnsi" w:eastAsiaTheme="minorHAnsi" w:hAnsiTheme="minorHAnsi" w:cstheme="minorHAnsi"/>
          <w:lang w:val="en-GB" w:eastAsia="en-GB"/>
        </w:rPr>
        <w:t xml:space="preserve"> </w:t>
      </w:r>
      <w:r w:rsidR="0057681D" w:rsidRPr="0057681D">
        <w:rPr>
          <w:rFonts w:asciiTheme="minorHAnsi" w:eastAsiaTheme="minorHAnsi" w:hAnsiTheme="minorHAnsi" w:cstheme="minorHAnsi"/>
          <w:lang w:val="en-GB" w:eastAsia="en-GB"/>
        </w:rPr>
        <w:t xml:space="preserve">In addition, we considered traits related to smoking, drinking, allergy and vitamin B12 and vitamin D which have not been reported in the previous publications by Carreras-Torres and Langdon. </w:t>
      </w:r>
      <w:r w:rsidR="00A90A15">
        <w:rPr>
          <w:rFonts w:asciiTheme="minorHAnsi" w:eastAsiaTheme="minorHAnsi" w:hAnsiTheme="minorHAnsi" w:cstheme="minorHAnsi"/>
          <w:lang w:val="en-GB" w:eastAsia="en-GB"/>
        </w:rPr>
        <w:t>A summary of the main findings of our studies compared with those of Carreras-Torres and Langdon is shown in supplementary table 6.</w:t>
      </w:r>
    </w:p>
    <w:p w14:paraId="079E3E2C" w14:textId="5D06AF68" w:rsidR="00352139" w:rsidRDefault="00A83182" w:rsidP="00430C9E">
      <w:pPr>
        <w:spacing w:line="480" w:lineRule="auto"/>
        <w:ind w:firstLine="426"/>
        <w:jc w:val="both"/>
        <w:rPr>
          <w:rFonts w:asciiTheme="minorHAnsi" w:eastAsiaTheme="minorHAnsi" w:hAnsiTheme="minorHAnsi" w:cstheme="minorHAnsi"/>
          <w:lang w:val="en-GB" w:eastAsia="en-GB"/>
        </w:rPr>
      </w:pPr>
      <w:bookmarkStart w:id="49" w:name="OLE_LINK63"/>
      <w:bookmarkStart w:id="50" w:name="OLE_LINK64"/>
      <w:bookmarkStart w:id="51" w:name="OLE_LINK60"/>
      <w:bookmarkStart w:id="52" w:name="OLE_LINK61"/>
      <w:bookmarkEnd w:id="44"/>
      <w:bookmarkEnd w:id="45"/>
      <w:r w:rsidRPr="00A83182">
        <w:rPr>
          <w:rFonts w:asciiTheme="minorHAnsi" w:hAnsiTheme="minorHAnsi" w:cstheme="minorHAnsi"/>
          <w:lang w:val="en-GB"/>
        </w:rPr>
        <w:t xml:space="preserve">The trait </w:t>
      </w:r>
      <w:r w:rsidR="00346DD9">
        <w:rPr>
          <w:rFonts w:asciiTheme="minorHAnsi" w:hAnsiTheme="minorHAnsi" w:cstheme="minorHAnsi"/>
          <w:lang w:val="en-GB"/>
        </w:rPr>
        <w:t xml:space="preserve">with </w:t>
      </w:r>
      <w:r w:rsidR="006E026D">
        <w:rPr>
          <w:rFonts w:asciiTheme="minorHAnsi" w:hAnsiTheme="minorHAnsi" w:cstheme="minorHAnsi"/>
          <w:lang w:val="en-GB"/>
        </w:rPr>
        <w:t xml:space="preserve">the </w:t>
      </w:r>
      <w:r w:rsidR="00346DD9">
        <w:rPr>
          <w:rFonts w:asciiTheme="minorHAnsi" w:hAnsiTheme="minorHAnsi" w:cstheme="minorHAnsi"/>
          <w:lang w:val="en-GB"/>
        </w:rPr>
        <w:t xml:space="preserve">strongest </w:t>
      </w:r>
      <w:r w:rsidRPr="00A83182">
        <w:rPr>
          <w:rFonts w:asciiTheme="minorHAnsi" w:hAnsiTheme="minorHAnsi" w:cstheme="minorHAnsi"/>
          <w:lang w:val="en-GB"/>
        </w:rPr>
        <w:t xml:space="preserve">evidence </w:t>
      </w:r>
      <w:r w:rsidR="00346DD9">
        <w:rPr>
          <w:rFonts w:asciiTheme="minorHAnsi" w:hAnsiTheme="minorHAnsi" w:cstheme="minorHAnsi"/>
          <w:lang w:val="en-GB"/>
        </w:rPr>
        <w:t xml:space="preserve">for an </w:t>
      </w:r>
      <w:r w:rsidRPr="00A83182">
        <w:rPr>
          <w:rFonts w:asciiTheme="minorHAnsi" w:hAnsiTheme="minorHAnsi" w:cstheme="minorHAnsi"/>
          <w:lang w:val="en-GB"/>
        </w:rPr>
        <w:t>association</w:t>
      </w:r>
      <w:r w:rsidR="00D14A63">
        <w:rPr>
          <w:rFonts w:asciiTheme="minorHAnsi" w:hAnsiTheme="minorHAnsi" w:cstheme="minorHAnsi"/>
          <w:lang w:val="en-GB"/>
        </w:rPr>
        <w:t xml:space="preserve"> with</w:t>
      </w:r>
      <w:r w:rsidRPr="00A83182">
        <w:rPr>
          <w:rFonts w:asciiTheme="minorHAnsi" w:hAnsiTheme="minorHAnsi" w:cstheme="minorHAnsi"/>
          <w:lang w:val="en-GB"/>
        </w:rPr>
        <w:t xml:space="preserve"> </w:t>
      </w:r>
      <w:r w:rsidR="00D14A63">
        <w:rPr>
          <w:rFonts w:asciiTheme="minorHAnsi" w:eastAsiaTheme="minorHAnsi" w:hAnsiTheme="minorHAnsi" w:cstheme="minorHAnsi"/>
          <w:lang w:val="en-GB" w:eastAsia="en-GB"/>
        </w:rPr>
        <w:t xml:space="preserve">an </w:t>
      </w:r>
      <w:r w:rsidR="00D14A63" w:rsidRPr="004B08E4">
        <w:rPr>
          <w:rFonts w:asciiTheme="minorHAnsi" w:eastAsiaTheme="minorHAnsi" w:hAnsiTheme="minorHAnsi" w:cstheme="minorHAnsi"/>
          <w:lang w:val="en-GB" w:eastAsia="en-GB"/>
        </w:rPr>
        <w:t>increased risk of developing PDAC</w:t>
      </w:r>
      <w:r w:rsidR="00D14A63" w:rsidRPr="004B08E4" w:rsidDel="00D14A63">
        <w:rPr>
          <w:rFonts w:asciiTheme="minorHAnsi" w:hAnsiTheme="minorHAnsi" w:cstheme="minorHAnsi"/>
          <w:lang w:val="en-GB"/>
        </w:rPr>
        <w:t xml:space="preserve"> </w:t>
      </w:r>
      <w:r w:rsidR="00D14A63">
        <w:rPr>
          <w:rFonts w:asciiTheme="minorHAnsi" w:hAnsiTheme="minorHAnsi" w:cstheme="minorHAnsi"/>
          <w:lang w:val="en-GB"/>
        </w:rPr>
        <w:t>was</w:t>
      </w:r>
      <w:r w:rsidR="005E14DE">
        <w:rPr>
          <w:rFonts w:asciiTheme="minorHAnsi" w:hAnsiTheme="minorHAnsi" w:cstheme="minorHAnsi"/>
          <w:lang w:val="en-GB"/>
        </w:rPr>
        <w:t xml:space="preserve"> </w:t>
      </w:r>
      <w:r w:rsidR="00014235" w:rsidRPr="004B08E4">
        <w:rPr>
          <w:rFonts w:asciiTheme="minorHAnsi" w:eastAsiaTheme="minorHAnsi" w:hAnsiTheme="minorHAnsi" w:cstheme="minorHAnsi"/>
          <w:lang w:val="en-GB" w:eastAsia="en-GB"/>
        </w:rPr>
        <w:t xml:space="preserve">genetically </w:t>
      </w:r>
      <w:r w:rsidR="008A469E" w:rsidRPr="004B08E4">
        <w:rPr>
          <w:rFonts w:asciiTheme="minorHAnsi" w:eastAsiaTheme="minorHAnsi" w:hAnsiTheme="minorHAnsi" w:cstheme="minorHAnsi"/>
          <w:lang w:val="en-GB" w:eastAsia="en-GB"/>
        </w:rPr>
        <w:t>predicted</w:t>
      </w:r>
      <w:r w:rsidR="00014235" w:rsidRPr="004B08E4">
        <w:rPr>
          <w:rFonts w:asciiTheme="minorHAnsi" w:eastAsiaTheme="minorHAnsi" w:hAnsiTheme="minorHAnsi" w:cstheme="minorHAnsi"/>
          <w:lang w:val="en-GB" w:eastAsia="en-GB"/>
        </w:rPr>
        <w:t xml:space="preserve"> </w:t>
      </w:r>
      <w:r w:rsidR="00D53EB4" w:rsidRPr="004B08E4">
        <w:rPr>
          <w:rFonts w:asciiTheme="minorHAnsi" w:eastAsiaTheme="minorHAnsi" w:hAnsiTheme="minorHAnsi" w:cstheme="minorHAnsi"/>
          <w:lang w:val="en-GB" w:eastAsia="en-GB"/>
        </w:rPr>
        <w:t>BMI</w:t>
      </w:r>
      <w:r w:rsidR="003E3F45" w:rsidRPr="004B08E4">
        <w:rPr>
          <w:rFonts w:asciiTheme="minorHAnsi" w:eastAsiaTheme="minorHAnsi" w:hAnsiTheme="minorHAnsi" w:cstheme="minorHAnsi"/>
          <w:lang w:val="en-GB" w:eastAsia="en-GB"/>
        </w:rPr>
        <w:t xml:space="preserve">. </w:t>
      </w:r>
      <w:r w:rsidR="0085330F">
        <w:rPr>
          <w:rFonts w:asciiTheme="minorHAnsi" w:eastAsiaTheme="minorHAnsi" w:hAnsiTheme="minorHAnsi" w:cstheme="minorHAnsi"/>
          <w:lang w:val="en-GB" w:eastAsia="en-GB"/>
        </w:rPr>
        <w:t xml:space="preserve">It </w:t>
      </w:r>
      <w:r w:rsidR="005E14DE">
        <w:rPr>
          <w:rFonts w:asciiTheme="minorHAnsi" w:eastAsiaTheme="minorHAnsi" w:hAnsiTheme="minorHAnsi" w:cstheme="minorHAnsi"/>
          <w:lang w:val="en-GB" w:eastAsia="en-GB"/>
        </w:rPr>
        <w:t xml:space="preserve">was </w:t>
      </w:r>
      <w:r w:rsidR="0085330F">
        <w:rPr>
          <w:rFonts w:asciiTheme="minorHAnsi" w:eastAsiaTheme="minorHAnsi" w:hAnsiTheme="minorHAnsi" w:cstheme="minorHAnsi"/>
          <w:lang w:val="en-GB" w:eastAsia="en-GB"/>
        </w:rPr>
        <w:t xml:space="preserve">also the only association that </w:t>
      </w:r>
      <w:r w:rsidR="005E14DE">
        <w:rPr>
          <w:rFonts w:asciiTheme="minorHAnsi" w:eastAsiaTheme="minorHAnsi" w:hAnsiTheme="minorHAnsi" w:cstheme="minorHAnsi"/>
          <w:lang w:val="en-GB" w:eastAsia="en-GB"/>
        </w:rPr>
        <w:t xml:space="preserve">reached statistical significance after </w:t>
      </w:r>
      <w:r w:rsidR="0085330F">
        <w:rPr>
          <w:rFonts w:asciiTheme="minorHAnsi" w:eastAsiaTheme="minorHAnsi" w:hAnsiTheme="minorHAnsi" w:cstheme="minorHAnsi"/>
          <w:lang w:val="en-GB" w:eastAsia="en-GB"/>
        </w:rPr>
        <w:t xml:space="preserve">correction for multiple testing. </w:t>
      </w:r>
      <w:r w:rsidR="003E3F45" w:rsidRPr="004B08E4">
        <w:rPr>
          <w:rFonts w:asciiTheme="minorHAnsi" w:eastAsiaTheme="minorHAnsi" w:hAnsiTheme="minorHAnsi" w:cstheme="minorHAnsi"/>
          <w:lang w:val="en-GB" w:eastAsia="en-GB"/>
        </w:rPr>
        <w:t>This finding</w:t>
      </w:r>
      <w:r w:rsidR="00D53EB4" w:rsidRPr="004B08E4">
        <w:rPr>
          <w:rFonts w:asciiTheme="minorHAnsi" w:eastAsiaTheme="minorHAnsi" w:hAnsiTheme="minorHAnsi" w:cstheme="minorHAnsi"/>
          <w:lang w:val="en-GB" w:eastAsia="en-GB"/>
        </w:rPr>
        <w:t xml:space="preserve"> is consistent among the three studies</w:t>
      </w:r>
      <w:r w:rsidR="00813E25">
        <w:rPr>
          <w:rFonts w:asciiTheme="minorHAnsi" w:eastAsiaTheme="minorHAnsi" w:hAnsiTheme="minorHAnsi" w:cstheme="minorHAnsi"/>
          <w:lang w:val="en-GB" w:eastAsia="en-GB"/>
        </w:rPr>
        <w:t>,</w:t>
      </w:r>
      <w:r w:rsidR="00D53EB4" w:rsidRPr="004B08E4">
        <w:rPr>
          <w:rFonts w:asciiTheme="minorHAnsi" w:eastAsiaTheme="minorHAnsi" w:hAnsiTheme="minorHAnsi" w:cstheme="minorHAnsi"/>
          <w:lang w:val="en-GB" w:eastAsia="en-GB"/>
        </w:rPr>
        <w:t xml:space="preserve"> with similar OR</w:t>
      </w:r>
      <w:r w:rsidR="00A06BCB" w:rsidRPr="004B08E4">
        <w:rPr>
          <w:rFonts w:asciiTheme="minorHAnsi" w:eastAsiaTheme="minorHAnsi" w:hAnsiTheme="minorHAnsi" w:cstheme="minorHAnsi"/>
          <w:lang w:val="en-GB" w:eastAsia="en-GB"/>
        </w:rPr>
        <w:t xml:space="preserve"> </w:t>
      </w:r>
      <w:r w:rsidR="00D53EB4" w:rsidRPr="004B08E4">
        <w:rPr>
          <w:rFonts w:asciiTheme="minorHAnsi" w:eastAsiaTheme="minorHAnsi" w:hAnsiTheme="minorHAnsi" w:cstheme="minorHAnsi"/>
          <w:lang w:val="en-GB" w:eastAsia="en-GB"/>
        </w:rPr>
        <w:t>across the various methods used</w:t>
      </w:r>
      <w:r w:rsidR="00E45705" w:rsidRPr="004B08E4">
        <w:rPr>
          <w:rFonts w:asciiTheme="minorHAnsi" w:eastAsiaTheme="minorHAnsi" w:hAnsiTheme="minorHAnsi" w:cstheme="minorHAnsi"/>
          <w:lang w:val="en-GB" w:eastAsia="en-GB"/>
        </w:rPr>
        <w:t>.</w:t>
      </w:r>
      <w:bookmarkEnd w:id="49"/>
      <w:bookmarkEnd w:id="50"/>
      <w:r w:rsidR="00E45705" w:rsidRPr="004B08E4">
        <w:rPr>
          <w:rFonts w:asciiTheme="minorHAnsi" w:eastAsiaTheme="minorHAnsi" w:hAnsiTheme="minorHAnsi" w:cstheme="minorHAnsi"/>
          <w:lang w:val="en-GB" w:eastAsia="en-GB"/>
        </w:rPr>
        <w:t xml:space="preserve"> </w:t>
      </w:r>
      <w:bookmarkEnd w:id="51"/>
      <w:bookmarkEnd w:id="52"/>
      <w:r w:rsidR="00A06BCB" w:rsidRPr="004B08E4">
        <w:rPr>
          <w:rFonts w:asciiTheme="minorHAnsi" w:eastAsiaTheme="minorHAnsi" w:hAnsiTheme="minorHAnsi" w:cstheme="minorHAnsi"/>
          <w:lang w:val="en-GB" w:eastAsia="en-GB"/>
        </w:rPr>
        <w:t xml:space="preserve">Langdon and colleagues reported a </w:t>
      </w:r>
      <w:r w:rsidR="00B1715F" w:rsidRPr="004B08E4">
        <w:rPr>
          <w:rFonts w:asciiTheme="minorHAnsi" w:eastAsiaTheme="minorHAnsi" w:hAnsiTheme="minorHAnsi" w:cstheme="minorHAnsi"/>
          <w:lang w:val="en-GB" w:eastAsia="en-GB"/>
        </w:rPr>
        <w:t>strong</w:t>
      </w:r>
      <w:r w:rsidR="00A06BCB" w:rsidRPr="004B08E4">
        <w:rPr>
          <w:rFonts w:asciiTheme="minorHAnsi" w:eastAsiaTheme="minorHAnsi" w:hAnsiTheme="minorHAnsi" w:cstheme="minorHAnsi"/>
          <w:lang w:val="en-GB" w:eastAsia="en-GB"/>
        </w:rPr>
        <w:t xml:space="preserve"> </w:t>
      </w:r>
      <w:r w:rsidR="00A06BCB" w:rsidRPr="004B08E4">
        <w:rPr>
          <w:rFonts w:asciiTheme="minorHAnsi" w:eastAsiaTheme="minorHAnsi" w:hAnsiTheme="minorHAnsi" w:cstheme="minorHAnsi"/>
          <w:lang w:val="en-GB" w:eastAsia="en-GB"/>
        </w:rPr>
        <w:lastRenderedPageBreak/>
        <w:t>evidence of heterogeneity among the SNPs used as proxies for BMI</w:t>
      </w:r>
      <w:r w:rsidR="00B1715F" w:rsidRPr="004B08E4">
        <w:rPr>
          <w:rFonts w:asciiTheme="minorHAnsi" w:eastAsiaTheme="minorHAnsi" w:hAnsiTheme="minorHAnsi" w:cstheme="minorHAnsi"/>
          <w:lang w:val="en-GB" w:eastAsia="en-GB"/>
        </w:rPr>
        <w:t xml:space="preserve">. </w:t>
      </w:r>
      <w:r w:rsidR="00FF6462">
        <w:rPr>
          <w:rFonts w:asciiTheme="minorHAnsi" w:eastAsiaTheme="minorHAnsi" w:hAnsiTheme="minorHAnsi" w:cstheme="minorHAnsi"/>
          <w:lang w:val="en-GB" w:eastAsia="en-GB"/>
        </w:rPr>
        <w:t>By use of</w:t>
      </w:r>
      <w:r w:rsidR="00B1715F" w:rsidRPr="004B08E4">
        <w:rPr>
          <w:rFonts w:asciiTheme="minorHAnsi" w:eastAsiaTheme="minorHAnsi" w:hAnsiTheme="minorHAnsi" w:cstheme="minorHAnsi"/>
          <w:lang w:val="en-GB" w:eastAsia="en-GB"/>
        </w:rPr>
        <w:t xml:space="preserve"> the radial MR approach</w:t>
      </w:r>
      <w:r w:rsidR="00FF6462">
        <w:rPr>
          <w:rFonts w:asciiTheme="minorHAnsi" w:eastAsiaTheme="minorHAnsi" w:hAnsiTheme="minorHAnsi" w:cstheme="minorHAnsi"/>
          <w:lang w:val="en-GB" w:eastAsia="en-GB"/>
        </w:rPr>
        <w:t>,</w:t>
      </w:r>
      <w:r w:rsidR="00B1715F" w:rsidRPr="004B08E4">
        <w:rPr>
          <w:rFonts w:asciiTheme="minorHAnsi" w:eastAsiaTheme="minorHAnsi" w:hAnsiTheme="minorHAnsi" w:cstheme="minorHAnsi"/>
          <w:lang w:val="en-GB" w:eastAsia="en-GB"/>
        </w:rPr>
        <w:t xml:space="preserve"> we could identify the SNPs responsible for this heterogeneity and compute an OR without this bias</w:t>
      </w:r>
      <w:r w:rsidR="002A7BA2" w:rsidRPr="004B08E4">
        <w:rPr>
          <w:rFonts w:asciiTheme="minorHAnsi" w:eastAsiaTheme="minorHAnsi" w:hAnsiTheme="minorHAnsi" w:cstheme="minorHAnsi"/>
          <w:lang w:val="en-GB" w:eastAsia="en-GB"/>
        </w:rPr>
        <w:t xml:space="preserve"> suggesting a causal relation between BMI and pancreatic cancer.</w:t>
      </w:r>
      <w:r w:rsidR="003E3F45" w:rsidRPr="004B08E4">
        <w:rPr>
          <w:rFonts w:asciiTheme="minorHAnsi" w:eastAsiaTheme="minorHAnsi" w:hAnsiTheme="minorHAnsi" w:cstheme="minorHAnsi"/>
          <w:lang w:val="en-GB" w:eastAsia="en-GB"/>
        </w:rPr>
        <w:t xml:space="preserve"> In addition, in our study the association </w:t>
      </w:r>
      <w:r w:rsidR="005E14DE">
        <w:rPr>
          <w:rFonts w:asciiTheme="minorHAnsi" w:eastAsiaTheme="minorHAnsi" w:hAnsiTheme="minorHAnsi" w:cstheme="minorHAnsi"/>
          <w:lang w:val="en-GB" w:eastAsia="en-GB"/>
        </w:rPr>
        <w:t xml:space="preserve">was detected </w:t>
      </w:r>
      <w:r w:rsidR="003E3F45" w:rsidRPr="004B08E4">
        <w:rPr>
          <w:rFonts w:asciiTheme="minorHAnsi" w:eastAsiaTheme="minorHAnsi" w:hAnsiTheme="minorHAnsi" w:cstheme="minorHAnsi"/>
          <w:lang w:val="en-GB" w:eastAsia="en-GB"/>
        </w:rPr>
        <w:t>in both the comprehensive and restrictive models suggesting no underlying pleiotropy in the association</w:t>
      </w:r>
      <w:r w:rsidR="00430C9E" w:rsidRPr="004B08E4">
        <w:rPr>
          <w:rFonts w:asciiTheme="minorHAnsi" w:eastAsiaTheme="minorHAnsi" w:hAnsiTheme="minorHAnsi" w:cstheme="minorHAnsi"/>
          <w:lang w:val="en-GB" w:eastAsia="en-GB"/>
        </w:rPr>
        <w:t xml:space="preserve">. </w:t>
      </w:r>
      <w:r w:rsidR="00430C9E">
        <w:rPr>
          <w:rFonts w:asciiTheme="minorHAnsi" w:eastAsiaTheme="minorHAnsi" w:hAnsiTheme="minorHAnsi" w:cstheme="minorHAnsi"/>
          <w:lang w:val="en-GB" w:eastAsia="en-GB"/>
        </w:rPr>
        <w:t>I</w:t>
      </w:r>
      <w:bookmarkStart w:id="53" w:name="OLE_LINK34"/>
      <w:bookmarkStart w:id="54" w:name="OLE_LINK35"/>
      <w:r w:rsidR="00430C9E">
        <w:rPr>
          <w:rFonts w:asciiTheme="minorHAnsi" w:eastAsiaTheme="minorHAnsi" w:hAnsiTheme="minorHAnsi" w:cstheme="minorHAnsi"/>
          <w:lang w:val="en-GB" w:eastAsia="en-GB"/>
        </w:rPr>
        <w:t xml:space="preserve">n addition, in the weighted median and MR-Egger analyses which are more robust to pleiotropic SNPs, we obtained very similar estimates of the effects, although with a less significant P-value for the association. </w:t>
      </w:r>
      <w:bookmarkEnd w:id="53"/>
      <w:bookmarkEnd w:id="54"/>
    </w:p>
    <w:p w14:paraId="2AC40DC0" w14:textId="203A4CB3" w:rsidR="00896F98" w:rsidRDefault="002630A1" w:rsidP="00430C9E">
      <w:pPr>
        <w:spacing w:line="480" w:lineRule="auto"/>
        <w:ind w:firstLine="426"/>
        <w:jc w:val="both"/>
        <w:rPr>
          <w:rFonts w:asciiTheme="minorHAnsi" w:eastAsiaTheme="minorHAnsi" w:hAnsiTheme="minorHAnsi" w:cstheme="minorHAnsi"/>
          <w:lang w:val="en-GB" w:eastAsia="en-GB"/>
        </w:rPr>
      </w:pPr>
      <w:r>
        <w:rPr>
          <w:rFonts w:asciiTheme="minorHAnsi" w:eastAsiaTheme="minorHAnsi" w:hAnsiTheme="minorHAnsi" w:cstheme="minorHAnsi"/>
          <w:lang w:val="en-GB" w:eastAsia="en-GB"/>
        </w:rPr>
        <w:t xml:space="preserve">When considering the nominal threshold of </w:t>
      </w:r>
      <w:r w:rsidR="0073321C" w:rsidRPr="0073321C">
        <w:rPr>
          <w:rFonts w:asciiTheme="minorHAnsi" w:eastAsiaTheme="minorHAnsi" w:hAnsiTheme="minorHAnsi" w:cstheme="minorHAnsi"/>
          <w:i/>
          <w:lang w:val="en-GB" w:eastAsia="en-GB"/>
        </w:rPr>
        <w:t>P</w:t>
      </w:r>
      <w:r>
        <w:rPr>
          <w:rFonts w:asciiTheme="minorHAnsi" w:eastAsiaTheme="minorHAnsi" w:hAnsiTheme="minorHAnsi" w:cstheme="minorHAnsi"/>
          <w:lang w:val="en-GB" w:eastAsia="en-GB"/>
        </w:rPr>
        <w:t xml:space="preserve">&lt;0.05, we observed a few additional associations. </w:t>
      </w:r>
      <w:r w:rsidR="007A005E">
        <w:rPr>
          <w:rFonts w:asciiTheme="minorHAnsi" w:eastAsiaTheme="minorHAnsi" w:hAnsiTheme="minorHAnsi" w:cstheme="minorHAnsi"/>
          <w:lang w:val="en-GB" w:eastAsia="en-GB"/>
        </w:rPr>
        <w:t>T2D</w:t>
      </w:r>
      <w:r w:rsidR="00FE2B3C" w:rsidRPr="004B08E4">
        <w:rPr>
          <w:rFonts w:asciiTheme="minorHAnsi" w:eastAsiaTheme="minorHAnsi" w:hAnsiTheme="minorHAnsi" w:cstheme="minorHAnsi"/>
          <w:lang w:val="en-GB" w:eastAsia="en-GB"/>
        </w:rPr>
        <w:t xml:space="preserve"> show</w:t>
      </w:r>
      <w:r w:rsidR="005E14DE">
        <w:rPr>
          <w:rFonts w:asciiTheme="minorHAnsi" w:eastAsiaTheme="minorHAnsi" w:hAnsiTheme="minorHAnsi" w:cstheme="minorHAnsi"/>
          <w:lang w:val="en-GB" w:eastAsia="en-GB"/>
        </w:rPr>
        <w:t xml:space="preserve">ed a causal effect on </w:t>
      </w:r>
      <w:r w:rsidR="00FE2B3C" w:rsidRPr="004B08E4">
        <w:rPr>
          <w:rFonts w:asciiTheme="minorHAnsi" w:eastAsiaTheme="minorHAnsi" w:hAnsiTheme="minorHAnsi" w:cstheme="minorHAnsi"/>
          <w:lang w:val="en-GB" w:eastAsia="en-GB"/>
        </w:rPr>
        <w:t xml:space="preserve">PDAC risk in the comprehensive </w:t>
      </w:r>
      <w:r w:rsidR="007A005E">
        <w:rPr>
          <w:rFonts w:asciiTheme="minorHAnsi" w:eastAsiaTheme="minorHAnsi" w:hAnsiTheme="minorHAnsi" w:cstheme="minorHAnsi"/>
          <w:lang w:val="en-GB" w:eastAsia="en-GB"/>
        </w:rPr>
        <w:t xml:space="preserve">model </w:t>
      </w:r>
      <w:r w:rsidR="00FE2B3C" w:rsidRPr="004B08E4">
        <w:rPr>
          <w:rFonts w:asciiTheme="minorHAnsi" w:eastAsiaTheme="minorHAnsi" w:hAnsiTheme="minorHAnsi" w:cstheme="minorHAnsi"/>
          <w:lang w:val="en-GB" w:eastAsia="en-GB"/>
        </w:rPr>
        <w:t xml:space="preserve">and </w:t>
      </w:r>
      <w:r w:rsidR="007A005E">
        <w:rPr>
          <w:rFonts w:asciiTheme="minorHAnsi" w:eastAsiaTheme="minorHAnsi" w:hAnsiTheme="minorHAnsi" w:cstheme="minorHAnsi"/>
          <w:lang w:val="en-GB" w:eastAsia="en-GB"/>
        </w:rPr>
        <w:t xml:space="preserve">a </w:t>
      </w:r>
      <w:r w:rsidR="00E02DE7">
        <w:rPr>
          <w:rFonts w:asciiTheme="minorHAnsi" w:eastAsiaTheme="minorHAnsi" w:hAnsiTheme="minorHAnsi" w:cstheme="minorHAnsi"/>
          <w:lang w:val="en-GB" w:eastAsia="en-GB"/>
        </w:rPr>
        <w:t>borderline</w:t>
      </w:r>
      <w:r w:rsidR="007A005E">
        <w:rPr>
          <w:rFonts w:asciiTheme="minorHAnsi" w:eastAsiaTheme="minorHAnsi" w:hAnsiTheme="minorHAnsi" w:cstheme="minorHAnsi"/>
          <w:lang w:val="en-GB" w:eastAsia="en-GB"/>
        </w:rPr>
        <w:t xml:space="preserve"> association in the </w:t>
      </w:r>
      <w:r w:rsidR="003E3F45" w:rsidRPr="004B08E4">
        <w:rPr>
          <w:rFonts w:asciiTheme="minorHAnsi" w:eastAsiaTheme="minorHAnsi" w:hAnsiTheme="minorHAnsi" w:cstheme="minorHAnsi"/>
          <w:lang w:val="en-GB" w:eastAsia="en-GB"/>
        </w:rPr>
        <w:t>r</w:t>
      </w:r>
      <w:r w:rsidR="00A8728E" w:rsidRPr="004B08E4">
        <w:rPr>
          <w:rFonts w:asciiTheme="minorHAnsi" w:eastAsiaTheme="minorHAnsi" w:hAnsiTheme="minorHAnsi" w:cstheme="minorHAnsi"/>
          <w:lang w:val="en-GB" w:eastAsia="en-GB"/>
        </w:rPr>
        <w:t>estrictive</w:t>
      </w:r>
      <w:r w:rsidR="00FE2B3C" w:rsidRPr="004B08E4">
        <w:rPr>
          <w:rFonts w:asciiTheme="minorHAnsi" w:eastAsiaTheme="minorHAnsi" w:hAnsiTheme="minorHAnsi" w:cstheme="minorHAnsi"/>
          <w:lang w:val="en-GB" w:eastAsia="en-GB"/>
        </w:rPr>
        <w:t xml:space="preserve"> model. </w:t>
      </w:r>
      <w:r w:rsidR="00A141ED" w:rsidRPr="004B08E4">
        <w:rPr>
          <w:rFonts w:asciiTheme="minorHAnsi" w:eastAsiaTheme="minorHAnsi" w:hAnsiTheme="minorHAnsi" w:cstheme="minorHAnsi"/>
          <w:lang w:val="en-GB" w:eastAsia="en-GB"/>
        </w:rPr>
        <w:t>There are overwhelming evidences on the correlation between T2D and PDAC although it is not always evident which one is the cause of the other.</w:t>
      </w:r>
      <w:r w:rsidR="00503292">
        <w:rPr>
          <w:rFonts w:asciiTheme="minorHAnsi" w:eastAsiaTheme="minorHAnsi" w:hAnsiTheme="minorHAnsi" w:cstheme="minorHAnsi"/>
          <w:lang w:val="en-GB" w:eastAsia="en-GB"/>
        </w:rPr>
        <w:t xml:space="preserve"> Indeed, diabetes can be due to presence of a pancreatic tumor (referred to as diabetes type 3c)</w:t>
      </w:r>
      <w:r w:rsidR="00BA56A0">
        <w:rPr>
          <w:rFonts w:asciiTheme="minorHAnsi" w:eastAsiaTheme="minorHAnsi" w:hAnsiTheme="minorHAnsi" w:cstheme="minorHAnsi"/>
          <w:lang w:val="en-GB" w:eastAsia="en-GB"/>
        </w:rPr>
        <w:t xml:space="preserve"> </w:t>
      </w:r>
      <w:r w:rsidR="005B5AE1">
        <w:rPr>
          <w:rFonts w:asciiTheme="minorHAnsi" w:eastAsiaTheme="minorHAnsi" w:hAnsiTheme="minorHAnsi" w:cstheme="minorHAnsi"/>
          <w:lang w:val="en-GB" w:eastAsia="en-GB"/>
        </w:rPr>
        <w:fldChar w:fldCharType="begin" w:fldLock="1"/>
      </w:r>
      <w:r w:rsidR="00675992">
        <w:rPr>
          <w:rFonts w:asciiTheme="minorHAnsi" w:eastAsiaTheme="minorHAnsi" w:hAnsiTheme="minorHAnsi" w:cstheme="minorHAnsi"/>
          <w:lang w:val="en-GB" w:eastAsia="en-GB"/>
        </w:rPr>
        <w:instrText>ADDIN CSL_CITATION {"citationItems":[{"id":"ITEM-1","itemData":{"DOI":"10.1016/S2468-1253(16)30106-6","ISSN":"24681253","abstract":"Diabetes mellitus is a group of diseases defined by persistent hyperglycaemia. Type 2 diabetes, the most prevalent form, is characterised initially by impaired insulin sensitivity and subsequently by an inadequate compensatory insulin response. Diabetes can also develop as a direct consequence of other diseases, including diseases of the exocrine pancreas. Historically, diabetes due to diseases of the exocrine pancreas was described as pancreatogenic or pancreatogenous diabetes mellitus, but recent literature refers to it as type 3c diabetes. It is important to note that type 3c diabetes is not a single entity; it occurs because of a variety of exocrine pancreatic diseases with varying mechanisms of hyperglycaemia. The most commonly identified causes of type 3c diabetes are chronic pancreatitis, pancreatic ductal adenocarcinoma, haemochromatosis, cystic fibrosis, and previous pancreatic surgery. In this Review, we discuss the epidemiology, pathogenesis, and clinical relevance of type 3c diabetes secondary to chronic pancreatitis and pancreatic ductal adenocarcinoma, and highlight several important knowledge gaps.","author":[{"dropping-particle":"","family":"Hart","given":"Phil A.","non-dropping-particle":"","parse-names":false,"suffix":""},{"dropping-particle":"","family":"Bellin","given":"Melena D.","non-dropping-particle":"","parse-names":false,"suffix":""},{"dropping-particle":"","family":"Andersen","given":"Dana K.","non-dropping-particle":"","parse-names":false,"suffix":""},{"dropping-particle":"","family":"Bradley","given":"David","non-dropping-particle":"","parse-names":false,"suffix":""},{"dropping-particle":"","family":"Cruz-Monserrate","given":"Zobeida","non-dropping-particle":"","parse-names":false,"suffix":""},{"dropping-particle":"","family":"Forsmark","given":"Christopher E.","non-dropping-particle":"","parse-names":false,"suffix":""},{"dropping-particle":"","family":"Goodarzi","given":"Mark O.","non-dropping-particle":"","parse-names":false,"suffix":""},{"dropping-particle":"","family":"Habtezion","given":"Aida","non-dropping-particle":"","parse-names":false,"suffix":""},{"dropping-particle":"","family":"Korc","given":"Murray","non-dropping-particle":"","parse-names":false,"suffix":""},{"dropping-particle":"","family":"Kudva","given":"Yogish C.","non-dropping-particle":"","parse-names":false,"suffix":""},{"dropping-particle":"","family":"Pandol","given":"Stephen J.","non-dropping-particle":"","parse-names":false,"suffix":""},{"dropping-particle":"","family":"Yadav","given":"Dhiraj","non-dropping-particle":"","parse-names":false,"suffix":""},{"dropping-particle":"","family":"Chari","given":"Suresh T.","non-dropping-particle":"","parse-names":false,"suffix":""}],"container-title":"The Lancet Gastroenterology and Hepatology","id":"ITEM-1","issue":"3","issued":{"date-parts":[["2016"]]},"page":"226-237","title":"Type 3c (pancreatogenic) diabetes mellitus secondary to chronic pancreatitis and pancreatic cancer","type":"article","volume":"1"},"uris":["http://www.mendeley.com/documents/?uuid=2a332dcf-8e79-454a-9a9f-3e55f1cf4209"]}],"mendeley":{"formattedCitation":"&lt;sup&gt;43&lt;/sup&gt;","plainTextFormattedCitation":"43","previouslyFormattedCitation":"&lt;sup&gt;43&lt;/sup&gt;"},"properties":{"noteIndex":0},"schema":"https://github.com/citation-style-language/schema/raw/master/csl-citation.json"}</w:instrText>
      </w:r>
      <w:r w:rsidR="005B5AE1">
        <w:rPr>
          <w:rFonts w:asciiTheme="minorHAnsi" w:eastAsiaTheme="minorHAnsi" w:hAnsiTheme="minorHAnsi" w:cstheme="minorHAnsi"/>
          <w:lang w:val="en-GB" w:eastAsia="en-GB"/>
        </w:rPr>
        <w:fldChar w:fldCharType="separate"/>
      </w:r>
      <w:r w:rsidR="008E00D1" w:rsidRPr="008E00D1">
        <w:rPr>
          <w:rFonts w:asciiTheme="minorHAnsi" w:eastAsiaTheme="minorHAnsi" w:hAnsiTheme="minorHAnsi" w:cstheme="minorHAnsi"/>
          <w:noProof/>
          <w:vertAlign w:val="superscript"/>
          <w:lang w:val="en-GB" w:eastAsia="en-GB"/>
        </w:rPr>
        <w:t>43</w:t>
      </w:r>
      <w:r w:rsidR="005B5AE1">
        <w:rPr>
          <w:rFonts w:asciiTheme="minorHAnsi" w:eastAsiaTheme="minorHAnsi" w:hAnsiTheme="minorHAnsi" w:cstheme="minorHAnsi"/>
          <w:lang w:val="en-GB" w:eastAsia="en-GB"/>
        </w:rPr>
        <w:fldChar w:fldCharType="end"/>
      </w:r>
      <w:r w:rsidR="00BA56A0">
        <w:rPr>
          <w:rFonts w:asciiTheme="minorHAnsi" w:eastAsiaTheme="minorHAnsi" w:hAnsiTheme="minorHAnsi" w:cstheme="minorHAnsi"/>
          <w:lang w:val="en-GB" w:eastAsia="en-GB"/>
        </w:rPr>
        <w:t>.</w:t>
      </w:r>
      <w:r w:rsidR="00A141ED" w:rsidRPr="004B08E4">
        <w:rPr>
          <w:rFonts w:asciiTheme="minorHAnsi" w:eastAsiaTheme="minorHAnsi" w:hAnsiTheme="minorHAnsi" w:cstheme="minorHAnsi"/>
          <w:lang w:val="en-GB" w:eastAsia="en-GB"/>
        </w:rPr>
        <w:t xml:space="preserve"> Our results suggest a causal association</w:t>
      </w:r>
      <w:r w:rsidR="001D70A7" w:rsidRPr="004B08E4">
        <w:rPr>
          <w:rFonts w:asciiTheme="minorHAnsi" w:eastAsiaTheme="minorHAnsi" w:hAnsiTheme="minorHAnsi" w:cstheme="minorHAnsi"/>
          <w:lang w:val="en-GB" w:eastAsia="en-GB"/>
        </w:rPr>
        <w:t xml:space="preserve"> for T2D</w:t>
      </w:r>
      <w:r w:rsidR="00A141ED" w:rsidRPr="004B08E4">
        <w:rPr>
          <w:rFonts w:asciiTheme="minorHAnsi" w:eastAsiaTheme="minorHAnsi" w:hAnsiTheme="minorHAnsi" w:cstheme="minorHAnsi"/>
          <w:lang w:val="en-GB" w:eastAsia="en-GB"/>
        </w:rPr>
        <w:t xml:space="preserve"> and a shared genetic background. </w:t>
      </w:r>
      <w:r w:rsidR="00CE6F63" w:rsidRPr="004B08E4">
        <w:rPr>
          <w:rFonts w:asciiTheme="minorHAnsi" w:eastAsiaTheme="minorHAnsi" w:hAnsiTheme="minorHAnsi" w:cstheme="minorHAnsi"/>
          <w:lang w:val="en-GB" w:eastAsia="en-GB"/>
        </w:rPr>
        <w:t xml:space="preserve">Carreras-Torres and colleagues </w:t>
      </w:r>
      <w:r w:rsidR="00B81849" w:rsidRPr="004B08E4">
        <w:rPr>
          <w:rFonts w:asciiTheme="minorHAnsi" w:eastAsiaTheme="minorHAnsi" w:hAnsiTheme="minorHAnsi" w:cstheme="minorHAnsi"/>
          <w:lang w:val="en-GB" w:eastAsia="en-GB"/>
        </w:rPr>
        <w:t xml:space="preserve">did not </w:t>
      </w:r>
      <w:r w:rsidR="00EA41F7">
        <w:rPr>
          <w:rFonts w:asciiTheme="minorHAnsi" w:eastAsiaTheme="minorHAnsi" w:hAnsiTheme="minorHAnsi" w:cstheme="minorHAnsi"/>
          <w:lang w:val="en-GB" w:eastAsia="en-GB"/>
        </w:rPr>
        <w:t xml:space="preserve">find </w:t>
      </w:r>
      <w:r w:rsidR="005E14DE">
        <w:rPr>
          <w:rFonts w:asciiTheme="minorHAnsi" w:eastAsiaTheme="minorHAnsi" w:hAnsiTheme="minorHAnsi" w:cstheme="minorHAnsi"/>
          <w:lang w:val="en-GB" w:eastAsia="en-GB"/>
        </w:rPr>
        <w:t xml:space="preserve">evidence for a causal </w:t>
      </w:r>
      <w:r w:rsidR="00B81849" w:rsidRPr="004B08E4">
        <w:rPr>
          <w:rFonts w:asciiTheme="minorHAnsi" w:eastAsiaTheme="minorHAnsi" w:hAnsiTheme="minorHAnsi" w:cstheme="minorHAnsi"/>
          <w:lang w:val="en-GB" w:eastAsia="en-GB"/>
        </w:rPr>
        <w:t xml:space="preserve">effect </w:t>
      </w:r>
      <w:r w:rsidR="005E14DE">
        <w:rPr>
          <w:rFonts w:asciiTheme="minorHAnsi" w:eastAsiaTheme="minorHAnsi" w:hAnsiTheme="minorHAnsi" w:cstheme="minorHAnsi"/>
          <w:lang w:val="en-GB" w:eastAsia="en-GB"/>
        </w:rPr>
        <w:t xml:space="preserve">of </w:t>
      </w:r>
      <w:r w:rsidR="00FE2B3C" w:rsidRPr="004B08E4">
        <w:rPr>
          <w:rFonts w:asciiTheme="minorHAnsi" w:eastAsiaTheme="minorHAnsi" w:hAnsiTheme="minorHAnsi" w:cstheme="minorHAnsi"/>
          <w:lang w:val="en-GB" w:eastAsia="en-GB"/>
        </w:rPr>
        <w:t>T2D</w:t>
      </w:r>
      <w:r w:rsidR="00B81849" w:rsidRPr="004B08E4">
        <w:rPr>
          <w:rFonts w:asciiTheme="minorHAnsi" w:eastAsiaTheme="minorHAnsi" w:hAnsiTheme="minorHAnsi" w:cstheme="minorHAnsi"/>
          <w:lang w:val="en-GB" w:eastAsia="en-GB"/>
        </w:rPr>
        <w:t xml:space="preserve"> on risk of PDAC</w:t>
      </w:r>
      <w:r w:rsidR="00FE2B3C" w:rsidRPr="004B08E4">
        <w:rPr>
          <w:rFonts w:asciiTheme="minorHAnsi" w:eastAsiaTheme="minorHAnsi" w:hAnsiTheme="minorHAnsi" w:cstheme="minorHAnsi"/>
          <w:lang w:val="en-GB" w:eastAsia="en-GB"/>
        </w:rPr>
        <w:t xml:space="preserve"> and neither did Langdon and collaborators</w:t>
      </w:r>
      <w:r w:rsidR="00692E68" w:rsidRPr="004B08E4">
        <w:rPr>
          <w:rFonts w:asciiTheme="minorHAnsi" w:eastAsiaTheme="minorHAnsi" w:hAnsiTheme="minorHAnsi" w:cstheme="minorHAnsi"/>
          <w:lang w:val="en-GB" w:eastAsia="en-GB"/>
        </w:rPr>
        <w:t>,</w:t>
      </w:r>
      <w:r w:rsidR="00FE2B3C" w:rsidRPr="004B08E4">
        <w:rPr>
          <w:rFonts w:asciiTheme="minorHAnsi" w:eastAsiaTheme="minorHAnsi" w:hAnsiTheme="minorHAnsi" w:cstheme="minorHAnsi"/>
          <w:lang w:val="en-GB" w:eastAsia="en-GB"/>
        </w:rPr>
        <w:t xml:space="preserve"> however the number of SNPs used as proxies in our study and the other two studies </w:t>
      </w:r>
      <w:r w:rsidR="005E14DE">
        <w:rPr>
          <w:rFonts w:asciiTheme="minorHAnsi" w:eastAsiaTheme="minorHAnsi" w:hAnsiTheme="minorHAnsi" w:cstheme="minorHAnsi"/>
          <w:lang w:val="en-GB" w:eastAsia="en-GB"/>
        </w:rPr>
        <w:t xml:space="preserve">are markedly </w:t>
      </w:r>
      <w:r w:rsidR="00FE2B3C" w:rsidRPr="004B08E4">
        <w:rPr>
          <w:rFonts w:asciiTheme="minorHAnsi" w:eastAsiaTheme="minorHAnsi" w:hAnsiTheme="minorHAnsi" w:cstheme="minorHAnsi"/>
          <w:lang w:val="en-GB" w:eastAsia="en-GB"/>
        </w:rPr>
        <w:t xml:space="preserve">different. </w:t>
      </w:r>
      <w:r w:rsidR="00DD7C0D">
        <w:rPr>
          <w:rFonts w:asciiTheme="minorHAnsi" w:eastAsiaTheme="minorHAnsi" w:hAnsiTheme="minorHAnsi" w:cstheme="minorHAnsi"/>
          <w:lang w:val="en-GB" w:eastAsia="en-GB"/>
        </w:rPr>
        <w:t>After exclusion of outliers,</w:t>
      </w:r>
      <w:r w:rsidR="00DD7C0D" w:rsidRPr="004B08E4">
        <w:rPr>
          <w:rFonts w:asciiTheme="minorHAnsi" w:eastAsiaTheme="minorHAnsi" w:hAnsiTheme="minorHAnsi" w:cstheme="minorHAnsi"/>
          <w:lang w:val="en-GB" w:eastAsia="en-GB"/>
        </w:rPr>
        <w:t xml:space="preserve"> </w:t>
      </w:r>
      <w:r w:rsidR="00DD7C0D">
        <w:rPr>
          <w:rFonts w:asciiTheme="minorHAnsi" w:eastAsiaTheme="minorHAnsi" w:hAnsiTheme="minorHAnsi" w:cstheme="minorHAnsi"/>
          <w:lang w:val="en-GB" w:eastAsia="en-GB"/>
        </w:rPr>
        <w:t>w</w:t>
      </w:r>
      <w:r w:rsidR="00FE2B3C" w:rsidRPr="004B08E4">
        <w:rPr>
          <w:rFonts w:asciiTheme="minorHAnsi" w:eastAsiaTheme="minorHAnsi" w:hAnsiTheme="minorHAnsi" w:cstheme="minorHAnsi"/>
          <w:lang w:val="en-GB" w:eastAsia="en-GB"/>
        </w:rPr>
        <w:t xml:space="preserve">e used </w:t>
      </w:r>
      <w:r w:rsidR="00335CD3" w:rsidRPr="004B08E4">
        <w:rPr>
          <w:rFonts w:asciiTheme="minorHAnsi" w:eastAsiaTheme="minorHAnsi" w:hAnsiTheme="minorHAnsi" w:cstheme="minorHAnsi"/>
          <w:lang w:val="en-GB" w:eastAsia="en-GB"/>
        </w:rPr>
        <w:t>96 SNPs in the comprehensive MR</w:t>
      </w:r>
      <w:r w:rsidR="00DD7C0D">
        <w:rPr>
          <w:rFonts w:asciiTheme="minorHAnsi" w:eastAsiaTheme="minorHAnsi" w:hAnsiTheme="minorHAnsi" w:cstheme="minorHAnsi"/>
          <w:lang w:val="en-GB" w:eastAsia="en-GB"/>
        </w:rPr>
        <w:t xml:space="preserve"> </w:t>
      </w:r>
      <w:r w:rsidR="00335CD3" w:rsidRPr="004B08E4">
        <w:rPr>
          <w:rFonts w:asciiTheme="minorHAnsi" w:eastAsiaTheme="minorHAnsi" w:hAnsiTheme="minorHAnsi" w:cstheme="minorHAnsi"/>
          <w:lang w:val="en-GB" w:eastAsia="en-GB"/>
        </w:rPr>
        <w:t xml:space="preserve">and 40 SNPs in the </w:t>
      </w:r>
      <w:r w:rsidR="00C96C9D">
        <w:rPr>
          <w:rFonts w:asciiTheme="minorHAnsi" w:eastAsiaTheme="minorHAnsi" w:hAnsiTheme="minorHAnsi" w:cstheme="minorHAnsi"/>
          <w:lang w:val="en-GB" w:eastAsia="en-GB"/>
        </w:rPr>
        <w:t>restrictive</w:t>
      </w:r>
      <w:r w:rsidR="00C96C9D" w:rsidRPr="004B08E4">
        <w:rPr>
          <w:rFonts w:asciiTheme="minorHAnsi" w:eastAsiaTheme="minorHAnsi" w:hAnsiTheme="minorHAnsi" w:cstheme="minorHAnsi"/>
          <w:lang w:val="en-GB" w:eastAsia="en-GB"/>
        </w:rPr>
        <w:t xml:space="preserve"> </w:t>
      </w:r>
      <w:r w:rsidR="00335CD3" w:rsidRPr="004B08E4">
        <w:rPr>
          <w:rFonts w:asciiTheme="minorHAnsi" w:eastAsiaTheme="minorHAnsi" w:hAnsiTheme="minorHAnsi" w:cstheme="minorHAnsi"/>
          <w:lang w:val="en-GB" w:eastAsia="en-GB"/>
        </w:rPr>
        <w:t>MR</w:t>
      </w:r>
      <w:r w:rsidR="00C96C9D">
        <w:rPr>
          <w:rFonts w:asciiTheme="minorHAnsi" w:eastAsiaTheme="minorHAnsi" w:hAnsiTheme="minorHAnsi" w:cstheme="minorHAnsi"/>
          <w:lang w:val="en-GB" w:eastAsia="en-GB"/>
        </w:rPr>
        <w:t>,</w:t>
      </w:r>
      <w:r w:rsidR="00335CD3" w:rsidRPr="004B08E4">
        <w:rPr>
          <w:rFonts w:asciiTheme="minorHAnsi" w:eastAsiaTheme="minorHAnsi" w:hAnsiTheme="minorHAnsi" w:cstheme="minorHAnsi"/>
          <w:lang w:val="en-GB" w:eastAsia="en-GB"/>
        </w:rPr>
        <w:t xml:space="preserve"> while Carreras</w:t>
      </w:r>
      <w:r w:rsidR="00C96C9D">
        <w:rPr>
          <w:rFonts w:asciiTheme="minorHAnsi" w:eastAsiaTheme="minorHAnsi" w:hAnsiTheme="minorHAnsi" w:cstheme="minorHAnsi"/>
          <w:lang w:val="en-GB" w:eastAsia="en-GB"/>
        </w:rPr>
        <w:t>-</w:t>
      </w:r>
      <w:r w:rsidR="00335CD3" w:rsidRPr="004B08E4">
        <w:rPr>
          <w:rFonts w:asciiTheme="minorHAnsi" w:eastAsiaTheme="minorHAnsi" w:hAnsiTheme="minorHAnsi" w:cstheme="minorHAnsi"/>
          <w:lang w:val="en-GB" w:eastAsia="en-GB"/>
        </w:rPr>
        <w:t>Torres used 4</w:t>
      </w:r>
      <w:r w:rsidR="00A564B8">
        <w:rPr>
          <w:rFonts w:asciiTheme="minorHAnsi" w:eastAsiaTheme="minorHAnsi" w:hAnsiTheme="minorHAnsi" w:cstheme="minorHAnsi"/>
          <w:lang w:val="en-GB" w:eastAsia="en-GB"/>
        </w:rPr>
        <w:t>4</w:t>
      </w:r>
      <w:r w:rsidR="00335CD3" w:rsidRPr="004B08E4">
        <w:rPr>
          <w:rFonts w:asciiTheme="minorHAnsi" w:eastAsiaTheme="minorHAnsi" w:hAnsiTheme="minorHAnsi" w:cstheme="minorHAnsi"/>
          <w:lang w:val="en-GB" w:eastAsia="en-GB"/>
        </w:rPr>
        <w:t xml:space="preserve"> and Langdon 36.</w:t>
      </w:r>
      <w:r w:rsidR="00B81849" w:rsidRPr="004B08E4">
        <w:rPr>
          <w:rFonts w:asciiTheme="minorHAnsi" w:eastAsiaTheme="minorHAnsi" w:hAnsiTheme="minorHAnsi" w:cstheme="minorHAnsi"/>
          <w:lang w:val="en-GB" w:eastAsia="en-GB"/>
        </w:rPr>
        <w:t xml:space="preserve"> </w:t>
      </w:r>
      <w:r w:rsidR="00A564B8">
        <w:rPr>
          <w:rFonts w:asciiTheme="minorHAnsi" w:eastAsiaTheme="minorHAnsi" w:hAnsiTheme="minorHAnsi" w:cstheme="minorHAnsi"/>
          <w:lang w:val="en-GB" w:eastAsia="en-GB"/>
        </w:rPr>
        <w:t>These differences are due to the fact that we used a more recent T2D GWAS to choose genetic instruments.</w:t>
      </w:r>
    </w:p>
    <w:p w14:paraId="785F8F85" w14:textId="6251CF11" w:rsidR="00FF7CA7" w:rsidRDefault="00712F31" w:rsidP="00086AD2">
      <w:pPr>
        <w:spacing w:line="480" w:lineRule="auto"/>
        <w:ind w:firstLine="426"/>
        <w:jc w:val="both"/>
        <w:rPr>
          <w:rFonts w:asciiTheme="minorHAnsi" w:eastAsiaTheme="minorHAnsi" w:hAnsiTheme="minorHAnsi" w:cstheme="minorHAnsi"/>
          <w:lang w:val="en-GB" w:eastAsia="en-GB"/>
        </w:rPr>
      </w:pPr>
      <w:r w:rsidRPr="004B08E4">
        <w:rPr>
          <w:rFonts w:asciiTheme="minorHAnsi" w:eastAsiaTheme="minorHAnsi" w:hAnsiTheme="minorHAnsi" w:cstheme="minorHAnsi"/>
          <w:lang w:val="en-GB" w:eastAsia="en-GB"/>
        </w:rPr>
        <w:t xml:space="preserve">We also observed a causal role of higher </w:t>
      </w:r>
      <w:r w:rsidR="00B2787E">
        <w:rPr>
          <w:rFonts w:asciiTheme="minorHAnsi" w:eastAsiaTheme="minorHAnsi" w:hAnsiTheme="minorHAnsi" w:cstheme="minorHAnsi"/>
          <w:lang w:val="en-GB" w:eastAsia="en-GB"/>
        </w:rPr>
        <w:t xml:space="preserve">fasting </w:t>
      </w:r>
      <w:r w:rsidRPr="004B08E4">
        <w:rPr>
          <w:rFonts w:asciiTheme="minorHAnsi" w:eastAsiaTheme="minorHAnsi" w:hAnsiTheme="minorHAnsi" w:cstheme="minorHAnsi"/>
          <w:lang w:val="en-GB" w:eastAsia="en-GB"/>
        </w:rPr>
        <w:t>insulin level on PDAC risk</w:t>
      </w:r>
      <w:r w:rsidR="00782C74">
        <w:rPr>
          <w:rFonts w:asciiTheme="minorHAnsi" w:eastAsiaTheme="minorHAnsi" w:hAnsiTheme="minorHAnsi" w:cstheme="minorHAnsi"/>
          <w:lang w:val="en-GB" w:eastAsia="en-GB"/>
        </w:rPr>
        <w:t>,</w:t>
      </w:r>
      <w:r w:rsidRPr="004B08E4">
        <w:rPr>
          <w:rFonts w:asciiTheme="minorHAnsi" w:eastAsiaTheme="minorHAnsi" w:hAnsiTheme="minorHAnsi" w:cstheme="minorHAnsi"/>
          <w:lang w:val="en-GB" w:eastAsia="en-GB"/>
        </w:rPr>
        <w:t xml:space="preserve"> </w:t>
      </w:r>
      <w:r w:rsidR="00B2787E">
        <w:rPr>
          <w:rFonts w:asciiTheme="minorHAnsi" w:eastAsiaTheme="minorHAnsi" w:hAnsiTheme="minorHAnsi" w:cstheme="minorHAnsi"/>
          <w:lang w:val="en-GB" w:eastAsia="en-GB"/>
        </w:rPr>
        <w:t>which was similar in the comprehensive and in the restrictive models. This association was also</w:t>
      </w:r>
      <w:r w:rsidR="00B2787E" w:rsidRPr="004B08E4">
        <w:rPr>
          <w:rFonts w:asciiTheme="minorHAnsi" w:eastAsiaTheme="minorHAnsi" w:hAnsiTheme="minorHAnsi" w:cstheme="minorHAnsi"/>
          <w:lang w:val="en-GB" w:eastAsia="en-GB"/>
        </w:rPr>
        <w:t xml:space="preserve"> </w:t>
      </w:r>
      <w:r w:rsidRPr="004B08E4">
        <w:rPr>
          <w:rFonts w:asciiTheme="minorHAnsi" w:eastAsiaTheme="minorHAnsi" w:hAnsiTheme="minorHAnsi" w:cstheme="minorHAnsi"/>
          <w:lang w:val="en-GB" w:eastAsia="en-GB"/>
        </w:rPr>
        <w:t>reported by Carreras-Torres</w:t>
      </w:r>
      <w:r w:rsidR="004C0CD0">
        <w:rPr>
          <w:rFonts w:asciiTheme="minorHAnsi" w:eastAsiaTheme="minorHAnsi" w:hAnsiTheme="minorHAnsi" w:cstheme="minorHAnsi"/>
          <w:lang w:val="en-GB" w:eastAsia="en-GB"/>
        </w:rPr>
        <w:t>, but not by Langdon</w:t>
      </w:r>
      <w:r w:rsidR="00782C74">
        <w:rPr>
          <w:rFonts w:asciiTheme="minorHAnsi" w:eastAsiaTheme="minorHAnsi" w:hAnsiTheme="minorHAnsi" w:cstheme="minorHAnsi"/>
          <w:lang w:val="en-GB" w:eastAsia="en-GB"/>
        </w:rPr>
        <w:t>.</w:t>
      </w:r>
      <w:r w:rsidR="00EE2C29">
        <w:rPr>
          <w:rFonts w:asciiTheme="minorHAnsi" w:eastAsiaTheme="minorHAnsi" w:hAnsiTheme="minorHAnsi" w:cstheme="minorHAnsi"/>
          <w:lang w:val="en-GB" w:eastAsia="en-GB"/>
        </w:rPr>
        <w:t xml:space="preserve"> In the comprehensive model we included the same number of SNPs as Langdon, but we observed </w:t>
      </w:r>
      <w:r w:rsidR="005E14DE">
        <w:rPr>
          <w:rFonts w:asciiTheme="minorHAnsi" w:eastAsiaTheme="minorHAnsi" w:hAnsiTheme="minorHAnsi" w:cstheme="minorHAnsi"/>
          <w:lang w:val="en-GB" w:eastAsia="en-GB"/>
        </w:rPr>
        <w:t xml:space="preserve">a substantial </w:t>
      </w:r>
      <w:r w:rsidR="00EE2C29">
        <w:rPr>
          <w:rFonts w:asciiTheme="minorHAnsi" w:eastAsiaTheme="minorHAnsi" w:hAnsiTheme="minorHAnsi" w:cstheme="minorHAnsi"/>
          <w:lang w:val="en-GB" w:eastAsia="en-GB"/>
        </w:rPr>
        <w:t>heterogeneity. After removal of outlier SNPs by radial MR</w:t>
      </w:r>
      <w:r w:rsidR="002A5CED">
        <w:rPr>
          <w:rFonts w:asciiTheme="minorHAnsi" w:eastAsiaTheme="minorHAnsi" w:hAnsiTheme="minorHAnsi" w:cstheme="minorHAnsi"/>
          <w:lang w:val="en-GB" w:eastAsia="en-GB"/>
        </w:rPr>
        <w:t>, 13 SNPs remained, without evidence for heterogeneity</w:t>
      </w:r>
      <w:r w:rsidR="0097602F">
        <w:rPr>
          <w:rFonts w:asciiTheme="minorHAnsi" w:eastAsiaTheme="minorHAnsi" w:hAnsiTheme="minorHAnsi" w:cstheme="minorHAnsi"/>
          <w:lang w:val="en-GB" w:eastAsia="en-GB"/>
        </w:rPr>
        <w:t xml:space="preserve"> (supplementary table 3)</w:t>
      </w:r>
      <w:r w:rsidR="002A5CED">
        <w:rPr>
          <w:rFonts w:asciiTheme="minorHAnsi" w:eastAsiaTheme="minorHAnsi" w:hAnsiTheme="minorHAnsi" w:cstheme="minorHAnsi"/>
          <w:lang w:val="en-GB" w:eastAsia="en-GB"/>
        </w:rPr>
        <w:t>.</w:t>
      </w:r>
      <w:r w:rsidR="0097602F">
        <w:rPr>
          <w:rFonts w:asciiTheme="minorHAnsi" w:eastAsiaTheme="minorHAnsi" w:hAnsiTheme="minorHAnsi" w:cstheme="minorHAnsi"/>
          <w:lang w:val="en-GB" w:eastAsia="en-GB"/>
        </w:rPr>
        <w:t xml:space="preserve"> </w:t>
      </w:r>
      <w:r w:rsidR="006958D4">
        <w:rPr>
          <w:rFonts w:asciiTheme="minorHAnsi" w:eastAsiaTheme="minorHAnsi" w:hAnsiTheme="minorHAnsi" w:cstheme="minorHAnsi"/>
          <w:lang w:val="en-GB" w:eastAsia="en-GB"/>
        </w:rPr>
        <w:t>The additional step we performed might explain the difference between our results and those by Langdon.</w:t>
      </w:r>
    </w:p>
    <w:p w14:paraId="2738FA82" w14:textId="46F4A82A" w:rsidR="00896F98" w:rsidRDefault="00896F98" w:rsidP="00086AD2">
      <w:pPr>
        <w:spacing w:line="480" w:lineRule="auto"/>
        <w:ind w:firstLine="426"/>
        <w:jc w:val="both"/>
        <w:rPr>
          <w:rFonts w:asciiTheme="minorHAnsi" w:eastAsiaTheme="minorHAnsi" w:hAnsiTheme="minorHAnsi" w:cstheme="minorHAnsi"/>
          <w:lang w:val="en-GB" w:eastAsia="en-GB"/>
        </w:rPr>
      </w:pPr>
      <w:r>
        <w:rPr>
          <w:rFonts w:asciiTheme="minorHAnsi" w:eastAsiaTheme="minorHAnsi" w:hAnsiTheme="minorHAnsi" w:cstheme="minorHAnsi"/>
          <w:lang w:val="en-GB" w:eastAsia="en-GB"/>
        </w:rPr>
        <w:lastRenderedPageBreak/>
        <w:t xml:space="preserve">A higher level of LDL cholesterol was associated with PDAC risk in the comprehensive model, although the association disappeared in the restrictive model. </w:t>
      </w:r>
      <w:r w:rsidR="000519A8">
        <w:rPr>
          <w:rFonts w:asciiTheme="minorHAnsi" w:eastAsiaTheme="minorHAnsi" w:hAnsiTheme="minorHAnsi" w:cstheme="minorHAnsi"/>
          <w:lang w:val="en-GB" w:eastAsia="en-GB"/>
        </w:rPr>
        <w:t xml:space="preserve">This association was not reported by the two previous MR studies. </w:t>
      </w:r>
      <w:r w:rsidR="00C61605" w:rsidRPr="00C61605">
        <w:rPr>
          <w:rFonts w:asciiTheme="minorHAnsi" w:eastAsiaTheme="minorHAnsi" w:hAnsiTheme="minorHAnsi" w:cstheme="minorHAnsi"/>
          <w:lang w:val="en-GB" w:eastAsia="en-GB"/>
        </w:rPr>
        <w:t>More surprisingly, LDL showed a BMI-mediated causal effect as well. However, the results showed an incoheren</w:t>
      </w:r>
      <w:r w:rsidR="00AD6FA2">
        <w:rPr>
          <w:rFonts w:asciiTheme="minorHAnsi" w:eastAsiaTheme="minorHAnsi" w:hAnsiTheme="minorHAnsi" w:cstheme="minorHAnsi"/>
          <w:lang w:val="en-GB" w:eastAsia="en-GB"/>
        </w:rPr>
        <w:t>t</w:t>
      </w:r>
      <w:r w:rsidR="00C61605" w:rsidRPr="00C61605">
        <w:rPr>
          <w:rFonts w:asciiTheme="minorHAnsi" w:eastAsiaTheme="minorHAnsi" w:hAnsiTheme="minorHAnsi" w:cstheme="minorHAnsi"/>
          <w:lang w:val="en-GB" w:eastAsia="en-GB"/>
        </w:rPr>
        <w:t xml:space="preserve"> direction. Genetically increased LDL was associated with a decreased level of BMI and increased risk of PDAC, whilst BMI was positively associated with PDAC risk. A previous epidemiological study reported that BMI showed no significant association with LDL</w:t>
      </w:r>
      <w:r w:rsidR="00C61605">
        <w:rPr>
          <w:rFonts w:asciiTheme="minorHAnsi" w:eastAsiaTheme="minorHAnsi" w:hAnsiTheme="minorHAnsi" w:cstheme="minorHAnsi"/>
          <w:lang w:val="en-GB" w:eastAsia="en-GB"/>
        </w:rPr>
        <w:t xml:space="preserve"> </w:t>
      </w:r>
      <w:r w:rsidR="00C61605">
        <w:rPr>
          <w:rFonts w:asciiTheme="minorHAnsi" w:eastAsiaTheme="minorHAnsi" w:hAnsiTheme="minorHAnsi" w:cstheme="minorHAnsi"/>
          <w:lang w:val="en-GB" w:eastAsia="en-GB"/>
        </w:rPr>
        <w:fldChar w:fldCharType="begin" w:fldLock="1"/>
      </w:r>
      <w:r w:rsidR="00675992">
        <w:rPr>
          <w:rFonts w:asciiTheme="minorHAnsi" w:eastAsiaTheme="minorHAnsi" w:hAnsiTheme="minorHAnsi" w:cstheme="minorHAnsi"/>
          <w:lang w:val="en-GB" w:eastAsia="en-GB"/>
        </w:rPr>
        <w:instrText>ADDIN CSL_CITATION {"citationItems":[{"id":"ITEM-1","itemData":{"DOI":"10.1007/s11695-010-0170-7","ISSN":"0960-8923","PMID":"20563664","abstract":"Prior epidemiologic studies have shown that increasing body mass index (BMI) is associated with higher total cholesterol and low-density lipoprotein cholesterol (LDL). However, these studies were limited by underrepresentation of obese subjects. The aim of this study was to determine whether there is an association between BMI and lipid profiles in a population of patients with a broad spectrum of BMI values. A case-control study was performed involving patients seen at the Cleveland Clinic Florida. Cases (BMI &gt;30 kg/m(2)) were obtained from the obesity surgery database between August 31, 2000, and April 4, 2002. Controls (BMI ≤ 30 kg/m(2)) were obtained from a database of primary care physicians between May 1, 2004, and November 18, 2004. Pearson correlation coefficients were used to assess the relationship between BMI and lipid fractions. Multiple linear regression was performed to assess the independent effect of BMI on lipid levels while adjusting for potential confounders and propensity scores. Six hundred thirty-seven patients were analyzed (females, n = 362, 57%). There was no association between higher BMI and LDL (r = 0.19 p = 0.07), a negative association with high-density lipoprotein cholesterol (HDL; r = 0.45, p &lt; 0.001), and a positive association with the log transformation of triglycerides (r = 0.32, p = 0.005).Higher BMI was inversely associated with HDL and directly associated with TG. BMI showed no significant association with LDL. Although the association between BMI and both HDL and TG may be explained by insulin resistance, the lack of a significant association between BMI and LDL remains an unexpected finding that requires further investigation.","author":[{"dropping-particle":"","family":"Shamai","given":"Lior","non-dropping-particle":"","parse-names":false,"suffix":""},{"dropping-particle":"","family":"Lurix","given":"Einar","non-dropping-particle":"","parse-names":false,"suffix":""},{"dropping-particle":"","family":"Shen","given":"Michael","non-dropping-particle":"","parse-names":false,"suffix":""},{"dropping-particle":"","family":"Novaro","given":"Gian M.","non-dropping-particle":"","parse-names":false,"suffix":""},{"dropping-particle":"","family":"Szomstein","given":"Samuel","non-dropping-particle":"","parse-names":false,"suffix":""},{"dropping-particle":"","family":"Rosenthal","given":"Raul","non-dropping-particle":"","parse-names":false,"suffix":""},{"dropping-particle":"V.","family":"Hernandez","given":"Adrian","non-dropping-particle":"","parse-names":false,"suffix":""},{"dropping-particle":"","family":"Asher","given":"Craig R.","non-dropping-particle":"","parse-names":false,"suffix":""}],"container-title":"Obesity Surgery","id":"ITEM-1","issue":"1","issued":{"date-parts":[["2011","1"]]},"page":"42-47","title":"Association of Body Mass Index and Lipid Profiles: Evaluation of a Broad Spectrum of Body Mass Index Patients Including the Morbidly Obese","type":"article-journal","volume":"21"},"uris":["http://www.mendeley.com/documents/?uuid=b40d76f9-7f19-37b4-a6a9-aa89c218c69d","http://www.mendeley.com/documents/?uuid=43a2d242-4fda-4b24-acc3-fc31563a8085"]}],"mendeley":{"formattedCitation":"&lt;sup&gt;44&lt;/sup&gt;","plainTextFormattedCitation":"44","previouslyFormattedCitation":"&lt;sup&gt;44&lt;/sup&gt;"},"properties":{"noteIndex":0},"schema":"https://github.com/citation-style-language/schema/raw/master/csl-citation.json"}</w:instrText>
      </w:r>
      <w:r w:rsidR="00C61605">
        <w:rPr>
          <w:rFonts w:asciiTheme="minorHAnsi" w:eastAsiaTheme="minorHAnsi" w:hAnsiTheme="minorHAnsi" w:cstheme="minorHAnsi"/>
          <w:lang w:val="en-GB" w:eastAsia="en-GB"/>
        </w:rPr>
        <w:fldChar w:fldCharType="separate"/>
      </w:r>
      <w:r w:rsidR="008E00D1" w:rsidRPr="008E00D1">
        <w:rPr>
          <w:rFonts w:asciiTheme="minorHAnsi" w:eastAsiaTheme="minorHAnsi" w:hAnsiTheme="minorHAnsi" w:cstheme="minorHAnsi"/>
          <w:noProof/>
          <w:vertAlign w:val="superscript"/>
          <w:lang w:val="en-GB" w:eastAsia="en-GB"/>
        </w:rPr>
        <w:t>44</w:t>
      </w:r>
      <w:r w:rsidR="00C61605">
        <w:rPr>
          <w:rFonts w:asciiTheme="minorHAnsi" w:eastAsiaTheme="minorHAnsi" w:hAnsiTheme="minorHAnsi" w:cstheme="minorHAnsi"/>
          <w:lang w:val="en-GB" w:eastAsia="en-GB"/>
        </w:rPr>
        <w:fldChar w:fldCharType="end"/>
      </w:r>
      <w:r w:rsidR="00C61605" w:rsidRPr="00C61605">
        <w:rPr>
          <w:rFonts w:asciiTheme="minorHAnsi" w:eastAsiaTheme="minorHAnsi" w:hAnsiTheme="minorHAnsi" w:cstheme="minorHAnsi"/>
          <w:lang w:val="en-GB" w:eastAsia="en-GB"/>
        </w:rPr>
        <w:t>. A more recent study investigated the correlation between BMI and lipid profile in patients with T2D, and the correlation between BMI and LDL was not observed</w:t>
      </w:r>
      <w:r w:rsidR="00C61605">
        <w:rPr>
          <w:rFonts w:asciiTheme="minorHAnsi" w:eastAsiaTheme="minorHAnsi" w:hAnsiTheme="minorHAnsi" w:cstheme="minorHAnsi"/>
          <w:lang w:val="en-GB" w:eastAsia="en-GB"/>
        </w:rPr>
        <w:t xml:space="preserve"> </w:t>
      </w:r>
      <w:r w:rsidR="00C61605">
        <w:rPr>
          <w:rFonts w:asciiTheme="minorHAnsi" w:eastAsiaTheme="minorHAnsi" w:hAnsiTheme="minorHAnsi" w:cstheme="minorHAnsi"/>
          <w:lang w:val="en-GB" w:eastAsia="en-GB"/>
        </w:rPr>
        <w:fldChar w:fldCharType="begin" w:fldLock="1"/>
      </w:r>
      <w:r w:rsidR="00675992">
        <w:rPr>
          <w:rFonts w:asciiTheme="minorHAnsi" w:eastAsiaTheme="minorHAnsi" w:hAnsiTheme="minorHAnsi" w:cstheme="minorHAnsi"/>
          <w:lang w:val="en-GB" w:eastAsia="en-GB"/>
        </w:rPr>
        <w:instrText>ADDIN CSL_CITATION {"citationItems":[{"id":"ITEM-1","itemData":{"DOI":"10.12669/pjms.35.3.7","ISSN":"1682-024X","PMID":"31258559","abstract":"Objective To determine the correlation between body mass index (BMI) and lipid profile in patients with Type 2 Diabetes (T2DM) attending a tertiary care hospital in Peshawar. Methods A total of 305 patients (men, 132; women, 173) with T2DM visiting an Outpatient department in Northwest General Hospital and Research Centre, Peshawar from January 2016 to July 2016 were included in this study. The whole blood and sera were analyzed for Glycated hemoglobin (HbA1c), total cholesterol (TC), triglyceride (TGs), high density lipoprotein cholesterol (HDL-C) and low density lipoprotein cholesterol (LDL-C). The correlation of BMI with lipid ratios and individual lipid indices were analysed. Results Mean of BMI was 29.29±5.23. Dyslipidemia; increased TC, increased LDL-C, increased triglyceride and decreased HDL-C were noted in 40.7%, 54.1%, 69.5% and 41% respectively. The mean difference of LDL-C (p=0.006) was significant between male and female. BMI, TC, TGs, and LDL-C showed no significant correlation where as a significant negative correlation between BMI and HDL-C was observed (r=-0.125, p=0.029, R2=0.016). The mean values of TC, TG, LDL-C, TC/ HDL-C and LDL/HDL were greater in patients with normal BMI compared to overweight and obese; however, the differences were not significant. HDL-C differed significantly in BMI groups (p=0.040). Conclusion A significant negative correlation between BMI and HDL-C was observed, while the correlation between BMI and LDL-C was observed to be insignificant. HDL-C was found significantly higher in patients with normal BMI. These results are important to indicate that there is modest impact of BMI on lipid profile. Therefore, assessment and management for altered blood lipids should not be based on a patient's body weight or BMI.","author":[{"dropping-particle":"","family":"Hussain","given":"Arshad","non-dropping-particle":"","parse-names":false,"suffix":""},{"dropping-particle":"","family":"Ali","given":"Iftikhar","non-dropping-particle":"","parse-names":false,"suffix":""},{"dropping-particle":"","family":"Kaleem","given":"Waqar Ahmad","non-dropping-particle":"","parse-names":false,"suffix":""},{"dropping-particle":"","family":"Yasmeen","given":"Fatima","non-dropping-particle":"","parse-names":false,"suffix":""}],"container-title":"Pakistan journal of medical sciences","id":"ITEM-1","issue":"3","issued":{"date-parts":[["2019"]]},"page":"591-597","publisher":"Professional Medical Publications","title":"Correlation between Body Mass Index and Lipid Profile in patients with Type 2 Diabetes attending a tertiary care hospital in Peshawar.","type":"article-journal","volume":"35"},"uris":["http://www.mendeley.com/documents/?uuid=7104ca5c-439f-3ed3-b4dc-0576ce54ffe5","http://www.mendeley.com/documents/?uuid=6a04124d-c4f9-4106-a53a-7c0399946c6e"]}],"mendeley":{"formattedCitation":"&lt;sup&gt;45&lt;/sup&gt;","plainTextFormattedCitation":"45","previouslyFormattedCitation":"&lt;sup&gt;45&lt;/sup&gt;"},"properties":{"noteIndex":0},"schema":"https://github.com/citation-style-language/schema/raw/master/csl-citation.json"}</w:instrText>
      </w:r>
      <w:r w:rsidR="00C61605">
        <w:rPr>
          <w:rFonts w:asciiTheme="minorHAnsi" w:eastAsiaTheme="minorHAnsi" w:hAnsiTheme="minorHAnsi" w:cstheme="minorHAnsi"/>
          <w:lang w:val="en-GB" w:eastAsia="en-GB"/>
        </w:rPr>
        <w:fldChar w:fldCharType="separate"/>
      </w:r>
      <w:r w:rsidR="008E00D1" w:rsidRPr="008E00D1">
        <w:rPr>
          <w:rFonts w:asciiTheme="minorHAnsi" w:eastAsiaTheme="minorHAnsi" w:hAnsiTheme="minorHAnsi" w:cstheme="minorHAnsi"/>
          <w:noProof/>
          <w:vertAlign w:val="superscript"/>
          <w:lang w:val="en-GB" w:eastAsia="en-GB"/>
        </w:rPr>
        <w:t>45</w:t>
      </w:r>
      <w:r w:rsidR="00C61605">
        <w:rPr>
          <w:rFonts w:asciiTheme="minorHAnsi" w:eastAsiaTheme="minorHAnsi" w:hAnsiTheme="minorHAnsi" w:cstheme="minorHAnsi"/>
          <w:lang w:val="en-GB" w:eastAsia="en-GB"/>
        </w:rPr>
        <w:fldChar w:fldCharType="end"/>
      </w:r>
      <w:r w:rsidR="00C61605" w:rsidRPr="00C61605">
        <w:rPr>
          <w:rFonts w:asciiTheme="minorHAnsi" w:eastAsiaTheme="minorHAnsi" w:hAnsiTheme="minorHAnsi" w:cstheme="minorHAnsi"/>
          <w:lang w:val="en-GB" w:eastAsia="en-GB"/>
        </w:rPr>
        <w:t>. However, Laclaustra and colleagues found an inverted U-shaped association between BMI and LDL</w:t>
      </w:r>
      <w:r w:rsidR="00813E25">
        <w:rPr>
          <w:rFonts w:asciiTheme="minorHAnsi" w:eastAsiaTheme="minorHAnsi" w:hAnsiTheme="minorHAnsi" w:cstheme="minorHAnsi"/>
          <w:lang w:val="en-GB" w:eastAsia="en-GB"/>
        </w:rPr>
        <w:t>:</w:t>
      </w:r>
      <w:r w:rsidR="00C61605" w:rsidRPr="00C61605">
        <w:rPr>
          <w:rFonts w:asciiTheme="minorHAnsi" w:eastAsiaTheme="minorHAnsi" w:hAnsiTheme="minorHAnsi" w:cstheme="minorHAnsi"/>
          <w:lang w:val="en-GB" w:eastAsia="en-GB"/>
        </w:rPr>
        <w:t xml:space="preserve"> BMI was positively associated with LDL before </w:t>
      </w:r>
      <w:r w:rsidR="00AD6FA2">
        <w:rPr>
          <w:rFonts w:asciiTheme="minorHAnsi" w:eastAsiaTheme="minorHAnsi" w:hAnsiTheme="minorHAnsi" w:cstheme="minorHAnsi"/>
          <w:lang w:val="en-GB" w:eastAsia="en-GB"/>
        </w:rPr>
        <w:t>a</w:t>
      </w:r>
      <w:r w:rsidR="00C61605" w:rsidRPr="00C61605">
        <w:rPr>
          <w:rFonts w:asciiTheme="minorHAnsi" w:eastAsiaTheme="minorHAnsi" w:hAnsiTheme="minorHAnsi" w:cstheme="minorHAnsi"/>
          <w:lang w:val="en-GB" w:eastAsia="en-GB"/>
        </w:rPr>
        <w:t xml:space="preserve"> sharp inflection point, and </w:t>
      </w:r>
      <w:r w:rsidR="0041477B" w:rsidRPr="00C61605">
        <w:rPr>
          <w:rFonts w:asciiTheme="minorHAnsi" w:eastAsiaTheme="minorHAnsi" w:hAnsiTheme="minorHAnsi" w:cstheme="minorHAnsi"/>
          <w:lang w:val="en-GB" w:eastAsia="en-GB"/>
        </w:rPr>
        <w:t>invers</w:t>
      </w:r>
      <w:r w:rsidR="0041477B">
        <w:rPr>
          <w:rFonts w:asciiTheme="minorHAnsi" w:eastAsiaTheme="minorHAnsi" w:hAnsiTheme="minorHAnsi" w:cstheme="minorHAnsi"/>
          <w:lang w:val="en-GB" w:eastAsia="en-GB"/>
        </w:rPr>
        <w:t>ely</w:t>
      </w:r>
      <w:r w:rsidR="00C61605" w:rsidRPr="00C61605">
        <w:rPr>
          <w:rFonts w:asciiTheme="minorHAnsi" w:eastAsiaTheme="minorHAnsi" w:hAnsiTheme="minorHAnsi" w:cstheme="minorHAnsi"/>
          <w:lang w:val="en-GB" w:eastAsia="en-GB"/>
        </w:rPr>
        <w:t xml:space="preserve"> after that point</w:t>
      </w:r>
      <w:r w:rsidR="00C61605">
        <w:rPr>
          <w:rFonts w:asciiTheme="minorHAnsi" w:eastAsiaTheme="minorHAnsi" w:hAnsiTheme="minorHAnsi" w:cstheme="minorHAnsi"/>
          <w:lang w:val="en-GB" w:eastAsia="en-GB"/>
        </w:rPr>
        <w:t xml:space="preserve"> </w:t>
      </w:r>
      <w:r w:rsidR="00C61605">
        <w:rPr>
          <w:rFonts w:asciiTheme="minorHAnsi" w:eastAsiaTheme="minorHAnsi" w:hAnsiTheme="minorHAnsi" w:cstheme="minorHAnsi"/>
          <w:lang w:val="en-GB" w:eastAsia="en-GB"/>
        </w:rPr>
        <w:fldChar w:fldCharType="begin" w:fldLock="1"/>
      </w:r>
      <w:r w:rsidR="00675992">
        <w:rPr>
          <w:rFonts w:asciiTheme="minorHAnsi" w:eastAsiaTheme="minorHAnsi" w:hAnsiTheme="minorHAnsi" w:cstheme="minorHAnsi"/>
          <w:lang w:val="en-GB" w:eastAsia="en-GB"/>
        </w:rPr>
        <w:instrText>ADDIN CSL_CITATION {"citationItems":[{"id":"ITEM-1","itemData":{"DOI":"10.2337/dc18-0372","ISSN":"1935-5548","PMID":"30061315","abstract":"OBJECTIVE Elevated LDL cholesterol (LDLc) is not strongly associated with obesity or metabolic syndrome (MS), but this relationship repeatedly has been examined assuming a linear association. This study aimed to assess the dose-response relationship between body mass index (BMI) or waist circumference (WC) and LDLc and to evaluate its link to metabolic impairment. RESEARCH DESIGN AND METHODS Participants in the continuous National Health and Nutrition Examination Survey (NHANES, 1999-2010) (n = 12,383) and the Study on Nutrition and Cardiovascular Risk (ENRICA, 2008-2010) (n = 11,765), representative samples of U.S. and Spanish noninstitutionalized populations, were cross-sectionally investigated. LDLc was modeled with age- and sex-adjusted regressions, with BMI and/or WC as explanatory variables included in models as two-segment linear and natural cubic splines. RESULTS In NHANES and ENRICA, slopes of the BMI-LDLc association changed (P &lt; 0.001) at BMI 27.1 and 26.5 kg/m2, respectively, forming an inverted U shape. Below these BMI inflection points, LDLc rose 2.30 and 2.41 mg/dL per kg/m2 (both P &lt; 0.001). However, above said points, LDLc declined -0.37 and -0.38 mg/dL per kg/m2 (both P &lt; 0.001). The WC-LDLc relationship was similar to the BMI-LDLc relationship. Accumulation of MS traits was associated with a weakening of the positive BMI-LDLc association among lean participants (below the BMI inflection point). Aging shifted the inflection point of the BMI-LDLc relationship to lower BMI values. CONCLUSIONS The BMI- and WC-LDLc relationships have inverted U shapes. Diminishing associations between BMI and LDLc might indicate metabolic impairment as a result of aging or other metabolic diseases. In lean individuals, small weight losses might help to lower LDLc for cardiovascular prevention.","author":[{"dropping-particle":"","family":"Laclaustra","given":"Martin","non-dropping-particle":"","parse-names":false,"suffix":""},{"dropping-particle":"","family":"Lopez-Garcia","given":"Esther","non-dropping-particle":"","parse-names":false,"suffix":""},{"dropping-particle":"","family":"Civeira","given":"Fernando","non-dropping-particle":"","parse-names":false,"suffix":""},{"dropping-particle":"","family":"Garcia-Esquinas","given":"Esther","non-dropping-particle":"","parse-names":false,"suffix":""},{"dropping-particle":"","family":"Graciani","given":"Auxiliadora","non-dropping-particle":"","parse-names":false,"suffix":""},{"dropping-particle":"","family":"Guallar-Castillon","given":"Pilar","non-dropping-particle":"","parse-names":false,"suffix":""},{"dropping-particle":"","family":"Banegas","given":"Jose R","non-dropping-particle":"","parse-names":false,"suffix":""},{"dropping-particle":"","family":"Rodriguez-Artalejo","given":"Fernando","non-dropping-particle":"","parse-names":false,"suffix":""}],"container-title":"Diabetes care","id":"ITEM-1","issue":"10","issued":{"date-parts":[["2018","10"]]},"page":"2195-2201","publisher":"American Diabetes Association","title":"LDL Cholesterol Rises With BMI Only in Lean Individuals: Cross-sectional U.S. and Spanish Representative Data.","type":"article-journal","volume":"41"},"uris":["http://www.mendeley.com/documents/?uuid=44feb20a-2931-3285-bd85-7c7b1d6d334b","http://www.mendeley.com/documents/?uuid=afb9e0b0-ba10-4c78-a75f-17b42b6ca6d2"]}],"mendeley":{"formattedCitation":"&lt;sup&gt;46&lt;/sup&gt;","plainTextFormattedCitation":"46","previouslyFormattedCitation":"&lt;sup&gt;46&lt;/sup&gt;"},"properties":{"noteIndex":0},"schema":"https://github.com/citation-style-language/schema/raw/master/csl-citation.json"}</w:instrText>
      </w:r>
      <w:r w:rsidR="00C61605">
        <w:rPr>
          <w:rFonts w:asciiTheme="minorHAnsi" w:eastAsiaTheme="minorHAnsi" w:hAnsiTheme="minorHAnsi" w:cstheme="minorHAnsi"/>
          <w:lang w:val="en-GB" w:eastAsia="en-GB"/>
        </w:rPr>
        <w:fldChar w:fldCharType="separate"/>
      </w:r>
      <w:r w:rsidR="008E00D1" w:rsidRPr="008E00D1">
        <w:rPr>
          <w:rFonts w:asciiTheme="minorHAnsi" w:eastAsiaTheme="minorHAnsi" w:hAnsiTheme="minorHAnsi" w:cstheme="minorHAnsi"/>
          <w:noProof/>
          <w:vertAlign w:val="superscript"/>
          <w:lang w:val="en-GB" w:eastAsia="en-GB"/>
        </w:rPr>
        <w:t>46</w:t>
      </w:r>
      <w:r w:rsidR="00C61605">
        <w:rPr>
          <w:rFonts w:asciiTheme="minorHAnsi" w:eastAsiaTheme="minorHAnsi" w:hAnsiTheme="minorHAnsi" w:cstheme="minorHAnsi"/>
          <w:lang w:val="en-GB" w:eastAsia="en-GB"/>
        </w:rPr>
        <w:fldChar w:fldCharType="end"/>
      </w:r>
      <w:r w:rsidR="00C61605" w:rsidRPr="00C61605">
        <w:rPr>
          <w:rFonts w:asciiTheme="minorHAnsi" w:eastAsiaTheme="minorHAnsi" w:hAnsiTheme="minorHAnsi" w:cstheme="minorHAnsi"/>
          <w:lang w:val="en-GB" w:eastAsia="en-GB"/>
        </w:rPr>
        <w:t xml:space="preserve">. The mediation effect between BMI and LDL may </w:t>
      </w:r>
      <w:r w:rsidR="00813E25">
        <w:rPr>
          <w:rFonts w:asciiTheme="minorHAnsi" w:eastAsiaTheme="minorHAnsi" w:hAnsiTheme="minorHAnsi" w:cstheme="minorHAnsi"/>
          <w:lang w:val="en-GB" w:eastAsia="en-GB"/>
        </w:rPr>
        <w:t xml:space="preserve">thus </w:t>
      </w:r>
      <w:r w:rsidR="00C61605" w:rsidRPr="00C61605">
        <w:rPr>
          <w:rFonts w:asciiTheme="minorHAnsi" w:eastAsiaTheme="minorHAnsi" w:hAnsiTheme="minorHAnsi" w:cstheme="minorHAnsi"/>
          <w:lang w:val="en-GB" w:eastAsia="en-GB"/>
        </w:rPr>
        <w:t>be specified above some certain BMI inflection points.</w:t>
      </w:r>
    </w:p>
    <w:p w14:paraId="4DC90EA4" w14:textId="2A2A51F3" w:rsidR="00EA0BDC" w:rsidRPr="004B08E4" w:rsidRDefault="00EA0BDC" w:rsidP="003B4312">
      <w:pPr>
        <w:spacing w:line="480" w:lineRule="auto"/>
        <w:ind w:firstLine="426"/>
        <w:jc w:val="both"/>
        <w:rPr>
          <w:rFonts w:asciiTheme="minorHAnsi" w:eastAsiaTheme="minorHAnsi" w:hAnsiTheme="minorHAnsi" w:cstheme="minorHAnsi"/>
          <w:lang w:val="en-GB" w:eastAsia="en-GB"/>
        </w:rPr>
      </w:pPr>
      <w:r w:rsidRPr="004B08E4">
        <w:rPr>
          <w:rFonts w:asciiTheme="minorHAnsi" w:eastAsiaTheme="minorHAnsi" w:hAnsiTheme="minorHAnsi" w:cstheme="minorHAnsi"/>
          <w:lang w:val="en-GB" w:eastAsia="en-GB"/>
        </w:rPr>
        <w:t xml:space="preserve">Another </w:t>
      </w:r>
      <w:r w:rsidR="00F91B09" w:rsidRPr="004B08E4">
        <w:rPr>
          <w:rFonts w:asciiTheme="minorHAnsi" w:eastAsiaTheme="minorHAnsi" w:hAnsiTheme="minorHAnsi" w:cstheme="minorHAnsi"/>
          <w:lang w:val="en-GB" w:eastAsia="en-GB"/>
        </w:rPr>
        <w:t xml:space="preserve">promising </w:t>
      </w:r>
      <w:r w:rsidRPr="004B08E4">
        <w:rPr>
          <w:rFonts w:asciiTheme="minorHAnsi" w:eastAsiaTheme="minorHAnsi" w:hAnsiTheme="minorHAnsi" w:cstheme="minorHAnsi"/>
          <w:lang w:val="en-GB" w:eastAsia="en-GB"/>
        </w:rPr>
        <w:t xml:space="preserve">result is the </w:t>
      </w:r>
      <w:r w:rsidR="001B64AE" w:rsidRPr="004B08E4">
        <w:rPr>
          <w:rFonts w:asciiTheme="minorHAnsi" w:eastAsiaTheme="minorHAnsi" w:hAnsiTheme="minorHAnsi" w:cstheme="minorHAnsi"/>
          <w:lang w:val="en-GB" w:eastAsia="en-GB"/>
        </w:rPr>
        <w:t xml:space="preserve">causative </w:t>
      </w:r>
      <w:r w:rsidRPr="004B08E4">
        <w:rPr>
          <w:rFonts w:asciiTheme="minorHAnsi" w:eastAsiaTheme="minorHAnsi" w:hAnsiTheme="minorHAnsi" w:cstheme="minorHAnsi"/>
          <w:lang w:val="en-GB" w:eastAsia="en-GB"/>
        </w:rPr>
        <w:t xml:space="preserve">effect of genetically predicted </w:t>
      </w:r>
      <w:r w:rsidR="001B64AE" w:rsidRPr="004B08E4">
        <w:rPr>
          <w:rFonts w:asciiTheme="minorHAnsi" w:eastAsiaTheme="minorHAnsi" w:hAnsiTheme="minorHAnsi" w:cstheme="minorHAnsi"/>
          <w:lang w:val="en-GB" w:eastAsia="en-GB"/>
        </w:rPr>
        <w:t xml:space="preserve">drinks per week </w:t>
      </w:r>
      <w:r w:rsidRPr="004B08E4">
        <w:rPr>
          <w:rFonts w:asciiTheme="minorHAnsi" w:eastAsiaTheme="minorHAnsi" w:hAnsiTheme="minorHAnsi" w:cstheme="minorHAnsi"/>
          <w:lang w:val="en-GB" w:eastAsia="en-GB"/>
        </w:rPr>
        <w:t>in</w:t>
      </w:r>
      <w:r w:rsidR="001B64AE" w:rsidRPr="004B08E4">
        <w:rPr>
          <w:rFonts w:asciiTheme="minorHAnsi" w:eastAsiaTheme="minorHAnsi" w:hAnsiTheme="minorHAnsi" w:cstheme="minorHAnsi"/>
          <w:lang w:val="en-GB" w:eastAsia="en-GB"/>
        </w:rPr>
        <w:t xml:space="preserve"> increasing</w:t>
      </w:r>
      <w:r w:rsidRPr="004B08E4">
        <w:rPr>
          <w:rFonts w:asciiTheme="minorHAnsi" w:eastAsiaTheme="minorHAnsi" w:hAnsiTheme="minorHAnsi" w:cstheme="minorHAnsi"/>
          <w:lang w:val="en-GB" w:eastAsia="en-GB"/>
        </w:rPr>
        <w:t xml:space="preserve"> PDAC risk</w:t>
      </w:r>
      <w:r w:rsidR="00BA3685" w:rsidRPr="004B08E4">
        <w:rPr>
          <w:rFonts w:asciiTheme="minorHAnsi" w:eastAsiaTheme="minorHAnsi" w:hAnsiTheme="minorHAnsi" w:cstheme="minorHAnsi"/>
          <w:lang w:val="en-GB" w:eastAsia="en-GB"/>
        </w:rPr>
        <w:t xml:space="preserve">, although </w:t>
      </w:r>
      <w:r w:rsidR="00A141ED" w:rsidRPr="004B08E4">
        <w:rPr>
          <w:rFonts w:asciiTheme="minorHAnsi" w:eastAsiaTheme="minorHAnsi" w:hAnsiTheme="minorHAnsi" w:cstheme="minorHAnsi"/>
          <w:lang w:val="en-GB" w:eastAsia="en-GB"/>
        </w:rPr>
        <w:t>the association w</w:t>
      </w:r>
      <w:r w:rsidR="00A86D8A">
        <w:rPr>
          <w:rFonts w:asciiTheme="minorHAnsi" w:eastAsiaTheme="minorHAnsi" w:hAnsiTheme="minorHAnsi" w:cstheme="minorHAnsi"/>
          <w:lang w:val="en-GB" w:eastAsia="en-GB"/>
        </w:rPr>
        <w:t>as</w:t>
      </w:r>
      <w:r w:rsidR="00A141ED" w:rsidRPr="004B08E4">
        <w:rPr>
          <w:rFonts w:asciiTheme="minorHAnsi" w:eastAsiaTheme="minorHAnsi" w:hAnsiTheme="minorHAnsi" w:cstheme="minorHAnsi"/>
          <w:lang w:val="en-GB" w:eastAsia="en-GB"/>
        </w:rPr>
        <w:t xml:space="preserve"> present only in the restrictive analysis</w:t>
      </w:r>
      <w:r w:rsidR="00A86D8A">
        <w:rPr>
          <w:rFonts w:asciiTheme="minorHAnsi" w:eastAsiaTheme="minorHAnsi" w:hAnsiTheme="minorHAnsi" w:cstheme="minorHAnsi"/>
          <w:lang w:val="en-GB" w:eastAsia="en-GB"/>
        </w:rPr>
        <w:t xml:space="preserve"> at </w:t>
      </w:r>
      <w:r w:rsidR="0054513A" w:rsidRPr="0054513A">
        <w:rPr>
          <w:rFonts w:asciiTheme="minorHAnsi" w:eastAsiaTheme="minorHAnsi" w:hAnsiTheme="minorHAnsi" w:cstheme="minorHAnsi"/>
          <w:i/>
          <w:lang w:val="en-GB" w:eastAsia="en-GB"/>
        </w:rPr>
        <w:t>P</w:t>
      </w:r>
      <w:r w:rsidR="00A86D8A">
        <w:rPr>
          <w:rFonts w:asciiTheme="minorHAnsi" w:eastAsiaTheme="minorHAnsi" w:hAnsiTheme="minorHAnsi" w:cstheme="minorHAnsi"/>
          <w:lang w:val="en-GB" w:eastAsia="en-GB"/>
        </w:rPr>
        <w:t>=0.05</w:t>
      </w:r>
      <w:r w:rsidR="00BA3685" w:rsidRPr="004B08E4">
        <w:rPr>
          <w:rFonts w:asciiTheme="minorHAnsi" w:eastAsiaTheme="minorHAnsi" w:hAnsiTheme="minorHAnsi" w:cstheme="minorHAnsi"/>
          <w:lang w:val="en-GB" w:eastAsia="en-GB"/>
        </w:rPr>
        <w:t xml:space="preserve">. </w:t>
      </w:r>
      <w:r w:rsidR="00CF5E3E" w:rsidRPr="004B08E4">
        <w:rPr>
          <w:rFonts w:asciiTheme="minorHAnsi" w:eastAsiaTheme="minorHAnsi" w:hAnsiTheme="minorHAnsi" w:cstheme="minorHAnsi"/>
          <w:lang w:val="en-GB" w:eastAsia="en-GB"/>
        </w:rPr>
        <w:t>This trait was not investigated either by Carreras-Torres or Langdon and collaborators. Alcohol drinking was not considered a</w:t>
      </w:r>
      <w:r w:rsidR="00FD5C94" w:rsidRPr="004B08E4">
        <w:rPr>
          <w:rFonts w:asciiTheme="minorHAnsi" w:eastAsiaTheme="minorHAnsi" w:hAnsiTheme="minorHAnsi" w:cstheme="minorHAnsi"/>
          <w:lang w:val="en-GB" w:eastAsia="en-GB"/>
        </w:rPr>
        <w:t xml:space="preserve"> consistent</w:t>
      </w:r>
      <w:r w:rsidR="00CF5E3E" w:rsidRPr="004B08E4">
        <w:rPr>
          <w:rFonts w:asciiTheme="minorHAnsi" w:eastAsiaTheme="minorHAnsi" w:hAnsiTheme="minorHAnsi" w:cstheme="minorHAnsi"/>
          <w:lang w:val="en-GB" w:eastAsia="en-GB"/>
        </w:rPr>
        <w:t xml:space="preserve"> risk factor for PDAC</w:t>
      </w:r>
      <w:r w:rsidR="00FD5C94" w:rsidRPr="004B08E4">
        <w:rPr>
          <w:rFonts w:asciiTheme="minorHAnsi" w:eastAsiaTheme="minorHAnsi" w:hAnsiTheme="minorHAnsi" w:cstheme="minorHAnsi"/>
          <w:lang w:val="en-GB" w:eastAsia="en-GB"/>
        </w:rPr>
        <w:t xml:space="preserve"> until </w:t>
      </w:r>
      <w:r w:rsidR="00FD5C94" w:rsidRPr="0054513A">
        <w:rPr>
          <w:rFonts w:asciiTheme="minorHAnsi" w:eastAsiaTheme="minorHAnsi" w:hAnsiTheme="minorHAnsi" w:cstheme="minorHAnsi"/>
          <w:lang w:val="en-GB" w:eastAsia="en-GB"/>
        </w:rPr>
        <w:t>recently, however in a recent meta-analysis Maisonneuve and Lowenfels identified the risk of heavy alcohol dr</w:t>
      </w:r>
      <w:r w:rsidR="00FD5C94" w:rsidRPr="004B08E4">
        <w:rPr>
          <w:rFonts w:asciiTheme="minorHAnsi" w:eastAsiaTheme="minorHAnsi" w:hAnsiTheme="minorHAnsi" w:cstheme="minorHAnsi"/>
          <w:lang w:val="en-GB" w:eastAsia="en-GB"/>
        </w:rPr>
        <w:t xml:space="preserve">inkers to be 20% </w:t>
      </w:r>
      <w:r w:rsidR="00A16ADA" w:rsidRPr="004B08E4">
        <w:rPr>
          <w:rFonts w:asciiTheme="minorHAnsi" w:eastAsiaTheme="minorHAnsi" w:hAnsiTheme="minorHAnsi" w:cstheme="minorHAnsi"/>
          <w:lang w:val="en-GB" w:eastAsia="en-GB"/>
        </w:rPr>
        <w:t xml:space="preserve">higher </w:t>
      </w:r>
      <w:r w:rsidR="00FD5C94" w:rsidRPr="004B08E4">
        <w:rPr>
          <w:rFonts w:asciiTheme="minorHAnsi" w:eastAsiaTheme="minorHAnsi" w:hAnsiTheme="minorHAnsi" w:cstheme="minorHAnsi"/>
          <w:lang w:val="en-GB" w:eastAsia="en-GB"/>
        </w:rPr>
        <w:t>than non-drinkers</w:t>
      </w:r>
      <w:r w:rsidR="0054513A">
        <w:rPr>
          <w:rFonts w:asciiTheme="minorHAnsi" w:eastAsiaTheme="minorHAnsi" w:hAnsiTheme="minorHAnsi" w:cstheme="minorHAnsi"/>
          <w:lang w:val="en-GB" w:eastAsia="en-GB"/>
        </w:rPr>
        <w:t xml:space="preserve"> </w:t>
      </w:r>
      <w:r w:rsidR="0054513A">
        <w:rPr>
          <w:rFonts w:asciiTheme="minorHAnsi" w:eastAsiaTheme="minorHAnsi" w:hAnsiTheme="minorHAnsi" w:cstheme="minorHAnsi"/>
          <w:lang w:val="en-GB" w:eastAsia="en-GB"/>
        </w:rPr>
        <w:fldChar w:fldCharType="begin" w:fldLock="1"/>
      </w:r>
      <w:r w:rsidR="00DE3151">
        <w:rPr>
          <w:rFonts w:asciiTheme="minorHAnsi" w:eastAsiaTheme="minorHAnsi" w:hAnsiTheme="minorHAnsi" w:cstheme="minorHAnsi"/>
          <w:lang w:val="en-GB" w:eastAsia="en-GB"/>
        </w:rPr>
        <w:instrText>ADDIN CSL_CITATION {"citationItems":[{"id":"ITEM-1","itemData":{"DOI":"10.1093/ije/dyu240","ISBN":"0300-5771","ISSN":"14643685","PMID":"25502106","abstract":"BACKGROUND: The aetiology of pancreatic cancer (PC) has been extensively studied and is the subject of numerous meta-analyses and pooled analyses. We have summarized results from these pooled and meta-analytical studies to estimate the fraction of PCs attributable to each of the identified risk factors.\\n\\nMETHODS: Using a comprehensive strategy, we retrieved 117 meta-analytical or pooled reports dealing with the association between specific risk factors and PC risk. We combined estimates of relative risk and estimates of exposure to calculate the fraction of PCs caused or prevented by a particular exposure.\\n\\nRESULTS: Tobacco smoking ('strong' evidence) and Helicobacter pylori infection ('moderate' evidence) are the major risk factors associated with PC, with respective estimated population attributable fractions of 11-32% and 4-25%. The major protective factors are history of allergy ('strong' evidence) and increasing fruit or folate intake ('moderate' evidence), with respective population preventable fractions of 3-7% and 0-12%.\\n\\nCONCLUSIONS: We summarized results of 117 meta-analytical or pooled data reports dealing with 37 aetiological exposures, to obtain robust information about the suspected causes of PC. By combining these estimates with their prevalences in the population, we calculated population attributable or population preventable fractions. About two-thirds of the major risk factors associated with PC are potentially modifiable, affording a unique opportunity for preventing one of our deadliest cancers.","author":[{"dropping-particle":"","family":"Maisonneuve","given":"Patrick","non-dropping-particle":"","parse-names":false,"suffix":""},{"dropping-particle":"","family":"Lowenfels","given":"Albert B.","non-dropping-particle":"","parse-names":false,"suffix":""}],"container-title":"International Journal of Epidemiology","id":"ITEM-1","issued":{"date-parts":[["2015"]]},"title":"Risk factors for pancreatic cancer: A summary review of meta-analytical studies","type":"article-journal"},"uris":["http://www.mendeley.com/documents/?uuid=5cf645f4-35f7-49e2-b3d8-189d5920fcf4"]}],"mendeley":{"formattedCitation":"&lt;sup&gt;28&lt;/sup&gt;","plainTextFormattedCitation":"28","previouslyFormattedCitation":"&lt;sup&gt;28&lt;/sup&gt;"},"properties":{"noteIndex":0},"schema":"https://github.com/citation-style-language/schema/raw/master/csl-citation.json"}</w:instrText>
      </w:r>
      <w:r w:rsidR="0054513A">
        <w:rPr>
          <w:rFonts w:asciiTheme="minorHAnsi" w:eastAsiaTheme="minorHAnsi" w:hAnsiTheme="minorHAnsi" w:cstheme="minorHAnsi"/>
          <w:lang w:val="en-GB" w:eastAsia="en-GB"/>
        </w:rPr>
        <w:fldChar w:fldCharType="separate"/>
      </w:r>
      <w:r w:rsidR="00DE3151" w:rsidRPr="00DE3151">
        <w:rPr>
          <w:rFonts w:asciiTheme="minorHAnsi" w:eastAsiaTheme="minorHAnsi" w:hAnsiTheme="minorHAnsi" w:cstheme="minorHAnsi"/>
          <w:noProof/>
          <w:vertAlign w:val="superscript"/>
          <w:lang w:val="en-GB" w:eastAsia="en-GB"/>
        </w:rPr>
        <w:t>28</w:t>
      </w:r>
      <w:r w:rsidR="0054513A">
        <w:rPr>
          <w:rFonts w:asciiTheme="minorHAnsi" w:eastAsiaTheme="minorHAnsi" w:hAnsiTheme="minorHAnsi" w:cstheme="minorHAnsi"/>
          <w:lang w:val="en-GB" w:eastAsia="en-GB"/>
        </w:rPr>
        <w:fldChar w:fldCharType="end"/>
      </w:r>
      <w:r w:rsidR="00FD5C94" w:rsidRPr="004B08E4">
        <w:rPr>
          <w:rFonts w:asciiTheme="minorHAnsi" w:eastAsiaTheme="minorHAnsi" w:hAnsiTheme="minorHAnsi" w:cstheme="minorHAnsi"/>
          <w:lang w:val="en-GB" w:eastAsia="en-GB"/>
        </w:rPr>
        <w:t>.</w:t>
      </w:r>
      <w:r w:rsidR="00A16ADA" w:rsidRPr="004B08E4">
        <w:rPr>
          <w:rFonts w:asciiTheme="minorHAnsi" w:eastAsiaTheme="minorHAnsi" w:hAnsiTheme="minorHAnsi" w:cstheme="minorHAnsi"/>
          <w:lang w:val="en-GB" w:eastAsia="en-GB"/>
        </w:rPr>
        <w:t xml:space="preserve"> In our analysis we did not identify heterogeneity or pleiotropy for this trait</w:t>
      </w:r>
      <w:r w:rsidR="00CF44B9">
        <w:rPr>
          <w:rFonts w:asciiTheme="minorHAnsi" w:eastAsiaTheme="minorHAnsi" w:hAnsiTheme="minorHAnsi" w:cstheme="minorHAnsi"/>
          <w:lang w:val="en-GB" w:eastAsia="en-GB"/>
        </w:rPr>
        <w:t>,</w:t>
      </w:r>
      <w:r w:rsidR="00A16ADA" w:rsidRPr="004B08E4">
        <w:rPr>
          <w:rFonts w:asciiTheme="minorHAnsi" w:eastAsiaTheme="minorHAnsi" w:hAnsiTheme="minorHAnsi" w:cstheme="minorHAnsi"/>
          <w:lang w:val="en-GB" w:eastAsia="en-GB"/>
        </w:rPr>
        <w:t xml:space="preserve"> indicating a causative effect on the increase of PDAC risk.</w:t>
      </w:r>
    </w:p>
    <w:p w14:paraId="043297F5" w14:textId="32E42229" w:rsidR="005B7283" w:rsidRPr="004B08E4" w:rsidRDefault="005B7283" w:rsidP="005B7283">
      <w:pPr>
        <w:spacing w:line="480" w:lineRule="auto"/>
        <w:ind w:firstLine="426"/>
        <w:jc w:val="both"/>
        <w:rPr>
          <w:rFonts w:asciiTheme="minorHAnsi" w:eastAsiaTheme="minorHAnsi" w:hAnsiTheme="minorHAnsi" w:cstheme="minorHAnsi"/>
          <w:lang w:val="en-GB" w:eastAsia="en-GB"/>
        </w:rPr>
      </w:pPr>
      <w:r>
        <w:rPr>
          <w:rFonts w:asciiTheme="minorHAnsi" w:eastAsiaTheme="minorHAnsi" w:hAnsiTheme="minorHAnsi" w:cstheme="minorHAnsi"/>
          <w:lang w:val="en-GB" w:eastAsia="en-GB"/>
        </w:rPr>
        <w:t>Our study and the previous ones</w:t>
      </w:r>
      <w:r w:rsidRPr="004B08E4">
        <w:rPr>
          <w:rFonts w:asciiTheme="minorHAnsi" w:eastAsiaTheme="minorHAnsi" w:hAnsiTheme="minorHAnsi" w:cstheme="minorHAnsi"/>
          <w:lang w:val="en-GB" w:eastAsia="en-GB"/>
        </w:rPr>
        <w:t xml:space="preserve"> used almost the same sets of subjects</w:t>
      </w:r>
      <w:r>
        <w:rPr>
          <w:rFonts w:asciiTheme="minorHAnsi" w:eastAsiaTheme="minorHAnsi" w:hAnsiTheme="minorHAnsi" w:cstheme="minorHAnsi"/>
          <w:lang w:val="en-GB" w:eastAsia="en-GB"/>
        </w:rPr>
        <w:t>,</w:t>
      </w:r>
      <w:r w:rsidRPr="004B08E4">
        <w:rPr>
          <w:rFonts w:asciiTheme="minorHAnsi" w:eastAsiaTheme="minorHAnsi" w:hAnsiTheme="minorHAnsi" w:cstheme="minorHAnsi"/>
          <w:lang w:val="en-GB" w:eastAsia="en-GB"/>
        </w:rPr>
        <w:t xml:space="preserve"> but in our report we included 968 more cases from PanScan III compared to Carreras</w:t>
      </w:r>
      <w:r>
        <w:rPr>
          <w:rFonts w:asciiTheme="minorHAnsi" w:eastAsiaTheme="minorHAnsi" w:hAnsiTheme="minorHAnsi" w:cstheme="minorHAnsi"/>
          <w:lang w:val="en-GB" w:eastAsia="en-GB"/>
        </w:rPr>
        <w:t>-</w:t>
      </w:r>
      <w:r w:rsidRPr="004B08E4">
        <w:rPr>
          <w:rFonts w:asciiTheme="minorHAnsi" w:eastAsiaTheme="minorHAnsi" w:hAnsiTheme="minorHAnsi" w:cstheme="minorHAnsi"/>
          <w:lang w:val="en-GB" w:eastAsia="en-GB"/>
        </w:rPr>
        <w:t>Torres</w:t>
      </w:r>
      <w:r w:rsidR="00CF44B9">
        <w:rPr>
          <w:rFonts w:asciiTheme="minorHAnsi" w:eastAsiaTheme="minorHAnsi" w:hAnsiTheme="minorHAnsi" w:cstheme="minorHAnsi"/>
          <w:lang w:val="en-GB" w:eastAsia="en-GB"/>
        </w:rPr>
        <w:t>,</w:t>
      </w:r>
      <w:r w:rsidRPr="004B08E4">
        <w:rPr>
          <w:rFonts w:asciiTheme="minorHAnsi" w:eastAsiaTheme="minorHAnsi" w:hAnsiTheme="minorHAnsi" w:cstheme="minorHAnsi"/>
          <w:lang w:val="en-GB" w:eastAsia="en-GB"/>
        </w:rPr>
        <w:t xml:space="preserve"> and 1496 more cases than those reported </w:t>
      </w:r>
      <w:r>
        <w:rPr>
          <w:rFonts w:asciiTheme="minorHAnsi" w:eastAsiaTheme="minorHAnsi" w:hAnsiTheme="minorHAnsi" w:cstheme="minorHAnsi"/>
          <w:lang w:val="en-GB" w:eastAsia="en-GB"/>
        </w:rPr>
        <w:t>by</w:t>
      </w:r>
      <w:r w:rsidRPr="004B08E4">
        <w:rPr>
          <w:rFonts w:asciiTheme="minorHAnsi" w:eastAsiaTheme="minorHAnsi" w:hAnsiTheme="minorHAnsi" w:cstheme="minorHAnsi"/>
          <w:lang w:val="en-GB" w:eastAsia="en-GB"/>
        </w:rPr>
        <w:t xml:space="preserve"> Langdon and colleagues. The differences in the SNP selection and the different number of subjects included, resulting in a greater statistical power, could explain the difference in the results obtained in the three studies. </w:t>
      </w:r>
    </w:p>
    <w:p w14:paraId="3766F366" w14:textId="1BDB5CE0" w:rsidR="001D5A4E" w:rsidRPr="004B08E4" w:rsidDel="00C61605" w:rsidRDefault="001D5A4E" w:rsidP="003B4312">
      <w:pPr>
        <w:spacing w:line="480" w:lineRule="auto"/>
        <w:ind w:firstLine="426"/>
        <w:jc w:val="both"/>
        <w:rPr>
          <w:rFonts w:asciiTheme="minorHAnsi" w:eastAsiaTheme="minorHAnsi" w:hAnsiTheme="minorHAnsi" w:cstheme="minorHAnsi"/>
          <w:lang w:val="en-GB" w:eastAsia="en-GB"/>
        </w:rPr>
      </w:pPr>
      <w:r w:rsidRPr="004B08E4" w:rsidDel="00C61605">
        <w:rPr>
          <w:rFonts w:asciiTheme="minorHAnsi" w:eastAsiaTheme="minorHAnsi" w:hAnsiTheme="minorHAnsi" w:cstheme="minorHAnsi"/>
          <w:lang w:val="en-GB" w:eastAsia="en-GB"/>
        </w:rPr>
        <w:lastRenderedPageBreak/>
        <w:t xml:space="preserve">We did not include in our list of traits some factors that have been suggested to affect </w:t>
      </w:r>
      <w:r w:rsidR="00C970A2" w:rsidRPr="004B08E4" w:rsidDel="00C61605">
        <w:rPr>
          <w:rFonts w:asciiTheme="minorHAnsi" w:eastAsiaTheme="minorHAnsi" w:hAnsiTheme="minorHAnsi" w:cstheme="minorHAnsi"/>
          <w:lang w:val="en-GB" w:eastAsia="en-GB"/>
        </w:rPr>
        <w:t xml:space="preserve">the </w:t>
      </w:r>
      <w:r w:rsidRPr="004B08E4" w:rsidDel="00C61605">
        <w:rPr>
          <w:rFonts w:asciiTheme="minorHAnsi" w:eastAsiaTheme="minorHAnsi" w:hAnsiTheme="minorHAnsi" w:cstheme="minorHAnsi"/>
          <w:lang w:val="en-GB" w:eastAsia="en-GB"/>
        </w:rPr>
        <w:t xml:space="preserve">risk of PDAC, such as </w:t>
      </w:r>
      <w:bookmarkStart w:id="55" w:name="OLE_LINK77"/>
      <w:bookmarkStart w:id="56" w:name="OLE_LINK78"/>
      <w:r w:rsidRPr="004B08E4" w:rsidDel="00C61605">
        <w:rPr>
          <w:rFonts w:asciiTheme="minorHAnsi" w:eastAsiaTheme="minorHAnsi" w:hAnsiTheme="minorHAnsi" w:cstheme="minorHAnsi"/>
          <w:i/>
          <w:lang w:val="en-GB" w:eastAsia="en-GB"/>
        </w:rPr>
        <w:t>Helicobacter pylori</w:t>
      </w:r>
      <w:r w:rsidRPr="004B08E4" w:rsidDel="00C61605">
        <w:rPr>
          <w:rFonts w:asciiTheme="minorHAnsi" w:eastAsiaTheme="minorHAnsi" w:hAnsiTheme="minorHAnsi" w:cstheme="minorHAnsi"/>
          <w:lang w:val="en-GB" w:eastAsia="en-GB"/>
        </w:rPr>
        <w:t xml:space="preserve"> infection</w:t>
      </w:r>
      <w:bookmarkEnd w:id="55"/>
      <w:bookmarkEnd w:id="56"/>
      <w:r w:rsidRPr="004B08E4" w:rsidDel="00C61605">
        <w:rPr>
          <w:rFonts w:asciiTheme="minorHAnsi" w:eastAsiaTheme="minorHAnsi" w:hAnsiTheme="minorHAnsi" w:cstheme="minorHAnsi"/>
          <w:lang w:val="en-GB" w:eastAsia="en-GB"/>
        </w:rPr>
        <w:t>, i</w:t>
      </w:r>
      <w:r w:rsidR="002B2211" w:rsidRPr="004B08E4" w:rsidDel="00C61605">
        <w:rPr>
          <w:rFonts w:asciiTheme="minorHAnsi" w:eastAsiaTheme="minorHAnsi" w:hAnsiTheme="minorHAnsi" w:cstheme="minorHAnsi"/>
          <w:lang w:val="en-GB" w:eastAsia="en-GB"/>
        </w:rPr>
        <w:t>ntake of statins and of aspirin, because we did not find suitable genetic i</w:t>
      </w:r>
      <w:r w:rsidR="00861F39" w:rsidRPr="004B08E4" w:rsidDel="00C61605">
        <w:rPr>
          <w:rFonts w:asciiTheme="minorHAnsi" w:eastAsiaTheme="minorHAnsi" w:hAnsiTheme="minorHAnsi" w:cstheme="minorHAnsi"/>
          <w:lang w:val="en-GB" w:eastAsia="en-GB"/>
        </w:rPr>
        <w:t>nstruments in the GWAS C</w:t>
      </w:r>
      <w:r w:rsidR="001F7A9D" w:rsidRPr="004B08E4" w:rsidDel="00C61605">
        <w:rPr>
          <w:rFonts w:asciiTheme="minorHAnsi" w:eastAsiaTheme="minorHAnsi" w:hAnsiTheme="minorHAnsi" w:cstheme="minorHAnsi"/>
          <w:lang w:val="en-GB" w:eastAsia="en-GB"/>
        </w:rPr>
        <w:t xml:space="preserve">atalog. </w:t>
      </w:r>
    </w:p>
    <w:p w14:paraId="00AFA3E3" w14:textId="398313FA" w:rsidR="009B556B" w:rsidRPr="004B08E4" w:rsidDel="00C61605" w:rsidRDefault="009B556B" w:rsidP="003B4312">
      <w:pPr>
        <w:spacing w:line="480" w:lineRule="auto"/>
        <w:ind w:firstLine="426"/>
        <w:jc w:val="both"/>
        <w:rPr>
          <w:rFonts w:asciiTheme="minorHAnsi" w:eastAsiaTheme="minorHAnsi" w:hAnsiTheme="minorHAnsi" w:cstheme="minorHAnsi"/>
          <w:lang w:val="en-GB" w:eastAsia="en-GB"/>
        </w:rPr>
      </w:pPr>
      <w:r w:rsidRPr="004B08E4" w:rsidDel="00C61605">
        <w:rPr>
          <w:rFonts w:asciiTheme="minorHAnsi" w:eastAsiaTheme="minorHAnsi" w:hAnsiTheme="minorHAnsi" w:cstheme="minorHAnsi"/>
          <w:lang w:val="en-GB" w:eastAsia="en-GB"/>
        </w:rPr>
        <w:t xml:space="preserve">We observed no </w:t>
      </w:r>
      <w:r w:rsidR="005E14DE" w:rsidDel="00C61605">
        <w:rPr>
          <w:rFonts w:asciiTheme="minorHAnsi" w:eastAsiaTheme="minorHAnsi" w:hAnsiTheme="minorHAnsi" w:cstheme="minorHAnsi"/>
          <w:lang w:val="en-GB" w:eastAsia="en-GB"/>
        </w:rPr>
        <w:t xml:space="preserve">evidence for a causal effect of </w:t>
      </w:r>
      <w:r w:rsidRPr="004B08E4" w:rsidDel="00C61605">
        <w:rPr>
          <w:rFonts w:asciiTheme="minorHAnsi" w:eastAsiaTheme="minorHAnsi" w:hAnsiTheme="minorHAnsi" w:cstheme="minorHAnsi"/>
          <w:lang w:val="en-GB" w:eastAsia="en-GB"/>
        </w:rPr>
        <w:t xml:space="preserve">smoking that </w:t>
      </w:r>
      <w:r w:rsidR="009214A2" w:rsidRPr="004B08E4" w:rsidDel="00C61605">
        <w:rPr>
          <w:rFonts w:asciiTheme="minorHAnsi" w:eastAsiaTheme="minorHAnsi" w:hAnsiTheme="minorHAnsi" w:cstheme="minorHAnsi"/>
          <w:lang w:val="en-GB" w:eastAsia="en-GB"/>
        </w:rPr>
        <w:t xml:space="preserve">is an </w:t>
      </w:r>
      <w:r w:rsidRPr="004B08E4" w:rsidDel="00C61605">
        <w:rPr>
          <w:rFonts w:asciiTheme="minorHAnsi" w:eastAsiaTheme="minorHAnsi" w:hAnsiTheme="minorHAnsi" w:cstheme="minorHAnsi"/>
          <w:lang w:val="en-GB" w:eastAsia="en-GB"/>
        </w:rPr>
        <w:t xml:space="preserve">established PDAC risk factor. </w:t>
      </w:r>
      <w:r w:rsidR="001A1CAA" w:rsidDel="00C61605">
        <w:rPr>
          <w:rFonts w:asciiTheme="minorHAnsi" w:eastAsiaTheme="minorHAnsi" w:hAnsiTheme="minorHAnsi" w:cstheme="minorHAnsi"/>
          <w:lang w:val="en-GB" w:eastAsia="en-GB"/>
        </w:rPr>
        <w:t>A simple dichotomized variable for smoking was not available, but we had to use three smoking-related traits. As shown in table 1, the genetic instruments we used explain only a small proportion of the variance of the traits, although we did have sufficient statistical power to detect associations of magnitude comparable to those reported in the literature</w:t>
      </w:r>
      <w:r w:rsidRPr="004B08E4" w:rsidDel="00C61605">
        <w:rPr>
          <w:rFonts w:asciiTheme="minorHAnsi" w:eastAsiaTheme="minorHAnsi" w:hAnsiTheme="minorHAnsi" w:cstheme="minorHAnsi"/>
          <w:lang w:val="en-GB" w:eastAsia="en-GB"/>
        </w:rPr>
        <w:t>.</w:t>
      </w:r>
    </w:p>
    <w:p w14:paraId="4BD8440A" w14:textId="74FF3CA2" w:rsidR="00357C01" w:rsidRDefault="00357C01" w:rsidP="00F07433">
      <w:pPr>
        <w:spacing w:line="480" w:lineRule="auto"/>
        <w:ind w:firstLine="426"/>
        <w:jc w:val="both"/>
        <w:rPr>
          <w:rFonts w:asciiTheme="minorHAnsi" w:eastAsiaTheme="minorHAnsi" w:hAnsiTheme="minorHAnsi" w:cstheme="minorHAnsi"/>
          <w:lang w:val="en-GB" w:eastAsia="en-GB"/>
        </w:rPr>
      </w:pPr>
      <w:r>
        <w:rPr>
          <w:rFonts w:asciiTheme="minorHAnsi" w:eastAsiaTheme="minorHAnsi" w:hAnsiTheme="minorHAnsi" w:cstheme="minorHAnsi"/>
          <w:lang w:val="en-GB" w:eastAsia="en-GB"/>
        </w:rPr>
        <w:t xml:space="preserve">Our analyses fulfil the criteria for validity of MR: we chose as genetic instruments SNPs that were associated at genome-wide level on the most recent GWAS for each of the traits, which ensures that they are associated with the exposures of interest. We implemented radial MR and Egger MR in order to exclude outliers that cause heterogeneity and pleiotropy, thereby ensuring that </w:t>
      </w:r>
      <w:r w:rsidR="004B4C81">
        <w:rPr>
          <w:rFonts w:asciiTheme="minorHAnsi" w:eastAsiaTheme="minorHAnsi" w:hAnsiTheme="minorHAnsi" w:cstheme="minorHAnsi"/>
          <w:lang w:val="en-GB" w:eastAsia="en-GB"/>
        </w:rPr>
        <w:t>our genetic instruments are not associated with possible confounders and are not pleiotropic.</w:t>
      </w:r>
    </w:p>
    <w:p w14:paraId="2B31C315" w14:textId="0DF2E790" w:rsidR="00082A06" w:rsidRPr="004B08E4" w:rsidRDefault="004837FA" w:rsidP="00F07433">
      <w:pPr>
        <w:spacing w:line="480" w:lineRule="auto"/>
        <w:ind w:firstLine="426"/>
        <w:jc w:val="both"/>
        <w:rPr>
          <w:rFonts w:asciiTheme="minorHAnsi" w:eastAsiaTheme="minorHAnsi" w:hAnsiTheme="minorHAnsi" w:cstheme="minorHAnsi"/>
          <w:lang w:val="en-GB" w:eastAsia="en-GB"/>
        </w:rPr>
      </w:pPr>
      <w:r w:rsidRPr="004B08E4">
        <w:rPr>
          <w:rFonts w:asciiTheme="minorHAnsi" w:eastAsiaTheme="minorHAnsi" w:hAnsiTheme="minorHAnsi" w:cstheme="minorHAnsi"/>
          <w:lang w:val="en-GB" w:eastAsia="en-GB"/>
        </w:rPr>
        <w:t xml:space="preserve">In conclusion, we used a two-sample MR approach </w:t>
      </w:r>
      <w:r w:rsidR="00C672B7" w:rsidRPr="004B08E4">
        <w:rPr>
          <w:rFonts w:asciiTheme="minorHAnsi" w:eastAsiaTheme="minorHAnsi" w:hAnsiTheme="minorHAnsi" w:cstheme="minorHAnsi"/>
          <w:lang w:val="en-GB" w:eastAsia="en-GB"/>
        </w:rPr>
        <w:t>on</w:t>
      </w:r>
      <w:r w:rsidRPr="004B08E4">
        <w:rPr>
          <w:rFonts w:asciiTheme="minorHAnsi" w:eastAsiaTheme="minorHAnsi" w:hAnsiTheme="minorHAnsi" w:cstheme="minorHAnsi"/>
          <w:lang w:val="en-GB" w:eastAsia="en-GB"/>
        </w:rPr>
        <w:t xml:space="preserve"> one of the </w:t>
      </w:r>
      <w:r w:rsidR="00CF44B9">
        <w:rPr>
          <w:rFonts w:asciiTheme="minorHAnsi" w:eastAsiaTheme="minorHAnsi" w:hAnsiTheme="minorHAnsi" w:cstheme="minorHAnsi"/>
          <w:noProof/>
          <w:lang w:val="en-GB" w:eastAsia="en-GB"/>
        </w:rPr>
        <w:t>largest available</w:t>
      </w:r>
      <w:r w:rsidR="00CF44B9" w:rsidRPr="004B08E4">
        <w:rPr>
          <w:rFonts w:asciiTheme="minorHAnsi" w:eastAsiaTheme="minorHAnsi" w:hAnsiTheme="minorHAnsi" w:cstheme="minorHAnsi"/>
          <w:lang w:val="en-GB" w:eastAsia="en-GB"/>
        </w:rPr>
        <w:t xml:space="preserve"> </w:t>
      </w:r>
      <w:r w:rsidR="00C672B7" w:rsidRPr="004B08E4">
        <w:rPr>
          <w:rFonts w:asciiTheme="minorHAnsi" w:eastAsiaTheme="minorHAnsi" w:hAnsiTheme="minorHAnsi" w:cstheme="minorHAnsi"/>
          <w:lang w:val="en-GB" w:eastAsia="en-GB"/>
        </w:rPr>
        <w:t xml:space="preserve">case-control genotype </w:t>
      </w:r>
      <w:r w:rsidRPr="004B08E4">
        <w:rPr>
          <w:rFonts w:asciiTheme="minorHAnsi" w:eastAsiaTheme="minorHAnsi" w:hAnsiTheme="minorHAnsi" w:cstheme="minorHAnsi"/>
          <w:lang w:val="en-GB" w:eastAsia="en-GB"/>
        </w:rPr>
        <w:t xml:space="preserve">datasets of PDAC to assess </w:t>
      </w:r>
      <w:r w:rsidR="006D5DF5" w:rsidRPr="004B08E4">
        <w:rPr>
          <w:rFonts w:asciiTheme="minorHAnsi" w:eastAsiaTheme="minorHAnsi" w:hAnsiTheme="minorHAnsi" w:cstheme="minorHAnsi"/>
          <w:lang w:val="en-GB" w:eastAsia="en-GB"/>
        </w:rPr>
        <w:t>1</w:t>
      </w:r>
      <w:r w:rsidR="001B002E">
        <w:rPr>
          <w:rFonts w:asciiTheme="minorHAnsi" w:eastAsiaTheme="minorHAnsi" w:hAnsiTheme="minorHAnsi" w:cstheme="minorHAnsi"/>
          <w:lang w:val="en-GB" w:eastAsia="en-GB"/>
        </w:rPr>
        <w:t>6</w:t>
      </w:r>
      <w:r w:rsidR="006D5DF5" w:rsidRPr="004B08E4">
        <w:rPr>
          <w:rFonts w:asciiTheme="minorHAnsi" w:eastAsiaTheme="minorHAnsi" w:hAnsiTheme="minorHAnsi" w:cstheme="minorHAnsi"/>
          <w:lang w:val="en-GB" w:eastAsia="en-GB"/>
        </w:rPr>
        <w:t xml:space="preserve"> </w:t>
      </w:r>
      <w:r w:rsidR="00C672B7" w:rsidRPr="004B08E4">
        <w:rPr>
          <w:rFonts w:asciiTheme="minorHAnsi" w:eastAsiaTheme="minorHAnsi" w:hAnsiTheme="minorHAnsi" w:cstheme="minorHAnsi"/>
          <w:lang w:val="en-GB" w:eastAsia="en-GB"/>
        </w:rPr>
        <w:t xml:space="preserve">established or putative </w:t>
      </w:r>
      <w:r w:rsidRPr="004B08E4">
        <w:rPr>
          <w:rFonts w:asciiTheme="minorHAnsi" w:eastAsiaTheme="minorHAnsi" w:hAnsiTheme="minorHAnsi" w:cstheme="minorHAnsi"/>
          <w:lang w:val="en-GB" w:eastAsia="en-GB"/>
        </w:rPr>
        <w:t xml:space="preserve">factors </w:t>
      </w:r>
      <w:r w:rsidRPr="004B08E4">
        <w:rPr>
          <w:rFonts w:asciiTheme="minorHAnsi" w:eastAsiaTheme="minorHAnsi" w:hAnsiTheme="minorHAnsi" w:cstheme="minorHAnsi"/>
          <w:noProof/>
          <w:lang w:val="en-GB" w:eastAsia="en-GB"/>
        </w:rPr>
        <w:t>in relation to</w:t>
      </w:r>
      <w:r w:rsidRPr="004B08E4">
        <w:rPr>
          <w:rFonts w:asciiTheme="minorHAnsi" w:eastAsiaTheme="minorHAnsi" w:hAnsiTheme="minorHAnsi" w:cstheme="minorHAnsi"/>
          <w:lang w:val="en-GB" w:eastAsia="en-GB"/>
        </w:rPr>
        <w:t xml:space="preserve"> PDAC risk. </w:t>
      </w:r>
      <w:r w:rsidR="003B4312" w:rsidRPr="004B08E4">
        <w:rPr>
          <w:rFonts w:asciiTheme="minorHAnsi" w:eastAsiaTheme="minorHAnsi" w:hAnsiTheme="minorHAnsi" w:cstheme="minorHAnsi"/>
          <w:lang w:val="en-GB" w:eastAsia="en-GB"/>
        </w:rPr>
        <w:t>O</w:t>
      </w:r>
      <w:r w:rsidR="006A72DA" w:rsidRPr="004B08E4">
        <w:rPr>
          <w:rFonts w:asciiTheme="minorHAnsi" w:eastAsiaTheme="minorHAnsi" w:hAnsiTheme="minorHAnsi" w:cstheme="minorHAnsi"/>
          <w:lang w:val="en-GB" w:eastAsia="en-GB"/>
        </w:rPr>
        <w:t xml:space="preserve">ur results </w:t>
      </w:r>
      <w:r w:rsidR="0051575D">
        <w:rPr>
          <w:rFonts w:asciiTheme="minorHAnsi" w:eastAsiaTheme="minorHAnsi" w:hAnsiTheme="minorHAnsi" w:cstheme="minorHAnsi"/>
          <w:lang w:val="en-GB" w:eastAsia="en-GB"/>
        </w:rPr>
        <w:t xml:space="preserve">show that genetically determined </w:t>
      </w:r>
      <w:r w:rsidR="00B02E17">
        <w:rPr>
          <w:rFonts w:asciiTheme="minorHAnsi" w:eastAsiaTheme="minorHAnsi" w:hAnsiTheme="minorHAnsi" w:cstheme="minorHAnsi"/>
          <w:lang w:val="en-GB" w:eastAsia="en-GB"/>
        </w:rPr>
        <w:t xml:space="preserve">higher </w:t>
      </w:r>
      <w:r w:rsidR="0051575D">
        <w:rPr>
          <w:rFonts w:asciiTheme="minorHAnsi" w:eastAsiaTheme="minorHAnsi" w:hAnsiTheme="minorHAnsi" w:cstheme="minorHAnsi"/>
          <w:lang w:val="en-GB" w:eastAsia="en-GB"/>
        </w:rPr>
        <w:t xml:space="preserve">BMI is </w:t>
      </w:r>
      <w:r w:rsidR="006A72DA" w:rsidRPr="004B08E4">
        <w:rPr>
          <w:rFonts w:asciiTheme="minorHAnsi" w:eastAsiaTheme="minorHAnsi" w:hAnsiTheme="minorHAnsi" w:cstheme="minorHAnsi"/>
          <w:noProof/>
          <w:lang w:val="en-GB" w:eastAsia="en-GB"/>
        </w:rPr>
        <w:t>associated</w:t>
      </w:r>
      <w:r w:rsidR="006A72DA" w:rsidRPr="004B08E4">
        <w:rPr>
          <w:rFonts w:asciiTheme="minorHAnsi" w:eastAsiaTheme="minorHAnsi" w:hAnsiTheme="minorHAnsi" w:cstheme="minorHAnsi"/>
          <w:lang w:val="en-GB" w:eastAsia="en-GB"/>
        </w:rPr>
        <w:t xml:space="preserve"> with </w:t>
      </w:r>
      <w:r w:rsidR="00B02E17">
        <w:rPr>
          <w:rFonts w:asciiTheme="minorHAnsi" w:eastAsiaTheme="minorHAnsi" w:hAnsiTheme="minorHAnsi" w:cstheme="minorHAnsi"/>
          <w:lang w:val="en-GB" w:eastAsia="en-GB"/>
        </w:rPr>
        <w:t>increased</w:t>
      </w:r>
      <w:r w:rsidR="00B02E17" w:rsidRPr="004B08E4">
        <w:rPr>
          <w:rFonts w:asciiTheme="minorHAnsi" w:eastAsiaTheme="minorHAnsi" w:hAnsiTheme="minorHAnsi" w:cstheme="minorHAnsi"/>
          <w:lang w:val="en-GB" w:eastAsia="en-GB"/>
        </w:rPr>
        <w:t xml:space="preserve"> </w:t>
      </w:r>
      <w:r w:rsidR="006A72DA" w:rsidRPr="004B08E4">
        <w:rPr>
          <w:rFonts w:asciiTheme="minorHAnsi" w:eastAsiaTheme="minorHAnsi" w:hAnsiTheme="minorHAnsi" w:cstheme="minorHAnsi"/>
          <w:lang w:val="en-GB" w:eastAsia="en-GB"/>
        </w:rPr>
        <w:t xml:space="preserve">risk of </w:t>
      </w:r>
      <w:r w:rsidR="009B556B" w:rsidRPr="004B08E4">
        <w:rPr>
          <w:rFonts w:asciiTheme="minorHAnsi" w:eastAsiaTheme="minorHAnsi" w:hAnsiTheme="minorHAnsi" w:cstheme="minorHAnsi"/>
          <w:lang w:val="en-GB" w:eastAsia="en-GB"/>
        </w:rPr>
        <w:t>developing PDAC</w:t>
      </w:r>
      <w:r w:rsidR="0051575D">
        <w:rPr>
          <w:rFonts w:asciiTheme="minorHAnsi" w:eastAsiaTheme="minorHAnsi" w:hAnsiTheme="minorHAnsi" w:cstheme="minorHAnsi"/>
          <w:lang w:val="en-GB" w:eastAsia="en-GB"/>
        </w:rPr>
        <w:t>, and suggest a possible causative role for T2D, fasting insulin and alcohol drinking behavior</w:t>
      </w:r>
      <w:r w:rsidR="006A72DA" w:rsidRPr="004B08E4">
        <w:rPr>
          <w:rFonts w:asciiTheme="minorHAnsi" w:eastAsiaTheme="minorHAnsi" w:hAnsiTheme="minorHAnsi" w:cstheme="minorHAnsi"/>
          <w:lang w:val="en-GB" w:eastAsia="en-GB"/>
        </w:rPr>
        <w:t>.</w:t>
      </w:r>
    </w:p>
    <w:p w14:paraId="6F09025B" w14:textId="77777777" w:rsidR="00082A06" w:rsidRDefault="00082A06" w:rsidP="00F07433">
      <w:pPr>
        <w:spacing w:line="480" w:lineRule="auto"/>
        <w:ind w:firstLine="426"/>
        <w:jc w:val="both"/>
        <w:rPr>
          <w:rFonts w:eastAsiaTheme="minorHAnsi" w:cstheme="minorHAnsi"/>
          <w:lang w:val="en-GB" w:eastAsia="en-GB"/>
        </w:rPr>
      </w:pPr>
    </w:p>
    <w:p w14:paraId="0FF9A9A5" w14:textId="2F15B68D" w:rsidR="003C58CA" w:rsidRDefault="003C58CA" w:rsidP="00F07433">
      <w:pPr>
        <w:spacing w:line="480" w:lineRule="auto"/>
        <w:ind w:firstLine="426"/>
        <w:jc w:val="both"/>
        <w:rPr>
          <w:rFonts w:ascii="Calibri" w:eastAsia="Arial" w:hAnsi="Calibri" w:cstheme="minorHAnsi"/>
          <w:b/>
          <w:sz w:val="28"/>
          <w:szCs w:val="28"/>
          <w:lang w:val="en-GB" w:eastAsia="en-GB"/>
        </w:rPr>
      </w:pPr>
      <w:r>
        <w:rPr>
          <w:rFonts w:ascii="Calibri" w:hAnsi="Calibri" w:cstheme="minorHAnsi"/>
          <w:lang w:val="en-GB"/>
        </w:rPr>
        <w:br w:type="page"/>
      </w:r>
    </w:p>
    <w:p w14:paraId="07103143" w14:textId="0BF34DBB" w:rsidR="00C4442B" w:rsidRPr="002748CC" w:rsidRDefault="00C4442B" w:rsidP="00086AD2">
      <w:pPr>
        <w:pStyle w:val="Heading1"/>
        <w:rPr>
          <w:rFonts w:ascii="Calibri" w:hAnsi="Calibri" w:cstheme="minorHAnsi"/>
          <w:lang w:val="en-GB"/>
        </w:rPr>
      </w:pPr>
      <w:r w:rsidRPr="002748CC">
        <w:rPr>
          <w:rFonts w:ascii="Calibri" w:hAnsi="Calibri" w:cstheme="minorHAnsi"/>
          <w:lang w:val="en-GB"/>
        </w:rPr>
        <w:lastRenderedPageBreak/>
        <w:t>Author roles</w:t>
      </w:r>
    </w:p>
    <w:p w14:paraId="4940E5CB" w14:textId="6B9AB2AB" w:rsidR="00ED41AE" w:rsidRPr="002748CC" w:rsidRDefault="00917FA8" w:rsidP="00086AD2">
      <w:pPr>
        <w:spacing w:line="480" w:lineRule="auto"/>
        <w:ind w:firstLine="426"/>
        <w:jc w:val="both"/>
        <w:rPr>
          <w:rFonts w:ascii="Calibri" w:hAnsi="Calibri"/>
          <w:lang w:val="en-GB" w:eastAsia="en-GB"/>
        </w:rPr>
      </w:pPr>
      <w:r w:rsidRPr="002748CC">
        <w:rPr>
          <w:rFonts w:ascii="Calibri" w:hAnsi="Calibri"/>
          <w:lang w:val="en-GB" w:eastAsia="en-GB"/>
        </w:rPr>
        <w:t xml:space="preserve">DC and FC conceived the study. MG and YL performed data analysis and drafted the manuscript. All authors read and </w:t>
      </w:r>
      <w:r w:rsidRPr="00FB474E">
        <w:rPr>
          <w:rFonts w:ascii="Calibri" w:hAnsi="Calibri"/>
          <w:noProof/>
          <w:lang w:val="en-GB" w:eastAsia="en-GB"/>
        </w:rPr>
        <w:t>commented</w:t>
      </w:r>
      <w:r w:rsidRPr="002748CC">
        <w:rPr>
          <w:rFonts w:ascii="Calibri" w:hAnsi="Calibri"/>
          <w:lang w:val="en-GB" w:eastAsia="en-GB"/>
        </w:rPr>
        <w:t xml:space="preserve"> the manuscript.</w:t>
      </w:r>
    </w:p>
    <w:p w14:paraId="59BC65CD" w14:textId="77777777" w:rsidR="00ED41AE" w:rsidRPr="002748CC" w:rsidRDefault="00ED41AE" w:rsidP="00086AD2">
      <w:pPr>
        <w:spacing w:line="480" w:lineRule="auto"/>
        <w:ind w:firstLine="426"/>
        <w:jc w:val="both"/>
        <w:rPr>
          <w:rFonts w:ascii="Calibri" w:hAnsi="Calibri"/>
          <w:lang w:val="en-GB" w:eastAsia="en-GB"/>
        </w:rPr>
      </w:pPr>
    </w:p>
    <w:p w14:paraId="4981EC78" w14:textId="242933A1" w:rsidR="00C4442B" w:rsidRPr="002748CC" w:rsidRDefault="00C4442B" w:rsidP="00086AD2">
      <w:pPr>
        <w:pStyle w:val="Heading1"/>
        <w:rPr>
          <w:rFonts w:ascii="Calibri" w:hAnsi="Calibri" w:cstheme="minorHAnsi"/>
          <w:lang w:val="en-GB"/>
        </w:rPr>
      </w:pPr>
      <w:r w:rsidRPr="002748CC">
        <w:rPr>
          <w:rFonts w:ascii="Calibri" w:hAnsi="Calibri" w:cstheme="minorHAnsi"/>
          <w:lang w:val="en-GB"/>
        </w:rPr>
        <w:t>Conflict of interest</w:t>
      </w:r>
    </w:p>
    <w:p w14:paraId="2B9A4722" w14:textId="747CD60B" w:rsidR="00ED41AE" w:rsidRPr="002748CC" w:rsidRDefault="00ED41AE" w:rsidP="00086AD2">
      <w:pPr>
        <w:spacing w:line="480" w:lineRule="auto"/>
        <w:ind w:firstLine="426"/>
        <w:jc w:val="both"/>
        <w:rPr>
          <w:rFonts w:ascii="Calibri" w:hAnsi="Calibri"/>
          <w:lang w:val="en-GB" w:eastAsia="en-GB"/>
        </w:rPr>
      </w:pPr>
      <w:r w:rsidRPr="002748CC">
        <w:rPr>
          <w:rFonts w:ascii="Calibri" w:hAnsi="Calibri"/>
          <w:lang w:val="en-GB" w:eastAsia="en-GB"/>
        </w:rPr>
        <w:t>The authors declare no conflict of interest.</w:t>
      </w:r>
    </w:p>
    <w:p w14:paraId="58A7BF23" w14:textId="77777777" w:rsidR="00ED41AE" w:rsidRPr="002748CC" w:rsidRDefault="00ED41AE" w:rsidP="00086AD2">
      <w:pPr>
        <w:spacing w:line="480" w:lineRule="auto"/>
        <w:ind w:firstLine="426"/>
        <w:jc w:val="both"/>
        <w:rPr>
          <w:rFonts w:ascii="Calibri" w:hAnsi="Calibri"/>
          <w:lang w:val="en-GB" w:eastAsia="en-GB"/>
        </w:rPr>
      </w:pPr>
    </w:p>
    <w:p w14:paraId="410D4267" w14:textId="5BAE653A" w:rsidR="00C4442B" w:rsidRPr="002748CC" w:rsidRDefault="00C4442B" w:rsidP="00086AD2">
      <w:pPr>
        <w:pStyle w:val="Heading1"/>
        <w:rPr>
          <w:rFonts w:ascii="Calibri" w:hAnsi="Calibri" w:cstheme="minorHAnsi"/>
          <w:lang w:val="en-GB"/>
        </w:rPr>
      </w:pPr>
      <w:r w:rsidRPr="002748CC">
        <w:rPr>
          <w:rFonts w:ascii="Calibri" w:hAnsi="Calibri" w:cstheme="minorHAnsi"/>
          <w:lang w:val="en-GB"/>
        </w:rPr>
        <w:t>Acknowledgements</w:t>
      </w:r>
    </w:p>
    <w:p w14:paraId="365C8F1C" w14:textId="58E80FFC" w:rsidR="00ED41AE" w:rsidRPr="002748CC" w:rsidRDefault="00093656" w:rsidP="00086AD2">
      <w:pPr>
        <w:spacing w:line="480" w:lineRule="auto"/>
        <w:ind w:firstLine="426"/>
        <w:jc w:val="both"/>
        <w:rPr>
          <w:rFonts w:ascii="Calibri" w:hAnsi="Calibri"/>
          <w:lang w:val="en-GB" w:eastAsia="en-GB"/>
        </w:rPr>
      </w:pPr>
      <w:r>
        <w:rPr>
          <w:rFonts w:ascii="Calibri" w:hAnsi="Calibri"/>
          <w:lang w:val="en-GB" w:eastAsia="en-GB"/>
        </w:rPr>
        <w:t>We would like to thank Mrs.</w:t>
      </w:r>
      <w:r w:rsidR="00920F07" w:rsidRPr="002748CC">
        <w:rPr>
          <w:rFonts w:ascii="Calibri" w:hAnsi="Calibri"/>
          <w:lang w:val="en-GB" w:eastAsia="en-GB"/>
        </w:rPr>
        <w:t xml:space="preserve"> </w:t>
      </w:r>
      <w:r w:rsidR="00A31A19" w:rsidRPr="00FB474E">
        <w:rPr>
          <w:rFonts w:ascii="Calibri" w:hAnsi="Calibri"/>
          <w:noProof/>
          <w:lang w:val="en-GB" w:eastAsia="en-GB"/>
        </w:rPr>
        <w:t>H</w:t>
      </w:r>
      <w:r w:rsidR="00920F07" w:rsidRPr="00FB474E">
        <w:rPr>
          <w:rFonts w:ascii="Calibri" w:hAnsi="Calibri"/>
          <w:noProof/>
          <w:lang w:val="en-GB" w:eastAsia="en-GB"/>
        </w:rPr>
        <w:t>anla</w:t>
      </w:r>
      <w:r w:rsidR="00920F07" w:rsidRPr="002748CC">
        <w:rPr>
          <w:rFonts w:ascii="Calibri" w:hAnsi="Calibri"/>
          <w:lang w:val="en-GB" w:eastAsia="en-GB"/>
        </w:rPr>
        <w:t xml:space="preserve"> Park (Division of Cancer Epidemiology, DKFZ) </w:t>
      </w:r>
      <w:r>
        <w:rPr>
          <w:rFonts w:ascii="Calibri" w:hAnsi="Calibri"/>
          <w:lang w:val="en-GB" w:eastAsia="en-GB"/>
        </w:rPr>
        <w:t xml:space="preserve">who </w:t>
      </w:r>
      <w:r w:rsidR="00920F07" w:rsidRPr="002748CC">
        <w:rPr>
          <w:rFonts w:ascii="Calibri" w:hAnsi="Calibri"/>
          <w:lang w:val="en-GB" w:eastAsia="en-GB"/>
        </w:rPr>
        <w:t xml:space="preserve">provided useful support for MR analyses and interpretation </w:t>
      </w:r>
      <w:r w:rsidR="00823A4D">
        <w:rPr>
          <w:rFonts w:ascii="Calibri" w:hAnsi="Calibri"/>
          <w:lang w:val="en-GB" w:eastAsia="en-GB"/>
        </w:rPr>
        <w:t>of statistical analyses</w:t>
      </w:r>
      <w:r w:rsidR="00920F07" w:rsidRPr="002748CC">
        <w:rPr>
          <w:rFonts w:ascii="Calibri" w:hAnsi="Calibri"/>
          <w:lang w:val="en-GB" w:eastAsia="en-GB"/>
        </w:rPr>
        <w:t>.</w:t>
      </w:r>
    </w:p>
    <w:p w14:paraId="17EB0682" w14:textId="77777777" w:rsidR="00ED41AE" w:rsidRPr="002748CC" w:rsidRDefault="00ED41AE" w:rsidP="00086AD2">
      <w:pPr>
        <w:spacing w:line="480" w:lineRule="auto"/>
        <w:ind w:firstLine="426"/>
        <w:jc w:val="both"/>
        <w:rPr>
          <w:rFonts w:ascii="Calibri" w:hAnsi="Calibri"/>
          <w:lang w:val="en-GB" w:eastAsia="en-GB"/>
        </w:rPr>
      </w:pPr>
    </w:p>
    <w:p w14:paraId="3FD9FED4" w14:textId="46085C11" w:rsidR="00C4442B" w:rsidRPr="002748CC" w:rsidRDefault="00C4442B" w:rsidP="00086AD2">
      <w:pPr>
        <w:pStyle w:val="Heading1"/>
        <w:rPr>
          <w:rFonts w:ascii="Calibri" w:hAnsi="Calibri" w:cstheme="minorHAnsi"/>
          <w:lang w:val="en-GB"/>
        </w:rPr>
      </w:pPr>
      <w:r w:rsidRPr="002748CC">
        <w:rPr>
          <w:rFonts w:ascii="Calibri" w:hAnsi="Calibri" w:cstheme="minorHAnsi"/>
          <w:lang w:val="en-GB"/>
        </w:rPr>
        <w:t>Funding support</w:t>
      </w:r>
    </w:p>
    <w:p w14:paraId="576B758A" w14:textId="35202259" w:rsidR="008E59FB" w:rsidRDefault="00ED41AE" w:rsidP="00086AD2">
      <w:pPr>
        <w:spacing w:line="480" w:lineRule="auto"/>
        <w:ind w:firstLine="426"/>
        <w:jc w:val="both"/>
        <w:rPr>
          <w:rFonts w:ascii="Calibri" w:hAnsi="Calibri"/>
          <w:lang w:val="en-GB" w:eastAsia="en-GB"/>
        </w:rPr>
      </w:pPr>
      <w:r w:rsidRPr="00FB474E">
        <w:rPr>
          <w:rFonts w:ascii="Calibri" w:hAnsi="Calibri"/>
          <w:noProof/>
          <w:lang w:val="en-GB" w:eastAsia="en-GB"/>
        </w:rPr>
        <w:t>This work was supported by intramural funding of</w:t>
      </w:r>
      <w:r w:rsidRPr="002748CC">
        <w:rPr>
          <w:rFonts w:ascii="Calibri" w:hAnsi="Calibri"/>
          <w:lang w:val="en-GB" w:eastAsia="en-GB"/>
        </w:rPr>
        <w:t xml:space="preserve"> DKFZ</w:t>
      </w:r>
      <w:r w:rsidR="00796D2F">
        <w:rPr>
          <w:rFonts w:ascii="Calibri" w:hAnsi="Calibri"/>
          <w:lang w:val="en-GB" w:eastAsia="en-GB"/>
        </w:rPr>
        <w:t xml:space="preserve">, </w:t>
      </w:r>
      <w:r w:rsidR="00093656">
        <w:rPr>
          <w:rFonts w:ascii="Calibri" w:hAnsi="Calibri"/>
          <w:lang w:val="en-GB" w:eastAsia="en-GB"/>
        </w:rPr>
        <w:t xml:space="preserve">by </w:t>
      </w:r>
      <w:r w:rsidR="00796D2F">
        <w:rPr>
          <w:rFonts w:ascii="Calibri" w:hAnsi="Calibri"/>
          <w:lang w:val="en-GB" w:eastAsia="en-GB"/>
        </w:rPr>
        <w:t xml:space="preserve">Fondazione Tizzi and by Fondazione </w:t>
      </w:r>
      <w:r w:rsidR="00093656">
        <w:rPr>
          <w:rFonts w:ascii="Calibri" w:hAnsi="Calibri"/>
          <w:lang w:val="en-GB" w:eastAsia="en-GB"/>
        </w:rPr>
        <w:t>Arpa</w:t>
      </w:r>
      <w:r w:rsidR="004118A9">
        <w:rPr>
          <w:rFonts w:ascii="Calibri" w:hAnsi="Calibri"/>
          <w:lang w:val="en-GB" w:eastAsia="en-GB"/>
        </w:rPr>
        <w:t xml:space="preserve"> (</w:t>
      </w:r>
      <w:r w:rsidR="00796D2F">
        <w:rPr>
          <w:rFonts w:ascii="Calibri" w:hAnsi="Calibri"/>
          <w:lang w:val="en-GB" w:eastAsia="en-GB"/>
        </w:rPr>
        <w:t>www.fondazionearpa.it</w:t>
      </w:r>
      <w:r w:rsidR="004118A9">
        <w:rPr>
          <w:rFonts w:ascii="Calibri" w:hAnsi="Calibri"/>
          <w:lang w:val="en-GB" w:eastAsia="en-GB"/>
        </w:rPr>
        <w:t>)</w:t>
      </w:r>
      <w:r w:rsidRPr="002748CC">
        <w:rPr>
          <w:rFonts w:ascii="Calibri" w:hAnsi="Calibri"/>
          <w:lang w:val="en-GB" w:eastAsia="en-GB"/>
        </w:rPr>
        <w:t>.</w:t>
      </w:r>
    </w:p>
    <w:p w14:paraId="015A5A4D" w14:textId="77777777" w:rsidR="00ED41AE" w:rsidRPr="002748CC" w:rsidRDefault="00ED41AE" w:rsidP="00086AD2">
      <w:pPr>
        <w:spacing w:line="480" w:lineRule="auto"/>
        <w:jc w:val="both"/>
        <w:rPr>
          <w:rFonts w:ascii="Calibri" w:hAnsi="Calibri"/>
          <w:lang w:val="en-GB" w:eastAsia="en-GB"/>
        </w:rPr>
      </w:pPr>
    </w:p>
    <w:p w14:paraId="270FA284" w14:textId="1DDA7C2B" w:rsidR="00C4442B" w:rsidRPr="002748CC" w:rsidRDefault="00C4442B" w:rsidP="00086AD2">
      <w:pPr>
        <w:spacing w:line="480" w:lineRule="auto"/>
        <w:jc w:val="both"/>
        <w:rPr>
          <w:rFonts w:ascii="Calibri" w:hAnsi="Calibri"/>
          <w:lang w:val="en-GB" w:eastAsia="en-GB"/>
        </w:rPr>
      </w:pPr>
      <w:r w:rsidRPr="002748CC">
        <w:rPr>
          <w:rFonts w:ascii="Calibri" w:hAnsi="Calibri"/>
          <w:lang w:val="en-GB" w:eastAsia="en-GB"/>
        </w:rPr>
        <w:br w:type="page"/>
      </w:r>
    </w:p>
    <w:p w14:paraId="1D0E5D40" w14:textId="67D63DCA" w:rsidR="006D5DF5" w:rsidRDefault="00C4442B" w:rsidP="00145157">
      <w:pPr>
        <w:pStyle w:val="Heading1"/>
        <w:rPr>
          <w:rFonts w:ascii="Calibri" w:hAnsi="Calibri" w:cstheme="minorHAnsi"/>
          <w:lang w:val="en-GB"/>
        </w:rPr>
      </w:pPr>
      <w:r w:rsidRPr="002748CC">
        <w:rPr>
          <w:rFonts w:ascii="Calibri" w:hAnsi="Calibri" w:cstheme="minorHAnsi"/>
          <w:lang w:val="en-GB"/>
        </w:rPr>
        <w:lastRenderedPageBreak/>
        <w:t>Referenc</w:t>
      </w:r>
      <w:r w:rsidR="00145157">
        <w:rPr>
          <w:rFonts w:ascii="Calibri" w:hAnsi="Calibri" w:cstheme="minorHAnsi"/>
          <w:lang w:val="en-GB"/>
        </w:rPr>
        <w:t>e</w:t>
      </w:r>
      <w:r w:rsidR="00AF07D2">
        <w:rPr>
          <w:rFonts w:ascii="Calibri" w:hAnsi="Calibri" w:cstheme="minorHAnsi"/>
          <w:lang w:val="en-GB"/>
        </w:rPr>
        <w:t>s</w:t>
      </w:r>
    </w:p>
    <w:p w14:paraId="3C827148" w14:textId="094B1DC0" w:rsidR="00675992" w:rsidRPr="00675992" w:rsidRDefault="00C340D2" w:rsidP="00675992">
      <w:pPr>
        <w:widowControl w:val="0"/>
        <w:autoSpaceDE w:val="0"/>
        <w:autoSpaceDN w:val="0"/>
        <w:adjustRightInd w:val="0"/>
        <w:ind w:left="640" w:hanging="640"/>
        <w:rPr>
          <w:rFonts w:ascii="Calibri" w:hAnsi="Calibri" w:cs="Calibri"/>
          <w:noProof/>
        </w:rPr>
      </w:pPr>
      <w:r w:rsidRPr="00251E4B">
        <w:rPr>
          <w:rFonts w:asciiTheme="minorHAnsi" w:hAnsiTheme="minorHAnsi" w:cstheme="minorHAnsi"/>
          <w:lang w:val="en-GB" w:eastAsia="en-GB"/>
        </w:rPr>
        <w:fldChar w:fldCharType="begin" w:fldLock="1"/>
      </w:r>
      <w:r w:rsidRPr="00251E4B">
        <w:rPr>
          <w:rFonts w:asciiTheme="minorHAnsi" w:hAnsiTheme="minorHAnsi" w:cstheme="minorHAnsi"/>
          <w:lang w:val="en-GB" w:eastAsia="en-GB"/>
        </w:rPr>
        <w:instrText xml:space="preserve">ADDIN Mendeley Bibliography CSL_BIBLIOGRAPHY </w:instrText>
      </w:r>
      <w:r w:rsidRPr="00251E4B">
        <w:rPr>
          <w:rFonts w:asciiTheme="minorHAnsi" w:hAnsiTheme="minorHAnsi" w:cstheme="minorHAnsi"/>
          <w:lang w:val="en-GB" w:eastAsia="en-GB"/>
        </w:rPr>
        <w:fldChar w:fldCharType="separate"/>
      </w:r>
      <w:r w:rsidR="00675992" w:rsidRPr="00675992">
        <w:rPr>
          <w:rFonts w:ascii="Calibri" w:hAnsi="Calibri" w:cs="Calibri"/>
          <w:noProof/>
        </w:rPr>
        <w:t xml:space="preserve">1 </w:t>
      </w:r>
      <w:r w:rsidR="00675992" w:rsidRPr="00675992">
        <w:rPr>
          <w:rFonts w:ascii="Calibri" w:hAnsi="Calibri" w:cs="Calibri"/>
          <w:noProof/>
        </w:rPr>
        <w:tab/>
        <w:t xml:space="preserve">Bray F, Ferlay J, Soerjomataram I, Siegel RL, Torre LA, Jemal A. Global cancer statistics 2018: GLOBOCAN estimates of incidence and mortality worldwide for 36 cancers in 185 countries. </w:t>
      </w:r>
      <w:r w:rsidR="00675992" w:rsidRPr="00675992">
        <w:rPr>
          <w:rFonts w:ascii="Calibri" w:hAnsi="Calibri" w:cs="Calibri"/>
          <w:i/>
          <w:iCs/>
          <w:noProof/>
        </w:rPr>
        <w:t>CA Cancer J Clin</w:t>
      </w:r>
      <w:r w:rsidR="00675992" w:rsidRPr="00675992">
        <w:rPr>
          <w:rFonts w:ascii="Calibri" w:hAnsi="Calibri" w:cs="Calibri"/>
          <w:noProof/>
        </w:rPr>
        <w:t xml:space="preserve"> 2018;</w:t>
      </w:r>
      <w:r w:rsidR="00675992" w:rsidRPr="00675992">
        <w:rPr>
          <w:rFonts w:ascii="Calibri" w:hAnsi="Calibri" w:cs="Calibri"/>
          <w:b/>
          <w:bCs/>
          <w:noProof/>
        </w:rPr>
        <w:t>68</w:t>
      </w:r>
      <w:r w:rsidR="00675992" w:rsidRPr="00675992">
        <w:rPr>
          <w:rFonts w:ascii="Calibri" w:hAnsi="Calibri" w:cs="Calibri"/>
          <w:noProof/>
        </w:rPr>
        <w:t>:394–424doi:10.3322/caac.21492.</w:t>
      </w:r>
    </w:p>
    <w:p w14:paraId="7340B796"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 </w:t>
      </w:r>
      <w:r w:rsidRPr="00675992">
        <w:rPr>
          <w:rFonts w:ascii="Calibri" w:hAnsi="Calibri" w:cs="Calibri"/>
          <w:noProof/>
        </w:rPr>
        <w:tab/>
        <w:t xml:space="preserve">Malvezzi M, Carioli G, Bertuccio P, Boffetta P, Levi F, La Vecchia C, Negri E. European cancer mortality predictions for the year 2019 with focus on breast cancer. </w:t>
      </w:r>
      <w:r w:rsidRPr="00675992">
        <w:rPr>
          <w:rFonts w:ascii="Calibri" w:hAnsi="Calibri" w:cs="Calibri"/>
          <w:i/>
          <w:iCs/>
          <w:noProof/>
        </w:rPr>
        <w:t>Ann Oncol</w:t>
      </w:r>
      <w:r w:rsidRPr="00675992">
        <w:rPr>
          <w:rFonts w:ascii="Calibri" w:hAnsi="Calibri" w:cs="Calibri"/>
          <w:noProof/>
        </w:rPr>
        <w:t xml:space="preserve"> 2019;</w:t>
      </w:r>
      <w:r w:rsidRPr="00675992">
        <w:rPr>
          <w:rFonts w:ascii="Calibri" w:hAnsi="Calibri" w:cs="Calibri"/>
          <w:b/>
          <w:bCs/>
          <w:noProof/>
        </w:rPr>
        <w:t>30</w:t>
      </w:r>
      <w:r w:rsidRPr="00675992">
        <w:rPr>
          <w:rFonts w:ascii="Calibri" w:hAnsi="Calibri" w:cs="Calibri"/>
          <w:noProof/>
        </w:rPr>
        <w:t>:781–7doi:10.1093/annonc/mdz051.</w:t>
      </w:r>
    </w:p>
    <w:p w14:paraId="14CFECEE"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 </w:t>
      </w:r>
      <w:r w:rsidRPr="00675992">
        <w:rPr>
          <w:rFonts w:ascii="Calibri" w:hAnsi="Calibri" w:cs="Calibri"/>
          <w:noProof/>
        </w:rPr>
        <w:tab/>
        <w:t>Rahib L, Smith BD, Aizenberg R, Rosenzweig AB, Fleshman JM, Matrisian LM. Projecting cancer incidence and deaths to 2030: The unexpected burden of thyroid, liver, and pancreas cancers in the united states. Cancer Res. 2014;</w:t>
      </w:r>
      <w:r w:rsidRPr="00675992">
        <w:rPr>
          <w:rFonts w:ascii="Calibri" w:hAnsi="Calibri" w:cs="Calibri"/>
          <w:b/>
          <w:bCs/>
          <w:noProof/>
        </w:rPr>
        <w:t>74</w:t>
      </w:r>
      <w:r w:rsidRPr="00675992">
        <w:rPr>
          <w:rFonts w:ascii="Calibri" w:hAnsi="Calibri" w:cs="Calibri"/>
          <w:noProof/>
        </w:rPr>
        <w:t>:2913–21doi:10.1158/0008-5472.CAN-14-0155.</w:t>
      </w:r>
    </w:p>
    <w:p w14:paraId="07C12E9F"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 </w:t>
      </w:r>
      <w:r w:rsidRPr="00675992">
        <w:rPr>
          <w:rFonts w:ascii="Calibri" w:hAnsi="Calibri" w:cs="Calibri"/>
          <w:noProof/>
        </w:rPr>
        <w:tab/>
        <w:t xml:space="preserve">Amundadottir L, Kraft P, Stolzenberg-Solomon RZ, Fuchs CS, Petersen GM, Arslan AA, Bueno-De-Mesquita HB, Gross M, Helzlsouer K, Jacobs EJ, LaCroix A, Zheng W, Albanes D, Bamlet W, Berg CD, Berrino F, Bingham S, Buring JE, Bracci PM, Canzian F, Clavel-Chapelon F, Clipp S, Cotterchio M, De Andrade M, Duell EJ, Fox JW, Gallinger S, Gaziano JM, Giovannucci EL, Goggins M, González CA, Hallmans G, Hankinson SE, Hassan M, Holly EA, Hunter DJ, Hutchinson A, Jackson R, Jacobs KB, Jenab M, Kaaks R, Klein AP, Kooperberg C, Kurtz RC, Li D, Lynch SM, Mandelson M, McWilliams RR, Mendelsohn JB, Michaud DS, Olson SH, Overvad K, Patel A V, Peeters PHMM, Rajkovic A, Riboli E, Risch HA, Shu X-OO, Thomas G, Tobias GS, Trichopoulos D, Van Den Eeden SK, Virtamo J, Wactawski-Wende J, Wolpin BM, Yu H, Yu K, Zeleniuch-Jacquotte A, Chanock SJ, Hartge P, Hoover RN, Fox Jr JW, Gallinger S, Gaziano JM, Giovannucci EL, Goggins M, González CA, Hallmans G, Hankinson SE, Hassan M, Holly EA, Hunter DJ, Hutchinson A, Jackson R, Jacobs KB, Jenab M, Kaaks R, Klein AP, Kooperberg C, Kurtz RC, Li D, Lynch SM, Mandelson M, McWilliams RR, Mendelsohn JB, Michaud DS, Olson SH, Overvad K, Patel A V, Peeters PHMM, Rajkovic A, Riboli E, Risch HA, Shu X-OO, Thomas G, Tobias GS, Trichopoulos D, Van Den Eeden SK, Virtamo J, Wactawski-Wende J, Wolpin BM, Yu H, Yu K, Zeleniuch-Jacquotte A, Chanock SJ, Hartge P, Hoover RN. Genome-wide association study identifies variants in the ABO locus associated with susceptibility to pancreatic cancer. </w:t>
      </w:r>
      <w:r w:rsidRPr="00675992">
        <w:rPr>
          <w:rFonts w:ascii="Calibri" w:hAnsi="Calibri" w:cs="Calibri"/>
          <w:i/>
          <w:iCs/>
          <w:noProof/>
        </w:rPr>
        <w:t>Nat Genet</w:t>
      </w:r>
      <w:r w:rsidRPr="00675992">
        <w:rPr>
          <w:rFonts w:ascii="Calibri" w:hAnsi="Calibri" w:cs="Calibri"/>
          <w:noProof/>
        </w:rPr>
        <w:t xml:space="preserve"> 2009;</w:t>
      </w:r>
      <w:r w:rsidRPr="00675992">
        <w:rPr>
          <w:rFonts w:ascii="Calibri" w:hAnsi="Calibri" w:cs="Calibri"/>
          <w:b/>
          <w:bCs/>
          <w:noProof/>
        </w:rPr>
        <w:t>41</w:t>
      </w:r>
      <w:r w:rsidRPr="00675992">
        <w:rPr>
          <w:rFonts w:ascii="Calibri" w:hAnsi="Calibri" w:cs="Calibri"/>
          <w:noProof/>
        </w:rPr>
        <w:t>:986–90doi:10.1038/ng.429.</w:t>
      </w:r>
    </w:p>
    <w:p w14:paraId="19263A2B"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5 </w:t>
      </w:r>
      <w:r w:rsidRPr="00675992">
        <w:rPr>
          <w:rFonts w:ascii="Calibri" w:hAnsi="Calibri" w:cs="Calibri"/>
          <w:noProof/>
        </w:rPr>
        <w:tab/>
        <w:t xml:space="preserve">Amundadottir LT. Pancreatic Cancer Genetics. </w:t>
      </w:r>
      <w:r w:rsidRPr="00675992">
        <w:rPr>
          <w:rFonts w:ascii="Calibri" w:hAnsi="Calibri" w:cs="Calibri"/>
          <w:i/>
          <w:iCs/>
          <w:noProof/>
        </w:rPr>
        <w:t>Int J Biol Sci</w:t>
      </w:r>
      <w:r w:rsidRPr="00675992">
        <w:rPr>
          <w:rFonts w:ascii="Calibri" w:hAnsi="Calibri" w:cs="Calibri"/>
          <w:noProof/>
        </w:rPr>
        <w:t xml:space="preserve"> 2016;</w:t>
      </w:r>
      <w:r w:rsidRPr="00675992">
        <w:rPr>
          <w:rFonts w:ascii="Calibri" w:hAnsi="Calibri" w:cs="Calibri"/>
          <w:b/>
          <w:bCs/>
          <w:noProof/>
        </w:rPr>
        <w:t>12</w:t>
      </w:r>
      <w:r w:rsidRPr="00675992">
        <w:rPr>
          <w:rFonts w:ascii="Calibri" w:hAnsi="Calibri" w:cs="Calibri"/>
          <w:noProof/>
        </w:rPr>
        <w:t>:314–25doi:10.7150/ijbs.15001.</w:t>
      </w:r>
    </w:p>
    <w:p w14:paraId="6A924422"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6 </w:t>
      </w:r>
      <w:r w:rsidRPr="00675992">
        <w:rPr>
          <w:rFonts w:ascii="Calibri" w:hAnsi="Calibri" w:cs="Calibri"/>
          <w:noProof/>
        </w:rPr>
        <w:tab/>
        <w:t xml:space="preserve">Klein AP, Wolpin BM, Risch HA, Stolzenberg-Solomon RZ, Mocci E, Zhang M, Canzian F, Childs EJ, Hoskins JW, Jermusyk A, Zhong J, Chen F, Albanes D, Andreotti G, Arslan AA, Babic A, Bamlet WR, Beane-Freeman L, Berndt SI, Blackford A, Borges M, Borgida A, Bracci PM, Brais L, Brennan P, Brenner H, Bueno-De-Mesquita B, Buring J, Campa D, Capurso G, Cavestro GM, Chaffee KG, Chung CC, Cleary S, Cotterchio M, Dijk F, Duell EJ, Foretova L, Fuchs C, Funel N, Gallinger S, Gaziano JMM, Gazouli M, Giles GG, Giovannucci E, Goggins M, Goodman GE, Goodman PJ, Hackert T, Haiman C, Hartge P, Hasan M, Hegyi P, Helzlsouer KJ, Herman J, Holcatova I, Holly EA, Hoover R, Hung RJ, Jacobs EJ, Jamroziak K, Janout V, Kaaks R, Khaw KT, Klein EA, Kogevinas M, Kooperberg C, Kulke MH, Kupcinskas J, Kurtz RJ, Laheru D, Landi S, Lawlor RT, Lee IM, Lemarchand L, Lu L, Malats N, Mambrini A, Mannisto S, Milne RL, Mohelníková-Duchoňová B, Neale RE, Neoptolemos JP, Oberg AL, Olson SH, Orlow I, Pasquali C, Patel A V, Peters U, Pezzilli R, Porta M, Real FX, Rothman N, Scelo G, Sesso HD, Severi G, Shu XO, Silverman D, Smith JP, Soucek P, Sund M, Talar-Wojnarowska R, Tavano F, Thornquist MD, Tobias GS, Van Den Eeden SK, Vashist Y, Visvanathan K, Vodicka P, Wactawski-Wende J, Wang Z, Wentzensen N, White E, Yu H, Yu K, Zeleniuch-Jacquotte A, </w:t>
      </w:r>
      <w:r w:rsidRPr="00675992">
        <w:rPr>
          <w:rFonts w:ascii="Calibri" w:hAnsi="Calibri" w:cs="Calibri"/>
          <w:noProof/>
        </w:rPr>
        <w:lastRenderedPageBreak/>
        <w:t xml:space="preserve">Zheng W, Kraft P, Li D, Chanock S, Obazee O, Petersen GM, Amundadottir LT. Genome-wide meta-analysis identifies five new susceptibility loci for pancreatic cancer. </w:t>
      </w:r>
      <w:r w:rsidRPr="00675992">
        <w:rPr>
          <w:rFonts w:ascii="Calibri" w:hAnsi="Calibri" w:cs="Calibri"/>
          <w:i/>
          <w:iCs/>
          <w:noProof/>
        </w:rPr>
        <w:t>Nat Commun</w:t>
      </w:r>
      <w:r w:rsidRPr="00675992">
        <w:rPr>
          <w:rFonts w:ascii="Calibri" w:hAnsi="Calibri" w:cs="Calibri"/>
          <w:noProof/>
        </w:rPr>
        <w:t xml:space="preserve"> 2018;</w:t>
      </w:r>
      <w:r w:rsidRPr="00675992">
        <w:rPr>
          <w:rFonts w:ascii="Calibri" w:hAnsi="Calibri" w:cs="Calibri"/>
          <w:b/>
          <w:bCs/>
          <w:noProof/>
        </w:rPr>
        <w:t>9</w:t>
      </w:r>
      <w:r w:rsidRPr="00675992">
        <w:rPr>
          <w:rFonts w:ascii="Calibri" w:hAnsi="Calibri" w:cs="Calibri"/>
          <w:noProof/>
        </w:rPr>
        <w:t>:556doi:10.1038/s41467-018-02942-5.</w:t>
      </w:r>
    </w:p>
    <w:p w14:paraId="084CB541"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7 </w:t>
      </w:r>
      <w:r w:rsidRPr="00675992">
        <w:rPr>
          <w:rFonts w:ascii="Calibri" w:hAnsi="Calibri" w:cs="Calibri"/>
          <w:noProof/>
        </w:rPr>
        <w:tab/>
        <w:t xml:space="preserve">Zhang M, Wang Z, Obazee O, Jia J, Childs EJ, Hoskins J, Figlioli G, Mocci E, Collins I, Chung CC, Hautman C, Arslan AA, Beane-Freeman L, Bracci PM, Buring J, Duell EJ, Gallinger S, Giles GG, Goodman GE, Goodman PJ, Kamineni A, Kolonel LN, Kulke MH, Malats N, Olson SH, Sesso HD, Visvanathan K, White E, Zheng W, Abnet CC, Albanes D, Andreotti G, Brais L, Bueno-de-Mesquita HB, Basso D, Berndt SI, Boutron-Ruault M-C, Bijlsma MF, Brenner H, Burdette L, Campa D, Caporaso NE, Capurso G, Cavestro GM, Cotterchio M, Costello E, Elena J, Boggi U, Gaziano JM, Gazouli M, Giovannucci EL, Goggins M, Gross M, Haiman CA, Hassan M, Helzlsouer KJ, Hu N, Hunter DJ, Iskierka-Jazdzewska E, Jenab M, Kaaks R, Key TJ, Khaw K-T, Klein EA, Kogevinas M, Krogh V, Kupcinskas J, Kurtz RC, Landi MT, Landi S, Le Marchand L, Mambrini A, Mannisto S, Milne RL, Neale RE, Oberg AL, Panico S, Patel A V, Peeters PHM, Peters U, Pezzilli R, Porta M, Purdue M, Quiros JR, Riboli E, Rothman N, Scarpa A, Scelo G, Shu X-O, Silverman DT, Soucek P, Strobel O, Sund M, Małecka-Panas E, Taylor PR, Tavano F, Travis RC, Thornquist M, Tjønneland A, Tobias GS, Trichopoulos D, Vashist Y, Vodicka P, Wactawski-Wende J, Wentzensen N, Yu H, Yu K, Zeleniuch-Jacquotte A, Kooperberg C, Risch HA, Jacobs EJ, Li D, Fuchs C, Hoover R, Hartge P, Chanock SJ, Petersen GM, Stolzenberg-Solomon RS, Wolpin BM, Kraft P, Klein AP, Canzian F, Amundadottir LT, Marchand L Le, Mambrini A, Mannisto S, Milne RL, Neale RE, Oberg AL, Panico S, Patel A V, Peeters PHM, Peters U, Pezzilli R, Porta M, Purdue M, Quiros JR, Riboli E, Rothman N, Scarpa A, Scelo G, Shu X-O, Silverman DT, Soucek P, Strobel O, Sund M, Małecka-Panas E, Taylor PR, Tavano F, Travis RC, Thornquist M, Null A, Tobias GS, Trichopoulos D, Vashist Y, Vodicka P, Wactawski-Wende J, Wentzensen N, Yu H, Zeleniuch-Jacquotte A, Kooperberg C, Risch HA, Jacobs EJ, Li D, Fuchs C, Hoover R, Hartge P, Chanock SJ, Petersen GM, Stolzenberg-Solomon RS, Wolpin BM, Kraft P, Klein AP, Canzian F, Amundadottir LT. Three new pancreatic cancer susceptibility signals identified on chromosomes 1q32.1, 5p15.33 and 8q24.21. </w:t>
      </w:r>
      <w:r w:rsidRPr="00675992">
        <w:rPr>
          <w:rFonts w:ascii="Calibri" w:hAnsi="Calibri" w:cs="Calibri"/>
          <w:i/>
          <w:iCs/>
          <w:noProof/>
        </w:rPr>
        <w:t>Oncotarget</w:t>
      </w:r>
      <w:r w:rsidRPr="00675992">
        <w:rPr>
          <w:rFonts w:ascii="Calibri" w:hAnsi="Calibri" w:cs="Calibri"/>
          <w:noProof/>
        </w:rPr>
        <w:t xml:space="preserve"> 2016;</w:t>
      </w:r>
      <w:r w:rsidRPr="00675992">
        <w:rPr>
          <w:rFonts w:ascii="Calibri" w:hAnsi="Calibri" w:cs="Calibri"/>
          <w:b/>
          <w:bCs/>
          <w:noProof/>
        </w:rPr>
        <w:t>7</w:t>
      </w:r>
      <w:r w:rsidRPr="00675992">
        <w:rPr>
          <w:rFonts w:ascii="Calibri" w:hAnsi="Calibri" w:cs="Calibri"/>
          <w:noProof/>
        </w:rPr>
        <w:t>:66328–43doi:10.18632/oncotarget.11041.</w:t>
      </w:r>
    </w:p>
    <w:p w14:paraId="01D23D7B"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8 </w:t>
      </w:r>
      <w:r w:rsidRPr="00675992">
        <w:rPr>
          <w:rFonts w:ascii="Calibri" w:hAnsi="Calibri" w:cs="Calibri"/>
          <w:noProof/>
        </w:rPr>
        <w:tab/>
        <w:t xml:space="preserve">Childs EJ, Mocci E, Campa D, Bracci PM, Gallinger S, Goggins M, Li D, Neale RE, Olson SH, Scelo G, Amundadottir LT, Bamlet WR, Bijlsma MF, Blackford A, Borges M, Brennan P, Brenner H, Bueno-De-Mesquita HB, Canzian F, Capurso G, Cavestro GM, Chaffee KG, Chanock SJ, Cleary SP, Cotterchio M, Foretova L, Fuchs C, Funel N, Gazouli M, Hassan M, Herman JM, Holcatova I, Holly EA, Hoover RN, Hung RJ, Janout V, Key TJ, Kupcinskas J, Kurtz RC, Landi S, Lu L, Malecka-Panas E, Mambrini A, Mohelnikova-Duchonova B, Neoptolemos JP, Oberg AL, Orlow I, Pasquali C, Pezzilli R, Rizzato C, Saldia A, Scarpa A, Stolzenberg-Solomon RZ, Strobel O, Tavano F, Vashist YK, Vodicka P, Wolpin BM, Yu H, Petersen GM, Risch HA, Klein AP. Common variation at 2p13.3, 3q29, 7p13 and 17q25.1 associated with susceptibility to pancreatic cancer. </w:t>
      </w:r>
      <w:r w:rsidRPr="00675992">
        <w:rPr>
          <w:rFonts w:ascii="Calibri" w:hAnsi="Calibri" w:cs="Calibri"/>
          <w:i/>
          <w:iCs/>
          <w:noProof/>
        </w:rPr>
        <w:t>Nat Genet</w:t>
      </w:r>
      <w:r w:rsidRPr="00675992">
        <w:rPr>
          <w:rFonts w:ascii="Calibri" w:hAnsi="Calibri" w:cs="Calibri"/>
          <w:noProof/>
        </w:rPr>
        <w:t xml:space="preserve"> 2015;</w:t>
      </w:r>
      <w:r w:rsidRPr="00675992">
        <w:rPr>
          <w:rFonts w:ascii="Calibri" w:hAnsi="Calibri" w:cs="Calibri"/>
          <w:b/>
          <w:bCs/>
          <w:noProof/>
        </w:rPr>
        <w:t>47</w:t>
      </w:r>
      <w:r w:rsidRPr="00675992">
        <w:rPr>
          <w:rFonts w:ascii="Calibri" w:hAnsi="Calibri" w:cs="Calibri"/>
          <w:noProof/>
        </w:rPr>
        <w:t>:911–6doi:10.1038/ng.3341.</w:t>
      </w:r>
    </w:p>
    <w:p w14:paraId="798D5A5E"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9 </w:t>
      </w:r>
      <w:r w:rsidRPr="00675992">
        <w:rPr>
          <w:rFonts w:ascii="Calibri" w:hAnsi="Calibri" w:cs="Calibri"/>
          <w:noProof/>
        </w:rPr>
        <w:tab/>
        <w:t xml:space="preserve">Low S-K, Kuchiba A, Zembutsu H, Saito A, Takahashi A, Kubo M, Daigo Y, Kamatani N, Chiku S, Totsuka H, Ohnami S, Hirose H, Shimada K, Okusaka T, Yoshida T, Nakamura Y, Sakamoto H. Genome-wide association study of pancreatic cancer in Japanese population. </w:t>
      </w:r>
      <w:r w:rsidRPr="00675992">
        <w:rPr>
          <w:rFonts w:ascii="Calibri" w:hAnsi="Calibri" w:cs="Calibri"/>
          <w:i/>
          <w:iCs/>
          <w:noProof/>
        </w:rPr>
        <w:t>PLoS One</w:t>
      </w:r>
      <w:r w:rsidRPr="00675992">
        <w:rPr>
          <w:rFonts w:ascii="Calibri" w:hAnsi="Calibri" w:cs="Calibri"/>
          <w:noProof/>
        </w:rPr>
        <w:t xml:space="preserve"> 2010;</w:t>
      </w:r>
      <w:r w:rsidRPr="00675992">
        <w:rPr>
          <w:rFonts w:ascii="Calibri" w:hAnsi="Calibri" w:cs="Calibri"/>
          <w:b/>
          <w:bCs/>
          <w:noProof/>
        </w:rPr>
        <w:t>5</w:t>
      </w:r>
      <w:r w:rsidRPr="00675992">
        <w:rPr>
          <w:rFonts w:ascii="Calibri" w:hAnsi="Calibri" w:cs="Calibri"/>
          <w:noProof/>
        </w:rPr>
        <w:t>:e11824doi:10.1371/journal.pone.0011824.</w:t>
      </w:r>
    </w:p>
    <w:p w14:paraId="3ED0BB51"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10 </w:t>
      </w:r>
      <w:r w:rsidRPr="00675992">
        <w:rPr>
          <w:rFonts w:ascii="Calibri" w:hAnsi="Calibri" w:cs="Calibri"/>
          <w:noProof/>
        </w:rPr>
        <w:tab/>
        <w:t xml:space="preserve">Wu C, Miao X, Huang L, Che X, Jiang G, Yu D, Yang X, Cao G, Hu Z, Zhou YYY, Zuo C, Wang CC, Zhang X, Zhou YYY, Yu X, Dai W, Li Z, Shen H, Liu L, Chen Y, Zhang S, Wang X, Zhai K, Chang J, Liu Y, Sun M, Cao W, Gao J, Ma Y, Zheng X, Cheung ST, Jia Y, Xu J, Tan W, Zhao P, Wu T, Wang CC, Lin D. Genome-wide association study identifies five loci associated with susceptibility to pancreatic cancer in Chinese populations. </w:t>
      </w:r>
      <w:r w:rsidRPr="00675992">
        <w:rPr>
          <w:rFonts w:ascii="Calibri" w:hAnsi="Calibri" w:cs="Calibri"/>
          <w:i/>
          <w:iCs/>
          <w:noProof/>
        </w:rPr>
        <w:t>Nat Genet</w:t>
      </w:r>
      <w:r w:rsidRPr="00675992">
        <w:rPr>
          <w:rFonts w:ascii="Calibri" w:hAnsi="Calibri" w:cs="Calibri"/>
          <w:noProof/>
        </w:rPr>
        <w:t xml:space="preserve"> 2012;</w:t>
      </w:r>
      <w:r w:rsidRPr="00675992">
        <w:rPr>
          <w:rFonts w:ascii="Calibri" w:hAnsi="Calibri" w:cs="Calibri"/>
          <w:b/>
          <w:bCs/>
          <w:noProof/>
        </w:rPr>
        <w:t>44</w:t>
      </w:r>
      <w:r w:rsidRPr="00675992">
        <w:rPr>
          <w:rFonts w:ascii="Calibri" w:hAnsi="Calibri" w:cs="Calibri"/>
          <w:noProof/>
        </w:rPr>
        <w:t>:62–6doi:10.1038/ng.1020.</w:t>
      </w:r>
    </w:p>
    <w:p w14:paraId="68AEE3DF"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lastRenderedPageBreak/>
        <w:t xml:space="preserve">11 </w:t>
      </w:r>
      <w:r w:rsidRPr="00675992">
        <w:rPr>
          <w:rFonts w:ascii="Calibri" w:hAnsi="Calibri" w:cs="Calibri"/>
          <w:noProof/>
        </w:rPr>
        <w:tab/>
        <w:t xml:space="preserve">Petersen GM, Amundadottir L, Fuchs CS, Kraft P, Stolzenberg-Solomon RZ, Jacobs KB, Arslan AA, Bueno-De-Mesquita HB, Gallinger S, Gross M, Helzlsouer K, Holly EA, Jacobs EJ, Klein AP, Lacroix A, Li D, Mandelson MT, Olson SH, Risch HA, Zheng W, Albanes D, Bamlet WR, Berg CD, Boutron-Ruault M-CC, Buring JE, Bracci PM, Canzian F, Clipp S, Cotterchio M, de Andrade M, Duell EJ, Gaziano JM, Giovannucci EL, Goggins M, Hallmans G, Hankinson SE, Hassan M, Howard B, Hunter DJ, Hutchinson A, Jenab M, Kaaks R, Kooperberg C, Krogh V, Kurtz RC, Lynch SM, McWilliams RR, Mendelsohn JB, Michaud DS, Parikh H, Patel A V, Peeters PHMMM, Rajkovic A, Riboli E, Rodriguez L, Seminara D, Shu X-OO, Thomas G, Tjønneland A, Tobias GS, Trichopoulos D, Van Den Eeden SK, Virtamo J, Wactawski-Wende J, Wang Z, Wolpin BM, Yu H, Yu K, Zeleniuch-Jacquotte A, Fraumeni JF, Hoover RN, Hartge P, Chanock SJ. A genome-wide association study identifies pancreatic cancer susceptibility loci on chromosomes 13q22.1, 1q32.1 and 5p15.33. </w:t>
      </w:r>
      <w:r w:rsidRPr="00675992">
        <w:rPr>
          <w:rFonts w:ascii="Calibri" w:hAnsi="Calibri" w:cs="Calibri"/>
          <w:i/>
          <w:iCs/>
          <w:noProof/>
        </w:rPr>
        <w:t>Nat Genet</w:t>
      </w:r>
      <w:r w:rsidRPr="00675992">
        <w:rPr>
          <w:rFonts w:ascii="Calibri" w:hAnsi="Calibri" w:cs="Calibri"/>
          <w:noProof/>
        </w:rPr>
        <w:t xml:space="preserve"> 2010;</w:t>
      </w:r>
      <w:r w:rsidRPr="00675992">
        <w:rPr>
          <w:rFonts w:ascii="Calibri" w:hAnsi="Calibri" w:cs="Calibri"/>
          <w:b/>
          <w:bCs/>
          <w:noProof/>
        </w:rPr>
        <w:t>42</w:t>
      </w:r>
      <w:r w:rsidRPr="00675992">
        <w:rPr>
          <w:rFonts w:ascii="Calibri" w:hAnsi="Calibri" w:cs="Calibri"/>
          <w:noProof/>
        </w:rPr>
        <w:t>:224–8doi:10.1038/ng.522.</w:t>
      </w:r>
    </w:p>
    <w:p w14:paraId="1868CCDD"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12 </w:t>
      </w:r>
      <w:r w:rsidRPr="00675992">
        <w:rPr>
          <w:rFonts w:ascii="Calibri" w:hAnsi="Calibri" w:cs="Calibri"/>
          <w:noProof/>
        </w:rPr>
        <w:tab/>
        <w:t xml:space="preserve">Wolpin BM, Rizzato C, Kraft P, Kooperberg C, Petersen GM, Wang Z, Arslan AA, Beane-Freeman L, Bracci PM, Buring J, Canzian F, Duell EJ, Gallinger S, Giles GG, Goodman GE, Goodman PJ, Jacobs EJ, Kamineni A, Klein AP, Kolonel LN, Kulke MH, Li D, Malats N, Olson SH, Risch HA, Sesso HD, Visvanathan K, White E, Zheng W, Abnet CC, Albanes D, Andreotti G, Austin MA, Barfield R, Basso D, Berndt SI, Boutron-Ruault M-CC, Brotzman M, Büchler MW, Bueno-De-Mesquita HB, Bugert P, Burdette L, Campa D, Caporaso NE, Capurso G, Chung C, Cotterchio M, Costello E, Elena J, Funel N, Gaziano JM, Giese NA, Giovannucci EL, Goggins M, Gorman MJ, Gross M, Haiman CA, Hassan M, Helzlsouer KJ, Henderson BE, Holly EA, Hu N, Hunter DJ, Innocenti F, Jenab M, Kaaks R, Key TJ, Khaw K-TT, Klein EA, Kogevinas M, Krogh V, Kupcinskas J, Kurtz RC, Lacroix A, Landi MT, Landi S, Le Marchand L, Mambrini A, Mannisto S, Milne RL, Nakamura Y, Oberg AL, Owzar K, Patel A V., Peeters PHMM, Peters U, Pezzilli R, Piepoli A, Porta M, Real FX, Riboli E, Rothman N, Scarpa A, Shu X-OO, Silverman DT, Soucek P, Sund M, Talar-Wojnarowska R, Taylor PR, Theodoropoulos GE, Thornquist M, Tjønneland A, Tobias GS, Trichopoulos D, Vodicka P, Wactawski-Wende J, Wentzensen N, Wu C, Yu H, Yu K, Zeleniuch-Jacquotte A, Hoover R, Hartge P, Fuchs C, Chanock SJ, Stolzenberg-Solomon RS, Amundadottir LT. Genome-wide association study identifies multiple susceptibility loci for pancreatic cancer. </w:t>
      </w:r>
      <w:r w:rsidRPr="00675992">
        <w:rPr>
          <w:rFonts w:ascii="Calibri" w:hAnsi="Calibri" w:cs="Calibri"/>
          <w:i/>
          <w:iCs/>
          <w:noProof/>
        </w:rPr>
        <w:t>Nat Genet</w:t>
      </w:r>
      <w:r w:rsidRPr="00675992">
        <w:rPr>
          <w:rFonts w:ascii="Calibri" w:hAnsi="Calibri" w:cs="Calibri"/>
          <w:noProof/>
        </w:rPr>
        <w:t xml:space="preserve"> 2014;</w:t>
      </w:r>
      <w:r w:rsidRPr="00675992">
        <w:rPr>
          <w:rFonts w:ascii="Calibri" w:hAnsi="Calibri" w:cs="Calibri"/>
          <w:b/>
          <w:bCs/>
          <w:noProof/>
        </w:rPr>
        <w:t>46</w:t>
      </w:r>
      <w:r w:rsidRPr="00675992">
        <w:rPr>
          <w:rFonts w:ascii="Calibri" w:hAnsi="Calibri" w:cs="Calibri"/>
          <w:noProof/>
        </w:rPr>
        <w:t>:994–1000doi:10.1038/ng.3052.</w:t>
      </w:r>
    </w:p>
    <w:p w14:paraId="0787EE84"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13 </w:t>
      </w:r>
      <w:r w:rsidRPr="00675992">
        <w:rPr>
          <w:rFonts w:ascii="Calibri" w:hAnsi="Calibri" w:cs="Calibri"/>
          <w:noProof/>
        </w:rPr>
        <w:tab/>
        <w:t>Walling A, Freelove R. Pancreatitis and Pancreatic Cancer. Prim. Care - Clin. Off. Pract. 2017;</w:t>
      </w:r>
      <w:r w:rsidRPr="00675992">
        <w:rPr>
          <w:rFonts w:ascii="Calibri" w:hAnsi="Calibri" w:cs="Calibri"/>
          <w:b/>
          <w:bCs/>
          <w:noProof/>
        </w:rPr>
        <w:t>44</w:t>
      </w:r>
      <w:r w:rsidRPr="00675992">
        <w:rPr>
          <w:rFonts w:ascii="Calibri" w:hAnsi="Calibri" w:cs="Calibri"/>
          <w:noProof/>
        </w:rPr>
        <w:t>:609–20doi:10.1016/j.pop.2017.07.004.</w:t>
      </w:r>
    </w:p>
    <w:p w14:paraId="04D5E239"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14 </w:t>
      </w:r>
      <w:r w:rsidRPr="00675992">
        <w:rPr>
          <w:rFonts w:ascii="Calibri" w:hAnsi="Calibri" w:cs="Calibri"/>
          <w:noProof/>
        </w:rPr>
        <w:tab/>
        <w:t xml:space="preserve">Bosetti C, Rosato V, Li D, Silverman D, Petersen GM, Bracci PM, Neale RE, Muscat J, Anderson K, Gallinger S, Olson SH, Miller AB, Bas Bueno-de-Mesquita H, Scelo G, Janout V, Holcatova I, Lagiou P, Serraino D, Lucenteforte E, Fabianova E, Ghadirian P, Baghurst PA, Zatonski W, Foretova L, Fontham E, Bamlet WR, Holly EA, Negri E, Hassan M, Prizment A, Cotterchio M, Cleary S, Kurtz RC, Maisonneuve P, Trichopoulos D, Polesel J, Duell EJ, Boffetta P, La Vecchia C. Diabetes, antidiabetic medications, and pancreatic cancer risk: an analysis from the International Pancreatic Cancer Case-Control Consortium. </w:t>
      </w:r>
      <w:r w:rsidRPr="00675992">
        <w:rPr>
          <w:rFonts w:ascii="Calibri" w:hAnsi="Calibri" w:cs="Calibri"/>
          <w:i/>
          <w:iCs/>
          <w:noProof/>
        </w:rPr>
        <w:t>Ann Oncol</w:t>
      </w:r>
      <w:r w:rsidRPr="00675992">
        <w:rPr>
          <w:rFonts w:ascii="Calibri" w:hAnsi="Calibri" w:cs="Calibri"/>
          <w:noProof/>
        </w:rPr>
        <w:t xml:space="preserve"> 2014;</w:t>
      </w:r>
      <w:r w:rsidRPr="00675992">
        <w:rPr>
          <w:rFonts w:ascii="Calibri" w:hAnsi="Calibri" w:cs="Calibri"/>
          <w:b/>
          <w:bCs/>
          <w:noProof/>
        </w:rPr>
        <w:t>25</w:t>
      </w:r>
      <w:r w:rsidRPr="00675992">
        <w:rPr>
          <w:rFonts w:ascii="Calibri" w:hAnsi="Calibri" w:cs="Calibri"/>
          <w:noProof/>
        </w:rPr>
        <w:t>:2065–72doi:10.1093/annonc/mdu276.</w:t>
      </w:r>
    </w:p>
    <w:p w14:paraId="1C5454E3"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15 </w:t>
      </w:r>
      <w:r w:rsidRPr="00675992">
        <w:rPr>
          <w:rFonts w:ascii="Calibri" w:hAnsi="Calibri" w:cs="Calibri"/>
          <w:noProof/>
        </w:rPr>
        <w:tab/>
        <w:t xml:space="preserve">Xu M, Jung X, Hines OJ, Eibl G, Chen Y. Obesity and Pancreatic Cancer: Overview of Epidemiology and Potential Prevention by Weight Loss. </w:t>
      </w:r>
      <w:r w:rsidRPr="00675992">
        <w:rPr>
          <w:rFonts w:ascii="Calibri" w:hAnsi="Calibri" w:cs="Calibri"/>
          <w:i/>
          <w:iCs/>
          <w:noProof/>
        </w:rPr>
        <w:t>Pancreas</w:t>
      </w:r>
      <w:r w:rsidRPr="00675992">
        <w:rPr>
          <w:rFonts w:ascii="Calibri" w:hAnsi="Calibri" w:cs="Calibri"/>
          <w:noProof/>
        </w:rPr>
        <w:t xml:space="preserve"> 2018;</w:t>
      </w:r>
      <w:r w:rsidRPr="00675992">
        <w:rPr>
          <w:rFonts w:ascii="Calibri" w:hAnsi="Calibri" w:cs="Calibri"/>
          <w:b/>
          <w:bCs/>
          <w:noProof/>
        </w:rPr>
        <w:t>47</w:t>
      </w:r>
      <w:r w:rsidRPr="00675992">
        <w:rPr>
          <w:rFonts w:ascii="Calibri" w:hAnsi="Calibri" w:cs="Calibri"/>
          <w:noProof/>
        </w:rPr>
        <w:t>:158–62doi:10.1097/MPA.0000000000000974.</w:t>
      </w:r>
    </w:p>
    <w:p w14:paraId="6A495A6F"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16 </w:t>
      </w:r>
      <w:r w:rsidRPr="00675992">
        <w:rPr>
          <w:rFonts w:ascii="Calibri" w:hAnsi="Calibri" w:cs="Calibri"/>
          <w:noProof/>
        </w:rPr>
        <w:tab/>
        <w:t xml:space="preserve">Liao W-C, Tu Y-K, Wu M-S, Lin J-T, Wang H-P, Chien K-L. Blood glucose concentration and risk of pancreatic cancer: systematic review and dose-response meta-analysis. </w:t>
      </w:r>
      <w:r w:rsidRPr="00675992">
        <w:rPr>
          <w:rFonts w:ascii="Calibri" w:hAnsi="Calibri" w:cs="Calibri"/>
          <w:i/>
          <w:iCs/>
          <w:noProof/>
        </w:rPr>
        <w:t>BMJ</w:t>
      </w:r>
      <w:r w:rsidRPr="00675992">
        <w:rPr>
          <w:rFonts w:ascii="Calibri" w:hAnsi="Calibri" w:cs="Calibri"/>
          <w:noProof/>
        </w:rPr>
        <w:t xml:space="preserve"> 2015;</w:t>
      </w:r>
      <w:r w:rsidRPr="00675992">
        <w:rPr>
          <w:rFonts w:ascii="Calibri" w:hAnsi="Calibri" w:cs="Calibri"/>
          <w:b/>
          <w:bCs/>
          <w:noProof/>
        </w:rPr>
        <w:t>350</w:t>
      </w:r>
      <w:r w:rsidRPr="00675992">
        <w:rPr>
          <w:rFonts w:ascii="Calibri" w:hAnsi="Calibri" w:cs="Calibri"/>
          <w:noProof/>
        </w:rPr>
        <w:t>:g7371doi:10.1136/bmj.g7371.</w:t>
      </w:r>
    </w:p>
    <w:p w14:paraId="1B1F4997"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17 </w:t>
      </w:r>
      <w:r w:rsidRPr="00675992">
        <w:rPr>
          <w:rFonts w:ascii="Calibri" w:hAnsi="Calibri" w:cs="Calibri"/>
          <w:noProof/>
        </w:rPr>
        <w:tab/>
        <w:t xml:space="preserve">Bao Y, Giovannucci EL, Kraft P, Stampfer MJ, Ogino S, Ma J, Buring JE, Sesso HD, Lee I-M, </w:t>
      </w:r>
      <w:r w:rsidRPr="00675992">
        <w:rPr>
          <w:rFonts w:ascii="Calibri" w:hAnsi="Calibri" w:cs="Calibri"/>
          <w:noProof/>
        </w:rPr>
        <w:lastRenderedPageBreak/>
        <w:t xml:space="preserve">Gaziano JM, Rifai N, Pollak MN, Cochrane BB, Kaklamani V, Lin JH, Manson JE, Fuchs CS, Wolpin BM. A prospective study of plasma adiponectin and pancreatic cancer risk in five US cohorts. </w:t>
      </w:r>
      <w:r w:rsidRPr="00675992">
        <w:rPr>
          <w:rFonts w:ascii="Calibri" w:hAnsi="Calibri" w:cs="Calibri"/>
          <w:i/>
          <w:iCs/>
          <w:noProof/>
        </w:rPr>
        <w:t>J Natl Cancer Inst</w:t>
      </w:r>
      <w:r w:rsidRPr="00675992">
        <w:rPr>
          <w:rFonts w:ascii="Calibri" w:hAnsi="Calibri" w:cs="Calibri"/>
          <w:noProof/>
        </w:rPr>
        <w:t xml:space="preserve"> 2013;</w:t>
      </w:r>
      <w:r w:rsidRPr="00675992">
        <w:rPr>
          <w:rFonts w:ascii="Calibri" w:hAnsi="Calibri" w:cs="Calibri"/>
          <w:b/>
          <w:bCs/>
          <w:noProof/>
        </w:rPr>
        <w:t>105</w:t>
      </w:r>
      <w:r w:rsidRPr="00675992">
        <w:rPr>
          <w:rFonts w:ascii="Calibri" w:hAnsi="Calibri" w:cs="Calibri"/>
          <w:noProof/>
        </w:rPr>
        <w:t>:95–103doi:10.1093/jnci/djs474.</w:t>
      </w:r>
    </w:p>
    <w:p w14:paraId="1A56E399"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18 </w:t>
      </w:r>
      <w:r w:rsidRPr="00675992">
        <w:rPr>
          <w:rFonts w:ascii="Calibri" w:hAnsi="Calibri" w:cs="Calibri"/>
          <w:noProof/>
        </w:rPr>
        <w:tab/>
        <w:t xml:space="preserve">Tseng C-H. New-Onset Diabetes With a History of Dyslipidemia Predicts Pancreatic Cancer. </w:t>
      </w:r>
      <w:r w:rsidRPr="00675992">
        <w:rPr>
          <w:rFonts w:ascii="Calibri" w:hAnsi="Calibri" w:cs="Calibri"/>
          <w:i/>
          <w:iCs/>
          <w:noProof/>
        </w:rPr>
        <w:t>Pancreas</w:t>
      </w:r>
      <w:r w:rsidRPr="00675992">
        <w:rPr>
          <w:rFonts w:ascii="Calibri" w:hAnsi="Calibri" w:cs="Calibri"/>
          <w:noProof/>
        </w:rPr>
        <w:t xml:space="preserve"> 2013;</w:t>
      </w:r>
      <w:r w:rsidRPr="00675992">
        <w:rPr>
          <w:rFonts w:ascii="Calibri" w:hAnsi="Calibri" w:cs="Calibri"/>
          <w:b/>
          <w:bCs/>
          <w:noProof/>
        </w:rPr>
        <w:t>42</w:t>
      </w:r>
      <w:r w:rsidRPr="00675992">
        <w:rPr>
          <w:rFonts w:ascii="Calibri" w:hAnsi="Calibri" w:cs="Calibri"/>
          <w:noProof/>
        </w:rPr>
        <w:t>:42–8doi:10.1097/MPA.0b013e3182571ba9.</w:t>
      </w:r>
    </w:p>
    <w:p w14:paraId="126631D6"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19 </w:t>
      </w:r>
      <w:r w:rsidRPr="00675992">
        <w:rPr>
          <w:rFonts w:ascii="Calibri" w:hAnsi="Calibri" w:cs="Calibri"/>
          <w:noProof/>
        </w:rPr>
        <w:tab/>
        <w:t xml:space="preserve">Wang J, Wang W-J, Zhai L, Zhang D-F. Association of cholesterol with risk of pancreatic cancer: a meta-analysis. </w:t>
      </w:r>
      <w:r w:rsidRPr="00675992">
        <w:rPr>
          <w:rFonts w:ascii="Calibri" w:hAnsi="Calibri" w:cs="Calibri"/>
          <w:i/>
          <w:iCs/>
          <w:noProof/>
        </w:rPr>
        <w:t>World J Gastroenterol</w:t>
      </w:r>
      <w:r w:rsidRPr="00675992">
        <w:rPr>
          <w:rFonts w:ascii="Calibri" w:hAnsi="Calibri" w:cs="Calibri"/>
          <w:noProof/>
        </w:rPr>
        <w:t xml:space="preserve"> 2015;</w:t>
      </w:r>
      <w:r w:rsidRPr="00675992">
        <w:rPr>
          <w:rFonts w:ascii="Calibri" w:hAnsi="Calibri" w:cs="Calibri"/>
          <w:b/>
          <w:bCs/>
          <w:noProof/>
        </w:rPr>
        <w:t>21</w:t>
      </w:r>
      <w:r w:rsidRPr="00675992">
        <w:rPr>
          <w:rFonts w:ascii="Calibri" w:hAnsi="Calibri" w:cs="Calibri"/>
          <w:noProof/>
        </w:rPr>
        <w:t>:3711–9doi:10.3748/wjg.v21.i12.3711.</w:t>
      </w:r>
    </w:p>
    <w:p w14:paraId="75929CA1"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20 </w:t>
      </w:r>
      <w:r w:rsidRPr="00675992">
        <w:rPr>
          <w:rFonts w:ascii="Calibri" w:hAnsi="Calibri" w:cs="Calibri"/>
          <w:noProof/>
        </w:rPr>
        <w:tab/>
        <w:t xml:space="preserve">Korc M, Jeon CY, Edderkaoui M, Pandol SJ, Petrov MS, Consortium for the Study of Chronic Pancreatitis, Diabetes, and Pancreatic Cancer (CPDPC) C for the S of C, Diabetes, (CPDPC)  and PC. Tobacco and alcohol as risk factors for pancreatic cancer. </w:t>
      </w:r>
      <w:r w:rsidRPr="00675992">
        <w:rPr>
          <w:rFonts w:ascii="Calibri" w:hAnsi="Calibri" w:cs="Calibri"/>
          <w:i/>
          <w:iCs/>
          <w:noProof/>
        </w:rPr>
        <w:t>Best Pract Res Clin Gastroenterol</w:t>
      </w:r>
      <w:r w:rsidRPr="00675992">
        <w:rPr>
          <w:rFonts w:ascii="Calibri" w:hAnsi="Calibri" w:cs="Calibri"/>
          <w:noProof/>
        </w:rPr>
        <w:t xml:space="preserve"> 2017;</w:t>
      </w:r>
      <w:r w:rsidRPr="00675992">
        <w:rPr>
          <w:rFonts w:ascii="Calibri" w:hAnsi="Calibri" w:cs="Calibri"/>
          <w:b/>
          <w:bCs/>
          <w:noProof/>
        </w:rPr>
        <w:t>31</w:t>
      </w:r>
      <w:r w:rsidRPr="00675992">
        <w:rPr>
          <w:rFonts w:ascii="Calibri" w:hAnsi="Calibri" w:cs="Calibri"/>
          <w:noProof/>
        </w:rPr>
        <w:t>:529–36doi:10.1016/j.bpg.2017.09.001.</w:t>
      </w:r>
    </w:p>
    <w:p w14:paraId="148FCE0B"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21 </w:t>
      </w:r>
      <w:r w:rsidRPr="00675992">
        <w:rPr>
          <w:rFonts w:ascii="Calibri" w:hAnsi="Calibri" w:cs="Calibri"/>
          <w:noProof/>
        </w:rPr>
        <w:tab/>
        <w:t xml:space="preserve">Vogel A, Kullmann F, Kunzmann V, Al-Batran S-E, Oettle H, Plentz R, Siveke J, Springfeld C, Riess H. Patients with Advanced Pancreatic Cancer and Hyperbilirubinaemia: Review and German Expert Opinion on Treatment with nab-Paclitaxel plus Gemcitabine. </w:t>
      </w:r>
      <w:r w:rsidRPr="00675992">
        <w:rPr>
          <w:rFonts w:ascii="Calibri" w:hAnsi="Calibri" w:cs="Calibri"/>
          <w:i/>
          <w:iCs/>
          <w:noProof/>
        </w:rPr>
        <w:t>Oncol Res Treat</w:t>
      </w:r>
      <w:r w:rsidRPr="00675992">
        <w:rPr>
          <w:rFonts w:ascii="Calibri" w:hAnsi="Calibri" w:cs="Calibri"/>
          <w:noProof/>
        </w:rPr>
        <w:t xml:space="preserve"> 2015;</w:t>
      </w:r>
      <w:r w:rsidRPr="00675992">
        <w:rPr>
          <w:rFonts w:ascii="Calibri" w:hAnsi="Calibri" w:cs="Calibri"/>
          <w:b/>
          <w:bCs/>
          <w:noProof/>
        </w:rPr>
        <w:t>38</w:t>
      </w:r>
      <w:r w:rsidRPr="00675992">
        <w:rPr>
          <w:rFonts w:ascii="Calibri" w:hAnsi="Calibri" w:cs="Calibri"/>
          <w:noProof/>
        </w:rPr>
        <w:t>:596–603doi:10.1159/000441310.</w:t>
      </w:r>
    </w:p>
    <w:p w14:paraId="6BE031B8"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22 </w:t>
      </w:r>
      <w:r w:rsidRPr="00675992">
        <w:rPr>
          <w:rFonts w:ascii="Calibri" w:hAnsi="Calibri" w:cs="Calibri"/>
          <w:noProof/>
        </w:rPr>
        <w:tab/>
        <w:t xml:space="preserve">Johnson AD, Kavousi M, Smith A V., Chen MH, Dehghan A, Aspelund T, Lin JP, van Duijn CM, Harris TB, Cupples LA, Uitterlinden AG, Launer L, Hofman A, Rivadeneira F, Stricker B, Yang Q, O’Donnell CJ, Gudnason V, Witteman JC. Genome-wide association meta-analysis for total serum bilirubin levels. </w:t>
      </w:r>
      <w:r w:rsidRPr="00675992">
        <w:rPr>
          <w:rFonts w:ascii="Calibri" w:hAnsi="Calibri" w:cs="Calibri"/>
          <w:i/>
          <w:iCs/>
          <w:noProof/>
        </w:rPr>
        <w:t>Hum Mol Genet</w:t>
      </w:r>
      <w:r w:rsidRPr="00675992">
        <w:rPr>
          <w:rFonts w:ascii="Calibri" w:hAnsi="Calibri" w:cs="Calibri"/>
          <w:noProof/>
        </w:rPr>
        <w:t xml:space="preserve"> 2009;</w:t>
      </w:r>
      <w:r w:rsidRPr="00675992">
        <w:rPr>
          <w:rFonts w:ascii="Calibri" w:hAnsi="Calibri" w:cs="Calibri"/>
          <w:b/>
          <w:bCs/>
          <w:noProof/>
        </w:rPr>
        <w:t>18</w:t>
      </w:r>
      <w:r w:rsidRPr="00675992">
        <w:rPr>
          <w:rFonts w:ascii="Calibri" w:hAnsi="Calibri" w:cs="Calibri"/>
          <w:noProof/>
        </w:rPr>
        <w:t>:2700–10doi:10.1093/hmg/ddp202.</w:t>
      </w:r>
    </w:p>
    <w:p w14:paraId="12E042C1"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23 </w:t>
      </w:r>
      <w:r w:rsidRPr="00675992">
        <w:rPr>
          <w:rFonts w:ascii="Calibri" w:hAnsi="Calibri" w:cs="Calibri"/>
          <w:noProof/>
        </w:rPr>
        <w:tab/>
        <w:t xml:space="preserve">Waterhouse M, Risch HA, Bosetti C, Anderson KE, Petersen GM, Bamlet WR, Cotterchio M, Cleary SP, Ibiebele TI, La Vecchia C, Skinner HG, Strayer L, Bracci PM, Maisonneuve P, Bueno-de-Mesquita HB, Zaton´ski W, Lu L, Yu H, Janik-Koncewicz K, Neale RE, Serraino D, Neale RE, Pancreatic Cancer Case–Control Consortium (PanC4). Vitamin D and pancreatic cancer: a pooled analysis from the Pancreatic Cancer Case–Control Consortium. </w:t>
      </w:r>
      <w:r w:rsidRPr="00675992">
        <w:rPr>
          <w:rFonts w:ascii="Calibri" w:hAnsi="Calibri" w:cs="Calibri"/>
          <w:i/>
          <w:iCs/>
          <w:noProof/>
        </w:rPr>
        <w:t>Ann Oncol</w:t>
      </w:r>
      <w:r w:rsidRPr="00675992">
        <w:rPr>
          <w:rFonts w:ascii="Calibri" w:hAnsi="Calibri" w:cs="Calibri"/>
          <w:noProof/>
        </w:rPr>
        <w:t xml:space="preserve"> 2015;</w:t>
      </w:r>
      <w:r w:rsidRPr="00675992">
        <w:rPr>
          <w:rFonts w:ascii="Calibri" w:hAnsi="Calibri" w:cs="Calibri"/>
          <w:b/>
          <w:bCs/>
          <w:noProof/>
        </w:rPr>
        <w:t>26</w:t>
      </w:r>
      <w:r w:rsidRPr="00675992">
        <w:rPr>
          <w:rFonts w:ascii="Calibri" w:hAnsi="Calibri" w:cs="Calibri"/>
          <w:noProof/>
        </w:rPr>
        <w:t>:1776–83doi:10.1093/annonc/mdv236.</w:t>
      </w:r>
    </w:p>
    <w:p w14:paraId="406D9099"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24 </w:t>
      </w:r>
      <w:r w:rsidRPr="00675992">
        <w:rPr>
          <w:rFonts w:ascii="Calibri" w:hAnsi="Calibri" w:cs="Calibri"/>
          <w:noProof/>
        </w:rPr>
        <w:tab/>
        <w:t xml:space="preserve">Schulte A, Pandeya N, Fawcett J, Fritschi L, Risch HA, Webb PM, Whiteman DC, Neale RE. Association between Helicobacter pylori and pancreatic cancer risk: a meta-analysis. </w:t>
      </w:r>
      <w:r w:rsidRPr="00675992">
        <w:rPr>
          <w:rFonts w:ascii="Calibri" w:hAnsi="Calibri" w:cs="Calibri"/>
          <w:i/>
          <w:iCs/>
          <w:noProof/>
        </w:rPr>
        <w:t>Cancer Causes Control</w:t>
      </w:r>
      <w:r w:rsidRPr="00675992">
        <w:rPr>
          <w:rFonts w:ascii="Calibri" w:hAnsi="Calibri" w:cs="Calibri"/>
          <w:noProof/>
        </w:rPr>
        <w:t xml:space="preserve"> 2015;</w:t>
      </w:r>
      <w:r w:rsidRPr="00675992">
        <w:rPr>
          <w:rFonts w:ascii="Calibri" w:hAnsi="Calibri" w:cs="Calibri"/>
          <w:b/>
          <w:bCs/>
          <w:noProof/>
        </w:rPr>
        <w:t>26</w:t>
      </w:r>
      <w:r w:rsidRPr="00675992">
        <w:rPr>
          <w:rFonts w:ascii="Calibri" w:hAnsi="Calibri" w:cs="Calibri"/>
          <w:noProof/>
        </w:rPr>
        <w:t>:1027–35doi:10.1007/s10552-015-0595-3.</w:t>
      </w:r>
    </w:p>
    <w:p w14:paraId="4651170C"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25 </w:t>
      </w:r>
      <w:r w:rsidRPr="00675992">
        <w:rPr>
          <w:rFonts w:ascii="Calibri" w:hAnsi="Calibri" w:cs="Calibri"/>
          <w:noProof/>
        </w:rPr>
        <w:tab/>
        <w:t xml:space="preserve">Cotterchio M, Lowcock E, Hudson TJ, Greenwood C, Gallinger S. Association between allergies and risk of pancreatic cancer. </w:t>
      </w:r>
      <w:r w:rsidRPr="00675992">
        <w:rPr>
          <w:rFonts w:ascii="Calibri" w:hAnsi="Calibri" w:cs="Calibri"/>
          <w:i/>
          <w:iCs/>
          <w:noProof/>
        </w:rPr>
        <w:t>Cancer Epidemiol Biomarkers Prev</w:t>
      </w:r>
      <w:r w:rsidRPr="00675992">
        <w:rPr>
          <w:rFonts w:ascii="Calibri" w:hAnsi="Calibri" w:cs="Calibri"/>
          <w:noProof/>
        </w:rPr>
        <w:t xml:space="preserve"> 2014;</w:t>
      </w:r>
      <w:r w:rsidRPr="00675992">
        <w:rPr>
          <w:rFonts w:ascii="Calibri" w:hAnsi="Calibri" w:cs="Calibri"/>
          <w:b/>
          <w:bCs/>
          <w:noProof/>
        </w:rPr>
        <w:t>23</w:t>
      </w:r>
      <w:r w:rsidRPr="00675992">
        <w:rPr>
          <w:rFonts w:ascii="Calibri" w:hAnsi="Calibri" w:cs="Calibri"/>
          <w:noProof/>
        </w:rPr>
        <w:t>:469–80doi:10.1158/1055-9965.EPI-13-0965.</w:t>
      </w:r>
    </w:p>
    <w:p w14:paraId="2FEDFC8E"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26 </w:t>
      </w:r>
      <w:r w:rsidRPr="00675992">
        <w:rPr>
          <w:rFonts w:ascii="Calibri" w:hAnsi="Calibri" w:cs="Calibri"/>
          <w:noProof/>
        </w:rPr>
        <w:tab/>
        <w:t xml:space="preserve">Walker EJ, Ko AH, Holly EA, Bracci PM. Statin use and risk of pancreatic cancer: Results from a large, clinic-based case-control study. </w:t>
      </w:r>
      <w:r w:rsidRPr="00675992">
        <w:rPr>
          <w:rFonts w:ascii="Calibri" w:hAnsi="Calibri" w:cs="Calibri"/>
          <w:i/>
          <w:iCs/>
          <w:noProof/>
        </w:rPr>
        <w:t>Cancer</w:t>
      </w:r>
      <w:r w:rsidRPr="00675992">
        <w:rPr>
          <w:rFonts w:ascii="Calibri" w:hAnsi="Calibri" w:cs="Calibri"/>
          <w:noProof/>
        </w:rPr>
        <w:t xml:space="preserve"> 2015;</w:t>
      </w:r>
      <w:r w:rsidRPr="00675992">
        <w:rPr>
          <w:rFonts w:ascii="Calibri" w:hAnsi="Calibri" w:cs="Calibri"/>
          <w:b/>
          <w:bCs/>
          <w:noProof/>
        </w:rPr>
        <w:t>121</w:t>
      </w:r>
      <w:r w:rsidRPr="00675992">
        <w:rPr>
          <w:rFonts w:ascii="Calibri" w:hAnsi="Calibri" w:cs="Calibri"/>
          <w:noProof/>
        </w:rPr>
        <w:t>:1287–94doi:10.1002/cncr.29256.</w:t>
      </w:r>
    </w:p>
    <w:p w14:paraId="57FE9B37"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27 </w:t>
      </w:r>
      <w:r w:rsidRPr="00675992">
        <w:rPr>
          <w:rFonts w:ascii="Calibri" w:hAnsi="Calibri" w:cs="Calibri"/>
          <w:noProof/>
        </w:rPr>
        <w:tab/>
        <w:t xml:space="preserve">Zhang Y-P, Wan Y-D, Sun Y-L, Li J, Zhu R-T. Aspirin might reduce the incidence of pancreatic cancer: A meta-analysis of observational studies. </w:t>
      </w:r>
      <w:r w:rsidRPr="00675992">
        <w:rPr>
          <w:rFonts w:ascii="Calibri" w:hAnsi="Calibri" w:cs="Calibri"/>
          <w:i/>
          <w:iCs/>
          <w:noProof/>
        </w:rPr>
        <w:t>Sci Rep</w:t>
      </w:r>
      <w:r w:rsidRPr="00675992">
        <w:rPr>
          <w:rFonts w:ascii="Calibri" w:hAnsi="Calibri" w:cs="Calibri"/>
          <w:noProof/>
        </w:rPr>
        <w:t xml:space="preserve"> 2015;</w:t>
      </w:r>
      <w:r w:rsidRPr="00675992">
        <w:rPr>
          <w:rFonts w:ascii="Calibri" w:hAnsi="Calibri" w:cs="Calibri"/>
          <w:b/>
          <w:bCs/>
          <w:noProof/>
        </w:rPr>
        <w:t>5</w:t>
      </w:r>
      <w:r w:rsidRPr="00675992">
        <w:rPr>
          <w:rFonts w:ascii="Calibri" w:hAnsi="Calibri" w:cs="Calibri"/>
          <w:noProof/>
        </w:rPr>
        <w:t>:15460doi:10.1038/srep15460.</w:t>
      </w:r>
    </w:p>
    <w:p w14:paraId="5D957FB2"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28 </w:t>
      </w:r>
      <w:r w:rsidRPr="00675992">
        <w:rPr>
          <w:rFonts w:ascii="Calibri" w:hAnsi="Calibri" w:cs="Calibri"/>
          <w:noProof/>
        </w:rPr>
        <w:tab/>
        <w:t xml:space="preserve">Maisonneuve P, Lowenfels AB. Risk factors for pancreatic cancer: A summary review of meta-analytical studies. </w:t>
      </w:r>
      <w:r w:rsidRPr="00675992">
        <w:rPr>
          <w:rFonts w:ascii="Calibri" w:hAnsi="Calibri" w:cs="Calibri"/>
          <w:i/>
          <w:iCs/>
          <w:noProof/>
        </w:rPr>
        <w:t>Int J Epidemiol</w:t>
      </w:r>
      <w:r w:rsidRPr="00675992">
        <w:rPr>
          <w:rFonts w:ascii="Calibri" w:hAnsi="Calibri" w:cs="Calibri"/>
          <w:noProof/>
        </w:rPr>
        <w:t xml:space="preserve"> Published Online First: 2015doi:10.1093/ije/dyu240. doi:10.1093/ije/dyu240</w:t>
      </w:r>
    </w:p>
    <w:p w14:paraId="4B50AD06"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29 </w:t>
      </w:r>
      <w:r w:rsidRPr="00675992">
        <w:rPr>
          <w:rFonts w:ascii="Calibri" w:hAnsi="Calibri" w:cs="Calibri"/>
          <w:noProof/>
        </w:rPr>
        <w:tab/>
        <w:t xml:space="preserve">Barone E, Corrado A, Gemignani F, Landi S. Environmental risk factors for pancreatic cancer: an update. </w:t>
      </w:r>
      <w:r w:rsidRPr="00675992">
        <w:rPr>
          <w:rFonts w:ascii="Calibri" w:hAnsi="Calibri" w:cs="Calibri"/>
          <w:i/>
          <w:iCs/>
          <w:noProof/>
        </w:rPr>
        <w:t>Arch Toxicol</w:t>
      </w:r>
      <w:r w:rsidRPr="00675992">
        <w:rPr>
          <w:rFonts w:ascii="Calibri" w:hAnsi="Calibri" w:cs="Calibri"/>
          <w:noProof/>
        </w:rPr>
        <w:t xml:space="preserve"> 2016;</w:t>
      </w:r>
      <w:r w:rsidRPr="00675992">
        <w:rPr>
          <w:rFonts w:ascii="Calibri" w:hAnsi="Calibri" w:cs="Calibri"/>
          <w:b/>
          <w:bCs/>
          <w:noProof/>
        </w:rPr>
        <w:t>90</w:t>
      </w:r>
      <w:r w:rsidRPr="00675992">
        <w:rPr>
          <w:rFonts w:ascii="Calibri" w:hAnsi="Calibri" w:cs="Calibri"/>
          <w:noProof/>
        </w:rPr>
        <w:t>:2617–42doi:10.1007/s00204-016-1821-9.</w:t>
      </w:r>
    </w:p>
    <w:p w14:paraId="710AA574"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30 </w:t>
      </w:r>
      <w:r w:rsidRPr="00675992">
        <w:rPr>
          <w:rFonts w:ascii="Calibri" w:hAnsi="Calibri" w:cs="Calibri"/>
          <w:noProof/>
        </w:rPr>
        <w:tab/>
        <w:t xml:space="preserve">Davey Smith G, Hemani G. Mendelian randomization: genetic anchors for causal inference in epidemiological studies. </w:t>
      </w:r>
      <w:r w:rsidRPr="00675992">
        <w:rPr>
          <w:rFonts w:ascii="Calibri" w:hAnsi="Calibri" w:cs="Calibri"/>
          <w:i/>
          <w:iCs/>
          <w:noProof/>
        </w:rPr>
        <w:t>Hum Mol Genet</w:t>
      </w:r>
      <w:r w:rsidRPr="00675992">
        <w:rPr>
          <w:rFonts w:ascii="Calibri" w:hAnsi="Calibri" w:cs="Calibri"/>
          <w:noProof/>
        </w:rPr>
        <w:t xml:space="preserve"> 2014;</w:t>
      </w:r>
      <w:r w:rsidRPr="00675992">
        <w:rPr>
          <w:rFonts w:ascii="Calibri" w:hAnsi="Calibri" w:cs="Calibri"/>
          <w:b/>
          <w:bCs/>
          <w:noProof/>
        </w:rPr>
        <w:t>23</w:t>
      </w:r>
      <w:r w:rsidRPr="00675992">
        <w:rPr>
          <w:rFonts w:ascii="Calibri" w:hAnsi="Calibri" w:cs="Calibri"/>
          <w:noProof/>
        </w:rPr>
        <w:t>:R89–98doi:10.1093/hmg/ddu328.</w:t>
      </w:r>
    </w:p>
    <w:p w14:paraId="407A5105"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31 </w:t>
      </w:r>
      <w:r w:rsidRPr="00675992">
        <w:rPr>
          <w:rFonts w:ascii="Calibri" w:hAnsi="Calibri" w:cs="Calibri"/>
          <w:noProof/>
        </w:rPr>
        <w:tab/>
        <w:t xml:space="preserve">Burgess S, Butterworth A, Thompson SG. Mendelian randomization analysis with multiple genetic variants using summarized data. </w:t>
      </w:r>
      <w:r w:rsidRPr="00675992">
        <w:rPr>
          <w:rFonts w:ascii="Calibri" w:hAnsi="Calibri" w:cs="Calibri"/>
          <w:i/>
          <w:iCs/>
          <w:noProof/>
        </w:rPr>
        <w:t>Genet Epidemiol</w:t>
      </w:r>
      <w:r w:rsidRPr="00675992">
        <w:rPr>
          <w:rFonts w:ascii="Calibri" w:hAnsi="Calibri" w:cs="Calibri"/>
          <w:noProof/>
        </w:rPr>
        <w:t xml:space="preserve"> 2013;</w:t>
      </w:r>
      <w:r w:rsidRPr="00675992">
        <w:rPr>
          <w:rFonts w:ascii="Calibri" w:hAnsi="Calibri" w:cs="Calibri"/>
          <w:b/>
          <w:bCs/>
          <w:noProof/>
        </w:rPr>
        <w:t>37</w:t>
      </w:r>
      <w:r w:rsidRPr="00675992">
        <w:rPr>
          <w:rFonts w:ascii="Calibri" w:hAnsi="Calibri" w:cs="Calibri"/>
          <w:noProof/>
        </w:rPr>
        <w:t>:658–65doi:10.1002/gepi.21758.</w:t>
      </w:r>
    </w:p>
    <w:p w14:paraId="2F830CA7"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32 </w:t>
      </w:r>
      <w:r w:rsidRPr="00675992">
        <w:rPr>
          <w:rFonts w:ascii="Calibri" w:hAnsi="Calibri" w:cs="Calibri"/>
          <w:noProof/>
        </w:rPr>
        <w:tab/>
        <w:t xml:space="preserve">Carreras-Torres R, Johansson M, Gaborieau V, Haycock PC, Wade KH, Relton CL, Martin RM, </w:t>
      </w:r>
      <w:r w:rsidRPr="00675992">
        <w:rPr>
          <w:rFonts w:ascii="Calibri" w:hAnsi="Calibri" w:cs="Calibri"/>
          <w:noProof/>
        </w:rPr>
        <w:lastRenderedPageBreak/>
        <w:t xml:space="preserve">Davey Smith G, Brennan P. The Role of Obesity, Type 2 Diabetes, and Metabolic Factors in Pancreatic Cancer: A Mendelian Randomization Study. </w:t>
      </w:r>
      <w:r w:rsidRPr="00675992">
        <w:rPr>
          <w:rFonts w:ascii="Calibri" w:hAnsi="Calibri" w:cs="Calibri"/>
          <w:i/>
          <w:iCs/>
          <w:noProof/>
        </w:rPr>
        <w:t>JNCI J Natl Cancer Inst</w:t>
      </w:r>
      <w:r w:rsidRPr="00675992">
        <w:rPr>
          <w:rFonts w:ascii="Calibri" w:hAnsi="Calibri" w:cs="Calibri"/>
          <w:noProof/>
        </w:rPr>
        <w:t xml:space="preserve"> 2017;</w:t>
      </w:r>
      <w:r w:rsidRPr="00675992">
        <w:rPr>
          <w:rFonts w:ascii="Calibri" w:hAnsi="Calibri" w:cs="Calibri"/>
          <w:b/>
          <w:bCs/>
          <w:noProof/>
        </w:rPr>
        <w:t>109</w:t>
      </w:r>
      <w:r w:rsidRPr="00675992">
        <w:rPr>
          <w:rFonts w:ascii="Calibri" w:hAnsi="Calibri" w:cs="Calibri"/>
          <w:noProof/>
        </w:rPr>
        <w:t>doi:10.1093/jnci/djx012. doi:10.1093/jnci/djx012</w:t>
      </w:r>
    </w:p>
    <w:p w14:paraId="5189225B"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33 </w:t>
      </w:r>
      <w:r w:rsidRPr="00675992">
        <w:rPr>
          <w:rFonts w:ascii="Calibri" w:hAnsi="Calibri" w:cs="Calibri"/>
          <w:noProof/>
        </w:rPr>
        <w:tab/>
        <w:t xml:space="preserve">Langdon RJ, Richmond RC, Hemani G, Zheng J, Wade KH, Carreras-Torres R, Johannson M, Brennan P, Wootton RE, Munafo MR, Davey Smith G, Relton CL, Vincent EE, Martin RM, Haycock P. A phenome-wide Mendelian randomization study of pancreatic cancer using summary genetic data. </w:t>
      </w:r>
      <w:r w:rsidRPr="00675992">
        <w:rPr>
          <w:rFonts w:ascii="Calibri" w:hAnsi="Calibri" w:cs="Calibri"/>
          <w:i/>
          <w:iCs/>
          <w:noProof/>
        </w:rPr>
        <w:t>Cancer Epidemiol Biomarkers Prev</w:t>
      </w:r>
      <w:r w:rsidRPr="00675992">
        <w:rPr>
          <w:rFonts w:ascii="Calibri" w:hAnsi="Calibri" w:cs="Calibri"/>
          <w:noProof/>
        </w:rPr>
        <w:t xml:space="preserve"> 2019;:cebp.0036.2019doi:10.1158/1055-9965.EPI-19-0036.</w:t>
      </w:r>
    </w:p>
    <w:p w14:paraId="14F7E609"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34 </w:t>
      </w:r>
      <w:r w:rsidRPr="00675992">
        <w:rPr>
          <w:rFonts w:ascii="Calibri" w:hAnsi="Calibri" w:cs="Calibri"/>
          <w:noProof/>
        </w:rPr>
        <w:tab/>
        <w:t xml:space="preserve">Buniello A, MacArthur JAL, Cerezo M, Harris LW, Hayhurst J, Malangone C, McMahon A, Morales J, Mountjoy E, Sollis E, Suveges D, Vrousgou O, Whetzel PL, Amode R, Guillen JA, Riat HS, Trevanion SJ, Hall P, Junkins H, Flicek P, Burdett T, Hindorff LA, Cunningham F, Parkinson H. The NHGRI-EBI GWAS Catalog of published genome-wide association studies, targeted arrays and summary statistics 2019. </w:t>
      </w:r>
      <w:r w:rsidRPr="00675992">
        <w:rPr>
          <w:rFonts w:ascii="Calibri" w:hAnsi="Calibri" w:cs="Calibri"/>
          <w:i/>
          <w:iCs/>
          <w:noProof/>
        </w:rPr>
        <w:t>Nucleic Acids Res</w:t>
      </w:r>
      <w:r w:rsidRPr="00675992">
        <w:rPr>
          <w:rFonts w:ascii="Calibri" w:hAnsi="Calibri" w:cs="Calibri"/>
          <w:noProof/>
        </w:rPr>
        <w:t xml:space="preserve"> Published Online First: 2019doi:10.1093/nar/gky1120. doi:10.1093/nar/gky1120</w:t>
      </w:r>
    </w:p>
    <w:p w14:paraId="0540AD1B"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35 </w:t>
      </w:r>
      <w:r w:rsidRPr="00675992">
        <w:rPr>
          <w:rFonts w:ascii="Calibri" w:hAnsi="Calibri" w:cs="Calibri"/>
          <w:noProof/>
        </w:rPr>
        <w:tab/>
        <w:t xml:space="preserve">Das S, Forer L, Schönherr S, Sidore C, Locke AE, Kwong A, Vrieze SI, Chew EY, Levy S, McGue M, Schlessinger D, Stambolian D, Loh PR, Iacono WG, Swaroop A, Scott LJ, Cucca F, Kronenberg F, Boehnke M, Abecasis GR, Fuchsberger C. Next-generation genotype imputation service and methods. </w:t>
      </w:r>
      <w:r w:rsidRPr="00675992">
        <w:rPr>
          <w:rFonts w:ascii="Calibri" w:hAnsi="Calibri" w:cs="Calibri"/>
          <w:i/>
          <w:iCs/>
          <w:noProof/>
        </w:rPr>
        <w:t>Nat Genet</w:t>
      </w:r>
      <w:r w:rsidRPr="00675992">
        <w:rPr>
          <w:rFonts w:ascii="Calibri" w:hAnsi="Calibri" w:cs="Calibri"/>
          <w:noProof/>
        </w:rPr>
        <w:t xml:space="preserve"> 2016;</w:t>
      </w:r>
      <w:r w:rsidRPr="00675992">
        <w:rPr>
          <w:rFonts w:ascii="Calibri" w:hAnsi="Calibri" w:cs="Calibri"/>
          <w:b/>
          <w:bCs/>
          <w:noProof/>
        </w:rPr>
        <w:t>48</w:t>
      </w:r>
      <w:r w:rsidRPr="00675992">
        <w:rPr>
          <w:rFonts w:ascii="Calibri" w:hAnsi="Calibri" w:cs="Calibri"/>
          <w:noProof/>
        </w:rPr>
        <w:t>:1284–7doi:10.1038/ng.3656.</w:t>
      </w:r>
    </w:p>
    <w:p w14:paraId="1D3DA360"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36 </w:t>
      </w:r>
      <w:r w:rsidRPr="00675992">
        <w:rPr>
          <w:rFonts w:ascii="Calibri" w:hAnsi="Calibri" w:cs="Calibri"/>
          <w:noProof/>
        </w:rPr>
        <w:tab/>
        <w:t xml:space="preserve">McCarthy S, Das S, Kretzschmar W, Delaneau O, Wood AR, Teumer A, Kang HM, Fuchsberger C, Danecek P, Sharp K, Luo Y, Sidore C, Kwong A, Timpson N, Koskinen S, Vrieze S, Scott LJ, Zhang H, Mahajan A, Veldink J, Peters U, Pato C, Van Duijn CM, Gillies CE, Gandin I, Mezzavilla M, Gilly A, Cocca M, Traglia M, Angius A, Barrett JC, Boomsma D, Branham K, Breen G, Brummett CM, Busonero F, Campbell H, Chan A, Chen S, Chew E, Collins FS, Corbin LJ, Smith GD, Dedoussis G, Dorr M, Farmaki AE, Ferrucci L, Forer L, Fraser RM, Gabriel S, Levy S, Groop L, Harrison T, Hattersley A, Holmen OL, Hveem K, Kretzler M, Lee JC, McGue M, Meitinger T, Melzer D, Min JL, Mohlke KL, Vincent JB, Nauck M, Nickerson D, Palotie A, Pato M, Pirastu N, McInnis M, Richards JB, Sala C, Salomaa V, Schlessinger D, Schoenherr S, Slagboom PE, Small K, Spector T, Stambolian D, Tuke M, Tuomilehto J, Van Den Berg LH, Van Rheenen W, Volker U, Wijmenga C, Toniolo D, Zeggini E, Gasparini P, Sampson MG, Wilson JF, Frayling T, De Bakker PIW, Swertz MA, McCarroll S, Kooperberg C, Dekker A, Altshuler D, Willer C, Iacono W, Ripatti S, Soranzo N, Walter K, Swaroop A, Cucca F, Anderson CA, Myers RM, Boehnke M, McCarthy MI, Durbin R, Abecasis G, Marchini J. A reference panel of 64,976 haplotypes for genotype imputation. </w:t>
      </w:r>
      <w:r w:rsidRPr="00675992">
        <w:rPr>
          <w:rFonts w:ascii="Calibri" w:hAnsi="Calibri" w:cs="Calibri"/>
          <w:i/>
          <w:iCs/>
          <w:noProof/>
        </w:rPr>
        <w:t>Nat Genet</w:t>
      </w:r>
      <w:r w:rsidRPr="00675992">
        <w:rPr>
          <w:rFonts w:ascii="Calibri" w:hAnsi="Calibri" w:cs="Calibri"/>
          <w:noProof/>
        </w:rPr>
        <w:t xml:space="preserve"> 2016;</w:t>
      </w:r>
      <w:r w:rsidRPr="00675992">
        <w:rPr>
          <w:rFonts w:ascii="Calibri" w:hAnsi="Calibri" w:cs="Calibri"/>
          <w:b/>
          <w:bCs/>
          <w:noProof/>
        </w:rPr>
        <w:t>48</w:t>
      </w:r>
      <w:r w:rsidRPr="00675992">
        <w:rPr>
          <w:rFonts w:ascii="Calibri" w:hAnsi="Calibri" w:cs="Calibri"/>
          <w:noProof/>
        </w:rPr>
        <w:t>:1279–83doi:10.1038/ng.3643.</w:t>
      </w:r>
    </w:p>
    <w:p w14:paraId="60B1670D"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37 </w:t>
      </w:r>
      <w:r w:rsidRPr="00675992">
        <w:rPr>
          <w:rFonts w:ascii="Calibri" w:hAnsi="Calibri" w:cs="Calibri"/>
          <w:noProof/>
        </w:rPr>
        <w:tab/>
        <w:t xml:space="preserve">Bowden J, Fabiola Del Greco M, Minelli C, Smith GD, Sheehan NA, Thompson JR. Assessing the suitability of summary data for two-sample mendelian randomization analyses using MR-Egger regression: The role of the I2statistic. </w:t>
      </w:r>
      <w:r w:rsidRPr="00675992">
        <w:rPr>
          <w:rFonts w:ascii="Calibri" w:hAnsi="Calibri" w:cs="Calibri"/>
          <w:i/>
          <w:iCs/>
          <w:noProof/>
        </w:rPr>
        <w:t>Int J Epidemiol</w:t>
      </w:r>
      <w:r w:rsidRPr="00675992">
        <w:rPr>
          <w:rFonts w:ascii="Calibri" w:hAnsi="Calibri" w:cs="Calibri"/>
          <w:noProof/>
        </w:rPr>
        <w:t xml:space="preserve"> 2016;</w:t>
      </w:r>
      <w:r w:rsidRPr="00675992">
        <w:rPr>
          <w:rFonts w:ascii="Calibri" w:hAnsi="Calibri" w:cs="Calibri"/>
          <w:b/>
          <w:bCs/>
          <w:noProof/>
        </w:rPr>
        <w:t>45</w:t>
      </w:r>
      <w:r w:rsidRPr="00675992">
        <w:rPr>
          <w:rFonts w:ascii="Calibri" w:hAnsi="Calibri" w:cs="Calibri"/>
          <w:noProof/>
        </w:rPr>
        <w:t>:1961–74doi:10.1093/ije/dyw220.</w:t>
      </w:r>
    </w:p>
    <w:p w14:paraId="10CB3B03"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38 </w:t>
      </w:r>
      <w:r w:rsidRPr="00675992">
        <w:rPr>
          <w:rFonts w:ascii="Calibri" w:hAnsi="Calibri" w:cs="Calibri"/>
          <w:noProof/>
        </w:rPr>
        <w:tab/>
        <w:t xml:space="preserve">Bowden J, Spiller W, Del Greco M F, Sheehan N, Thompson J, Minelli C, Davey Smith G, Del Greco FM, Sheehan N, Thompson J, Minelli C, Smith GD, Del Greco M F, Sheehan N, Thompson J, Minelli C, Davey Smith G. Improving the visualization, interpretation and analysis of two-sample summary data Mendelian randomization via the Radial plot and Radial regression. </w:t>
      </w:r>
      <w:r w:rsidRPr="00675992">
        <w:rPr>
          <w:rFonts w:ascii="Calibri" w:hAnsi="Calibri" w:cs="Calibri"/>
          <w:i/>
          <w:iCs/>
          <w:noProof/>
        </w:rPr>
        <w:t>Int J Epidemiol</w:t>
      </w:r>
      <w:r w:rsidRPr="00675992">
        <w:rPr>
          <w:rFonts w:ascii="Calibri" w:hAnsi="Calibri" w:cs="Calibri"/>
          <w:noProof/>
        </w:rPr>
        <w:t xml:space="preserve"> 2018;</w:t>
      </w:r>
      <w:r w:rsidRPr="00675992">
        <w:rPr>
          <w:rFonts w:ascii="Calibri" w:hAnsi="Calibri" w:cs="Calibri"/>
          <w:b/>
          <w:bCs/>
          <w:noProof/>
        </w:rPr>
        <w:t>47</w:t>
      </w:r>
      <w:r w:rsidRPr="00675992">
        <w:rPr>
          <w:rFonts w:ascii="Calibri" w:hAnsi="Calibri" w:cs="Calibri"/>
          <w:noProof/>
        </w:rPr>
        <w:t>:1264–78doi:10.1093/ije/dyy101.</w:t>
      </w:r>
    </w:p>
    <w:p w14:paraId="5FA39B09"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39 </w:t>
      </w:r>
      <w:r w:rsidRPr="00675992">
        <w:rPr>
          <w:rFonts w:ascii="Calibri" w:hAnsi="Calibri" w:cs="Calibri"/>
          <w:noProof/>
        </w:rPr>
        <w:tab/>
        <w:t xml:space="preserve">Zheng J, Baird D, Borges M-C, Bowden J, Hemani G, Haycock P, Evans DM, Smith GD. Recent Developments in Mendelian Randomization Studies. </w:t>
      </w:r>
      <w:r w:rsidRPr="00675992">
        <w:rPr>
          <w:rFonts w:ascii="Calibri" w:hAnsi="Calibri" w:cs="Calibri"/>
          <w:i/>
          <w:iCs/>
          <w:noProof/>
        </w:rPr>
        <w:t>Curr Epidemiol Reports</w:t>
      </w:r>
      <w:r w:rsidRPr="00675992">
        <w:rPr>
          <w:rFonts w:ascii="Calibri" w:hAnsi="Calibri" w:cs="Calibri"/>
          <w:noProof/>
        </w:rPr>
        <w:t xml:space="preserve"> 2017;</w:t>
      </w:r>
      <w:r w:rsidRPr="00675992">
        <w:rPr>
          <w:rFonts w:ascii="Calibri" w:hAnsi="Calibri" w:cs="Calibri"/>
          <w:b/>
          <w:bCs/>
          <w:noProof/>
        </w:rPr>
        <w:t>4</w:t>
      </w:r>
      <w:r w:rsidRPr="00675992">
        <w:rPr>
          <w:rFonts w:ascii="Calibri" w:hAnsi="Calibri" w:cs="Calibri"/>
          <w:noProof/>
        </w:rPr>
        <w:t>:330–45doi:10.1007/s40471-017-0128-6.</w:t>
      </w:r>
    </w:p>
    <w:p w14:paraId="227F83E9"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40 </w:t>
      </w:r>
      <w:r w:rsidRPr="00675992">
        <w:rPr>
          <w:rFonts w:ascii="Calibri" w:hAnsi="Calibri" w:cs="Calibri"/>
          <w:noProof/>
        </w:rPr>
        <w:tab/>
        <w:t xml:space="preserve">Hemani G, Tilling K, Davey Smith G. Orienting the causal relationship between imprecisely measured traits using GWAS summary data. </w:t>
      </w:r>
      <w:r w:rsidRPr="00675992">
        <w:rPr>
          <w:rFonts w:ascii="Calibri" w:hAnsi="Calibri" w:cs="Calibri"/>
          <w:i/>
          <w:iCs/>
          <w:noProof/>
        </w:rPr>
        <w:t>PLoS Genet</w:t>
      </w:r>
      <w:r w:rsidRPr="00675992">
        <w:rPr>
          <w:rFonts w:ascii="Calibri" w:hAnsi="Calibri" w:cs="Calibri"/>
          <w:noProof/>
        </w:rPr>
        <w:t xml:space="preserve"> </w:t>
      </w:r>
      <w:r w:rsidRPr="00675992">
        <w:rPr>
          <w:rFonts w:ascii="Calibri" w:hAnsi="Calibri" w:cs="Calibri"/>
          <w:noProof/>
        </w:rPr>
        <w:lastRenderedPageBreak/>
        <w:t>2017;</w:t>
      </w:r>
      <w:r w:rsidRPr="00675992">
        <w:rPr>
          <w:rFonts w:ascii="Calibri" w:hAnsi="Calibri" w:cs="Calibri"/>
          <w:b/>
          <w:bCs/>
          <w:noProof/>
        </w:rPr>
        <w:t>13</w:t>
      </w:r>
      <w:r w:rsidRPr="00675992">
        <w:rPr>
          <w:rFonts w:ascii="Calibri" w:hAnsi="Calibri" w:cs="Calibri"/>
          <w:noProof/>
        </w:rPr>
        <w:t>doi:10.1371/journal.pgen.1007081. doi:10.1371/journal.pgen.1007081</w:t>
      </w:r>
    </w:p>
    <w:p w14:paraId="10F43ABE"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41 </w:t>
      </w:r>
      <w:r w:rsidRPr="00675992">
        <w:rPr>
          <w:rFonts w:ascii="Calibri" w:hAnsi="Calibri" w:cs="Calibri"/>
          <w:noProof/>
        </w:rPr>
        <w:tab/>
        <w:t xml:space="preserve">Hemani G, Zheng J, Elsworth B, Wade KH, Haberland V, Baird D, Laurin C, Burgess S, Bowden J, Langdon R, Tan VY, Yarmolinsky J, Shihab HA, Timpson NJ, Evans DM, Relton C, Martin RM, Davey Smith G, Gaunt TR, Haycock PC. The MR-Base platform supports systematic causal inference across the human phenome. </w:t>
      </w:r>
      <w:r w:rsidRPr="00675992">
        <w:rPr>
          <w:rFonts w:ascii="Calibri" w:hAnsi="Calibri" w:cs="Calibri"/>
          <w:i/>
          <w:iCs/>
          <w:noProof/>
        </w:rPr>
        <w:t>Elife</w:t>
      </w:r>
      <w:r w:rsidRPr="00675992">
        <w:rPr>
          <w:rFonts w:ascii="Calibri" w:hAnsi="Calibri" w:cs="Calibri"/>
          <w:noProof/>
        </w:rPr>
        <w:t xml:space="preserve"> 2018;</w:t>
      </w:r>
      <w:r w:rsidRPr="00675992">
        <w:rPr>
          <w:rFonts w:ascii="Calibri" w:hAnsi="Calibri" w:cs="Calibri"/>
          <w:b/>
          <w:bCs/>
          <w:noProof/>
        </w:rPr>
        <w:t>7</w:t>
      </w:r>
      <w:r w:rsidRPr="00675992">
        <w:rPr>
          <w:rFonts w:ascii="Calibri" w:hAnsi="Calibri" w:cs="Calibri"/>
          <w:noProof/>
        </w:rPr>
        <w:t>:e34408doi:10.7554/eLife.34408.</w:t>
      </w:r>
    </w:p>
    <w:p w14:paraId="047E4E3D"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42 </w:t>
      </w:r>
      <w:r w:rsidRPr="00675992">
        <w:rPr>
          <w:rFonts w:ascii="Calibri" w:hAnsi="Calibri" w:cs="Calibri"/>
          <w:noProof/>
        </w:rPr>
        <w:tab/>
        <w:t xml:space="preserve">Brion M-JA, Shakhbazov K, Visscher PM. Calculating statistical power in Mendelian randomization studies. </w:t>
      </w:r>
      <w:r w:rsidRPr="00675992">
        <w:rPr>
          <w:rFonts w:ascii="Calibri" w:hAnsi="Calibri" w:cs="Calibri"/>
          <w:i/>
          <w:iCs/>
          <w:noProof/>
        </w:rPr>
        <w:t>Int J Epidemiol</w:t>
      </w:r>
      <w:r w:rsidRPr="00675992">
        <w:rPr>
          <w:rFonts w:ascii="Calibri" w:hAnsi="Calibri" w:cs="Calibri"/>
          <w:noProof/>
        </w:rPr>
        <w:t xml:space="preserve"> 2013;</w:t>
      </w:r>
      <w:r w:rsidRPr="00675992">
        <w:rPr>
          <w:rFonts w:ascii="Calibri" w:hAnsi="Calibri" w:cs="Calibri"/>
          <w:b/>
          <w:bCs/>
          <w:noProof/>
        </w:rPr>
        <w:t>42</w:t>
      </w:r>
      <w:r w:rsidRPr="00675992">
        <w:rPr>
          <w:rFonts w:ascii="Calibri" w:hAnsi="Calibri" w:cs="Calibri"/>
          <w:noProof/>
        </w:rPr>
        <w:t>:1497–501doi:10.1093/ije/dyt179.</w:t>
      </w:r>
    </w:p>
    <w:p w14:paraId="7C8C2B03"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43 </w:t>
      </w:r>
      <w:r w:rsidRPr="00675992">
        <w:rPr>
          <w:rFonts w:ascii="Calibri" w:hAnsi="Calibri" w:cs="Calibri"/>
          <w:noProof/>
        </w:rPr>
        <w:tab/>
        <w:t>Hart PA, Bellin MD, Andersen DK, Bradley D, Cruz-Monserrate Z, Forsmark CE, Goodarzi MO, Habtezion A, Korc M, Kudva YC, Pandol SJ, Yadav D, Chari ST. Type 3c (pancreatogenic) diabetes mellitus secondary to chronic pancreatitis and pancreatic cancer. Lancet Gastroenterol. Hepatol. 2016;</w:t>
      </w:r>
      <w:r w:rsidRPr="00675992">
        <w:rPr>
          <w:rFonts w:ascii="Calibri" w:hAnsi="Calibri" w:cs="Calibri"/>
          <w:b/>
          <w:bCs/>
          <w:noProof/>
        </w:rPr>
        <w:t>1</w:t>
      </w:r>
      <w:r w:rsidRPr="00675992">
        <w:rPr>
          <w:rFonts w:ascii="Calibri" w:hAnsi="Calibri" w:cs="Calibri"/>
          <w:noProof/>
        </w:rPr>
        <w:t>:226–37doi:10.1016/S2468-1253(16)30106-6.</w:t>
      </w:r>
    </w:p>
    <w:p w14:paraId="285AFC6A"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44 </w:t>
      </w:r>
      <w:r w:rsidRPr="00675992">
        <w:rPr>
          <w:rFonts w:ascii="Calibri" w:hAnsi="Calibri" w:cs="Calibri"/>
          <w:noProof/>
        </w:rPr>
        <w:tab/>
        <w:t xml:space="preserve">Shamai L, Lurix E, Shen M, Novaro GM, Szomstein S, Rosenthal R, Hernandez A V., Asher CR. Association of Body Mass Index and Lipid Profiles: Evaluation of a Broad Spectrum of Body Mass Index Patients Including the Morbidly Obese. </w:t>
      </w:r>
      <w:r w:rsidRPr="00675992">
        <w:rPr>
          <w:rFonts w:ascii="Calibri" w:hAnsi="Calibri" w:cs="Calibri"/>
          <w:i/>
          <w:iCs/>
          <w:noProof/>
        </w:rPr>
        <w:t>Obes Surg</w:t>
      </w:r>
      <w:r w:rsidRPr="00675992">
        <w:rPr>
          <w:rFonts w:ascii="Calibri" w:hAnsi="Calibri" w:cs="Calibri"/>
          <w:noProof/>
        </w:rPr>
        <w:t xml:space="preserve"> 2011;</w:t>
      </w:r>
      <w:r w:rsidRPr="00675992">
        <w:rPr>
          <w:rFonts w:ascii="Calibri" w:hAnsi="Calibri" w:cs="Calibri"/>
          <w:b/>
          <w:bCs/>
          <w:noProof/>
        </w:rPr>
        <w:t>21</w:t>
      </w:r>
      <w:r w:rsidRPr="00675992">
        <w:rPr>
          <w:rFonts w:ascii="Calibri" w:hAnsi="Calibri" w:cs="Calibri"/>
          <w:noProof/>
        </w:rPr>
        <w:t>:42–7doi:10.1007/s11695-010-0170-7.</w:t>
      </w:r>
    </w:p>
    <w:p w14:paraId="45923EC2"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45 </w:t>
      </w:r>
      <w:r w:rsidRPr="00675992">
        <w:rPr>
          <w:rFonts w:ascii="Calibri" w:hAnsi="Calibri" w:cs="Calibri"/>
          <w:noProof/>
        </w:rPr>
        <w:tab/>
        <w:t xml:space="preserve">Hussain A, Ali I, Kaleem WA, Yasmeen F. Correlation between Body Mass Index and Lipid Profile in patients with Type 2 Diabetes attending a tertiary care hospital in Peshawar. </w:t>
      </w:r>
      <w:r w:rsidRPr="00675992">
        <w:rPr>
          <w:rFonts w:ascii="Calibri" w:hAnsi="Calibri" w:cs="Calibri"/>
          <w:i/>
          <w:iCs/>
          <w:noProof/>
        </w:rPr>
        <w:t>Pakistan J Med Sci</w:t>
      </w:r>
      <w:r w:rsidRPr="00675992">
        <w:rPr>
          <w:rFonts w:ascii="Calibri" w:hAnsi="Calibri" w:cs="Calibri"/>
          <w:noProof/>
        </w:rPr>
        <w:t xml:space="preserve"> 2019;</w:t>
      </w:r>
      <w:r w:rsidRPr="00675992">
        <w:rPr>
          <w:rFonts w:ascii="Calibri" w:hAnsi="Calibri" w:cs="Calibri"/>
          <w:b/>
          <w:bCs/>
          <w:noProof/>
        </w:rPr>
        <w:t>35</w:t>
      </w:r>
      <w:r w:rsidRPr="00675992">
        <w:rPr>
          <w:rFonts w:ascii="Calibri" w:hAnsi="Calibri" w:cs="Calibri"/>
          <w:noProof/>
        </w:rPr>
        <w:t>:591–7doi:10.12669/pjms.35.3.7.</w:t>
      </w:r>
    </w:p>
    <w:p w14:paraId="167E608F" w14:textId="77777777" w:rsidR="00675992" w:rsidRPr="00675992" w:rsidRDefault="00675992" w:rsidP="00675992">
      <w:pPr>
        <w:widowControl w:val="0"/>
        <w:autoSpaceDE w:val="0"/>
        <w:autoSpaceDN w:val="0"/>
        <w:adjustRightInd w:val="0"/>
        <w:ind w:left="640" w:hanging="640"/>
        <w:rPr>
          <w:rFonts w:ascii="Calibri" w:hAnsi="Calibri" w:cs="Calibri"/>
          <w:noProof/>
        </w:rPr>
      </w:pPr>
      <w:r w:rsidRPr="00675992">
        <w:rPr>
          <w:rFonts w:ascii="Calibri" w:hAnsi="Calibri" w:cs="Calibri"/>
          <w:noProof/>
        </w:rPr>
        <w:t xml:space="preserve">46 </w:t>
      </w:r>
      <w:r w:rsidRPr="00675992">
        <w:rPr>
          <w:rFonts w:ascii="Calibri" w:hAnsi="Calibri" w:cs="Calibri"/>
          <w:noProof/>
        </w:rPr>
        <w:tab/>
        <w:t xml:space="preserve">Laclaustra M, Lopez-Garcia E, Civeira F, Garcia-Esquinas E, Graciani A, Guallar-Castillon P, Banegas JR, Rodriguez-Artalejo F. LDL Cholesterol Rises With BMI Only in Lean Individuals: Cross-sectional U.S. and Spanish Representative Data. </w:t>
      </w:r>
      <w:r w:rsidRPr="00675992">
        <w:rPr>
          <w:rFonts w:ascii="Calibri" w:hAnsi="Calibri" w:cs="Calibri"/>
          <w:i/>
          <w:iCs/>
          <w:noProof/>
        </w:rPr>
        <w:t>Diabetes Care</w:t>
      </w:r>
      <w:r w:rsidRPr="00675992">
        <w:rPr>
          <w:rFonts w:ascii="Calibri" w:hAnsi="Calibri" w:cs="Calibri"/>
          <w:noProof/>
        </w:rPr>
        <w:t xml:space="preserve"> 2018;</w:t>
      </w:r>
      <w:r w:rsidRPr="00675992">
        <w:rPr>
          <w:rFonts w:ascii="Calibri" w:hAnsi="Calibri" w:cs="Calibri"/>
          <w:b/>
          <w:bCs/>
          <w:noProof/>
        </w:rPr>
        <w:t>41</w:t>
      </w:r>
      <w:r w:rsidRPr="00675992">
        <w:rPr>
          <w:rFonts w:ascii="Calibri" w:hAnsi="Calibri" w:cs="Calibri"/>
          <w:noProof/>
        </w:rPr>
        <w:t>:2195–201doi:10.2337/dc18-0372.</w:t>
      </w:r>
    </w:p>
    <w:p w14:paraId="6564D284" w14:textId="67ED0770" w:rsidR="00AD4C4D" w:rsidRDefault="00C340D2">
      <w:pPr>
        <w:rPr>
          <w:rFonts w:ascii="Calibri" w:hAnsi="Calibri" w:cs="Arial"/>
          <w:b/>
        </w:rPr>
        <w:sectPr w:rsidR="00AD4C4D" w:rsidSect="0034145E">
          <w:footerReference w:type="even" r:id="rId8"/>
          <w:footerReference w:type="default" r:id="rId9"/>
          <w:pgSz w:w="11906" w:h="16838"/>
          <w:pgMar w:top="1134" w:right="1134" w:bottom="1417" w:left="1134" w:header="708" w:footer="708" w:gutter="0"/>
          <w:cols w:space="708"/>
          <w:docGrid w:linePitch="360"/>
        </w:sectPr>
      </w:pPr>
      <w:r w:rsidRPr="00251E4B">
        <w:rPr>
          <w:rFonts w:asciiTheme="minorHAnsi" w:hAnsiTheme="minorHAnsi" w:cstheme="minorHAnsi"/>
          <w:lang w:val="en-GB" w:eastAsia="en-GB"/>
        </w:rPr>
        <w:fldChar w:fldCharType="end"/>
      </w:r>
    </w:p>
    <w:p w14:paraId="18C2FBCD" w14:textId="77777777" w:rsidR="00E07486" w:rsidRPr="008E1EB7" w:rsidRDefault="00E07486" w:rsidP="00E07486">
      <w:pPr>
        <w:rPr>
          <w:lang w:val="en-GB" w:eastAsia="en-GB"/>
        </w:rPr>
      </w:pPr>
      <w:r w:rsidRPr="00AE3F94">
        <w:rPr>
          <w:rFonts w:ascii="Calibri" w:hAnsi="Calibri" w:cstheme="minorHAnsi"/>
          <w:b/>
          <w:sz w:val="28"/>
          <w:szCs w:val="28"/>
          <w:lang w:val="en-GB"/>
        </w:rPr>
        <w:lastRenderedPageBreak/>
        <w:t>Tables</w:t>
      </w:r>
    </w:p>
    <w:p w14:paraId="0B429CC0" w14:textId="06D8478F" w:rsidR="00E07486" w:rsidRPr="00033159" w:rsidRDefault="00E07486" w:rsidP="00E07486">
      <w:pPr>
        <w:jc w:val="both"/>
        <w:rPr>
          <w:rFonts w:ascii="Calibri" w:hAnsi="Calibri" w:cs="Arial"/>
          <w:color w:val="000000"/>
          <w:lang w:val="en-GB"/>
        </w:rPr>
      </w:pPr>
      <w:r w:rsidRPr="00033159">
        <w:rPr>
          <w:rFonts w:ascii="Calibri" w:hAnsi="Calibri" w:cs="Arial"/>
          <w:b/>
          <w:color w:val="000000"/>
          <w:lang w:val="en-GB"/>
        </w:rPr>
        <w:t>Table 1.</w:t>
      </w:r>
      <w:r w:rsidRPr="00033159">
        <w:rPr>
          <w:rFonts w:ascii="Calibri" w:hAnsi="Calibri" w:cs="Arial"/>
          <w:color w:val="000000"/>
          <w:lang w:val="en-GB"/>
        </w:rPr>
        <w:t xml:space="preserve"> </w:t>
      </w:r>
      <w:r w:rsidR="00B21E2D">
        <w:rPr>
          <w:rFonts w:ascii="Calibri" w:hAnsi="Calibri" w:cs="Arial"/>
          <w:color w:val="000000"/>
          <w:lang w:val="en-GB"/>
        </w:rPr>
        <w:t xml:space="preserve">Investigated </w:t>
      </w:r>
      <w:r w:rsidRPr="001875D1">
        <w:rPr>
          <w:rFonts w:ascii="Calibri" w:hAnsi="Calibri" w:cs="Arial"/>
          <w:color w:val="000000"/>
          <w:lang w:val="en-GB"/>
        </w:rPr>
        <w:t>risk factors for pancreatic cancer and studies used to retrieve summary statistics for the Mendelian randomization analyses</w:t>
      </w:r>
      <w:r w:rsidRPr="00033159">
        <w:rPr>
          <w:rFonts w:ascii="Calibri" w:hAnsi="Calibri" w:cs="Arial"/>
          <w:color w:val="000000"/>
          <w:lang w:val="en-GB"/>
        </w:rPr>
        <w:t>.</w:t>
      </w:r>
    </w:p>
    <w:tbl>
      <w:tblPr>
        <w:tblW w:w="14743" w:type="dxa"/>
        <w:jc w:val="center"/>
        <w:tblLook w:val="04A0" w:firstRow="1" w:lastRow="0" w:firstColumn="1" w:lastColumn="0" w:noHBand="0" w:noVBand="1"/>
      </w:tblPr>
      <w:tblGrid>
        <w:gridCol w:w="2978"/>
        <w:gridCol w:w="850"/>
        <w:gridCol w:w="3119"/>
        <w:gridCol w:w="1275"/>
        <w:gridCol w:w="1085"/>
        <w:gridCol w:w="2410"/>
        <w:gridCol w:w="3026"/>
      </w:tblGrid>
      <w:tr w:rsidR="0086380B" w:rsidRPr="00290DF3" w14:paraId="31F11F2C" w14:textId="77777777" w:rsidTr="00251E4B">
        <w:trPr>
          <w:trHeight w:val="20"/>
          <w:jc w:val="center"/>
        </w:trPr>
        <w:tc>
          <w:tcPr>
            <w:tcW w:w="2978" w:type="dxa"/>
            <w:tcBorders>
              <w:top w:val="single" w:sz="4" w:space="0" w:color="auto"/>
              <w:left w:val="nil"/>
              <w:bottom w:val="single" w:sz="4" w:space="0" w:color="auto"/>
              <w:right w:val="nil"/>
            </w:tcBorders>
            <w:shd w:val="clear" w:color="auto" w:fill="auto"/>
            <w:vAlign w:val="center"/>
            <w:hideMark/>
          </w:tcPr>
          <w:p w14:paraId="15842AD9" w14:textId="00DA2389" w:rsidR="00415431" w:rsidRPr="00290DF3" w:rsidRDefault="00415431" w:rsidP="002C3238">
            <w:pPr>
              <w:jc w:val="center"/>
              <w:rPr>
                <w:rFonts w:asciiTheme="minorHAnsi" w:hAnsiTheme="minorHAnsi" w:cstheme="minorHAnsi"/>
                <w:color w:val="000000"/>
                <w:sz w:val="20"/>
                <w:szCs w:val="16"/>
              </w:rPr>
            </w:pPr>
            <w:bookmarkStart w:id="57" w:name="OLE_LINK19"/>
            <w:bookmarkStart w:id="58" w:name="OLE_LINK20"/>
            <w:r>
              <w:rPr>
                <w:rFonts w:asciiTheme="minorHAnsi" w:hAnsiTheme="minorHAnsi" w:cstheme="minorHAnsi"/>
                <w:color w:val="000000"/>
                <w:sz w:val="20"/>
                <w:szCs w:val="16"/>
              </w:rPr>
              <w:t>Exposure</w:t>
            </w:r>
          </w:p>
        </w:tc>
        <w:tc>
          <w:tcPr>
            <w:tcW w:w="850" w:type="dxa"/>
            <w:tcBorders>
              <w:top w:val="single" w:sz="4" w:space="0" w:color="auto"/>
              <w:left w:val="nil"/>
              <w:bottom w:val="single" w:sz="4" w:space="0" w:color="auto"/>
              <w:right w:val="nil"/>
            </w:tcBorders>
            <w:shd w:val="clear" w:color="auto" w:fill="auto"/>
            <w:vAlign w:val="center"/>
            <w:hideMark/>
          </w:tcPr>
          <w:p w14:paraId="0A6C8A0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No. of SNPs*</w:t>
            </w:r>
          </w:p>
        </w:tc>
        <w:tc>
          <w:tcPr>
            <w:tcW w:w="3119" w:type="dxa"/>
            <w:tcBorders>
              <w:top w:val="single" w:sz="4" w:space="0" w:color="auto"/>
              <w:left w:val="nil"/>
              <w:bottom w:val="single" w:sz="4" w:space="0" w:color="auto"/>
              <w:right w:val="nil"/>
            </w:tcBorders>
            <w:shd w:val="clear" w:color="auto" w:fill="auto"/>
            <w:vAlign w:val="center"/>
            <w:hideMark/>
          </w:tcPr>
          <w:p w14:paraId="00F89F38"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Units</w:t>
            </w:r>
          </w:p>
        </w:tc>
        <w:tc>
          <w:tcPr>
            <w:tcW w:w="1275" w:type="dxa"/>
            <w:tcBorders>
              <w:top w:val="single" w:sz="4" w:space="0" w:color="auto"/>
              <w:left w:val="nil"/>
              <w:bottom w:val="single" w:sz="4" w:space="0" w:color="auto"/>
              <w:right w:val="nil"/>
            </w:tcBorders>
            <w:shd w:val="clear" w:color="auto" w:fill="auto"/>
            <w:vAlign w:val="center"/>
            <w:hideMark/>
          </w:tcPr>
          <w:p w14:paraId="5D00C4F0"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Variance explained, %</w:t>
            </w:r>
          </w:p>
        </w:tc>
        <w:tc>
          <w:tcPr>
            <w:tcW w:w="948" w:type="dxa"/>
            <w:tcBorders>
              <w:top w:val="single" w:sz="4" w:space="0" w:color="auto"/>
              <w:left w:val="nil"/>
              <w:bottom w:val="single" w:sz="4" w:space="0" w:color="auto"/>
              <w:right w:val="nil"/>
            </w:tcBorders>
            <w:vAlign w:val="center"/>
          </w:tcPr>
          <w:p w14:paraId="5C91BD1F" w14:textId="0814AEDF" w:rsidR="00415431" w:rsidRDefault="00A23E14" w:rsidP="00415431">
            <w:pPr>
              <w:jc w:val="center"/>
              <w:rPr>
                <w:rFonts w:asciiTheme="minorHAnsi" w:hAnsiTheme="minorHAnsi" w:cstheme="minorHAnsi"/>
                <w:color w:val="000000"/>
                <w:sz w:val="20"/>
                <w:szCs w:val="16"/>
              </w:rPr>
            </w:pPr>
            <w:r>
              <w:rPr>
                <w:rFonts w:ascii="Calibri" w:hAnsi="Calibri" w:cs="Arial"/>
                <w:color w:val="000000"/>
                <w:sz w:val="20"/>
                <w:lang w:val="en-GB"/>
              </w:rPr>
              <w:t>M</w:t>
            </w:r>
            <w:r w:rsidRPr="00C42953">
              <w:rPr>
                <w:rFonts w:ascii="Calibri" w:hAnsi="Calibri" w:cs="Arial"/>
                <w:color w:val="000000"/>
                <w:sz w:val="20"/>
                <w:lang w:val="en-GB"/>
              </w:rPr>
              <w:t xml:space="preserve">inimum </w:t>
            </w:r>
            <w:r>
              <w:rPr>
                <w:rFonts w:ascii="Calibri" w:hAnsi="Calibri" w:cs="Arial"/>
                <w:color w:val="000000"/>
                <w:sz w:val="20"/>
                <w:lang w:val="en-GB"/>
              </w:rPr>
              <w:t xml:space="preserve">detectable </w:t>
            </w:r>
            <w:r w:rsidR="00415431">
              <w:rPr>
                <w:rFonts w:asciiTheme="minorHAnsi" w:hAnsiTheme="minorHAnsi" w:cstheme="minorHAnsi" w:hint="eastAsia"/>
                <w:color w:val="000000"/>
                <w:sz w:val="20"/>
                <w:szCs w:val="16"/>
              </w:rPr>
              <w:t>O</w:t>
            </w:r>
            <w:r w:rsidR="00415431">
              <w:rPr>
                <w:rFonts w:asciiTheme="minorHAnsi" w:hAnsiTheme="minorHAnsi" w:cstheme="minorHAnsi"/>
                <w:color w:val="000000"/>
                <w:sz w:val="20"/>
                <w:szCs w:val="16"/>
              </w:rPr>
              <w:t>R</w:t>
            </w:r>
            <w:r w:rsidR="00C42953" w:rsidRPr="00251E4B">
              <w:rPr>
                <w:rFonts w:asciiTheme="minorHAnsi" w:hAnsiTheme="minorHAnsi" w:cstheme="minorHAnsi"/>
                <w:color w:val="000000"/>
                <w:sz w:val="20"/>
                <w:szCs w:val="16"/>
                <w:vertAlign w:val="superscript"/>
              </w:rPr>
              <w:t>#</w:t>
            </w:r>
          </w:p>
        </w:tc>
        <w:tc>
          <w:tcPr>
            <w:tcW w:w="2410" w:type="dxa"/>
            <w:tcBorders>
              <w:top w:val="single" w:sz="4" w:space="0" w:color="auto"/>
              <w:left w:val="nil"/>
              <w:bottom w:val="single" w:sz="4" w:space="0" w:color="auto"/>
              <w:right w:val="nil"/>
            </w:tcBorders>
            <w:shd w:val="clear" w:color="auto" w:fill="auto"/>
            <w:vAlign w:val="center"/>
            <w:hideMark/>
          </w:tcPr>
          <w:p w14:paraId="019021BB" w14:textId="3A2FF333"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First a</w:t>
            </w:r>
            <w:r w:rsidRPr="00290DF3">
              <w:rPr>
                <w:rFonts w:asciiTheme="minorHAnsi" w:hAnsiTheme="minorHAnsi" w:cstheme="minorHAnsi"/>
                <w:color w:val="000000"/>
                <w:sz w:val="20"/>
                <w:szCs w:val="16"/>
              </w:rPr>
              <w:t>uthor</w:t>
            </w:r>
            <w:r>
              <w:rPr>
                <w:rFonts w:asciiTheme="minorHAnsi" w:hAnsiTheme="minorHAnsi" w:cstheme="minorHAnsi"/>
                <w:color w:val="000000"/>
                <w:sz w:val="20"/>
                <w:szCs w:val="16"/>
              </w:rPr>
              <w:t>, year</w:t>
            </w:r>
            <w:r w:rsidRPr="00290DF3">
              <w:rPr>
                <w:rFonts w:asciiTheme="minorHAnsi" w:hAnsiTheme="minorHAnsi" w:cstheme="minorHAnsi"/>
                <w:color w:val="000000"/>
                <w:sz w:val="20"/>
                <w:szCs w:val="16"/>
              </w:rPr>
              <w:t>**</w:t>
            </w:r>
          </w:p>
        </w:tc>
        <w:tc>
          <w:tcPr>
            <w:tcW w:w="3163" w:type="dxa"/>
            <w:tcBorders>
              <w:top w:val="single" w:sz="4" w:space="0" w:color="auto"/>
              <w:left w:val="nil"/>
              <w:bottom w:val="single" w:sz="4" w:space="0" w:color="auto"/>
              <w:right w:val="nil"/>
            </w:tcBorders>
            <w:shd w:val="clear" w:color="auto" w:fill="auto"/>
            <w:vAlign w:val="center"/>
            <w:hideMark/>
          </w:tcPr>
          <w:p w14:paraId="43E7E2B5"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Sample size</w:t>
            </w:r>
          </w:p>
        </w:tc>
      </w:tr>
      <w:tr w:rsidR="0086380B" w:rsidRPr="00290DF3" w14:paraId="48DD8086" w14:textId="77777777" w:rsidTr="00251E4B">
        <w:trPr>
          <w:trHeight w:val="20"/>
          <w:jc w:val="center"/>
        </w:trPr>
        <w:tc>
          <w:tcPr>
            <w:tcW w:w="2978" w:type="dxa"/>
            <w:tcBorders>
              <w:top w:val="nil"/>
              <w:left w:val="nil"/>
              <w:bottom w:val="nil"/>
              <w:right w:val="nil"/>
            </w:tcBorders>
            <w:shd w:val="clear" w:color="auto" w:fill="auto"/>
            <w:noWrap/>
            <w:vAlign w:val="center"/>
            <w:hideMark/>
          </w:tcPr>
          <w:p w14:paraId="0A459BE0" w14:textId="3D740D38" w:rsidR="00415431" w:rsidRPr="00290DF3" w:rsidRDefault="00415431" w:rsidP="00B21E2D">
            <w:pP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Alcohol consumption </w:t>
            </w:r>
          </w:p>
        </w:tc>
        <w:tc>
          <w:tcPr>
            <w:tcW w:w="850" w:type="dxa"/>
            <w:tcBorders>
              <w:top w:val="nil"/>
              <w:left w:val="nil"/>
              <w:bottom w:val="nil"/>
              <w:right w:val="nil"/>
            </w:tcBorders>
            <w:shd w:val="clear" w:color="auto" w:fill="auto"/>
            <w:noWrap/>
            <w:vAlign w:val="center"/>
            <w:hideMark/>
          </w:tcPr>
          <w:p w14:paraId="2B799F64" w14:textId="282BEAE5"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w:t>
            </w:r>
            <w:r>
              <w:rPr>
                <w:rFonts w:asciiTheme="minorHAnsi" w:hAnsiTheme="minorHAnsi" w:cstheme="minorHAnsi"/>
                <w:color w:val="000000"/>
                <w:sz w:val="20"/>
                <w:szCs w:val="16"/>
              </w:rPr>
              <w:t>0</w:t>
            </w:r>
          </w:p>
        </w:tc>
        <w:tc>
          <w:tcPr>
            <w:tcW w:w="3119" w:type="dxa"/>
            <w:tcBorders>
              <w:top w:val="nil"/>
              <w:left w:val="nil"/>
              <w:bottom w:val="nil"/>
              <w:right w:val="nil"/>
            </w:tcBorders>
            <w:shd w:val="clear" w:color="auto" w:fill="auto"/>
            <w:noWrap/>
            <w:vAlign w:val="center"/>
            <w:hideMark/>
          </w:tcPr>
          <w:p w14:paraId="73E48FF3" w14:textId="37DF2CF5" w:rsidR="00415431" w:rsidRPr="00290DF3" w:rsidRDefault="00415431" w:rsidP="00B21E2D">
            <w:pPr>
              <w:jc w:val="center"/>
              <w:rPr>
                <w:rFonts w:asciiTheme="minorHAnsi" w:hAnsiTheme="minorHAnsi" w:cstheme="minorHAnsi"/>
                <w:color w:val="000000"/>
                <w:sz w:val="20"/>
                <w:szCs w:val="16"/>
              </w:rPr>
            </w:pPr>
            <w:r>
              <w:rPr>
                <w:rFonts w:asciiTheme="minorHAnsi" w:hAnsiTheme="minorHAnsi" w:cstheme="minorHAnsi"/>
                <w:color w:val="000000"/>
                <w:sz w:val="20"/>
                <w:szCs w:val="16"/>
              </w:rPr>
              <w:t>drinks per week</w:t>
            </w:r>
          </w:p>
        </w:tc>
        <w:tc>
          <w:tcPr>
            <w:tcW w:w="1275" w:type="dxa"/>
            <w:tcBorders>
              <w:top w:val="nil"/>
              <w:left w:val="nil"/>
              <w:bottom w:val="nil"/>
              <w:right w:val="nil"/>
            </w:tcBorders>
            <w:shd w:val="clear" w:color="auto" w:fill="auto"/>
            <w:noWrap/>
            <w:vAlign w:val="center"/>
            <w:hideMark/>
          </w:tcPr>
          <w:p w14:paraId="22734834"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0.3</w:t>
            </w:r>
          </w:p>
        </w:tc>
        <w:tc>
          <w:tcPr>
            <w:tcW w:w="948" w:type="dxa"/>
            <w:tcBorders>
              <w:top w:val="nil"/>
              <w:left w:val="nil"/>
              <w:bottom w:val="nil"/>
              <w:right w:val="nil"/>
            </w:tcBorders>
            <w:vAlign w:val="center"/>
          </w:tcPr>
          <w:p w14:paraId="57DF69B4" w14:textId="3C89CE39"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hint="eastAsia"/>
                <w:color w:val="000000"/>
                <w:sz w:val="20"/>
                <w:szCs w:val="16"/>
              </w:rPr>
              <w:t>2</w:t>
            </w:r>
            <w:r>
              <w:rPr>
                <w:rFonts w:asciiTheme="minorHAnsi" w:hAnsiTheme="minorHAnsi" w:cstheme="minorHAnsi"/>
                <w:color w:val="000000"/>
                <w:sz w:val="20"/>
                <w:szCs w:val="16"/>
              </w:rPr>
              <w:t>.30</w:t>
            </w:r>
          </w:p>
        </w:tc>
        <w:tc>
          <w:tcPr>
            <w:tcW w:w="2410" w:type="dxa"/>
            <w:tcBorders>
              <w:top w:val="nil"/>
              <w:left w:val="nil"/>
              <w:bottom w:val="nil"/>
              <w:right w:val="nil"/>
            </w:tcBorders>
            <w:shd w:val="clear" w:color="auto" w:fill="auto"/>
            <w:noWrap/>
            <w:vAlign w:val="center"/>
            <w:hideMark/>
          </w:tcPr>
          <w:p w14:paraId="3BA5AE29" w14:textId="5E11470B"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Liu M</w:t>
            </w:r>
            <w:r>
              <w:rPr>
                <w:rFonts w:asciiTheme="minorHAnsi" w:hAnsiTheme="minorHAnsi" w:cstheme="minorHAnsi"/>
                <w:color w:val="000000"/>
                <w:sz w:val="20"/>
                <w:szCs w:val="16"/>
              </w:rPr>
              <w:t>, 2019</w:t>
            </w:r>
          </w:p>
        </w:tc>
        <w:tc>
          <w:tcPr>
            <w:tcW w:w="3163" w:type="dxa"/>
            <w:tcBorders>
              <w:top w:val="nil"/>
              <w:left w:val="nil"/>
              <w:bottom w:val="nil"/>
              <w:right w:val="nil"/>
            </w:tcBorders>
            <w:shd w:val="clear" w:color="auto" w:fill="auto"/>
            <w:vAlign w:val="center"/>
            <w:hideMark/>
          </w:tcPr>
          <w:p w14:paraId="3974974F"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941,280 individuals</w:t>
            </w:r>
          </w:p>
        </w:tc>
      </w:tr>
      <w:tr w:rsidR="0086380B" w:rsidRPr="00290DF3" w14:paraId="02232828" w14:textId="77777777" w:rsidTr="00251E4B">
        <w:trPr>
          <w:trHeight w:val="20"/>
          <w:jc w:val="center"/>
        </w:trPr>
        <w:tc>
          <w:tcPr>
            <w:tcW w:w="2978" w:type="dxa"/>
            <w:tcBorders>
              <w:top w:val="nil"/>
              <w:left w:val="nil"/>
              <w:bottom w:val="nil"/>
              <w:right w:val="nil"/>
            </w:tcBorders>
            <w:shd w:val="clear" w:color="auto" w:fill="auto"/>
            <w:vAlign w:val="center"/>
            <w:hideMark/>
          </w:tcPr>
          <w:p w14:paraId="749871D0" w14:textId="07CC7DB6" w:rsidR="00415431" w:rsidRPr="00290DF3" w:rsidRDefault="00415431" w:rsidP="00B21E2D">
            <w:pP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Alcohol dependence </w:t>
            </w:r>
          </w:p>
        </w:tc>
        <w:tc>
          <w:tcPr>
            <w:tcW w:w="850" w:type="dxa"/>
            <w:tcBorders>
              <w:top w:val="nil"/>
              <w:left w:val="nil"/>
              <w:bottom w:val="nil"/>
              <w:right w:val="nil"/>
            </w:tcBorders>
            <w:shd w:val="clear" w:color="auto" w:fill="auto"/>
            <w:noWrap/>
            <w:vAlign w:val="center"/>
            <w:hideMark/>
          </w:tcPr>
          <w:p w14:paraId="1753304D"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3</w:t>
            </w:r>
          </w:p>
        </w:tc>
        <w:tc>
          <w:tcPr>
            <w:tcW w:w="3119" w:type="dxa"/>
            <w:tcBorders>
              <w:top w:val="nil"/>
              <w:left w:val="nil"/>
              <w:bottom w:val="nil"/>
              <w:right w:val="nil"/>
            </w:tcBorders>
            <w:shd w:val="clear" w:color="auto" w:fill="auto"/>
            <w:vAlign w:val="center"/>
            <w:hideMark/>
          </w:tcPr>
          <w:p w14:paraId="6D70B7A3" w14:textId="4AFF6644"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DSM-IV score</w:t>
            </w:r>
          </w:p>
        </w:tc>
        <w:tc>
          <w:tcPr>
            <w:tcW w:w="1275" w:type="dxa"/>
            <w:tcBorders>
              <w:top w:val="nil"/>
              <w:left w:val="nil"/>
              <w:bottom w:val="nil"/>
              <w:right w:val="nil"/>
            </w:tcBorders>
            <w:shd w:val="clear" w:color="auto" w:fill="auto"/>
            <w:noWrap/>
            <w:vAlign w:val="center"/>
            <w:hideMark/>
          </w:tcPr>
          <w:p w14:paraId="1841D4DD"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0.1</w:t>
            </w:r>
          </w:p>
        </w:tc>
        <w:tc>
          <w:tcPr>
            <w:tcW w:w="948" w:type="dxa"/>
            <w:tcBorders>
              <w:top w:val="nil"/>
              <w:left w:val="nil"/>
              <w:bottom w:val="nil"/>
              <w:right w:val="nil"/>
            </w:tcBorders>
            <w:vAlign w:val="center"/>
          </w:tcPr>
          <w:p w14:paraId="2B62B7DA" w14:textId="14468048"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hint="eastAsia"/>
                <w:color w:val="000000"/>
                <w:sz w:val="20"/>
                <w:szCs w:val="16"/>
              </w:rPr>
              <w:t>4</w:t>
            </w:r>
            <w:r>
              <w:rPr>
                <w:rFonts w:asciiTheme="minorHAnsi" w:hAnsiTheme="minorHAnsi" w:cstheme="minorHAnsi"/>
                <w:color w:val="000000"/>
                <w:sz w:val="20"/>
                <w:szCs w:val="16"/>
              </w:rPr>
              <w:t>.20</w:t>
            </w:r>
          </w:p>
        </w:tc>
        <w:tc>
          <w:tcPr>
            <w:tcW w:w="2410" w:type="dxa"/>
            <w:tcBorders>
              <w:top w:val="nil"/>
              <w:left w:val="nil"/>
              <w:bottom w:val="nil"/>
              <w:right w:val="nil"/>
            </w:tcBorders>
            <w:shd w:val="clear" w:color="auto" w:fill="auto"/>
            <w:vAlign w:val="center"/>
            <w:hideMark/>
          </w:tcPr>
          <w:p w14:paraId="308FE473" w14:textId="30E71022"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Gelernter J</w:t>
            </w:r>
            <w:r>
              <w:rPr>
                <w:rFonts w:asciiTheme="minorHAnsi" w:hAnsiTheme="minorHAnsi" w:cstheme="minorHAnsi"/>
                <w:color w:val="000000"/>
                <w:sz w:val="20"/>
                <w:szCs w:val="16"/>
              </w:rPr>
              <w:t>, 2014</w:t>
            </w:r>
          </w:p>
        </w:tc>
        <w:tc>
          <w:tcPr>
            <w:tcW w:w="3163" w:type="dxa"/>
            <w:tcBorders>
              <w:top w:val="nil"/>
              <w:left w:val="nil"/>
              <w:bottom w:val="nil"/>
              <w:right w:val="nil"/>
            </w:tcBorders>
            <w:shd w:val="clear" w:color="auto" w:fill="auto"/>
            <w:vAlign w:val="center"/>
            <w:hideMark/>
          </w:tcPr>
          <w:p w14:paraId="60FA6C8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2,750 individuals</w:t>
            </w:r>
          </w:p>
        </w:tc>
      </w:tr>
      <w:tr w:rsidR="0086380B" w:rsidRPr="00290DF3" w14:paraId="1C590BAC" w14:textId="77777777" w:rsidTr="00251E4B">
        <w:trPr>
          <w:trHeight w:val="20"/>
          <w:jc w:val="center"/>
        </w:trPr>
        <w:tc>
          <w:tcPr>
            <w:tcW w:w="2978" w:type="dxa"/>
            <w:tcBorders>
              <w:top w:val="nil"/>
              <w:left w:val="nil"/>
              <w:bottom w:val="nil"/>
              <w:right w:val="nil"/>
            </w:tcBorders>
            <w:shd w:val="clear" w:color="auto" w:fill="auto"/>
            <w:vAlign w:val="center"/>
            <w:hideMark/>
          </w:tcPr>
          <w:p w14:paraId="2F554833" w14:textId="34BDFE9E"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Alcohol use disorder </w:t>
            </w:r>
          </w:p>
        </w:tc>
        <w:tc>
          <w:tcPr>
            <w:tcW w:w="850" w:type="dxa"/>
            <w:tcBorders>
              <w:top w:val="nil"/>
              <w:left w:val="nil"/>
              <w:bottom w:val="nil"/>
              <w:right w:val="nil"/>
            </w:tcBorders>
            <w:shd w:val="clear" w:color="auto" w:fill="auto"/>
            <w:noWrap/>
            <w:vAlign w:val="center"/>
            <w:hideMark/>
          </w:tcPr>
          <w:p w14:paraId="75BF8D90" w14:textId="670572DC"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3</w:t>
            </w:r>
          </w:p>
        </w:tc>
        <w:tc>
          <w:tcPr>
            <w:tcW w:w="3119" w:type="dxa"/>
            <w:tcBorders>
              <w:top w:val="nil"/>
              <w:left w:val="nil"/>
              <w:bottom w:val="nil"/>
              <w:right w:val="nil"/>
            </w:tcBorders>
            <w:shd w:val="clear" w:color="auto" w:fill="auto"/>
            <w:vAlign w:val="center"/>
            <w:hideMark/>
          </w:tcPr>
          <w:p w14:paraId="50A6C0A0" w14:textId="57144281" w:rsidR="00415431" w:rsidRPr="00290DF3" w:rsidRDefault="00415431" w:rsidP="00B21E2D">
            <w:pPr>
              <w:jc w:val="center"/>
              <w:rPr>
                <w:rFonts w:asciiTheme="minorHAnsi" w:hAnsiTheme="minorHAnsi" w:cstheme="minorHAnsi"/>
                <w:color w:val="000000"/>
                <w:sz w:val="20"/>
                <w:szCs w:val="16"/>
              </w:rPr>
            </w:pPr>
            <w:r>
              <w:rPr>
                <w:rFonts w:asciiTheme="minorHAnsi" w:hAnsiTheme="minorHAnsi" w:cstheme="minorHAnsi"/>
                <w:color w:val="000000"/>
                <w:sz w:val="20"/>
                <w:szCs w:val="16"/>
              </w:rPr>
              <w:t>d</w:t>
            </w:r>
            <w:r w:rsidRPr="00290DF3">
              <w:rPr>
                <w:rFonts w:asciiTheme="minorHAnsi" w:hAnsiTheme="minorHAnsi" w:cstheme="minorHAnsi"/>
                <w:color w:val="000000"/>
                <w:sz w:val="20"/>
                <w:szCs w:val="16"/>
              </w:rPr>
              <w:t>ependence</w:t>
            </w:r>
            <w:r>
              <w:rPr>
                <w:rFonts w:asciiTheme="minorHAnsi" w:hAnsiTheme="minorHAnsi" w:cstheme="minorHAnsi"/>
                <w:color w:val="000000"/>
                <w:sz w:val="20"/>
                <w:szCs w:val="16"/>
              </w:rPr>
              <w:t>/</w:t>
            </w:r>
            <w:r w:rsidRPr="00290DF3">
              <w:rPr>
                <w:rFonts w:asciiTheme="minorHAnsi" w:hAnsiTheme="minorHAnsi" w:cstheme="minorHAnsi"/>
                <w:color w:val="000000"/>
                <w:sz w:val="20"/>
                <w:szCs w:val="16"/>
              </w:rPr>
              <w:t>problematic use score</w:t>
            </w:r>
          </w:p>
        </w:tc>
        <w:tc>
          <w:tcPr>
            <w:tcW w:w="1275" w:type="dxa"/>
            <w:tcBorders>
              <w:top w:val="nil"/>
              <w:left w:val="nil"/>
              <w:bottom w:val="nil"/>
              <w:right w:val="nil"/>
            </w:tcBorders>
            <w:shd w:val="clear" w:color="auto" w:fill="auto"/>
            <w:noWrap/>
            <w:vAlign w:val="center"/>
            <w:hideMark/>
          </w:tcPr>
          <w:p w14:paraId="2838A8F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0.01</w:t>
            </w:r>
          </w:p>
        </w:tc>
        <w:tc>
          <w:tcPr>
            <w:tcW w:w="948" w:type="dxa"/>
            <w:tcBorders>
              <w:top w:val="nil"/>
              <w:left w:val="nil"/>
              <w:bottom w:val="nil"/>
              <w:right w:val="nil"/>
            </w:tcBorders>
            <w:vAlign w:val="center"/>
          </w:tcPr>
          <w:p w14:paraId="35571D70" w14:textId="6FB40C8A"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hint="eastAsia"/>
                <w:color w:val="000000"/>
                <w:sz w:val="20"/>
                <w:szCs w:val="16"/>
              </w:rPr>
              <w:t>-</w:t>
            </w:r>
          </w:p>
        </w:tc>
        <w:tc>
          <w:tcPr>
            <w:tcW w:w="2410" w:type="dxa"/>
            <w:tcBorders>
              <w:top w:val="nil"/>
              <w:left w:val="nil"/>
              <w:bottom w:val="nil"/>
              <w:right w:val="nil"/>
            </w:tcBorders>
            <w:shd w:val="clear" w:color="auto" w:fill="auto"/>
            <w:vAlign w:val="center"/>
            <w:hideMark/>
          </w:tcPr>
          <w:p w14:paraId="20B61831" w14:textId="0533F553"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Sanchez-Roige S</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76EDD03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121,604 individuals</w:t>
            </w:r>
          </w:p>
        </w:tc>
      </w:tr>
      <w:tr w:rsidR="0086380B" w:rsidRPr="00290DF3" w14:paraId="1322C382" w14:textId="77777777" w:rsidTr="00251E4B">
        <w:trPr>
          <w:trHeight w:val="20"/>
          <w:jc w:val="center"/>
        </w:trPr>
        <w:tc>
          <w:tcPr>
            <w:tcW w:w="2978" w:type="dxa"/>
            <w:tcBorders>
              <w:top w:val="nil"/>
              <w:left w:val="nil"/>
              <w:bottom w:val="nil"/>
              <w:right w:val="nil"/>
            </w:tcBorders>
            <w:shd w:val="clear" w:color="auto" w:fill="auto"/>
            <w:vAlign w:val="center"/>
            <w:hideMark/>
          </w:tcPr>
          <w:p w14:paraId="1F21828E" w14:textId="3F482DDF" w:rsidR="00415431" w:rsidRPr="00290DF3" w:rsidRDefault="00415431" w:rsidP="00B21E2D">
            <w:pP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Smoking quantity </w:t>
            </w:r>
          </w:p>
        </w:tc>
        <w:tc>
          <w:tcPr>
            <w:tcW w:w="850" w:type="dxa"/>
            <w:tcBorders>
              <w:top w:val="nil"/>
              <w:left w:val="nil"/>
              <w:bottom w:val="nil"/>
              <w:right w:val="nil"/>
            </w:tcBorders>
            <w:shd w:val="clear" w:color="auto" w:fill="auto"/>
            <w:noWrap/>
            <w:vAlign w:val="center"/>
            <w:hideMark/>
          </w:tcPr>
          <w:p w14:paraId="639A367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36</w:t>
            </w:r>
          </w:p>
        </w:tc>
        <w:tc>
          <w:tcPr>
            <w:tcW w:w="3119" w:type="dxa"/>
            <w:tcBorders>
              <w:top w:val="nil"/>
              <w:left w:val="nil"/>
              <w:bottom w:val="nil"/>
              <w:right w:val="nil"/>
            </w:tcBorders>
            <w:shd w:val="clear" w:color="auto" w:fill="auto"/>
            <w:noWrap/>
            <w:vAlign w:val="center"/>
            <w:hideMark/>
          </w:tcPr>
          <w:p w14:paraId="2E291607" w14:textId="74CB8192" w:rsidR="00415431" w:rsidRPr="00290DF3" w:rsidRDefault="00415431" w:rsidP="00B21E2D">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cigarettes per day</w:t>
            </w:r>
          </w:p>
        </w:tc>
        <w:tc>
          <w:tcPr>
            <w:tcW w:w="1275" w:type="dxa"/>
            <w:tcBorders>
              <w:top w:val="nil"/>
              <w:left w:val="nil"/>
              <w:bottom w:val="nil"/>
              <w:right w:val="nil"/>
            </w:tcBorders>
            <w:shd w:val="clear" w:color="auto" w:fill="auto"/>
            <w:noWrap/>
            <w:vAlign w:val="center"/>
            <w:hideMark/>
          </w:tcPr>
          <w:p w14:paraId="793EE25B"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w:t>
            </w:r>
          </w:p>
        </w:tc>
        <w:tc>
          <w:tcPr>
            <w:tcW w:w="948" w:type="dxa"/>
            <w:tcBorders>
              <w:top w:val="nil"/>
              <w:left w:val="nil"/>
              <w:bottom w:val="nil"/>
              <w:right w:val="nil"/>
            </w:tcBorders>
            <w:vAlign w:val="center"/>
          </w:tcPr>
          <w:p w14:paraId="2C0276C8" w14:textId="07E06248"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1.58</w:t>
            </w:r>
          </w:p>
        </w:tc>
        <w:tc>
          <w:tcPr>
            <w:tcW w:w="2410" w:type="dxa"/>
            <w:tcBorders>
              <w:top w:val="nil"/>
              <w:left w:val="nil"/>
              <w:bottom w:val="nil"/>
              <w:right w:val="nil"/>
            </w:tcBorders>
            <w:shd w:val="clear" w:color="auto" w:fill="auto"/>
            <w:noWrap/>
            <w:vAlign w:val="center"/>
            <w:hideMark/>
          </w:tcPr>
          <w:p w14:paraId="7C7EB8C3" w14:textId="6A111293"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Liu M</w:t>
            </w:r>
            <w:r>
              <w:rPr>
                <w:rFonts w:asciiTheme="minorHAnsi" w:hAnsiTheme="minorHAnsi" w:cstheme="minorHAnsi"/>
                <w:color w:val="000000"/>
                <w:sz w:val="20"/>
                <w:szCs w:val="16"/>
              </w:rPr>
              <w:t>, 2019</w:t>
            </w:r>
          </w:p>
        </w:tc>
        <w:tc>
          <w:tcPr>
            <w:tcW w:w="3163" w:type="dxa"/>
            <w:tcBorders>
              <w:top w:val="nil"/>
              <w:left w:val="nil"/>
              <w:bottom w:val="nil"/>
              <w:right w:val="nil"/>
            </w:tcBorders>
            <w:shd w:val="clear" w:color="auto" w:fill="auto"/>
            <w:vAlign w:val="center"/>
            <w:hideMark/>
          </w:tcPr>
          <w:p w14:paraId="5290ABF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941,280 individuals</w:t>
            </w:r>
          </w:p>
        </w:tc>
      </w:tr>
      <w:tr w:rsidR="0086380B" w:rsidRPr="00290DF3" w14:paraId="6F42A8EA" w14:textId="77777777" w:rsidTr="00251E4B">
        <w:trPr>
          <w:trHeight w:val="20"/>
          <w:jc w:val="center"/>
        </w:trPr>
        <w:tc>
          <w:tcPr>
            <w:tcW w:w="2978" w:type="dxa"/>
            <w:tcBorders>
              <w:top w:val="nil"/>
              <w:left w:val="nil"/>
              <w:bottom w:val="nil"/>
              <w:right w:val="nil"/>
            </w:tcBorders>
            <w:shd w:val="clear" w:color="auto" w:fill="auto"/>
            <w:vAlign w:val="center"/>
            <w:hideMark/>
          </w:tcPr>
          <w:p w14:paraId="37B3075A"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Smoking initiation</w:t>
            </w:r>
          </w:p>
          <w:p w14:paraId="6A2DD937"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 (ever versus never smokers)</w:t>
            </w:r>
          </w:p>
        </w:tc>
        <w:tc>
          <w:tcPr>
            <w:tcW w:w="850" w:type="dxa"/>
            <w:tcBorders>
              <w:top w:val="nil"/>
              <w:left w:val="nil"/>
              <w:bottom w:val="nil"/>
              <w:right w:val="nil"/>
            </w:tcBorders>
            <w:shd w:val="clear" w:color="auto" w:fill="auto"/>
            <w:noWrap/>
            <w:vAlign w:val="center"/>
            <w:hideMark/>
          </w:tcPr>
          <w:p w14:paraId="7BF304CB" w14:textId="3E36AD75"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18</w:t>
            </w:r>
            <w:r>
              <w:rPr>
                <w:rFonts w:asciiTheme="minorHAnsi" w:hAnsiTheme="minorHAnsi" w:cstheme="minorHAnsi"/>
                <w:color w:val="000000"/>
                <w:sz w:val="20"/>
                <w:szCs w:val="16"/>
              </w:rPr>
              <w:t>8</w:t>
            </w:r>
          </w:p>
        </w:tc>
        <w:tc>
          <w:tcPr>
            <w:tcW w:w="3119" w:type="dxa"/>
            <w:tcBorders>
              <w:top w:val="nil"/>
              <w:left w:val="nil"/>
              <w:bottom w:val="nil"/>
              <w:right w:val="nil"/>
            </w:tcBorders>
            <w:shd w:val="clear" w:color="auto" w:fill="auto"/>
            <w:noWrap/>
            <w:vAlign w:val="center"/>
            <w:hideMark/>
          </w:tcPr>
          <w:p w14:paraId="350BDC94" w14:textId="66564B6A"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2319E4EC" w14:textId="52A93F3D"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3</w:t>
            </w:r>
          </w:p>
        </w:tc>
        <w:tc>
          <w:tcPr>
            <w:tcW w:w="948" w:type="dxa"/>
            <w:tcBorders>
              <w:top w:val="nil"/>
              <w:left w:val="nil"/>
              <w:bottom w:val="nil"/>
              <w:right w:val="nil"/>
            </w:tcBorders>
            <w:vAlign w:val="center"/>
          </w:tcPr>
          <w:p w14:paraId="3C8539B7" w14:textId="42DB593B"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1.30</w:t>
            </w:r>
          </w:p>
        </w:tc>
        <w:tc>
          <w:tcPr>
            <w:tcW w:w="2410" w:type="dxa"/>
            <w:tcBorders>
              <w:top w:val="nil"/>
              <w:left w:val="nil"/>
              <w:bottom w:val="nil"/>
              <w:right w:val="nil"/>
            </w:tcBorders>
            <w:shd w:val="clear" w:color="auto" w:fill="auto"/>
            <w:noWrap/>
            <w:vAlign w:val="center"/>
            <w:hideMark/>
          </w:tcPr>
          <w:p w14:paraId="336FEC54" w14:textId="7593A74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Liu M</w:t>
            </w:r>
            <w:r>
              <w:rPr>
                <w:rFonts w:asciiTheme="minorHAnsi" w:hAnsiTheme="minorHAnsi" w:cstheme="minorHAnsi"/>
                <w:color w:val="000000"/>
                <w:sz w:val="20"/>
                <w:szCs w:val="16"/>
              </w:rPr>
              <w:t>, 2019</w:t>
            </w:r>
          </w:p>
        </w:tc>
        <w:tc>
          <w:tcPr>
            <w:tcW w:w="3163" w:type="dxa"/>
            <w:tcBorders>
              <w:top w:val="nil"/>
              <w:left w:val="nil"/>
              <w:bottom w:val="nil"/>
              <w:right w:val="nil"/>
            </w:tcBorders>
            <w:shd w:val="clear" w:color="auto" w:fill="auto"/>
            <w:vAlign w:val="center"/>
            <w:hideMark/>
          </w:tcPr>
          <w:p w14:paraId="5253ADE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941,280 individuals</w:t>
            </w:r>
          </w:p>
        </w:tc>
      </w:tr>
      <w:tr w:rsidR="0086380B" w:rsidRPr="00290DF3" w14:paraId="03BCE47D" w14:textId="77777777" w:rsidTr="00251E4B">
        <w:trPr>
          <w:trHeight w:val="20"/>
          <w:jc w:val="center"/>
        </w:trPr>
        <w:tc>
          <w:tcPr>
            <w:tcW w:w="2978" w:type="dxa"/>
            <w:tcBorders>
              <w:top w:val="nil"/>
              <w:left w:val="nil"/>
              <w:bottom w:val="nil"/>
              <w:right w:val="nil"/>
            </w:tcBorders>
            <w:shd w:val="clear" w:color="auto" w:fill="auto"/>
            <w:vAlign w:val="center"/>
            <w:hideMark/>
          </w:tcPr>
          <w:p w14:paraId="6B5715D6"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Smoking cessation </w:t>
            </w:r>
          </w:p>
          <w:p w14:paraId="06EDA443"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hint="eastAsia"/>
                <w:color w:val="000000"/>
                <w:sz w:val="20"/>
                <w:szCs w:val="16"/>
              </w:rPr>
              <w:t>(</w:t>
            </w:r>
            <w:r w:rsidRPr="00290DF3">
              <w:rPr>
                <w:rFonts w:asciiTheme="minorHAnsi" w:hAnsiTheme="minorHAnsi" w:cstheme="minorHAnsi"/>
                <w:color w:val="000000"/>
                <w:sz w:val="20"/>
                <w:szCs w:val="16"/>
              </w:rPr>
              <w:t>former versus current smokers)</w:t>
            </w:r>
          </w:p>
        </w:tc>
        <w:tc>
          <w:tcPr>
            <w:tcW w:w="850" w:type="dxa"/>
            <w:tcBorders>
              <w:top w:val="nil"/>
              <w:left w:val="nil"/>
              <w:bottom w:val="nil"/>
              <w:right w:val="nil"/>
            </w:tcBorders>
            <w:shd w:val="clear" w:color="auto" w:fill="auto"/>
            <w:noWrap/>
            <w:vAlign w:val="center"/>
            <w:hideMark/>
          </w:tcPr>
          <w:p w14:paraId="65C3590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15</w:t>
            </w:r>
          </w:p>
        </w:tc>
        <w:tc>
          <w:tcPr>
            <w:tcW w:w="3119" w:type="dxa"/>
            <w:tcBorders>
              <w:top w:val="nil"/>
              <w:left w:val="nil"/>
              <w:bottom w:val="nil"/>
              <w:right w:val="nil"/>
            </w:tcBorders>
            <w:shd w:val="clear" w:color="auto" w:fill="auto"/>
            <w:noWrap/>
            <w:vAlign w:val="center"/>
            <w:hideMark/>
          </w:tcPr>
          <w:p w14:paraId="123A842F" w14:textId="122D100C"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69EDCC79"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0.72</w:t>
            </w:r>
          </w:p>
        </w:tc>
        <w:tc>
          <w:tcPr>
            <w:tcW w:w="948" w:type="dxa"/>
            <w:tcBorders>
              <w:top w:val="nil"/>
              <w:left w:val="nil"/>
              <w:bottom w:val="nil"/>
              <w:right w:val="nil"/>
            </w:tcBorders>
            <w:vAlign w:val="center"/>
          </w:tcPr>
          <w:p w14:paraId="5AF83D02" w14:textId="6D5C5242"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1.71</w:t>
            </w:r>
          </w:p>
        </w:tc>
        <w:tc>
          <w:tcPr>
            <w:tcW w:w="2410" w:type="dxa"/>
            <w:tcBorders>
              <w:top w:val="nil"/>
              <w:left w:val="nil"/>
              <w:bottom w:val="nil"/>
              <w:right w:val="nil"/>
            </w:tcBorders>
            <w:shd w:val="clear" w:color="auto" w:fill="auto"/>
            <w:noWrap/>
            <w:vAlign w:val="center"/>
            <w:hideMark/>
          </w:tcPr>
          <w:p w14:paraId="62CA3025" w14:textId="5E04031C"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Liu M</w:t>
            </w:r>
            <w:r>
              <w:rPr>
                <w:rFonts w:asciiTheme="minorHAnsi" w:hAnsiTheme="minorHAnsi" w:cstheme="minorHAnsi"/>
                <w:color w:val="000000"/>
                <w:sz w:val="20"/>
                <w:szCs w:val="16"/>
              </w:rPr>
              <w:t>, 2019</w:t>
            </w:r>
          </w:p>
        </w:tc>
        <w:tc>
          <w:tcPr>
            <w:tcW w:w="3163" w:type="dxa"/>
            <w:tcBorders>
              <w:top w:val="nil"/>
              <w:left w:val="nil"/>
              <w:bottom w:val="nil"/>
              <w:right w:val="nil"/>
            </w:tcBorders>
            <w:shd w:val="clear" w:color="auto" w:fill="auto"/>
            <w:vAlign w:val="center"/>
            <w:hideMark/>
          </w:tcPr>
          <w:p w14:paraId="56AB4683"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941,280 individuals</w:t>
            </w:r>
          </w:p>
        </w:tc>
      </w:tr>
      <w:tr w:rsidR="0086380B" w:rsidRPr="00290DF3" w14:paraId="33EA1042" w14:textId="77777777" w:rsidTr="00251E4B">
        <w:trPr>
          <w:trHeight w:val="20"/>
          <w:jc w:val="center"/>
        </w:trPr>
        <w:tc>
          <w:tcPr>
            <w:tcW w:w="2978" w:type="dxa"/>
            <w:tcBorders>
              <w:top w:val="nil"/>
              <w:left w:val="nil"/>
              <w:bottom w:val="nil"/>
              <w:right w:val="nil"/>
            </w:tcBorders>
            <w:shd w:val="clear" w:color="auto" w:fill="auto"/>
            <w:vAlign w:val="center"/>
            <w:hideMark/>
          </w:tcPr>
          <w:p w14:paraId="009646A3"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Adiponectin</w:t>
            </w:r>
          </w:p>
        </w:tc>
        <w:tc>
          <w:tcPr>
            <w:tcW w:w="850" w:type="dxa"/>
            <w:tcBorders>
              <w:top w:val="nil"/>
              <w:left w:val="nil"/>
              <w:bottom w:val="nil"/>
              <w:right w:val="nil"/>
            </w:tcBorders>
            <w:shd w:val="clear" w:color="auto" w:fill="auto"/>
            <w:noWrap/>
            <w:vAlign w:val="center"/>
            <w:hideMark/>
          </w:tcPr>
          <w:p w14:paraId="202089AC" w14:textId="778218BF"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8</w:t>
            </w:r>
          </w:p>
        </w:tc>
        <w:tc>
          <w:tcPr>
            <w:tcW w:w="3119" w:type="dxa"/>
            <w:tcBorders>
              <w:top w:val="nil"/>
              <w:left w:val="nil"/>
              <w:bottom w:val="nil"/>
              <w:right w:val="nil"/>
            </w:tcBorders>
            <w:shd w:val="clear" w:color="auto" w:fill="auto"/>
            <w:noWrap/>
            <w:vAlign w:val="center"/>
            <w:hideMark/>
          </w:tcPr>
          <w:p w14:paraId="1B4E56A4"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μg/ml, natural log-transformed</w:t>
            </w:r>
          </w:p>
        </w:tc>
        <w:tc>
          <w:tcPr>
            <w:tcW w:w="1275" w:type="dxa"/>
            <w:tcBorders>
              <w:top w:val="nil"/>
              <w:left w:val="nil"/>
              <w:bottom w:val="nil"/>
              <w:right w:val="nil"/>
            </w:tcBorders>
            <w:shd w:val="clear" w:color="auto" w:fill="auto"/>
            <w:noWrap/>
            <w:vAlign w:val="center"/>
            <w:hideMark/>
          </w:tcPr>
          <w:p w14:paraId="275E97AD" w14:textId="54FC4229"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w:t>
            </w:r>
            <w:r>
              <w:rPr>
                <w:rFonts w:asciiTheme="minorHAnsi" w:hAnsiTheme="minorHAnsi" w:cstheme="minorHAnsi"/>
                <w:color w:val="000000"/>
                <w:sz w:val="20"/>
                <w:szCs w:val="16"/>
              </w:rPr>
              <w:t>6</w:t>
            </w:r>
          </w:p>
        </w:tc>
        <w:tc>
          <w:tcPr>
            <w:tcW w:w="948" w:type="dxa"/>
            <w:tcBorders>
              <w:top w:val="nil"/>
              <w:left w:val="nil"/>
              <w:bottom w:val="nil"/>
              <w:right w:val="nil"/>
            </w:tcBorders>
            <w:vAlign w:val="center"/>
          </w:tcPr>
          <w:p w14:paraId="1C2FC94B" w14:textId="68809EA5"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hint="eastAsia"/>
                <w:color w:val="000000"/>
                <w:sz w:val="20"/>
                <w:szCs w:val="16"/>
              </w:rPr>
              <w:t>1</w:t>
            </w:r>
            <w:r>
              <w:rPr>
                <w:rFonts w:asciiTheme="minorHAnsi" w:hAnsiTheme="minorHAnsi" w:cstheme="minorHAnsi"/>
                <w:color w:val="000000"/>
                <w:sz w:val="20"/>
                <w:szCs w:val="16"/>
              </w:rPr>
              <w:t>.80</w:t>
            </w:r>
          </w:p>
        </w:tc>
        <w:tc>
          <w:tcPr>
            <w:tcW w:w="2410" w:type="dxa"/>
            <w:tcBorders>
              <w:top w:val="nil"/>
              <w:left w:val="nil"/>
              <w:bottom w:val="nil"/>
              <w:right w:val="nil"/>
            </w:tcBorders>
            <w:shd w:val="clear" w:color="auto" w:fill="auto"/>
            <w:noWrap/>
            <w:vAlign w:val="center"/>
            <w:hideMark/>
          </w:tcPr>
          <w:p w14:paraId="72ED8B9E" w14:textId="00496EE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Dastani Z</w:t>
            </w:r>
            <w:r>
              <w:rPr>
                <w:rFonts w:asciiTheme="minorHAnsi" w:hAnsiTheme="minorHAnsi" w:cstheme="minorHAnsi"/>
                <w:color w:val="000000"/>
                <w:sz w:val="20"/>
                <w:szCs w:val="16"/>
              </w:rPr>
              <w:t>, 2012</w:t>
            </w:r>
          </w:p>
        </w:tc>
        <w:tc>
          <w:tcPr>
            <w:tcW w:w="3163" w:type="dxa"/>
            <w:tcBorders>
              <w:top w:val="nil"/>
              <w:left w:val="nil"/>
              <w:bottom w:val="nil"/>
              <w:right w:val="nil"/>
            </w:tcBorders>
            <w:shd w:val="clear" w:color="auto" w:fill="auto"/>
            <w:vAlign w:val="center"/>
            <w:hideMark/>
          </w:tcPr>
          <w:p w14:paraId="39169F4D"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39,883 individuals</w:t>
            </w:r>
          </w:p>
        </w:tc>
      </w:tr>
      <w:tr w:rsidR="0086380B" w:rsidRPr="00290DF3" w14:paraId="2E227C17" w14:textId="77777777" w:rsidTr="00251E4B">
        <w:trPr>
          <w:trHeight w:val="20"/>
          <w:jc w:val="center"/>
        </w:trPr>
        <w:tc>
          <w:tcPr>
            <w:tcW w:w="2978" w:type="dxa"/>
            <w:tcBorders>
              <w:top w:val="nil"/>
              <w:left w:val="nil"/>
              <w:bottom w:val="nil"/>
              <w:right w:val="nil"/>
            </w:tcBorders>
            <w:shd w:val="clear" w:color="auto" w:fill="auto"/>
            <w:vAlign w:val="center"/>
            <w:hideMark/>
          </w:tcPr>
          <w:p w14:paraId="357E922A"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Bilirubin</w:t>
            </w:r>
          </w:p>
        </w:tc>
        <w:tc>
          <w:tcPr>
            <w:tcW w:w="850" w:type="dxa"/>
            <w:tcBorders>
              <w:top w:val="nil"/>
              <w:left w:val="nil"/>
              <w:bottom w:val="nil"/>
              <w:right w:val="nil"/>
            </w:tcBorders>
            <w:shd w:val="clear" w:color="auto" w:fill="auto"/>
            <w:noWrap/>
            <w:vAlign w:val="center"/>
            <w:hideMark/>
          </w:tcPr>
          <w:p w14:paraId="53BA1519"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2</w:t>
            </w:r>
          </w:p>
        </w:tc>
        <w:tc>
          <w:tcPr>
            <w:tcW w:w="3119" w:type="dxa"/>
            <w:tcBorders>
              <w:top w:val="nil"/>
              <w:left w:val="nil"/>
              <w:bottom w:val="nil"/>
              <w:right w:val="nil"/>
            </w:tcBorders>
            <w:shd w:val="clear" w:color="auto" w:fill="auto"/>
            <w:vAlign w:val="center"/>
            <w:hideMark/>
          </w:tcPr>
          <w:p w14:paraId="24C830A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mg/dL, log-transformed</w:t>
            </w:r>
          </w:p>
        </w:tc>
        <w:tc>
          <w:tcPr>
            <w:tcW w:w="1275" w:type="dxa"/>
            <w:tcBorders>
              <w:top w:val="nil"/>
              <w:left w:val="nil"/>
              <w:bottom w:val="nil"/>
              <w:right w:val="nil"/>
            </w:tcBorders>
            <w:shd w:val="clear" w:color="auto" w:fill="auto"/>
            <w:noWrap/>
            <w:vAlign w:val="center"/>
            <w:hideMark/>
          </w:tcPr>
          <w:p w14:paraId="2EFE747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1.39</w:t>
            </w:r>
          </w:p>
        </w:tc>
        <w:tc>
          <w:tcPr>
            <w:tcW w:w="948" w:type="dxa"/>
            <w:tcBorders>
              <w:top w:val="nil"/>
              <w:left w:val="nil"/>
              <w:bottom w:val="nil"/>
              <w:right w:val="nil"/>
            </w:tcBorders>
            <w:vAlign w:val="center"/>
          </w:tcPr>
          <w:p w14:paraId="60E31493" w14:textId="3450D3CB"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1.47</w:t>
            </w:r>
          </w:p>
        </w:tc>
        <w:tc>
          <w:tcPr>
            <w:tcW w:w="2410" w:type="dxa"/>
            <w:tcBorders>
              <w:top w:val="nil"/>
              <w:left w:val="nil"/>
              <w:bottom w:val="nil"/>
              <w:right w:val="nil"/>
            </w:tcBorders>
            <w:shd w:val="clear" w:color="auto" w:fill="auto"/>
            <w:noWrap/>
            <w:vAlign w:val="center"/>
            <w:hideMark/>
          </w:tcPr>
          <w:p w14:paraId="72C5F8BA" w14:textId="7049F90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Bielinski SJ</w:t>
            </w:r>
            <w:r>
              <w:rPr>
                <w:rFonts w:asciiTheme="minorHAnsi" w:hAnsiTheme="minorHAnsi" w:cstheme="minorHAnsi"/>
                <w:color w:val="000000"/>
                <w:sz w:val="20"/>
                <w:szCs w:val="16"/>
              </w:rPr>
              <w:t>, 2011</w:t>
            </w:r>
          </w:p>
        </w:tc>
        <w:tc>
          <w:tcPr>
            <w:tcW w:w="3163" w:type="dxa"/>
            <w:tcBorders>
              <w:top w:val="nil"/>
              <w:left w:val="nil"/>
              <w:bottom w:val="nil"/>
              <w:right w:val="nil"/>
            </w:tcBorders>
            <w:shd w:val="clear" w:color="auto" w:fill="auto"/>
            <w:vAlign w:val="center"/>
            <w:hideMark/>
          </w:tcPr>
          <w:p w14:paraId="54B13A9D"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6,307 individuals</w:t>
            </w:r>
          </w:p>
        </w:tc>
      </w:tr>
      <w:tr w:rsidR="0086380B" w:rsidRPr="00290DF3" w14:paraId="4DBD0CEA" w14:textId="77777777" w:rsidTr="00251E4B">
        <w:trPr>
          <w:trHeight w:val="20"/>
          <w:jc w:val="center"/>
        </w:trPr>
        <w:tc>
          <w:tcPr>
            <w:tcW w:w="2978" w:type="dxa"/>
            <w:tcBorders>
              <w:top w:val="nil"/>
              <w:left w:val="nil"/>
              <w:bottom w:val="nil"/>
              <w:right w:val="nil"/>
            </w:tcBorders>
            <w:shd w:val="clear" w:color="auto" w:fill="auto"/>
            <w:vAlign w:val="center"/>
            <w:hideMark/>
          </w:tcPr>
          <w:p w14:paraId="7BFF5D23"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Vitamin B12</w:t>
            </w:r>
          </w:p>
        </w:tc>
        <w:tc>
          <w:tcPr>
            <w:tcW w:w="850" w:type="dxa"/>
            <w:tcBorders>
              <w:top w:val="nil"/>
              <w:left w:val="nil"/>
              <w:bottom w:val="nil"/>
              <w:right w:val="nil"/>
            </w:tcBorders>
            <w:shd w:val="clear" w:color="auto" w:fill="auto"/>
            <w:noWrap/>
            <w:vAlign w:val="center"/>
            <w:hideMark/>
          </w:tcPr>
          <w:p w14:paraId="0EA4FF4E"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3</w:t>
            </w:r>
          </w:p>
        </w:tc>
        <w:tc>
          <w:tcPr>
            <w:tcW w:w="3119" w:type="dxa"/>
            <w:tcBorders>
              <w:top w:val="nil"/>
              <w:left w:val="nil"/>
              <w:bottom w:val="nil"/>
              <w:right w:val="nil"/>
            </w:tcBorders>
            <w:shd w:val="clear" w:color="auto" w:fill="auto"/>
            <w:vAlign w:val="center"/>
            <w:hideMark/>
          </w:tcPr>
          <w:p w14:paraId="6AE302EA"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 xml:space="preserve">pg/ml, log-transformed </w:t>
            </w:r>
          </w:p>
        </w:tc>
        <w:tc>
          <w:tcPr>
            <w:tcW w:w="1275" w:type="dxa"/>
            <w:tcBorders>
              <w:top w:val="nil"/>
              <w:left w:val="nil"/>
              <w:bottom w:val="nil"/>
              <w:right w:val="nil"/>
            </w:tcBorders>
            <w:shd w:val="clear" w:color="auto" w:fill="auto"/>
            <w:noWrap/>
            <w:vAlign w:val="center"/>
            <w:hideMark/>
          </w:tcPr>
          <w:p w14:paraId="21F3B1F6"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0.42</w:t>
            </w:r>
          </w:p>
        </w:tc>
        <w:tc>
          <w:tcPr>
            <w:tcW w:w="948" w:type="dxa"/>
            <w:tcBorders>
              <w:top w:val="nil"/>
              <w:left w:val="nil"/>
              <w:bottom w:val="nil"/>
              <w:right w:val="nil"/>
            </w:tcBorders>
            <w:vAlign w:val="center"/>
          </w:tcPr>
          <w:p w14:paraId="490583E2" w14:textId="6C32BFE9"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2.02</w:t>
            </w:r>
          </w:p>
        </w:tc>
        <w:tc>
          <w:tcPr>
            <w:tcW w:w="2410" w:type="dxa"/>
            <w:tcBorders>
              <w:top w:val="nil"/>
              <w:left w:val="nil"/>
              <w:bottom w:val="nil"/>
              <w:right w:val="nil"/>
            </w:tcBorders>
            <w:shd w:val="clear" w:color="auto" w:fill="auto"/>
            <w:noWrap/>
            <w:vAlign w:val="center"/>
            <w:hideMark/>
          </w:tcPr>
          <w:p w14:paraId="1CFEF406" w14:textId="02992AA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Hazra A</w:t>
            </w:r>
            <w:r>
              <w:rPr>
                <w:rFonts w:asciiTheme="minorHAnsi" w:hAnsiTheme="minorHAnsi" w:cstheme="minorHAnsi"/>
                <w:color w:val="000000"/>
                <w:sz w:val="20"/>
                <w:szCs w:val="16"/>
              </w:rPr>
              <w:t>, 2009</w:t>
            </w:r>
          </w:p>
        </w:tc>
        <w:tc>
          <w:tcPr>
            <w:tcW w:w="3163" w:type="dxa"/>
            <w:tcBorders>
              <w:top w:val="nil"/>
              <w:left w:val="nil"/>
              <w:bottom w:val="nil"/>
              <w:right w:val="nil"/>
            </w:tcBorders>
            <w:shd w:val="clear" w:color="auto" w:fill="auto"/>
            <w:vAlign w:val="center"/>
            <w:hideMark/>
          </w:tcPr>
          <w:p w14:paraId="014BA31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4,763 individuals</w:t>
            </w:r>
          </w:p>
        </w:tc>
      </w:tr>
      <w:tr w:rsidR="0086380B" w:rsidRPr="00290DF3" w14:paraId="050E2EEA" w14:textId="77777777" w:rsidTr="00251E4B">
        <w:trPr>
          <w:trHeight w:val="20"/>
          <w:jc w:val="center"/>
        </w:trPr>
        <w:tc>
          <w:tcPr>
            <w:tcW w:w="2978" w:type="dxa"/>
            <w:tcBorders>
              <w:top w:val="nil"/>
              <w:left w:val="nil"/>
              <w:bottom w:val="nil"/>
              <w:right w:val="nil"/>
            </w:tcBorders>
            <w:shd w:val="clear" w:color="auto" w:fill="auto"/>
            <w:vAlign w:val="center"/>
            <w:hideMark/>
          </w:tcPr>
          <w:p w14:paraId="68A53922"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25-hydroxyvitamin D</w:t>
            </w:r>
          </w:p>
        </w:tc>
        <w:tc>
          <w:tcPr>
            <w:tcW w:w="850" w:type="dxa"/>
            <w:tcBorders>
              <w:top w:val="nil"/>
              <w:left w:val="nil"/>
              <w:bottom w:val="nil"/>
              <w:right w:val="nil"/>
            </w:tcBorders>
            <w:shd w:val="clear" w:color="auto" w:fill="auto"/>
            <w:noWrap/>
            <w:vAlign w:val="center"/>
            <w:hideMark/>
          </w:tcPr>
          <w:p w14:paraId="258DC7A3"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w:t>
            </w:r>
          </w:p>
        </w:tc>
        <w:tc>
          <w:tcPr>
            <w:tcW w:w="3119" w:type="dxa"/>
            <w:tcBorders>
              <w:top w:val="nil"/>
              <w:left w:val="nil"/>
              <w:bottom w:val="nil"/>
              <w:right w:val="nil"/>
            </w:tcBorders>
            <w:shd w:val="clear" w:color="auto" w:fill="auto"/>
            <w:noWrap/>
            <w:vAlign w:val="center"/>
            <w:hideMark/>
          </w:tcPr>
          <w:p w14:paraId="4B307C79"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natural-log transformed</w:t>
            </w:r>
          </w:p>
        </w:tc>
        <w:tc>
          <w:tcPr>
            <w:tcW w:w="1275" w:type="dxa"/>
            <w:tcBorders>
              <w:top w:val="nil"/>
              <w:left w:val="nil"/>
              <w:bottom w:val="nil"/>
              <w:right w:val="nil"/>
            </w:tcBorders>
            <w:shd w:val="clear" w:color="auto" w:fill="auto"/>
            <w:noWrap/>
            <w:vAlign w:val="center"/>
            <w:hideMark/>
          </w:tcPr>
          <w:p w14:paraId="1E241A0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0.46</w:t>
            </w:r>
          </w:p>
        </w:tc>
        <w:tc>
          <w:tcPr>
            <w:tcW w:w="948" w:type="dxa"/>
            <w:tcBorders>
              <w:top w:val="nil"/>
              <w:left w:val="nil"/>
              <w:bottom w:val="nil"/>
              <w:right w:val="nil"/>
            </w:tcBorders>
            <w:vAlign w:val="center"/>
          </w:tcPr>
          <w:p w14:paraId="0FD40B6B" w14:textId="3B9395C6"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1.96</w:t>
            </w:r>
          </w:p>
        </w:tc>
        <w:tc>
          <w:tcPr>
            <w:tcW w:w="2410" w:type="dxa"/>
            <w:tcBorders>
              <w:top w:val="nil"/>
              <w:left w:val="nil"/>
              <w:bottom w:val="nil"/>
              <w:right w:val="nil"/>
            </w:tcBorders>
            <w:shd w:val="clear" w:color="auto" w:fill="auto"/>
            <w:noWrap/>
            <w:vAlign w:val="center"/>
            <w:hideMark/>
          </w:tcPr>
          <w:p w14:paraId="6A066F5A" w14:textId="73A158AE"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Jiang X</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318CE3D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79,366 individuals</w:t>
            </w:r>
          </w:p>
        </w:tc>
      </w:tr>
      <w:tr w:rsidR="0086380B" w:rsidRPr="00290DF3" w14:paraId="3D045ED0" w14:textId="77777777" w:rsidTr="00251E4B">
        <w:trPr>
          <w:trHeight w:val="20"/>
          <w:jc w:val="center"/>
        </w:trPr>
        <w:tc>
          <w:tcPr>
            <w:tcW w:w="2978" w:type="dxa"/>
            <w:tcBorders>
              <w:top w:val="nil"/>
              <w:left w:val="nil"/>
              <w:bottom w:val="nil"/>
              <w:right w:val="nil"/>
            </w:tcBorders>
            <w:shd w:val="clear" w:color="auto" w:fill="auto"/>
            <w:vAlign w:val="center"/>
            <w:hideMark/>
          </w:tcPr>
          <w:p w14:paraId="0C2A7F22"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Fasting glucose</w:t>
            </w:r>
          </w:p>
        </w:tc>
        <w:tc>
          <w:tcPr>
            <w:tcW w:w="850" w:type="dxa"/>
            <w:tcBorders>
              <w:top w:val="nil"/>
              <w:left w:val="nil"/>
              <w:bottom w:val="nil"/>
              <w:right w:val="nil"/>
            </w:tcBorders>
            <w:shd w:val="clear" w:color="auto" w:fill="auto"/>
            <w:noWrap/>
            <w:vAlign w:val="center"/>
            <w:hideMark/>
          </w:tcPr>
          <w:p w14:paraId="555BF0B3" w14:textId="66487A2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w:t>
            </w:r>
            <w:r>
              <w:rPr>
                <w:rFonts w:asciiTheme="minorHAnsi" w:hAnsiTheme="minorHAnsi" w:cstheme="minorHAnsi"/>
                <w:color w:val="000000"/>
                <w:sz w:val="20"/>
                <w:szCs w:val="16"/>
              </w:rPr>
              <w:t>3</w:t>
            </w:r>
          </w:p>
        </w:tc>
        <w:tc>
          <w:tcPr>
            <w:tcW w:w="3119" w:type="dxa"/>
            <w:tcBorders>
              <w:top w:val="nil"/>
              <w:left w:val="nil"/>
              <w:bottom w:val="nil"/>
              <w:right w:val="nil"/>
            </w:tcBorders>
            <w:shd w:val="clear" w:color="auto" w:fill="auto"/>
            <w:noWrap/>
            <w:vAlign w:val="center"/>
            <w:hideMark/>
          </w:tcPr>
          <w:p w14:paraId="432DE974"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mmol/L</w:t>
            </w:r>
          </w:p>
        </w:tc>
        <w:tc>
          <w:tcPr>
            <w:tcW w:w="1275" w:type="dxa"/>
            <w:tcBorders>
              <w:top w:val="nil"/>
              <w:left w:val="nil"/>
              <w:bottom w:val="nil"/>
              <w:right w:val="nil"/>
            </w:tcBorders>
            <w:shd w:val="clear" w:color="auto" w:fill="auto"/>
            <w:noWrap/>
            <w:vAlign w:val="center"/>
            <w:hideMark/>
          </w:tcPr>
          <w:p w14:paraId="5361EC98"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0.12</w:t>
            </w:r>
          </w:p>
        </w:tc>
        <w:tc>
          <w:tcPr>
            <w:tcW w:w="948" w:type="dxa"/>
            <w:tcBorders>
              <w:top w:val="nil"/>
              <w:left w:val="nil"/>
              <w:bottom w:val="nil"/>
              <w:right w:val="nil"/>
            </w:tcBorders>
            <w:vAlign w:val="center"/>
          </w:tcPr>
          <w:p w14:paraId="65D7A4F8" w14:textId="18EE2491"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3.70</w:t>
            </w:r>
          </w:p>
        </w:tc>
        <w:tc>
          <w:tcPr>
            <w:tcW w:w="2410" w:type="dxa"/>
            <w:tcBorders>
              <w:top w:val="nil"/>
              <w:left w:val="nil"/>
              <w:bottom w:val="nil"/>
              <w:right w:val="nil"/>
            </w:tcBorders>
            <w:shd w:val="clear" w:color="auto" w:fill="auto"/>
            <w:noWrap/>
            <w:vAlign w:val="center"/>
            <w:hideMark/>
          </w:tcPr>
          <w:p w14:paraId="6EBE5ACF" w14:textId="54C6B341"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Robert AS</w:t>
            </w:r>
            <w:r>
              <w:rPr>
                <w:rFonts w:asciiTheme="minorHAnsi" w:hAnsiTheme="minorHAnsi" w:cstheme="minorHAnsi"/>
                <w:color w:val="000000"/>
                <w:sz w:val="20"/>
                <w:szCs w:val="16"/>
              </w:rPr>
              <w:t>, 2012</w:t>
            </w:r>
          </w:p>
        </w:tc>
        <w:tc>
          <w:tcPr>
            <w:tcW w:w="3163" w:type="dxa"/>
            <w:tcBorders>
              <w:top w:val="nil"/>
              <w:left w:val="nil"/>
              <w:bottom w:val="nil"/>
              <w:right w:val="nil"/>
            </w:tcBorders>
            <w:shd w:val="clear" w:color="auto" w:fill="auto"/>
            <w:vAlign w:val="center"/>
            <w:hideMark/>
          </w:tcPr>
          <w:p w14:paraId="20F047EF"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103,489 individuals</w:t>
            </w:r>
          </w:p>
        </w:tc>
      </w:tr>
      <w:tr w:rsidR="0086380B" w:rsidRPr="00290DF3" w14:paraId="088C8302" w14:textId="77777777" w:rsidTr="00251E4B">
        <w:trPr>
          <w:trHeight w:val="20"/>
          <w:jc w:val="center"/>
        </w:trPr>
        <w:tc>
          <w:tcPr>
            <w:tcW w:w="2978" w:type="dxa"/>
            <w:tcBorders>
              <w:top w:val="nil"/>
              <w:left w:val="nil"/>
              <w:bottom w:val="nil"/>
              <w:right w:val="nil"/>
            </w:tcBorders>
            <w:shd w:val="clear" w:color="auto" w:fill="auto"/>
            <w:vAlign w:val="center"/>
            <w:hideMark/>
          </w:tcPr>
          <w:p w14:paraId="6BB613DF"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Fasting insulin</w:t>
            </w:r>
          </w:p>
        </w:tc>
        <w:tc>
          <w:tcPr>
            <w:tcW w:w="850" w:type="dxa"/>
            <w:tcBorders>
              <w:top w:val="nil"/>
              <w:left w:val="nil"/>
              <w:bottom w:val="nil"/>
              <w:right w:val="nil"/>
            </w:tcBorders>
            <w:shd w:val="clear" w:color="auto" w:fill="auto"/>
            <w:noWrap/>
            <w:vAlign w:val="center"/>
            <w:hideMark/>
          </w:tcPr>
          <w:p w14:paraId="432548B3" w14:textId="4AA2F853"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13</w:t>
            </w:r>
          </w:p>
        </w:tc>
        <w:tc>
          <w:tcPr>
            <w:tcW w:w="3119" w:type="dxa"/>
            <w:tcBorders>
              <w:top w:val="nil"/>
              <w:left w:val="nil"/>
              <w:bottom w:val="nil"/>
              <w:right w:val="nil"/>
            </w:tcBorders>
            <w:shd w:val="clear" w:color="auto" w:fill="auto"/>
            <w:noWrap/>
            <w:vAlign w:val="center"/>
            <w:hideMark/>
          </w:tcPr>
          <w:p w14:paraId="0862CA15"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pmol/L, natural log-transformed</w:t>
            </w:r>
          </w:p>
        </w:tc>
        <w:tc>
          <w:tcPr>
            <w:tcW w:w="1275" w:type="dxa"/>
            <w:tcBorders>
              <w:top w:val="nil"/>
              <w:left w:val="nil"/>
              <w:bottom w:val="nil"/>
              <w:right w:val="nil"/>
            </w:tcBorders>
            <w:shd w:val="clear" w:color="auto" w:fill="auto"/>
            <w:noWrap/>
            <w:vAlign w:val="center"/>
            <w:hideMark/>
          </w:tcPr>
          <w:p w14:paraId="50EF2CF1" w14:textId="7E9924A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0.</w:t>
            </w:r>
            <w:r>
              <w:rPr>
                <w:rFonts w:asciiTheme="minorHAnsi" w:hAnsiTheme="minorHAnsi" w:cstheme="minorHAnsi"/>
                <w:color w:val="000000"/>
                <w:sz w:val="20"/>
                <w:szCs w:val="16"/>
              </w:rPr>
              <w:t>14</w:t>
            </w:r>
          </w:p>
        </w:tc>
        <w:tc>
          <w:tcPr>
            <w:tcW w:w="948" w:type="dxa"/>
            <w:tcBorders>
              <w:top w:val="nil"/>
              <w:left w:val="nil"/>
              <w:bottom w:val="nil"/>
              <w:right w:val="nil"/>
            </w:tcBorders>
            <w:vAlign w:val="center"/>
          </w:tcPr>
          <w:p w14:paraId="72959670" w14:textId="1A25962E"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3.35</w:t>
            </w:r>
          </w:p>
        </w:tc>
        <w:tc>
          <w:tcPr>
            <w:tcW w:w="2410" w:type="dxa"/>
            <w:tcBorders>
              <w:top w:val="nil"/>
              <w:left w:val="nil"/>
              <w:bottom w:val="nil"/>
              <w:right w:val="nil"/>
            </w:tcBorders>
            <w:shd w:val="clear" w:color="auto" w:fill="auto"/>
            <w:noWrap/>
            <w:vAlign w:val="center"/>
            <w:hideMark/>
          </w:tcPr>
          <w:p w14:paraId="029C04ED" w14:textId="1CE0AE90"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Robert AS</w:t>
            </w:r>
            <w:r>
              <w:rPr>
                <w:rFonts w:asciiTheme="minorHAnsi" w:hAnsiTheme="minorHAnsi" w:cstheme="minorHAnsi"/>
                <w:color w:val="000000"/>
                <w:sz w:val="20"/>
                <w:szCs w:val="16"/>
              </w:rPr>
              <w:t>, 2012</w:t>
            </w:r>
          </w:p>
        </w:tc>
        <w:tc>
          <w:tcPr>
            <w:tcW w:w="3163" w:type="dxa"/>
            <w:tcBorders>
              <w:top w:val="nil"/>
              <w:left w:val="nil"/>
              <w:bottom w:val="nil"/>
              <w:right w:val="nil"/>
            </w:tcBorders>
            <w:shd w:val="clear" w:color="auto" w:fill="auto"/>
            <w:vAlign w:val="center"/>
            <w:hideMark/>
          </w:tcPr>
          <w:p w14:paraId="5CF044CE"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103,489 individuals</w:t>
            </w:r>
          </w:p>
        </w:tc>
      </w:tr>
      <w:tr w:rsidR="0086380B" w:rsidRPr="00290DF3" w14:paraId="615874D9" w14:textId="77777777" w:rsidTr="00251E4B">
        <w:trPr>
          <w:trHeight w:val="20"/>
          <w:jc w:val="center"/>
        </w:trPr>
        <w:tc>
          <w:tcPr>
            <w:tcW w:w="2978" w:type="dxa"/>
            <w:tcBorders>
              <w:top w:val="nil"/>
              <w:left w:val="nil"/>
              <w:bottom w:val="nil"/>
              <w:right w:val="nil"/>
            </w:tcBorders>
            <w:shd w:val="clear" w:color="auto" w:fill="auto"/>
            <w:vAlign w:val="center"/>
            <w:hideMark/>
          </w:tcPr>
          <w:p w14:paraId="118A93FC"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Type 1 diabetes</w:t>
            </w:r>
          </w:p>
        </w:tc>
        <w:tc>
          <w:tcPr>
            <w:tcW w:w="850" w:type="dxa"/>
            <w:tcBorders>
              <w:top w:val="nil"/>
              <w:left w:val="nil"/>
              <w:bottom w:val="nil"/>
              <w:right w:val="nil"/>
            </w:tcBorders>
            <w:shd w:val="clear" w:color="auto" w:fill="auto"/>
            <w:noWrap/>
            <w:vAlign w:val="center"/>
            <w:hideMark/>
          </w:tcPr>
          <w:p w14:paraId="0C5BDD21" w14:textId="541FAFCC"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2</w:t>
            </w:r>
            <w:r>
              <w:rPr>
                <w:rFonts w:asciiTheme="minorHAnsi" w:hAnsiTheme="minorHAnsi" w:cstheme="minorHAnsi"/>
                <w:color w:val="000000"/>
                <w:sz w:val="20"/>
                <w:szCs w:val="16"/>
              </w:rPr>
              <w:t>3</w:t>
            </w:r>
          </w:p>
        </w:tc>
        <w:tc>
          <w:tcPr>
            <w:tcW w:w="3119" w:type="dxa"/>
            <w:tcBorders>
              <w:top w:val="nil"/>
              <w:left w:val="nil"/>
              <w:bottom w:val="nil"/>
              <w:right w:val="nil"/>
            </w:tcBorders>
            <w:shd w:val="clear" w:color="auto" w:fill="auto"/>
            <w:noWrap/>
            <w:vAlign w:val="center"/>
            <w:hideMark/>
          </w:tcPr>
          <w:p w14:paraId="3B3EDF67" w14:textId="112119FF"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760D56E5" w14:textId="16C886B5"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w:t>
            </w:r>
            <w:r>
              <w:rPr>
                <w:rFonts w:asciiTheme="minorHAnsi" w:hAnsiTheme="minorHAnsi" w:cstheme="minorHAnsi"/>
                <w:color w:val="000000"/>
                <w:sz w:val="20"/>
                <w:szCs w:val="16"/>
              </w:rPr>
              <w:t>2.57</w:t>
            </w:r>
          </w:p>
        </w:tc>
        <w:tc>
          <w:tcPr>
            <w:tcW w:w="948" w:type="dxa"/>
            <w:tcBorders>
              <w:top w:val="nil"/>
              <w:left w:val="nil"/>
              <w:bottom w:val="nil"/>
              <w:right w:val="nil"/>
            </w:tcBorders>
            <w:vAlign w:val="center"/>
          </w:tcPr>
          <w:p w14:paraId="2F468894" w14:textId="48D32DC8"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1.07</w:t>
            </w:r>
          </w:p>
        </w:tc>
        <w:tc>
          <w:tcPr>
            <w:tcW w:w="2410" w:type="dxa"/>
            <w:tcBorders>
              <w:top w:val="nil"/>
              <w:left w:val="nil"/>
              <w:bottom w:val="nil"/>
              <w:right w:val="nil"/>
            </w:tcBorders>
            <w:shd w:val="clear" w:color="auto" w:fill="auto"/>
            <w:noWrap/>
            <w:vAlign w:val="center"/>
            <w:hideMark/>
          </w:tcPr>
          <w:p w14:paraId="78CB7F48" w14:textId="6FB93581"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Onengut-Gumuscu S</w:t>
            </w:r>
            <w:r>
              <w:rPr>
                <w:rFonts w:asciiTheme="minorHAnsi" w:hAnsiTheme="minorHAnsi" w:cstheme="minorHAnsi"/>
                <w:color w:val="000000"/>
                <w:sz w:val="20"/>
                <w:szCs w:val="16"/>
              </w:rPr>
              <w:t>, 2015</w:t>
            </w:r>
          </w:p>
        </w:tc>
        <w:tc>
          <w:tcPr>
            <w:tcW w:w="3163" w:type="dxa"/>
            <w:tcBorders>
              <w:top w:val="nil"/>
              <w:left w:val="nil"/>
              <w:bottom w:val="nil"/>
              <w:right w:val="nil"/>
            </w:tcBorders>
            <w:shd w:val="clear" w:color="auto" w:fill="auto"/>
            <w:vAlign w:val="center"/>
            <w:hideMark/>
          </w:tcPr>
          <w:p w14:paraId="4EBDC5C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6,683 cases, 12,173 controls</w:t>
            </w:r>
          </w:p>
        </w:tc>
      </w:tr>
      <w:tr w:rsidR="0086380B" w:rsidRPr="00290DF3" w14:paraId="68D1A424" w14:textId="77777777" w:rsidTr="00251E4B">
        <w:trPr>
          <w:trHeight w:val="20"/>
          <w:jc w:val="center"/>
        </w:trPr>
        <w:tc>
          <w:tcPr>
            <w:tcW w:w="2978" w:type="dxa"/>
            <w:tcBorders>
              <w:top w:val="nil"/>
              <w:left w:val="nil"/>
              <w:bottom w:val="nil"/>
              <w:right w:val="nil"/>
            </w:tcBorders>
            <w:shd w:val="clear" w:color="auto" w:fill="auto"/>
            <w:vAlign w:val="center"/>
            <w:hideMark/>
          </w:tcPr>
          <w:p w14:paraId="19878CB7"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Type 2 diabetes</w:t>
            </w:r>
          </w:p>
        </w:tc>
        <w:tc>
          <w:tcPr>
            <w:tcW w:w="850" w:type="dxa"/>
            <w:tcBorders>
              <w:top w:val="nil"/>
              <w:left w:val="nil"/>
              <w:bottom w:val="nil"/>
              <w:right w:val="nil"/>
            </w:tcBorders>
            <w:shd w:val="clear" w:color="auto" w:fill="auto"/>
            <w:noWrap/>
            <w:vAlign w:val="center"/>
            <w:hideMark/>
          </w:tcPr>
          <w:p w14:paraId="002E00D5" w14:textId="084C35F3"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9</w:t>
            </w:r>
            <w:r>
              <w:rPr>
                <w:rFonts w:asciiTheme="minorHAnsi" w:hAnsiTheme="minorHAnsi" w:cstheme="minorHAnsi"/>
                <w:color w:val="000000"/>
                <w:sz w:val="20"/>
                <w:szCs w:val="16"/>
              </w:rPr>
              <w:t>5</w:t>
            </w:r>
          </w:p>
        </w:tc>
        <w:tc>
          <w:tcPr>
            <w:tcW w:w="3119" w:type="dxa"/>
            <w:tcBorders>
              <w:top w:val="nil"/>
              <w:left w:val="nil"/>
              <w:bottom w:val="nil"/>
              <w:right w:val="nil"/>
            </w:tcBorders>
            <w:shd w:val="clear" w:color="auto" w:fill="auto"/>
            <w:noWrap/>
            <w:vAlign w:val="center"/>
            <w:hideMark/>
          </w:tcPr>
          <w:p w14:paraId="7FE28F44" w14:textId="27A0E79B"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319F2422" w14:textId="6EBE54A3"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w:t>
            </w:r>
            <w:r>
              <w:rPr>
                <w:rFonts w:asciiTheme="minorHAnsi" w:hAnsiTheme="minorHAnsi" w:cstheme="minorHAnsi"/>
                <w:color w:val="000000"/>
                <w:sz w:val="20"/>
                <w:szCs w:val="16"/>
              </w:rPr>
              <w:t>9.88</w:t>
            </w:r>
          </w:p>
        </w:tc>
        <w:tc>
          <w:tcPr>
            <w:tcW w:w="948" w:type="dxa"/>
            <w:tcBorders>
              <w:top w:val="nil"/>
              <w:left w:val="nil"/>
              <w:bottom w:val="nil"/>
              <w:right w:val="nil"/>
            </w:tcBorders>
            <w:vAlign w:val="center"/>
          </w:tcPr>
          <w:p w14:paraId="533A58C6" w14:textId="65B09E30" w:rsidR="00415431" w:rsidRPr="00290DF3" w:rsidRDefault="00F54E0D" w:rsidP="00415431">
            <w:pPr>
              <w:jc w:val="center"/>
              <w:rPr>
                <w:rFonts w:asciiTheme="minorHAnsi" w:hAnsiTheme="minorHAnsi" w:cstheme="minorHAnsi"/>
                <w:color w:val="000000"/>
                <w:sz w:val="20"/>
                <w:szCs w:val="16"/>
              </w:rPr>
            </w:pPr>
            <w:r>
              <w:rPr>
                <w:rFonts w:asciiTheme="minorHAnsi" w:hAnsiTheme="minorHAnsi" w:cstheme="minorHAnsi" w:hint="eastAsia"/>
                <w:color w:val="000000"/>
                <w:sz w:val="20"/>
                <w:szCs w:val="16"/>
              </w:rPr>
              <w:t>1</w:t>
            </w:r>
            <w:r>
              <w:rPr>
                <w:rFonts w:asciiTheme="minorHAnsi" w:hAnsiTheme="minorHAnsi" w:cstheme="minorHAnsi"/>
                <w:color w:val="000000"/>
                <w:sz w:val="20"/>
                <w:szCs w:val="16"/>
              </w:rPr>
              <w:t>.11</w:t>
            </w:r>
          </w:p>
        </w:tc>
        <w:tc>
          <w:tcPr>
            <w:tcW w:w="2410" w:type="dxa"/>
            <w:tcBorders>
              <w:top w:val="nil"/>
              <w:left w:val="nil"/>
              <w:bottom w:val="nil"/>
              <w:right w:val="nil"/>
            </w:tcBorders>
            <w:shd w:val="clear" w:color="auto" w:fill="auto"/>
            <w:vAlign w:val="center"/>
            <w:hideMark/>
          </w:tcPr>
          <w:p w14:paraId="4139FAF4" w14:textId="3FF2733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Xue A</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59428ABF"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62,892 cases, 596,424 controls</w:t>
            </w:r>
          </w:p>
        </w:tc>
      </w:tr>
      <w:tr w:rsidR="0086380B" w:rsidRPr="00290DF3" w14:paraId="052F25D9" w14:textId="77777777" w:rsidTr="00251E4B">
        <w:trPr>
          <w:trHeight w:val="20"/>
          <w:jc w:val="center"/>
        </w:trPr>
        <w:tc>
          <w:tcPr>
            <w:tcW w:w="2978" w:type="dxa"/>
            <w:tcBorders>
              <w:top w:val="nil"/>
              <w:left w:val="nil"/>
              <w:bottom w:val="nil"/>
              <w:right w:val="nil"/>
            </w:tcBorders>
            <w:shd w:val="clear" w:color="auto" w:fill="auto"/>
            <w:vAlign w:val="center"/>
            <w:hideMark/>
          </w:tcPr>
          <w:p w14:paraId="4D92E25A"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Body mass index</w:t>
            </w:r>
          </w:p>
        </w:tc>
        <w:tc>
          <w:tcPr>
            <w:tcW w:w="850" w:type="dxa"/>
            <w:tcBorders>
              <w:top w:val="nil"/>
              <w:left w:val="nil"/>
              <w:bottom w:val="nil"/>
              <w:right w:val="nil"/>
            </w:tcBorders>
            <w:shd w:val="clear" w:color="auto" w:fill="auto"/>
            <w:noWrap/>
            <w:vAlign w:val="center"/>
            <w:hideMark/>
          </w:tcPr>
          <w:p w14:paraId="17027868" w14:textId="5C5826FF"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2</w:t>
            </w:r>
            <w:r>
              <w:rPr>
                <w:rFonts w:asciiTheme="minorHAnsi" w:hAnsiTheme="minorHAnsi" w:cstheme="minorHAnsi"/>
                <w:color w:val="000000"/>
                <w:sz w:val="20"/>
                <w:szCs w:val="16"/>
              </w:rPr>
              <w:t>76</w:t>
            </w:r>
          </w:p>
        </w:tc>
        <w:tc>
          <w:tcPr>
            <w:tcW w:w="3119" w:type="dxa"/>
            <w:tcBorders>
              <w:top w:val="nil"/>
              <w:left w:val="nil"/>
              <w:bottom w:val="nil"/>
              <w:right w:val="nil"/>
            </w:tcBorders>
            <w:shd w:val="clear" w:color="auto" w:fill="auto"/>
            <w:noWrap/>
            <w:vAlign w:val="center"/>
            <w:hideMark/>
          </w:tcPr>
          <w:p w14:paraId="54D1DBD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kg/m2</w:t>
            </w:r>
          </w:p>
        </w:tc>
        <w:tc>
          <w:tcPr>
            <w:tcW w:w="1275" w:type="dxa"/>
            <w:tcBorders>
              <w:top w:val="nil"/>
              <w:left w:val="nil"/>
              <w:bottom w:val="nil"/>
              <w:right w:val="nil"/>
            </w:tcBorders>
            <w:shd w:val="clear" w:color="auto" w:fill="auto"/>
            <w:noWrap/>
            <w:vAlign w:val="center"/>
            <w:hideMark/>
          </w:tcPr>
          <w:p w14:paraId="11EC7BF7"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3.54</w:t>
            </w:r>
          </w:p>
        </w:tc>
        <w:tc>
          <w:tcPr>
            <w:tcW w:w="948" w:type="dxa"/>
            <w:tcBorders>
              <w:top w:val="nil"/>
              <w:left w:val="nil"/>
              <w:bottom w:val="nil"/>
              <w:right w:val="nil"/>
            </w:tcBorders>
            <w:vAlign w:val="center"/>
          </w:tcPr>
          <w:p w14:paraId="5C2A8B5C" w14:textId="6F9E2A53"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1.27</w:t>
            </w:r>
          </w:p>
        </w:tc>
        <w:tc>
          <w:tcPr>
            <w:tcW w:w="2410" w:type="dxa"/>
            <w:tcBorders>
              <w:top w:val="nil"/>
              <w:left w:val="nil"/>
              <w:bottom w:val="nil"/>
              <w:right w:val="nil"/>
            </w:tcBorders>
            <w:shd w:val="clear" w:color="auto" w:fill="auto"/>
            <w:noWrap/>
            <w:vAlign w:val="center"/>
            <w:hideMark/>
          </w:tcPr>
          <w:p w14:paraId="385C5B91" w14:textId="006C775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Yengo L</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6D523103"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795,624 individuals</w:t>
            </w:r>
          </w:p>
        </w:tc>
      </w:tr>
      <w:tr w:rsidR="0086380B" w:rsidRPr="00290DF3" w14:paraId="7B2DE681" w14:textId="77777777" w:rsidTr="00251E4B">
        <w:trPr>
          <w:trHeight w:val="20"/>
          <w:jc w:val="center"/>
        </w:trPr>
        <w:tc>
          <w:tcPr>
            <w:tcW w:w="2978" w:type="dxa"/>
            <w:tcBorders>
              <w:top w:val="nil"/>
              <w:left w:val="nil"/>
              <w:bottom w:val="nil"/>
              <w:right w:val="nil"/>
            </w:tcBorders>
            <w:shd w:val="clear" w:color="auto" w:fill="auto"/>
            <w:vAlign w:val="center"/>
            <w:hideMark/>
          </w:tcPr>
          <w:p w14:paraId="7CCB9CB7"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HDL cholesterol</w:t>
            </w:r>
          </w:p>
        </w:tc>
        <w:tc>
          <w:tcPr>
            <w:tcW w:w="850" w:type="dxa"/>
            <w:tcBorders>
              <w:top w:val="nil"/>
              <w:left w:val="nil"/>
              <w:bottom w:val="nil"/>
              <w:right w:val="nil"/>
            </w:tcBorders>
            <w:shd w:val="clear" w:color="auto" w:fill="auto"/>
            <w:noWrap/>
            <w:vAlign w:val="center"/>
            <w:hideMark/>
          </w:tcPr>
          <w:p w14:paraId="2A482319" w14:textId="3CDCED63"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127</w:t>
            </w:r>
          </w:p>
        </w:tc>
        <w:tc>
          <w:tcPr>
            <w:tcW w:w="3119" w:type="dxa"/>
            <w:tcBorders>
              <w:top w:val="nil"/>
              <w:left w:val="nil"/>
              <w:bottom w:val="nil"/>
              <w:right w:val="nil"/>
            </w:tcBorders>
            <w:shd w:val="clear" w:color="auto" w:fill="auto"/>
            <w:noWrap/>
            <w:vAlign w:val="center"/>
            <w:hideMark/>
          </w:tcPr>
          <w:p w14:paraId="2C77516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mg/dL</w:t>
            </w:r>
          </w:p>
        </w:tc>
        <w:tc>
          <w:tcPr>
            <w:tcW w:w="1275" w:type="dxa"/>
            <w:tcBorders>
              <w:top w:val="nil"/>
              <w:left w:val="nil"/>
              <w:bottom w:val="nil"/>
              <w:right w:val="nil"/>
            </w:tcBorders>
            <w:shd w:val="clear" w:color="auto" w:fill="auto"/>
            <w:noWrap/>
            <w:vAlign w:val="center"/>
            <w:hideMark/>
          </w:tcPr>
          <w:p w14:paraId="787B5FD1" w14:textId="47419CE8"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4.92</w:t>
            </w:r>
          </w:p>
        </w:tc>
        <w:tc>
          <w:tcPr>
            <w:tcW w:w="948" w:type="dxa"/>
            <w:tcBorders>
              <w:top w:val="nil"/>
              <w:left w:val="nil"/>
              <w:bottom w:val="nil"/>
              <w:right w:val="nil"/>
            </w:tcBorders>
            <w:vAlign w:val="center"/>
          </w:tcPr>
          <w:p w14:paraId="6449B279" w14:textId="0B1520FA"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1.23</w:t>
            </w:r>
          </w:p>
        </w:tc>
        <w:tc>
          <w:tcPr>
            <w:tcW w:w="2410" w:type="dxa"/>
            <w:tcBorders>
              <w:top w:val="nil"/>
              <w:left w:val="nil"/>
              <w:bottom w:val="nil"/>
              <w:right w:val="nil"/>
            </w:tcBorders>
            <w:shd w:val="clear" w:color="auto" w:fill="auto"/>
            <w:noWrap/>
            <w:vAlign w:val="center"/>
            <w:hideMark/>
          </w:tcPr>
          <w:p w14:paraId="3017CEFC" w14:textId="67312AF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Klarin D</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06F835A0"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511,022 individuals</w:t>
            </w:r>
          </w:p>
        </w:tc>
      </w:tr>
      <w:tr w:rsidR="0086380B" w:rsidRPr="00290DF3" w14:paraId="7D040027" w14:textId="77777777" w:rsidTr="00251E4B">
        <w:trPr>
          <w:trHeight w:val="20"/>
          <w:jc w:val="center"/>
        </w:trPr>
        <w:tc>
          <w:tcPr>
            <w:tcW w:w="2978" w:type="dxa"/>
            <w:tcBorders>
              <w:top w:val="nil"/>
              <w:left w:val="nil"/>
              <w:bottom w:val="nil"/>
              <w:right w:val="nil"/>
            </w:tcBorders>
            <w:shd w:val="clear" w:color="auto" w:fill="auto"/>
            <w:vAlign w:val="center"/>
            <w:hideMark/>
          </w:tcPr>
          <w:p w14:paraId="2AF0E996"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LDL cholesterol</w:t>
            </w:r>
          </w:p>
        </w:tc>
        <w:tc>
          <w:tcPr>
            <w:tcW w:w="850" w:type="dxa"/>
            <w:tcBorders>
              <w:top w:val="nil"/>
              <w:left w:val="nil"/>
              <w:bottom w:val="nil"/>
              <w:right w:val="nil"/>
            </w:tcBorders>
            <w:shd w:val="clear" w:color="auto" w:fill="auto"/>
            <w:noWrap/>
            <w:vAlign w:val="center"/>
            <w:hideMark/>
          </w:tcPr>
          <w:p w14:paraId="773DE9BE" w14:textId="5F1A66CD"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95</w:t>
            </w:r>
          </w:p>
        </w:tc>
        <w:tc>
          <w:tcPr>
            <w:tcW w:w="3119" w:type="dxa"/>
            <w:tcBorders>
              <w:top w:val="nil"/>
              <w:left w:val="nil"/>
              <w:bottom w:val="nil"/>
              <w:right w:val="nil"/>
            </w:tcBorders>
            <w:shd w:val="clear" w:color="auto" w:fill="auto"/>
            <w:noWrap/>
            <w:vAlign w:val="center"/>
            <w:hideMark/>
          </w:tcPr>
          <w:p w14:paraId="1D3D1E74"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mg/dL</w:t>
            </w:r>
          </w:p>
        </w:tc>
        <w:tc>
          <w:tcPr>
            <w:tcW w:w="1275" w:type="dxa"/>
            <w:tcBorders>
              <w:top w:val="nil"/>
              <w:left w:val="nil"/>
              <w:bottom w:val="nil"/>
              <w:right w:val="nil"/>
            </w:tcBorders>
            <w:shd w:val="clear" w:color="auto" w:fill="auto"/>
            <w:noWrap/>
            <w:vAlign w:val="center"/>
            <w:hideMark/>
          </w:tcPr>
          <w:p w14:paraId="4CC60881" w14:textId="12E69E37"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6</w:t>
            </w:r>
          </w:p>
        </w:tc>
        <w:tc>
          <w:tcPr>
            <w:tcW w:w="948" w:type="dxa"/>
            <w:tcBorders>
              <w:top w:val="nil"/>
              <w:left w:val="nil"/>
              <w:bottom w:val="nil"/>
              <w:right w:val="nil"/>
            </w:tcBorders>
            <w:vAlign w:val="center"/>
          </w:tcPr>
          <w:p w14:paraId="04C9DFB4" w14:textId="0C834F1B"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1.21</w:t>
            </w:r>
          </w:p>
        </w:tc>
        <w:tc>
          <w:tcPr>
            <w:tcW w:w="2410" w:type="dxa"/>
            <w:tcBorders>
              <w:top w:val="nil"/>
              <w:left w:val="nil"/>
              <w:bottom w:val="nil"/>
              <w:right w:val="nil"/>
            </w:tcBorders>
            <w:shd w:val="clear" w:color="auto" w:fill="auto"/>
            <w:noWrap/>
            <w:vAlign w:val="center"/>
            <w:hideMark/>
          </w:tcPr>
          <w:p w14:paraId="644117D3" w14:textId="7A50B202"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Klarin D</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051E7891"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511,022 individuals</w:t>
            </w:r>
          </w:p>
        </w:tc>
      </w:tr>
      <w:tr w:rsidR="0086380B" w:rsidRPr="00290DF3" w14:paraId="28743B70" w14:textId="77777777" w:rsidTr="00251E4B">
        <w:trPr>
          <w:trHeight w:val="20"/>
          <w:jc w:val="center"/>
        </w:trPr>
        <w:tc>
          <w:tcPr>
            <w:tcW w:w="2978" w:type="dxa"/>
            <w:tcBorders>
              <w:top w:val="nil"/>
              <w:left w:val="nil"/>
              <w:bottom w:val="nil"/>
              <w:right w:val="nil"/>
            </w:tcBorders>
            <w:shd w:val="clear" w:color="auto" w:fill="auto"/>
            <w:vAlign w:val="center"/>
            <w:hideMark/>
          </w:tcPr>
          <w:p w14:paraId="1D86E230"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Total cholesterol</w:t>
            </w:r>
          </w:p>
        </w:tc>
        <w:tc>
          <w:tcPr>
            <w:tcW w:w="850" w:type="dxa"/>
            <w:tcBorders>
              <w:top w:val="nil"/>
              <w:left w:val="nil"/>
              <w:bottom w:val="nil"/>
              <w:right w:val="nil"/>
            </w:tcBorders>
            <w:shd w:val="clear" w:color="auto" w:fill="auto"/>
            <w:noWrap/>
            <w:vAlign w:val="center"/>
            <w:hideMark/>
          </w:tcPr>
          <w:p w14:paraId="5AA01564" w14:textId="3450725B"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93</w:t>
            </w:r>
          </w:p>
        </w:tc>
        <w:tc>
          <w:tcPr>
            <w:tcW w:w="3119" w:type="dxa"/>
            <w:tcBorders>
              <w:top w:val="nil"/>
              <w:left w:val="nil"/>
              <w:bottom w:val="nil"/>
              <w:right w:val="nil"/>
            </w:tcBorders>
            <w:shd w:val="clear" w:color="auto" w:fill="auto"/>
            <w:noWrap/>
            <w:vAlign w:val="center"/>
            <w:hideMark/>
          </w:tcPr>
          <w:p w14:paraId="4A6181E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mg/dL</w:t>
            </w:r>
          </w:p>
        </w:tc>
        <w:tc>
          <w:tcPr>
            <w:tcW w:w="1275" w:type="dxa"/>
            <w:tcBorders>
              <w:top w:val="nil"/>
              <w:left w:val="nil"/>
              <w:bottom w:val="nil"/>
              <w:right w:val="nil"/>
            </w:tcBorders>
            <w:shd w:val="clear" w:color="auto" w:fill="auto"/>
            <w:noWrap/>
            <w:vAlign w:val="center"/>
            <w:hideMark/>
          </w:tcPr>
          <w:p w14:paraId="19C08BCD" w14:textId="0D3FE6C0"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5.08</w:t>
            </w:r>
          </w:p>
        </w:tc>
        <w:tc>
          <w:tcPr>
            <w:tcW w:w="948" w:type="dxa"/>
            <w:tcBorders>
              <w:top w:val="nil"/>
              <w:left w:val="nil"/>
              <w:bottom w:val="nil"/>
              <w:right w:val="nil"/>
            </w:tcBorders>
            <w:vAlign w:val="center"/>
          </w:tcPr>
          <w:p w14:paraId="0C05C982" w14:textId="773A9690"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1.23</w:t>
            </w:r>
          </w:p>
        </w:tc>
        <w:tc>
          <w:tcPr>
            <w:tcW w:w="2410" w:type="dxa"/>
            <w:tcBorders>
              <w:top w:val="nil"/>
              <w:left w:val="nil"/>
              <w:bottom w:val="nil"/>
              <w:right w:val="nil"/>
            </w:tcBorders>
            <w:shd w:val="clear" w:color="auto" w:fill="auto"/>
            <w:noWrap/>
            <w:vAlign w:val="center"/>
            <w:hideMark/>
          </w:tcPr>
          <w:p w14:paraId="0AC00301" w14:textId="4F97C24C"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Klarin D</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47913392"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511,022 individuals</w:t>
            </w:r>
          </w:p>
        </w:tc>
      </w:tr>
      <w:tr w:rsidR="0086380B" w:rsidRPr="00290DF3" w14:paraId="69C1C92C" w14:textId="77777777" w:rsidTr="00251E4B">
        <w:trPr>
          <w:trHeight w:val="20"/>
          <w:jc w:val="center"/>
        </w:trPr>
        <w:tc>
          <w:tcPr>
            <w:tcW w:w="2978" w:type="dxa"/>
            <w:tcBorders>
              <w:top w:val="nil"/>
              <w:left w:val="nil"/>
              <w:bottom w:val="nil"/>
              <w:right w:val="nil"/>
            </w:tcBorders>
            <w:shd w:val="clear" w:color="auto" w:fill="auto"/>
            <w:vAlign w:val="center"/>
            <w:hideMark/>
          </w:tcPr>
          <w:p w14:paraId="0E19088A"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Triglycerides</w:t>
            </w:r>
          </w:p>
        </w:tc>
        <w:tc>
          <w:tcPr>
            <w:tcW w:w="850" w:type="dxa"/>
            <w:tcBorders>
              <w:top w:val="nil"/>
              <w:left w:val="nil"/>
              <w:bottom w:val="nil"/>
              <w:right w:val="nil"/>
            </w:tcBorders>
            <w:shd w:val="clear" w:color="auto" w:fill="auto"/>
            <w:noWrap/>
            <w:vAlign w:val="center"/>
            <w:hideMark/>
          </w:tcPr>
          <w:p w14:paraId="7169493B" w14:textId="3B1ED752"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107</w:t>
            </w:r>
          </w:p>
        </w:tc>
        <w:tc>
          <w:tcPr>
            <w:tcW w:w="3119" w:type="dxa"/>
            <w:tcBorders>
              <w:top w:val="nil"/>
              <w:left w:val="nil"/>
              <w:bottom w:val="nil"/>
              <w:right w:val="nil"/>
            </w:tcBorders>
            <w:shd w:val="clear" w:color="auto" w:fill="auto"/>
            <w:noWrap/>
            <w:vAlign w:val="center"/>
            <w:hideMark/>
          </w:tcPr>
          <w:p w14:paraId="6F2B57FD"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mg/dL, natural log-transformed</w:t>
            </w:r>
          </w:p>
        </w:tc>
        <w:tc>
          <w:tcPr>
            <w:tcW w:w="1275" w:type="dxa"/>
            <w:tcBorders>
              <w:top w:val="nil"/>
              <w:left w:val="nil"/>
              <w:bottom w:val="nil"/>
              <w:right w:val="nil"/>
            </w:tcBorders>
            <w:shd w:val="clear" w:color="auto" w:fill="auto"/>
            <w:noWrap/>
            <w:vAlign w:val="center"/>
            <w:hideMark/>
          </w:tcPr>
          <w:p w14:paraId="6CDB72FA" w14:textId="29373736"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4.3</w:t>
            </w:r>
          </w:p>
        </w:tc>
        <w:tc>
          <w:tcPr>
            <w:tcW w:w="948" w:type="dxa"/>
            <w:tcBorders>
              <w:top w:val="nil"/>
              <w:left w:val="nil"/>
              <w:bottom w:val="nil"/>
              <w:right w:val="nil"/>
            </w:tcBorders>
            <w:vAlign w:val="center"/>
          </w:tcPr>
          <w:p w14:paraId="6CD82CD0" w14:textId="3C91A02E"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1.25</w:t>
            </w:r>
          </w:p>
        </w:tc>
        <w:tc>
          <w:tcPr>
            <w:tcW w:w="2410" w:type="dxa"/>
            <w:tcBorders>
              <w:top w:val="nil"/>
              <w:left w:val="nil"/>
              <w:bottom w:val="nil"/>
              <w:right w:val="nil"/>
            </w:tcBorders>
            <w:shd w:val="clear" w:color="auto" w:fill="auto"/>
            <w:noWrap/>
            <w:vAlign w:val="center"/>
            <w:hideMark/>
          </w:tcPr>
          <w:p w14:paraId="39D6DA94" w14:textId="55104948"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Klarin D</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5981F5DB"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511,022 individuals</w:t>
            </w:r>
          </w:p>
        </w:tc>
      </w:tr>
      <w:tr w:rsidR="0086380B" w:rsidRPr="00290DF3" w14:paraId="32E95255" w14:textId="77777777" w:rsidTr="00251E4B">
        <w:trPr>
          <w:trHeight w:val="20"/>
          <w:jc w:val="center"/>
        </w:trPr>
        <w:tc>
          <w:tcPr>
            <w:tcW w:w="2978" w:type="dxa"/>
            <w:tcBorders>
              <w:top w:val="nil"/>
              <w:left w:val="nil"/>
              <w:bottom w:val="nil"/>
              <w:right w:val="nil"/>
            </w:tcBorders>
            <w:shd w:val="clear" w:color="auto" w:fill="auto"/>
            <w:vAlign w:val="center"/>
            <w:hideMark/>
          </w:tcPr>
          <w:p w14:paraId="4A4F7C11"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IgE level</w:t>
            </w:r>
          </w:p>
        </w:tc>
        <w:tc>
          <w:tcPr>
            <w:tcW w:w="850" w:type="dxa"/>
            <w:tcBorders>
              <w:top w:val="nil"/>
              <w:left w:val="nil"/>
              <w:bottom w:val="nil"/>
              <w:right w:val="nil"/>
            </w:tcBorders>
            <w:shd w:val="clear" w:color="auto" w:fill="auto"/>
            <w:noWrap/>
            <w:vAlign w:val="center"/>
            <w:hideMark/>
          </w:tcPr>
          <w:p w14:paraId="66578545"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w:t>
            </w:r>
          </w:p>
        </w:tc>
        <w:tc>
          <w:tcPr>
            <w:tcW w:w="3119" w:type="dxa"/>
            <w:tcBorders>
              <w:top w:val="nil"/>
              <w:left w:val="nil"/>
              <w:bottom w:val="nil"/>
              <w:right w:val="nil"/>
            </w:tcBorders>
            <w:shd w:val="clear" w:color="auto" w:fill="auto"/>
            <w:noWrap/>
            <w:vAlign w:val="center"/>
            <w:hideMark/>
          </w:tcPr>
          <w:p w14:paraId="46A093E3"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log10-transformed</w:t>
            </w:r>
          </w:p>
        </w:tc>
        <w:tc>
          <w:tcPr>
            <w:tcW w:w="1275" w:type="dxa"/>
            <w:tcBorders>
              <w:top w:val="nil"/>
              <w:left w:val="nil"/>
              <w:bottom w:val="nil"/>
              <w:right w:val="nil"/>
            </w:tcBorders>
            <w:shd w:val="clear" w:color="auto" w:fill="auto"/>
            <w:noWrap/>
            <w:vAlign w:val="center"/>
            <w:hideMark/>
          </w:tcPr>
          <w:p w14:paraId="195653EB"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1.31</w:t>
            </w:r>
          </w:p>
        </w:tc>
        <w:tc>
          <w:tcPr>
            <w:tcW w:w="948" w:type="dxa"/>
            <w:tcBorders>
              <w:top w:val="nil"/>
              <w:left w:val="nil"/>
              <w:bottom w:val="nil"/>
              <w:right w:val="nil"/>
            </w:tcBorders>
            <w:vAlign w:val="center"/>
          </w:tcPr>
          <w:p w14:paraId="6B191896" w14:textId="00C96415"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1.49</w:t>
            </w:r>
          </w:p>
        </w:tc>
        <w:tc>
          <w:tcPr>
            <w:tcW w:w="2410" w:type="dxa"/>
            <w:tcBorders>
              <w:top w:val="nil"/>
              <w:left w:val="nil"/>
              <w:bottom w:val="nil"/>
              <w:right w:val="nil"/>
            </w:tcBorders>
            <w:shd w:val="clear" w:color="auto" w:fill="auto"/>
            <w:noWrap/>
            <w:vAlign w:val="center"/>
            <w:hideMark/>
          </w:tcPr>
          <w:p w14:paraId="1FDE19CB" w14:textId="3C3C29B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Granada M</w:t>
            </w:r>
            <w:r>
              <w:rPr>
                <w:rFonts w:asciiTheme="minorHAnsi" w:hAnsiTheme="minorHAnsi" w:cstheme="minorHAnsi"/>
                <w:color w:val="000000"/>
                <w:sz w:val="20"/>
                <w:szCs w:val="16"/>
              </w:rPr>
              <w:t>, 2011</w:t>
            </w:r>
          </w:p>
        </w:tc>
        <w:tc>
          <w:tcPr>
            <w:tcW w:w="3163" w:type="dxa"/>
            <w:tcBorders>
              <w:top w:val="nil"/>
              <w:left w:val="nil"/>
              <w:bottom w:val="nil"/>
              <w:right w:val="nil"/>
            </w:tcBorders>
            <w:shd w:val="clear" w:color="auto" w:fill="auto"/>
            <w:vAlign w:val="center"/>
            <w:hideMark/>
          </w:tcPr>
          <w:p w14:paraId="056C9DAB"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14,628 individuals</w:t>
            </w:r>
          </w:p>
        </w:tc>
      </w:tr>
      <w:tr w:rsidR="0086380B" w:rsidRPr="00290DF3" w14:paraId="07691E59" w14:textId="77777777" w:rsidTr="00251E4B">
        <w:trPr>
          <w:trHeight w:val="20"/>
          <w:jc w:val="center"/>
        </w:trPr>
        <w:tc>
          <w:tcPr>
            <w:tcW w:w="2978" w:type="dxa"/>
            <w:tcBorders>
              <w:top w:val="nil"/>
              <w:left w:val="nil"/>
              <w:bottom w:val="nil"/>
              <w:right w:val="nil"/>
            </w:tcBorders>
            <w:shd w:val="clear" w:color="auto" w:fill="auto"/>
            <w:vAlign w:val="center"/>
            <w:hideMark/>
          </w:tcPr>
          <w:p w14:paraId="3C085CF9"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Self-reported allergy</w:t>
            </w:r>
          </w:p>
        </w:tc>
        <w:tc>
          <w:tcPr>
            <w:tcW w:w="850" w:type="dxa"/>
            <w:tcBorders>
              <w:top w:val="nil"/>
              <w:left w:val="nil"/>
              <w:bottom w:val="nil"/>
              <w:right w:val="nil"/>
            </w:tcBorders>
            <w:shd w:val="clear" w:color="auto" w:fill="auto"/>
            <w:noWrap/>
            <w:vAlign w:val="center"/>
            <w:hideMark/>
          </w:tcPr>
          <w:p w14:paraId="27E38AFC" w14:textId="47C72F49"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w:t>
            </w:r>
            <w:r>
              <w:rPr>
                <w:rFonts w:asciiTheme="minorHAnsi" w:hAnsiTheme="minorHAnsi" w:cstheme="minorHAnsi"/>
                <w:color w:val="000000"/>
                <w:sz w:val="20"/>
                <w:szCs w:val="16"/>
              </w:rPr>
              <w:t>3</w:t>
            </w:r>
          </w:p>
        </w:tc>
        <w:tc>
          <w:tcPr>
            <w:tcW w:w="3119" w:type="dxa"/>
            <w:tcBorders>
              <w:top w:val="nil"/>
              <w:left w:val="nil"/>
              <w:bottom w:val="nil"/>
              <w:right w:val="nil"/>
            </w:tcBorders>
            <w:shd w:val="clear" w:color="auto" w:fill="auto"/>
            <w:noWrap/>
            <w:vAlign w:val="center"/>
            <w:hideMark/>
          </w:tcPr>
          <w:p w14:paraId="5F57A6CF" w14:textId="506728ED"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40A7350E" w14:textId="12DF5309"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4.78</w:t>
            </w:r>
          </w:p>
        </w:tc>
        <w:tc>
          <w:tcPr>
            <w:tcW w:w="948" w:type="dxa"/>
            <w:tcBorders>
              <w:top w:val="nil"/>
              <w:left w:val="nil"/>
              <w:bottom w:val="nil"/>
              <w:right w:val="nil"/>
            </w:tcBorders>
            <w:vAlign w:val="center"/>
          </w:tcPr>
          <w:p w14:paraId="3CFDB197" w14:textId="6C53C630"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1.23</w:t>
            </w:r>
          </w:p>
        </w:tc>
        <w:tc>
          <w:tcPr>
            <w:tcW w:w="2410" w:type="dxa"/>
            <w:tcBorders>
              <w:top w:val="nil"/>
              <w:left w:val="nil"/>
              <w:bottom w:val="nil"/>
              <w:right w:val="nil"/>
            </w:tcBorders>
            <w:shd w:val="clear" w:color="auto" w:fill="auto"/>
            <w:noWrap/>
            <w:vAlign w:val="center"/>
            <w:hideMark/>
          </w:tcPr>
          <w:p w14:paraId="69AB3C77" w14:textId="3CD11ACB"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Hinds DA</w:t>
            </w:r>
            <w:r>
              <w:rPr>
                <w:rFonts w:asciiTheme="minorHAnsi" w:hAnsiTheme="minorHAnsi" w:cstheme="minorHAnsi"/>
                <w:color w:val="000000"/>
                <w:sz w:val="20"/>
                <w:szCs w:val="16"/>
              </w:rPr>
              <w:t>, 2013</w:t>
            </w:r>
          </w:p>
        </w:tc>
        <w:tc>
          <w:tcPr>
            <w:tcW w:w="3163" w:type="dxa"/>
            <w:tcBorders>
              <w:top w:val="nil"/>
              <w:left w:val="nil"/>
              <w:bottom w:val="nil"/>
              <w:right w:val="nil"/>
            </w:tcBorders>
            <w:shd w:val="clear" w:color="auto" w:fill="auto"/>
            <w:vAlign w:val="center"/>
            <w:hideMark/>
          </w:tcPr>
          <w:p w14:paraId="2CC4727E"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53,862 individuals</w:t>
            </w:r>
          </w:p>
        </w:tc>
      </w:tr>
      <w:tr w:rsidR="0086380B" w:rsidRPr="00290DF3" w14:paraId="2A49D1C6" w14:textId="77777777" w:rsidTr="00251E4B">
        <w:trPr>
          <w:trHeight w:val="20"/>
          <w:jc w:val="center"/>
        </w:trPr>
        <w:tc>
          <w:tcPr>
            <w:tcW w:w="2978" w:type="dxa"/>
            <w:tcBorders>
              <w:top w:val="nil"/>
              <w:left w:val="nil"/>
              <w:bottom w:val="nil"/>
              <w:right w:val="nil"/>
            </w:tcBorders>
            <w:shd w:val="clear" w:color="auto" w:fill="auto"/>
            <w:vAlign w:val="center"/>
            <w:hideMark/>
          </w:tcPr>
          <w:p w14:paraId="66BDF640"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Atopic dermatitis</w:t>
            </w:r>
          </w:p>
        </w:tc>
        <w:tc>
          <w:tcPr>
            <w:tcW w:w="850" w:type="dxa"/>
            <w:tcBorders>
              <w:top w:val="nil"/>
              <w:left w:val="nil"/>
              <w:bottom w:val="nil"/>
              <w:right w:val="nil"/>
            </w:tcBorders>
            <w:shd w:val="clear" w:color="auto" w:fill="auto"/>
            <w:noWrap/>
            <w:vAlign w:val="center"/>
            <w:hideMark/>
          </w:tcPr>
          <w:p w14:paraId="209CDEC0"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17</w:t>
            </w:r>
          </w:p>
        </w:tc>
        <w:tc>
          <w:tcPr>
            <w:tcW w:w="3119" w:type="dxa"/>
            <w:tcBorders>
              <w:top w:val="nil"/>
              <w:left w:val="nil"/>
              <w:bottom w:val="nil"/>
              <w:right w:val="nil"/>
            </w:tcBorders>
            <w:shd w:val="clear" w:color="auto" w:fill="auto"/>
            <w:noWrap/>
            <w:vAlign w:val="center"/>
            <w:hideMark/>
          </w:tcPr>
          <w:p w14:paraId="3D1A3C00" w14:textId="5228FCA2"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327C9415"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6.28</w:t>
            </w:r>
          </w:p>
        </w:tc>
        <w:tc>
          <w:tcPr>
            <w:tcW w:w="948" w:type="dxa"/>
            <w:tcBorders>
              <w:top w:val="nil"/>
              <w:left w:val="nil"/>
              <w:bottom w:val="nil"/>
              <w:right w:val="nil"/>
            </w:tcBorders>
            <w:vAlign w:val="center"/>
          </w:tcPr>
          <w:p w14:paraId="7A7C5864" w14:textId="18CA756E"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1.20</w:t>
            </w:r>
          </w:p>
        </w:tc>
        <w:tc>
          <w:tcPr>
            <w:tcW w:w="2410" w:type="dxa"/>
            <w:tcBorders>
              <w:top w:val="nil"/>
              <w:left w:val="nil"/>
              <w:bottom w:val="nil"/>
              <w:right w:val="nil"/>
            </w:tcBorders>
            <w:shd w:val="clear" w:color="auto" w:fill="auto"/>
            <w:noWrap/>
            <w:vAlign w:val="center"/>
            <w:hideMark/>
          </w:tcPr>
          <w:p w14:paraId="7049B96D" w14:textId="6B92D182"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Paternoster L</w:t>
            </w:r>
            <w:r>
              <w:rPr>
                <w:rFonts w:asciiTheme="minorHAnsi" w:hAnsiTheme="minorHAnsi" w:cstheme="minorHAnsi"/>
                <w:color w:val="000000"/>
                <w:sz w:val="20"/>
                <w:szCs w:val="16"/>
              </w:rPr>
              <w:t>, 2015</w:t>
            </w:r>
          </w:p>
        </w:tc>
        <w:tc>
          <w:tcPr>
            <w:tcW w:w="3163" w:type="dxa"/>
            <w:tcBorders>
              <w:top w:val="nil"/>
              <w:left w:val="nil"/>
              <w:bottom w:val="nil"/>
              <w:right w:val="nil"/>
            </w:tcBorders>
            <w:shd w:val="clear" w:color="auto" w:fill="auto"/>
            <w:vAlign w:val="center"/>
            <w:hideMark/>
          </w:tcPr>
          <w:p w14:paraId="6ABB30BE"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103,066 individuals</w:t>
            </w:r>
          </w:p>
        </w:tc>
      </w:tr>
      <w:tr w:rsidR="0086380B" w:rsidRPr="00290DF3" w14:paraId="18121655" w14:textId="77777777" w:rsidTr="00251E4B">
        <w:trPr>
          <w:trHeight w:val="20"/>
          <w:jc w:val="center"/>
        </w:trPr>
        <w:tc>
          <w:tcPr>
            <w:tcW w:w="2978" w:type="dxa"/>
            <w:tcBorders>
              <w:top w:val="nil"/>
              <w:left w:val="nil"/>
              <w:bottom w:val="nil"/>
              <w:right w:val="nil"/>
            </w:tcBorders>
            <w:shd w:val="clear" w:color="auto" w:fill="auto"/>
            <w:vAlign w:val="center"/>
            <w:hideMark/>
          </w:tcPr>
          <w:p w14:paraId="6D017038"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Allergic rhinitis</w:t>
            </w:r>
          </w:p>
        </w:tc>
        <w:tc>
          <w:tcPr>
            <w:tcW w:w="850" w:type="dxa"/>
            <w:tcBorders>
              <w:top w:val="nil"/>
              <w:left w:val="nil"/>
              <w:bottom w:val="nil"/>
              <w:right w:val="nil"/>
            </w:tcBorders>
            <w:shd w:val="clear" w:color="auto" w:fill="auto"/>
            <w:noWrap/>
            <w:vAlign w:val="center"/>
            <w:hideMark/>
          </w:tcPr>
          <w:p w14:paraId="6B3B05A2" w14:textId="16F9EF2A"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27</w:t>
            </w:r>
          </w:p>
        </w:tc>
        <w:tc>
          <w:tcPr>
            <w:tcW w:w="3119" w:type="dxa"/>
            <w:tcBorders>
              <w:top w:val="nil"/>
              <w:left w:val="nil"/>
              <w:bottom w:val="nil"/>
              <w:right w:val="nil"/>
            </w:tcBorders>
            <w:shd w:val="clear" w:color="auto" w:fill="auto"/>
            <w:noWrap/>
            <w:vAlign w:val="center"/>
            <w:hideMark/>
          </w:tcPr>
          <w:p w14:paraId="52540A44" w14:textId="50A0758F"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7D1ABAA0" w14:textId="0D58DCD4"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4.</w:t>
            </w:r>
            <w:r>
              <w:rPr>
                <w:rFonts w:asciiTheme="minorHAnsi" w:hAnsiTheme="minorHAnsi" w:cstheme="minorHAnsi"/>
                <w:color w:val="000000"/>
                <w:sz w:val="20"/>
                <w:szCs w:val="16"/>
              </w:rPr>
              <w:t>03</w:t>
            </w:r>
          </w:p>
        </w:tc>
        <w:tc>
          <w:tcPr>
            <w:tcW w:w="948" w:type="dxa"/>
            <w:tcBorders>
              <w:top w:val="nil"/>
              <w:left w:val="nil"/>
              <w:bottom w:val="nil"/>
              <w:right w:val="nil"/>
            </w:tcBorders>
            <w:vAlign w:val="center"/>
          </w:tcPr>
          <w:p w14:paraId="3BD41C96" w14:textId="571B65B2"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1.26</w:t>
            </w:r>
          </w:p>
        </w:tc>
        <w:tc>
          <w:tcPr>
            <w:tcW w:w="2410" w:type="dxa"/>
            <w:tcBorders>
              <w:top w:val="nil"/>
              <w:left w:val="nil"/>
              <w:bottom w:val="nil"/>
              <w:right w:val="nil"/>
            </w:tcBorders>
            <w:shd w:val="clear" w:color="auto" w:fill="auto"/>
            <w:noWrap/>
            <w:vAlign w:val="center"/>
            <w:hideMark/>
          </w:tcPr>
          <w:p w14:paraId="057689DC" w14:textId="0F57F163"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Waage J</w:t>
            </w:r>
            <w:r>
              <w:rPr>
                <w:rFonts w:asciiTheme="minorHAnsi" w:hAnsiTheme="minorHAnsi" w:cstheme="minorHAnsi"/>
                <w:color w:val="000000"/>
                <w:sz w:val="20"/>
                <w:szCs w:val="16"/>
              </w:rPr>
              <w:t>, 2018</w:t>
            </w:r>
          </w:p>
        </w:tc>
        <w:tc>
          <w:tcPr>
            <w:tcW w:w="3163" w:type="dxa"/>
            <w:tcBorders>
              <w:top w:val="nil"/>
              <w:left w:val="nil"/>
              <w:bottom w:val="nil"/>
              <w:right w:val="nil"/>
            </w:tcBorders>
            <w:shd w:val="clear" w:color="auto" w:fill="auto"/>
            <w:vAlign w:val="center"/>
            <w:hideMark/>
          </w:tcPr>
          <w:p w14:paraId="4520D82D"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120,482 cases, 770,885 controls</w:t>
            </w:r>
          </w:p>
        </w:tc>
      </w:tr>
      <w:tr w:rsidR="0086380B" w:rsidRPr="00290DF3" w14:paraId="0D810E0A" w14:textId="77777777" w:rsidTr="00251E4B">
        <w:trPr>
          <w:trHeight w:val="20"/>
          <w:jc w:val="center"/>
        </w:trPr>
        <w:tc>
          <w:tcPr>
            <w:tcW w:w="2978" w:type="dxa"/>
            <w:tcBorders>
              <w:top w:val="nil"/>
              <w:left w:val="nil"/>
              <w:bottom w:val="nil"/>
              <w:right w:val="nil"/>
            </w:tcBorders>
            <w:shd w:val="clear" w:color="auto" w:fill="auto"/>
            <w:vAlign w:val="center"/>
            <w:hideMark/>
          </w:tcPr>
          <w:p w14:paraId="08EF8882"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Asthma</w:t>
            </w:r>
          </w:p>
        </w:tc>
        <w:tc>
          <w:tcPr>
            <w:tcW w:w="850" w:type="dxa"/>
            <w:tcBorders>
              <w:top w:val="nil"/>
              <w:left w:val="nil"/>
              <w:bottom w:val="nil"/>
              <w:right w:val="nil"/>
            </w:tcBorders>
            <w:shd w:val="clear" w:color="auto" w:fill="auto"/>
            <w:noWrap/>
            <w:vAlign w:val="center"/>
            <w:hideMark/>
          </w:tcPr>
          <w:p w14:paraId="68549D98"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53</w:t>
            </w:r>
          </w:p>
        </w:tc>
        <w:tc>
          <w:tcPr>
            <w:tcW w:w="3119" w:type="dxa"/>
            <w:tcBorders>
              <w:top w:val="nil"/>
              <w:left w:val="nil"/>
              <w:bottom w:val="nil"/>
              <w:right w:val="nil"/>
            </w:tcBorders>
            <w:shd w:val="clear" w:color="auto" w:fill="auto"/>
            <w:noWrap/>
            <w:vAlign w:val="center"/>
            <w:hideMark/>
          </w:tcPr>
          <w:p w14:paraId="112EBD2B" w14:textId="10068AEF"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nil"/>
              <w:right w:val="nil"/>
            </w:tcBorders>
            <w:shd w:val="clear" w:color="auto" w:fill="auto"/>
            <w:noWrap/>
            <w:vAlign w:val="center"/>
            <w:hideMark/>
          </w:tcPr>
          <w:p w14:paraId="491BD225"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11.36</w:t>
            </w:r>
          </w:p>
        </w:tc>
        <w:tc>
          <w:tcPr>
            <w:tcW w:w="948" w:type="dxa"/>
            <w:tcBorders>
              <w:top w:val="nil"/>
              <w:left w:val="nil"/>
              <w:bottom w:val="nil"/>
              <w:right w:val="nil"/>
            </w:tcBorders>
            <w:vAlign w:val="center"/>
          </w:tcPr>
          <w:p w14:paraId="29C883A2" w14:textId="43678E98"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1.15</w:t>
            </w:r>
          </w:p>
        </w:tc>
        <w:tc>
          <w:tcPr>
            <w:tcW w:w="2410" w:type="dxa"/>
            <w:tcBorders>
              <w:top w:val="nil"/>
              <w:left w:val="nil"/>
              <w:bottom w:val="nil"/>
              <w:right w:val="nil"/>
            </w:tcBorders>
            <w:shd w:val="clear" w:color="auto" w:fill="auto"/>
            <w:vAlign w:val="center"/>
            <w:hideMark/>
          </w:tcPr>
          <w:p w14:paraId="4B599FC5" w14:textId="5359741E"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Ferreira MAR</w:t>
            </w:r>
            <w:r>
              <w:rPr>
                <w:rFonts w:asciiTheme="minorHAnsi" w:hAnsiTheme="minorHAnsi" w:cstheme="minorHAnsi"/>
                <w:color w:val="000000"/>
                <w:sz w:val="20"/>
                <w:szCs w:val="16"/>
              </w:rPr>
              <w:t>, 2019</w:t>
            </w:r>
          </w:p>
        </w:tc>
        <w:tc>
          <w:tcPr>
            <w:tcW w:w="3163" w:type="dxa"/>
            <w:tcBorders>
              <w:top w:val="nil"/>
              <w:left w:val="nil"/>
              <w:bottom w:val="nil"/>
              <w:right w:val="nil"/>
            </w:tcBorders>
            <w:shd w:val="clear" w:color="auto" w:fill="auto"/>
            <w:vAlign w:val="center"/>
            <w:hideMark/>
          </w:tcPr>
          <w:p w14:paraId="396FB50A"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40,544 cases, 300,671 controls</w:t>
            </w:r>
          </w:p>
        </w:tc>
      </w:tr>
      <w:tr w:rsidR="0086380B" w:rsidRPr="00290DF3" w14:paraId="69695FF3" w14:textId="77777777" w:rsidTr="00251E4B">
        <w:trPr>
          <w:trHeight w:val="20"/>
          <w:jc w:val="center"/>
        </w:trPr>
        <w:tc>
          <w:tcPr>
            <w:tcW w:w="2978" w:type="dxa"/>
            <w:tcBorders>
              <w:top w:val="nil"/>
              <w:left w:val="nil"/>
              <w:bottom w:val="single" w:sz="4" w:space="0" w:color="auto"/>
              <w:right w:val="nil"/>
            </w:tcBorders>
            <w:shd w:val="clear" w:color="auto" w:fill="auto"/>
            <w:vAlign w:val="center"/>
            <w:hideMark/>
          </w:tcPr>
          <w:p w14:paraId="2B043B19" w14:textId="77777777" w:rsidR="00415431" w:rsidRPr="00290DF3" w:rsidRDefault="00415431" w:rsidP="002C3238">
            <w:pPr>
              <w:rPr>
                <w:rFonts w:asciiTheme="minorHAnsi" w:hAnsiTheme="minorHAnsi" w:cstheme="minorHAnsi"/>
                <w:color w:val="000000"/>
                <w:sz w:val="20"/>
                <w:szCs w:val="16"/>
              </w:rPr>
            </w:pPr>
            <w:r w:rsidRPr="00290DF3">
              <w:rPr>
                <w:rFonts w:asciiTheme="minorHAnsi" w:hAnsiTheme="minorHAnsi" w:cstheme="minorHAnsi"/>
                <w:color w:val="000000"/>
                <w:sz w:val="20"/>
                <w:szCs w:val="16"/>
              </w:rPr>
              <w:t>Allergical disease</w:t>
            </w:r>
          </w:p>
        </w:tc>
        <w:tc>
          <w:tcPr>
            <w:tcW w:w="850" w:type="dxa"/>
            <w:tcBorders>
              <w:top w:val="nil"/>
              <w:left w:val="nil"/>
              <w:bottom w:val="single" w:sz="4" w:space="0" w:color="auto"/>
              <w:right w:val="nil"/>
            </w:tcBorders>
            <w:shd w:val="clear" w:color="auto" w:fill="auto"/>
            <w:noWrap/>
            <w:vAlign w:val="center"/>
            <w:hideMark/>
          </w:tcPr>
          <w:p w14:paraId="5C5C0107" w14:textId="10750EDA"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77</w:t>
            </w:r>
          </w:p>
        </w:tc>
        <w:tc>
          <w:tcPr>
            <w:tcW w:w="3119" w:type="dxa"/>
            <w:tcBorders>
              <w:top w:val="nil"/>
              <w:left w:val="nil"/>
              <w:bottom w:val="single" w:sz="4" w:space="0" w:color="auto"/>
              <w:right w:val="nil"/>
            </w:tcBorders>
            <w:shd w:val="clear" w:color="auto" w:fill="auto"/>
            <w:noWrap/>
            <w:vAlign w:val="center"/>
            <w:hideMark/>
          </w:tcPr>
          <w:p w14:paraId="50A0464E" w14:textId="3BDE382C"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log odds</w:t>
            </w:r>
            <w:r>
              <w:rPr>
                <w:rFonts w:asciiTheme="minorHAnsi" w:hAnsiTheme="minorHAnsi" w:cstheme="minorHAnsi"/>
                <w:color w:val="000000"/>
                <w:sz w:val="20"/>
                <w:szCs w:val="16"/>
              </w:rPr>
              <w:t xml:space="preserve"> ratio</w:t>
            </w:r>
          </w:p>
        </w:tc>
        <w:tc>
          <w:tcPr>
            <w:tcW w:w="1275" w:type="dxa"/>
            <w:tcBorders>
              <w:top w:val="nil"/>
              <w:left w:val="nil"/>
              <w:bottom w:val="single" w:sz="4" w:space="0" w:color="auto"/>
              <w:right w:val="nil"/>
            </w:tcBorders>
            <w:shd w:val="clear" w:color="auto" w:fill="auto"/>
            <w:noWrap/>
            <w:vAlign w:val="center"/>
            <w:hideMark/>
          </w:tcPr>
          <w:p w14:paraId="2FB5F33B" w14:textId="3391DE15" w:rsidR="00415431" w:rsidRPr="00290DF3" w:rsidRDefault="00415431" w:rsidP="002C3238">
            <w:pPr>
              <w:jc w:val="center"/>
              <w:rPr>
                <w:rFonts w:asciiTheme="minorHAnsi" w:hAnsiTheme="minorHAnsi" w:cstheme="minorHAnsi"/>
                <w:color w:val="000000"/>
                <w:sz w:val="20"/>
                <w:szCs w:val="16"/>
              </w:rPr>
            </w:pPr>
            <w:r>
              <w:rPr>
                <w:rFonts w:asciiTheme="minorHAnsi" w:hAnsiTheme="minorHAnsi" w:cstheme="minorHAnsi"/>
                <w:color w:val="000000"/>
                <w:sz w:val="20"/>
                <w:szCs w:val="16"/>
              </w:rPr>
              <w:t>6.71</w:t>
            </w:r>
          </w:p>
        </w:tc>
        <w:tc>
          <w:tcPr>
            <w:tcW w:w="948" w:type="dxa"/>
            <w:tcBorders>
              <w:top w:val="nil"/>
              <w:left w:val="nil"/>
              <w:bottom w:val="single" w:sz="4" w:space="0" w:color="auto"/>
              <w:right w:val="nil"/>
            </w:tcBorders>
            <w:vAlign w:val="center"/>
          </w:tcPr>
          <w:p w14:paraId="0BA71436" w14:textId="1D4CA6C9" w:rsidR="00415431" w:rsidRPr="00290DF3" w:rsidRDefault="008F4374" w:rsidP="00415431">
            <w:pPr>
              <w:jc w:val="center"/>
              <w:rPr>
                <w:rFonts w:asciiTheme="minorHAnsi" w:hAnsiTheme="minorHAnsi" w:cstheme="minorHAnsi"/>
                <w:color w:val="000000"/>
                <w:sz w:val="20"/>
                <w:szCs w:val="16"/>
              </w:rPr>
            </w:pPr>
            <w:r>
              <w:rPr>
                <w:rFonts w:asciiTheme="minorHAnsi" w:hAnsiTheme="minorHAnsi" w:cstheme="minorHAnsi"/>
                <w:color w:val="000000"/>
                <w:sz w:val="20"/>
                <w:szCs w:val="16"/>
              </w:rPr>
              <w:t>1.19</w:t>
            </w:r>
          </w:p>
        </w:tc>
        <w:tc>
          <w:tcPr>
            <w:tcW w:w="2410" w:type="dxa"/>
            <w:tcBorders>
              <w:top w:val="nil"/>
              <w:left w:val="nil"/>
              <w:bottom w:val="single" w:sz="4" w:space="0" w:color="auto"/>
              <w:right w:val="nil"/>
            </w:tcBorders>
            <w:shd w:val="clear" w:color="auto" w:fill="auto"/>
            <w:noWrap/>
            <w:vAlign w:val="center"/>
            <w:hideMark/>
          </w:tcPr>
          <w:p w14:paraId="7240F08D" w14:textId="0C6EA470"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Ferreira MA</w:t>
            </w:r>
            <w:r>
              <w:rPr>
                <w:rFonts w:asciiTheme="minorHAnsi" w:hAnsiTheme="minorHAnsi" w:cstheme="minorHAnsi"/>
                <w:color w:val="000000"/>
                <w:sz w:val="20"/>
                <w:szCs w:val="16"/>
              </w:rPr>
              <w:t>, 2017</w:t>
            </w:r>
          </w:p>
        </w:tc>
        <w:tc>
          <w:tcPr>
            <w:tcW w:w="3163" w:type="dxa"/>
            <w:tcBorders>
              <w:top w:val="nil"/>
              <w:left w:val="nil"/>
              <w:bottom w:val="single" w:sz="4" w:space="0" w:color="auto"/>
              <w:right w:val="nil"/>
            </w:tcBorders>
            <w:shd w:val="clear" w:color="auto" w:fill="auto"/>
            <w:vAlign w:val="center"/>
            <w:hideMark/>
          </w:tcPr>
          <w:p w14:paraId="3E088F2C" w14:textId="77777777" w:rsidR="00415431" w:rsidRPr="00290DF3" w:rsidRDefault="00415431" w:rsidP="002C3238">
            <w:pPr>
              <w:jc w:val="center"/>
              <w:rPr>
                <w:rFonts w:asciiTheme="minorHAnsi" w:hAnsiTheme="minorHAnsi" w:cstheme="minorHAnsi"/>
                <w:color w:val="000000"/>
                <w:sz w:val="20"/>
                <w:szCs w:val="16"/>
              </w:rPr>
            </w:pPr>
            <w:r w:rsidRPr="00290DF3">
              <w:rPr>
                <w:rFonts w:asciiTheme="minorHAnsi" w:hAnsiTheme="minorHAnsi" w:cstheme="minorHAnsi"/>
                <w:color w:val="000000"/>
                <w:sz w:val="20"/>
                <w:szCs w:val="16"/>
              </w:rPr>
              <w:t>180,129 cases, 180,709 controls</w:t>
            </w:r>
          </w:p>
        </w:tc>
      </w:tr>
    </w:tbl>
    <w:p w14:paraId="41909AA6" w14:textId="19A3BCC0" w:rsidR="00E07486" w:rsidRPr="00290DF3" w:rsidRDefault="00E07486" w:rsidP="00E07486">
      <w:pPr>
        <w:spacing w:line="200" w:lineRule="atLeast"/>
        <w:jc w:val="both"/>
        <w:rPr>
          <w:rFonts w:ascii="Calibri" w:hAnsi="Calibri" w:cs="Arial"/>
          <w:color w:val="000000"/>
          <w:sz w:val="20"/>
          <w:lang w:val="en-GB"/>
        </w:rPr>
      </w:pPr>
      <w:r w:rsidRPr="00290DF3">
        <w:rPr>
          <w:rFonts w:ascii="Calibri" w:hAnsi="Calibri" w:cs="Arial"/>
          <w:color w:val="000000"/>
          <w:sz w:val="20"/>
          <w:lang w:val="en-GB"/>
        </w:rPr>
        <w:t>HDL = high-density lipoprotein; LDL = low-density lipoprotein;</w:t>
      </w:r>
      <w:bookmarkEnd w:id="57"/>
      <w:bookmarkEnd w:id="58"/>
      <w:r w:rsidRPr="00290DF3">
        <w:rPr>
          <w:rFonts w:ascii="Calibri" w:hAnsi="Calibri" w:cs="Arial"/>
          <w:color w:val="000000"/>
          <w:sz w:val="20"/>
          <w:lang w:val="en-GB"/>
        </w:rPr>
        <w:t xml:space="preserve"> SNP = single nucleotide polymorphism</w:t>
      </w:r>
      <w:r w:rsidRPr="00290DF3">
        <w:rPr>
          <w:rFonts w:ascii="Calibri" w:hAnsi="Calibri" w:cs="Arial" w:hint="eastAsia"/>
          <w:color w:val="000000"/>
          <w:sz w:val="20"/>
          <w:lang w:val="en-GB"/>
        </w:rPr>
        <w:t xml:space="preserve"> </w:t>
      </w:r>
    </w:p>
    <w:p w14:paraId="6389AE8A" w14:textId="411F7766" w:rsidR="00E07486" w:rsidRDefault="00E07486" w:rsidP="00E07486">
      <w:pPr>
        <w:spacing w:line="200" w:lineRule="atLeast"/>
        <w:jc w:val="both"/>
        <w:rPr>
          <w:rFonts w:ascii="Calibri" w:hAnsi="Calibri" w:cs="Arial"/>
          <w:color w:val="000000"/>
          <w:sz w:val="20"/>
          <w:lang w:val="en-GB"/>
        </w:rPr>
      </w:pPr>
      <w:r w:rsidRPr="00290DF3">
        <w:rPr>
          <w:rFonts w:ascii="Calibri" w:hAnsi="Calibri" w:cs="Arial"/>
          <w:color w:val="000000"/>
          <w:sz w:val="20"/>
          <w:lang w:val="en-GB"/>
        </w:rPr>
        <w:t xml:space="preserve">* number of SNPs </w:t>
      </w:r>
      <w:r w:rsidR="00B21E2D">
        <w:rPr>
          <w:rFonts w:ascii="Calibri" w:hAnsi="Calibri" w:cs="Arial"/>
          <w:color w:val="000000"/>
          <w:sz w:val="20"/>
          <w:lang w:val="en-GB"/>
        </w:rPr>
        <w:t xml:space="preserve">for the </w:t>
      </w:r>
      <w:r w:rsidRPr="00290DF3">
        <w:rPr>
          <w:rFonts w:ascii="Calibri" w:hAnsi="Calibri" w:cs="Arial"/>
          <w:color w:val="000000"/>
          <w:sz w:val="20"/>
          <w:lang w:val="en-GB"/>
        </w:rPr>
        <w:t xml:space="preserve">comprehensive </w:t>
      </w:r>
      <w:r w:rsidR="00D87B20">
        <w:rPr>
          <w:rFonts w:ascii="Calibri" w:hAnsi="Calibri" w:cs="Arial"/>
          <w:color w:val="000000"/>
          <w:sz w:val="20"/>
          <w:lang w:val="en-GB"/>
        </w:rPr>
        <w:t>MR</w:t>
      </w:r>
      <w:r w:rsidR="00B21E2D">
        <w:rPr>
          <w:rFonts w:ascii="Calibri" w:hAnsi="Calibri" w:cs="Arial"/>
          <w:color w:val="000000"/>
          <w:sz w:val="20"/>
          <w:lang w:val="en-GB"/>
        </w:rPr>
        <w:t xml:space="preserve"> analyses </w:t>
      </w:r>
      <w:r w:rsidRPr="00290DF3">
        <w:rPr>
          <w:rFonts w:ascii="Calibri" w:hAnsi="Calibri" w:cs="Arial"/>
          <w:color w:val="000000"/>
          <w:sz w:val="20"/>
          <w:lang w:val="en-GB"/>
        </w:rPr>
        <w:t>after ex</w:t>
      </w:r>
      <w:r w:rsidR="00D87B20">
        <w:rPr>
          <w:rFonts w:ascii="Calibri" w:hAnsi="Calibri" w:cs="Arial"/>
          <w:color w:val="000000"/>
          <w:sz w:val="20"/>
          <w:lang w:val="en-GB"/>
        </w:rPr>
        <w:t>c</w:t>
      </w:r>
      <w:r w:rsidRPr="00290DF3">
        <w:rPr>
          <w:rFonts w:ascii="Calibri" w:hAnsi="Calibri" w:cs="Arial"/>
          <w:color w:val="000000"/>
          <w:sz w:val="20"/>
          <w:lang w:val="en-GB"/>
        </w:rPr>
        <w:t xml:space="preserve">lusion </w:t>
      </w:r>
      <w:r w:rsidR="00B21E2D">
        <w:rPr>
          <w:rFonts w:ascii="Calibri" w:hAnsi="Calibri" w:cs="Arial"/>
          <w:color w:val="000000"/>
          <w:sz w:val="20"/>
          <w:lang w:val="en-GB"/>
        </w:rPr>
        <w:t>of departing instruments</w:t>
      </w:r>
      <w:r w:rsidR="00B34EC3">
        <w:rPr>
          <w:rFonts w:ascii="Calibri" w:hAnsi="Calibri" w:cs="Arial"/>
          <w:color w:val="000000"/>
          <w:sz w:val="20"/>
          <w:lang w:val="en-GB"/>
        </w:rPr>
        <w:t xml:space="preserve"> by radial MR</w:t>
      </w:r>
      <w:r w:rsidR="00B21E2D">
        <w:rPr>
          <w:rFonts w:ascii="Calibri" w:hAnsi="Calibri" w:cs="Arial"/>
          <w:color w:val="000000"/>
          <w:sz w:val="20"/>
          <w:lang w:val="en-GB"/>
        </w:rPr>
        <w:t xml:space="preserve"> </w:t>
      </w:r>
    </w:p>
    <w:p w14:paraId="6F34549A" w14:textId="2B5B0F63" w:rsidR="00C42953" w:rsidRPr="00C42953" w:rsidRDefault="00C42953" w:rsidP="00E07486">
      <w:pPr>
        <w:spacing w:line="200" w:lineRule="atLeast"/>
        <w:jc w:val="both"/>
        <w:rPr>
          <w:rFonts w:ascii="Calibri" w:hAnsi="Calibri" w:cs="Arial"/>
          <w:color w:val="000000"/>
          <w:sz w:val="20"/>
        </w:rPr>
      </w:pPr>
      <w:r w:rsidRPr="00C42953">
        <w:rPr>
          <w:rFonts w:ascii="Calibri" w:hAnsi="Calibri" w:cs="Arial" w:hint="eastAsia"/>
          <w:color w:val="000000"/>
          <w:sz w:val="20"/>
          <w:vertAlign w:val="superscript"/>
          <w:lang w:val="en-GB"/>
        </w:rPr>
        <w:t>#</w:t>
      </w:r>
      <w:r>
        <w:rPr>
          <w:rFonts w:ascii="Calibri" w:hAnsi="Calibri" w:cs="Arial"/>
          <w:color w:val="000000"/>
          <w:sz w:val="20"/>
          <w:lang w:val="en-GB"/>
        </w:rPr>
        <w:t xml:space="preserve"> </w:t>
      </w:r>
      <w:r w:rsidRPr="00C42953">
        <w:rPr>
          <w:rFonts w:ascii="Calibri" w:hAnsi="Calibri" w:cs="Arial"/>
          <w:color w:val="000000"/>
          <w:sz w:val="20"/>
          <w:lang w:val="en-GB"/>
        </w:rPr>
        <w:t xml:space="preserve">The minimum </w:t>
      </w:r>
      <w:r w:rsidR="008E1F85">
        <w:rPr>
          <w:rFonts w:ascii="Calibri" w:hAnsi="Calibri" w:cs="Arial"/>
          <w:color w:val="000000"/>
          <w:sz w:val="20"/>
          <w:lang w:val="en-GB"/>
        </w:rPr>
        <w:t xml:space="preserve">detectable </w:t>
      </w:r>
      <w:r w:rsidRPr="00C42953">
        <w:rPr>
          <w:rFonts w:ascii="Calibri" w:hAnsi="Calibri" w:cs="Arial"/>
          <w:color w:val="000000"/>
          <w:sz w:val="20"/>
          <w:lang w:val="en-GB"/>
        </w:rPr>
        <w:t>odds ratio (OR) at an alpha of 0.05</w:t>
      </w:r>
      <w:r>
        <w:rPr>
          <w:rFonts w:ascii="Calibri" w:hAnsi="Calibri" w:cs="Arial"/>
          <w:color w:val="000000"/>
          <w:sz w:val="20"/>
          <w:lang w:val="en-GB"/>
        </w:rPr>
        <w:t xml:space="preserve">, </w:t>
      </w:r>
      <w:r w:rsidRPr="00C42953">
        <w:rPr>
          <w:rFonts w:ascii="Calibri" w:hAnsi="Calibri" w:cs="Arial"/>
          <w:color w:val="000000"/>
          <w:sz w:val="20"/>
          <w:lang w:val="en-GB"/>
        </w:rPr>
        <w:t>with 80% power</w:t>
      </w:r>
      <w:r w:rsidR="008E1F85">
        <w:rPr>
          <w:rFonts w:ascii="Calibri" w:hAnsi="Calibri" w:cs="Arial"/>
          <w:color w:val="000000"/>
          <w:sz w:val="20"/>
          <w:lang w:val="en-GB"/>
        </w:rPr>
        <w:t>, as</w:t>
      </w:r>
      <w:r w:rsidRPr="00C42953">
        <w:rPr>
          <w:rFonts w:ascii="Calibri" w:hAnsi="Calibri" w:cs="Arial"/>
          <w:color w:val="000000"/>
          <w:sz w:val="20"/>
          <w:lang w:val="en-GB"/>
        </w:rPr>
        <w:t xml:space="preserve"> indicated by power calculations</w:t>
      </w:r>
      <w:r w:rsidR="00690248">
        <w:rPr>
          <w:rFonts w:ascii="Calibri" w:hAnsi="Calibri" w:cs="Arial"/>
          <w:color w:val="000000"/>
          <w:sz w:val="20"/>
          <w:lang w:val="en-GB"/>
        </w:rPr>
        <w:t xml:space="preserve"> with the </w:t>
      </w:r>
      <w:r w:rsidR="00690248" w:rsidRPr="00690248">
        <w:rPr>
          <w:rFonts w:ascii="Calibri" w:hAnsi="Calibri" w:cs="Arial"/>
          <w:color w:val="000000"/>
          <w:sz w:val="20"/>
          <w:lang w:val="en-GB"/>
        </w:rPr>
        <w:t>mRnd</w:t>
      </w:r>
      <w:r w:rsidR="00690248">
        <w:rPr>
          <w:rFonts w:ascii="Calibri" w:hAnsi="Calibri" w:cs="Arial"/>
          <w:color w:val="000000"/>
          <w:sz w:val="20"/>
          <w:lang w:val="en-GB"/>
        </w:rPr>
        <w:t xml:space="preserve"> software</w:t>
      </w:r>
      <w:r w:rsidR="00A23E14">
        <w:rPr>
          <w:rFonts w:ascii="Calibri" w:hAnsi="Calibri" w:cs="Arial"/>
          <w:color w:val="000000"/>
          <w:sz w:val="20"/>
          <w:lang w:val="en-GB"/>
        </w:rPr>
        <w:t xml:space="preserve">. The </w:t>
      </w:r>
      <w:r w:rsidR="00A23E14" w:rsidRPr="00C42953">
        <w:rPr>
          <w:rFonts w:ascii="Calibri" w:hAnsi="Calibri" w:cs="Arial"/>
          <w:color w:val="000000"/>
          <w:sz w:val="20"/>
          <w:lang w:val="en-GB"/>
        </w:rPr>
        <w:t xml:space="preserve">minimum </w:t>
      </w:r>
      <w:r w:rsidR="00A23E14">
        <w:rPr>
          <w:rFonts w:ascii="Calibri" w:hAnsi="Calibri" w:cs="Arial"/>
          <w:color w:val="000000"/>
          <w:sz w:val="20"/>
          <w:lang w:val="en-GB"/>
        </w:rPr>
        <w:t xml:space="preserve">detectable OR for </w:t>
      </w:r>
      <w:r w:rsidR="00A23E14">
        <w:rPr>
          <w:rFonts w:asciiTheme="minorHAnsi" w:hAnsiTheme="minorHAnsi" w:cstheme="minorHAnsi"/>
          <w:color w:val="000000"/>
          <w:sz w:val="20"/>
          <w:szCs w:val="16"/>
        </w:rPr>
        <w:t>a</w:t>
      </w:r>
      <w:r w:rsidR="00A23E14" w:rsidRPr="00290DF3">
        <w:rPr>
          <w:rFonts w:asciiTheme="minorHAnsi" w:hAnsiTheme="minorHAnsi" w:cstheme="minorHAnsi"/>
          <w:color w:val="000000"/>
          <w:sz w:val="20"/>
          <w:szCs w:val="16"/>
        </w:rPr>
        <w:t xml:space="preserve">lcohol use disorder </w:t>
      </w:r>
      <w:r w:rsidR="00A23E14">
        <w:rPr>
          <w:rFonts w:ascii="Calibri" w:hAnsi="Calibri" w:cs="Arial"/>
          <w:color w:val="000000"/>
          <w:sz w:val="20"/>
          <w:lang w:val="en-GB"/>
        </w:rPr>
        <w:t>could not be calculated using a power threshold of 80%</w:t>
      </w:r>
    </w:p>
    <w:p w14:paraId="6342220C" w14:textId="78762ADB" w:rsidR="00887776" w:rsidRPr="00290DF3" w:rsidRDefault="00887776" w:rsidP="00E07486">
      <w:pPr>
        <w:spacing w:line="200" w:lineRule="atLeast"/>
        <w:jc w:val="both"/>
        <w:rPr>
          <w:rFonts w:ascii="Calibri" w:hAnsi="Calibri" w:cs="Arial"/>
          <w:color w:val="000000"/>
          <w:sz w:val="20"/>
          <w:lang w:val="en-GB"/>
        </w:rPr>
      </w:pPr>
      <w:r w:rsidRPr="00290DF3">
        <w:rPr>
          <w:rFonts w:asciiTheme="minorHAnsi" w:hAnsiTheme="minorHAnsi" w:cstheme="minorHAnsi"/>
          <w:color w:val="000000"/>
          <w:sz w:val="20"/>
          <w:szCs w:val="16"/>
        </w:rPr>
        <w:t>**</w:t>
      </w:r>
      <w:r>
        <w:rPr>
          <w:rFonts w:asciiTheme="minorHAnsi" w:hAnsiTheme="minorHAnsi" w:cstheme="minorHAnsi"/>
          <w:color w:val="000000"/>
          <w:sz w:val="20"/>
          <w:szCs w:val="16"/>
        </w:rPr>
        <w:t xml:space="preserve"> see supplementary material for complete bibliographical references</w:t>
      </w:r>
    </w:p>
    <w:p w14:paraId="126C436E" w14:textId="77777777" w:rsidR="00E07486" w:rsidRPr="008B600B" w:rsidRDefault="00E07486" w:rsidP="00E07486">
      <w:pPr>
        <w:rPr>
          <w:rFonts w:ascii="Calibri" w:hAnsi="Calibri" w:cs="Arial"/>
          <w:b/>
          <w:sz w:val="18"/>
          <w:szCs w:val="18"/>
        </w:rPr>
      </w:pPr>
      <w:r w:rsidRPr="005D1DD9">
        <w:rPr>
          <w:rFonts w:ascii="Calibri" w:hAnsi="Calibri" w:cs="Arial"/>
          <w:b/>
          <w:sz w:val="18"/>
          <w:szCs w:val="18"/>
          <w:lang w:val="en-GB"/>
        </w:rPr>
        <w:br w:type="page"/>
      </w:r>
    </w:p>
    <w:p w14:paraId="49BAA79B" w14:textId="3A72D076" w:rsidR="00582A7B" w:rsidRPr="00582A7B" w:rsidRDefault="00582A7B" w:rsidP="00582A7B">
      <w:pPr>
        <w:spacing w:line="360" w:lineRule="auto"/>
        <w:rPr>
          <w:rFonts w:ascii="Calibri" w:hAnsi="Calibri" w:cs="Arial"/>
        </w:rPr>
      </w:pPr>
      <w:r w:rsidRPr="00582A7B">
        <w:rPr>
          <w:rFonts w:ascii="Calibri" w:hAnsi="Calibri" w:cs="Arial"/>
          <w:b/>
        </w:rPr>
        <w:lastRenderedPageBreak/>
        <w:t xml:space="preserve">Table 2. </w:t>
      </w:r>
      <w:r>
        <w:rPr>
          <w:rFonts w:ascii="Calibri" w:hAnsi="Calibri" w:cs="Arial"/>
        </w:rPr>
        <w:t>R</w:t>
      </w:r>
      <w:r w:rsidRPr="00582A7B">
        <w:rPr>
          <w:rFonts w:ascii="Calibri" w:hAnsi="Calibri" w:cs="Arial"/>
        </w:rPr>
        <w:t xml:space="preserve">esults </w:t>
      </w:r>
      <w:r w:rsidR="00B34EC3">
        <w:rPr>
          <w:rFonts w:ascii="Calibri" w:hAnsi="Calibri" w:cs="Arial"/>
        </w:rPr>
        <w:t xml:space="preserve">of the </w:t>
      </w:r>
      <w:r w:rsidRPr="00582A7B">
        <w:rPr>
          <w:rFonts w:ascii="Calibri" w:hAnsi="Calibri" w:cs="Arial"/>
        </w:rPr>
        <w:t>comprehensive</w:t>
      </w:r>
      <w:r>
        <w:rPr>
          <w:rFonts w:ascii="Calibri" w:hAnsi="Calibri" w:cs="Arial"/>
        </w:rPr>
        <w:t xml:space="preserve"> </w:t>
      </w:r>
      <w:r w:rsidR="00D01BA8">
        <w:rPr>
          <w:rFonts w:ascii="Calibri" w:hAnsi="Calibri" w:cs="Arial"/>
        </w:rPr>
        <w:t>Mendelian randomization</w:t>
      </w:r>
      <w:r w:rsidR="00B34EC3">
        <w:rPr>
          <w:rFonts w:ascii="Calibri" w:hAnsi="Calibri" w:cs="Arial"/>
        </w:rPr>
        <w:t xml:space="preserve"> analyses</w:t>
      </w:r>
    </w:p>
    <w:tbl>
      <w:tblPr>
        <w:tblW w:w="12616" w:type="dxa"/>
        <w:jc w:val="center"/>
        <w:tblLayout w:type="fixed"/>
        <w:tblLook w:val="04A0" w:firstRow="1" w:lastRow="0" w:firstColumn="1" w:lastColumn="0" w:noHBand="0" w:noVBand="1"/>
      </w:tblPr>
      <w:tblGrid>
        <w:gridCol w:w="2126"/>
        <w:gridCol w:w="680"/>
        <w:gridCol w:w="752"/>
        <w:gridCol w:w="1829"/>
        <w:gridCol w:w="992"/>
        <w:gridCol w:w="1531"/>
        <w:gridCol w:w="992"/>
        <w:gridCol w:w="1163"/>
        <w:gridCol w:w="1842"/>
        <w:gridCol w:w="709"/>
      </w:tblGrid>
      <w:tr w:rsidR="0086380B" w:rsidRPr="00C83CAB" w14:paraId="6847D01E" w14:textId="77777777" w:rsidTr="00251E4B">
        <w:trPr>
          <w:trHeight w:val="20"/>
          <w:jc w:val="center"/>
        </w:trPr>
        <w:tc>
          <w:tcPr>
            <w:tcW w:w="2126" w:type="dxa"/>
            <w:vMerge w:val="restart"/>
            <w:tcBorders>
              <w:top w:val="single" w:sz="4" w:space="0" w:color="auto"/>
              <w:left w:val="nil"/>
              <w:right w:val="nil"/>
            </w:tcBorders>
            <w:shd w:val="clear" w:color="auto" w:fill="auto"/>
            <w:noWrap/>
            <w:vAlign w:val="center"/>
          </w:tcPr>
          <w:p w14:paraId="611C7388"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Exposure</w:t>
            </w:r>
          </w:p>
        </w:tc>
        <w:tc>
          <w:tcPr>
            <w:tcW w:w="680" w:type="dxa"/>
            <w:vMerge w:val="restart"/>
            <w:tcBorders>
              <w:top w:val="single" w:sz="4" w:space="0" w:color="auto"/>
              <w:left w:val="nil"/>
              <w:right w:val="nil"/>
            </w:tcBorders>
            <w:shd w:val="clear" w:color="auto" w:fill="auto"/>
            <w:noWrap/>
            <w:vAlign w:val="center"/>
          </w:tcPr>
          <w:p w14:paraId="1B89232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No. of SNPs</w:t>
            </w:r>
          </w:p>
        </w:tc>
        <w:tc>
          <w:tcPr>
            <w:tcW w:w="3573" w:type="dxa"/>
            <w:gridSpan w:val="3"/>
            <w:tcBorders>
              <w:top w:val="single" w:sz="4" w:space="0" w:color="auto"/>
              <w:left w:val="nil"/>
              <w:bottom w:val="nil"/>
            </w:tcBorders>
            <w:shd w:val="clear" w:color="auto" w:fill="auto"/>
            <w:noWrap/>
            <w:vAlign w:val="center"/>
          </w:tcPr>
          <w:p w14:paraId="7715E3C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Inverse variance weighted</w:t>
            </w:r>
          </w:p>
        </w:tc>
        <w:tc>
          <w:tcPr>
            <w:tcW w:w="2523" w:type="dxa"/>
            <w:gridSpan w:val="2"/>
            <w:tcBorders>
              <w:top w:val="single" w:sz="4" w:space="0" w:color="auto"/>
              <w:bottom w:val="nil"/>
            </w:tcBorders>
            <w:shd w:val="clear" w:color="auto" w:fill="auto"/>
            <w:noWrap/>
            <w:vAlign w:val="center"/>
          </w:tcPr>
          <w:p w14:paraId="1DD0695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Weighted median</w:t>
            </w:r>
          </w:p>
        </w:tc>
        <w:tc>
          <w:tcPr>
            <w:tcW w:w="3714" w:type="dxa"/>
            <w:gridSpan w:val="3"/>
            <w:tcBorders>
              <w:top w:val="single" w:sz="4" w:space="0" w:color="auto"/>
              <w:left w:val="nil"/>
              <w:bottom w:val="nil"/>
              <w:right w:val="nil"/>
            </w:tcBorders>
            <w:shd w:val="clear" w:color="auto" w:fill="auto"/>
            <w:noWrap/>
            <w:vAlign w:val="center"/>
          </w:tcPr>
          <w:p w14:paraId="5F6607D8" w14:textId="3274488A"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MR</w:t>
            </w:r>
            <w:r w:rsidR="00B17438">
              <w:rPr>
                <w:rFonts w:ascii="Calibri" w:hAnsi="Calibri" w:cs="Calibri"/>
                <w:color w:val="000000"/>
                <w:sz w:val="20"/>
                <w:szCs w:val="20"/>
              </w:rPr>
              <w:t>-</w:t>
            </w:r>
            <w:r w:rsidRPr="00C83CAB">
              <w:rPr>
                <w:rFonts w:ascii="Calibri" w:hAnsi="Calibri" w:cs="Calibri"/>
                <w:color w:val="000000"/>
                <w:sz w:val="20"/>
                <w:szCs w:val="20"/>
              </w:rPr>
              <w:t>Egger</w:t>
            </w:r>
          </w:p>
        </w:tc>
      </w:tr>
      <w:tr w:rsidR="0086380B" w:rsidRPr="00C83CAB" w14:paraId="149EDFCE" w14:textId="77777777" w:rsidTr="00251E4B">
        <w:trPr>
          <w:trHeight w:val="20"/>
          <w:jc w:val="center"/>
        </w:trPr>
        <w:tc>
          <w:tcPr>
            <w:tcW w:w="2126" w:type="dxa"/>
            <w:vMerge/>
            <w:tcBorders>
              <w:left w:val="nil"/>
              <w:bottom w:val="single" w:sz="4" w:space="0" w:color="auto"/>
              <w:right w:val="nil"/>
            </w:tcBorders>
            <w:shd w:val="clear" w:color="auto" w:fill="auto"/>
            <w:noWrap/>
            <w:vAlign w:val="center"/>
          </w:tcPr>
          <w:p w14:paraId="26080942" w14:textId="77777777" w:rsidR="00BC3F9F" w:rsidRPr="00C83CAB" w:rsidRDefault="00BC3F9F" w:rsidP="00486EE1">
            <w:pPr>
              <w:jc w:val="both"/>
              <w:rPr>
                <w:rFonts w:ascii="Calibri" w:hAnsi="Calibri" w:cs="Calibri"/>
                <w:color w:val="000000"/>
                <w:sz w:val="20"/>
                <w:szCs w:val="20"/>
              </w:rPr>
            </w:pPr>
          </w:p>
        </w:tc>
        <w:tc>
          <w:tcPr>
            <w:tcW w:w="680" w:type="dxa"/>
            <w:vMerge/>
            <w:tcBorders>
              <w:left w:val="nil"/>
              <w:bottom w:val="single" w:sz="4" w:space="0" w:color="auto"/>
              <w:right w:val="nil"/>
            </w:tcBorders>
            <w:shd w:val="clear" w:color="auto" w:fill="auto"/>
            <w:noWrap/>
            <w:vAlign w:val="center"/>
          </w:tcPr>
          <w:p w14:paraId="1D57F435" w14:textId="77777777" w:rsidR="00BC3F9F" w:rsidRPr="00C83CAB" w:rsidRDefault="00BC3F9F" w:rsidP="00486EE1">
            <w:pPr>
              <w:jc w:val="center"/>
              <w:rPr>
                <w:rFonts w:ascii="Calibri" w:hAnsi="Calibri" w:cs="Calibri"/>
                <w:color w:val="000000"/>
                <w:sz w:val="20"/>
                <w:szCs w:val="20"/>
              </w:rPr>
            </w:pPr>
          </w:p>
        </w:tc>
        <w:tc>
          <w:tcPr>
            <w:tcW w:w="752" w:type="dxa"/>
            <w:tcBorders>
              <w:top w:val="nil"/>
              <w:left w:val="nil"/>
              <w:bottom w:val="single" w:sz="4" w:space="0" w:color="auto"/>
              <w:right w:val="nil"/>
            </w:tcBorders>
            <w:shd w:val="clear" w:color="auto" w:fill="auto"/>
            <w:noWrap/>
            <w:vAlign w:val="center"/>
          </w:tcPr>
          <w:p w14:paraId="524056D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 xml:space="preserve">Q' </w:t>
            </w:r>
            <w:r w:rsidRPr="00C83CAB">
              <w:rPr>
                <w:rFonts w:ascii="Calibri" w:hAnsi="Calibri" w:cs="Calibri"/>
                <w:i/>
                <w:iCs/>
                <w:color w:val="000000"/>
                <w:sz w:val="20"/>
                <w:szCs w:val="20"/>
              </w:rPr>
              <w:t>P</w:t>
            </w:r>
          </w:p>
        </w:tc>
        <w:tc>
          <w:tcPr>
            <w:tcW w:w="1829" w:type="dxa"/>
            <w:tcBorders>
              <w:top w:val="nil"/>
              <w:left w:val="nil"/>
              <w:bottom w:val="single" w:sz="4" w:space="0" w:color="auto"/>
              <w:right w:val="nil"/>
            </w:tcBorders>
            <w:shd w:val="clear" w:color="auto" w:fill="auto"/>
            <w:noWrap/>
            <w:vAlign w:val="center"/>
          </w:tcPr>
          <w:p w14:paraId="094F674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OR</w:t>
            </w:r>
            <w:r>
              <w:rPr>
                <w:rFonts w:ascii="Calibri" w:hAnsi="Calibri" w:cs="Calibri"/>
                <w:color w:val="000000"/>
                <w:sz w:val="20"/>
                <w:szCs w:val="20"/>
              </w:rPr>
              <w:t xml:space="preserve"> </w:t>
            </w:r>
            <w:r w:rsidRPr="00C83CAB">
              <w:rPr>
                <w:rFonts w:ascii="Calibri" w:hAnsi="Calibri" w:cs="Calibri"/>
                <w:color w:val="000000"/>
                <w:sz w:val="20"/>
                <w:szCs w:val="20"/>
              </w:rPr>
              <w:t>(95%CI)</w:t>
            </w:r>
          </w:p>
        </w:tc>
        <w:tc>
          <w:tcPr>
            <w:tcW w:w="992" w:type="dxa"/>
            <w:tcBorders>
              <w:top w:val="nil"/>
              <w:left w:val="nil"/>
              <w:bottom w:val="single" w:sz="4" w:space="0" w:color="auto"/>
            </w:tcBorders>
            <w:vAlign w:val="center"/>
          </w:tcPr>
          <w:p w14:paraId="463A7A25"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i/>
                <w:iCs/>
                <w:color w:val="000000"/>
                <w:sz w:val="20"/>
                <w:szCs w:val="20"/>
              </w:rPr>
              <w:t>P</w:t>
            </w:r>
          </w:p>
        </w:tc>
        <w:tc>
          <w:tcPr>
            <w:tcW w:w="1531" w:type="dxa"/>
            <w:tcBorders>
              <w:top w:val="nil"/>
              <w:bottom w:val="single" w:sz="4" w:space="0" w:color="auto"/>
            </w:tcBorders>
            <w:shd w:val="clear" w:color="auto" w:fill="auto"/>
            <w:noWrap/>
            <w:vAlign w:val="center"/>
          </w:tcPr>
          <w:p w14:paraId="4C6CA55F" w14:textId="6381C19C"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OR</w:t>
            </w:r>
            <w:r w:rsidR="00576336">
              <w:rPr>
                <w:rFonts w:ascii="Calibri" w:hAnsi="Calibri" w:cs="Calibri"/>
                <w:color w:val="000000"/>
                <w:sz w:val="20"/>
                <w:szCs w:val="20"/>
              </w:rPr>
              <w:t xml:space="preserve"> </w:t>
            </w:r>
            <w:r w:rsidRPr="00C83CAB">
              <w:rPr>
                <w:rFonts w:ascii="Calibri" w:hAnsi="Calibri" w:cs="Calibri"/>
                <w:color w:val="000000"/>
                <w:sz w:val="20"/>
                <w:szCs w:val="20"/>
              </w:rPr>
              <w:t>(95%CI)</w:t>
            </w:r>
          </w:p>
        </w:tc>
        <w:tc>
          <w:tcPr>
            <w:tcW w:w="992" w:type="dxa"/>
            <w:tcBorders>
              <w:top w:val="nil"/>
              <w:bottom w:val="single" w:sz="4" w:space="0" w:color="auto"/>
            </w:tcBorders>
            <w:vAlign w:val="center"/>
          </w:tcPr>
          <w:p w14:paraId="7F1115B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i/>
                <w:iCs/>
                <w:color w:val="000000"/>
                <w:sz w:val="20"/>
                <w:szCs w:val="20"/>
              </w:rPr>
              <w:t>P</w:t>
            </w:r>
          </w:p>
        </w:tc>
        <w:tc>
          <w:tcPr>
            <w:tcW w:w="1163" w:type="dxa"/>
            <w:tcBorders>
              <w:top w:val="nil"/>
              <w:left w:val="nil"/>
              <w:bottom w:val="single" w:sz="4" w:space="0" w:color="auto"/>
              <w:right w:val="nil"/>
            </w:tcBorders>
            <w:shd w:val="clear" w:color="auto" w:fill="auto"/>
            <w:noWrap/>
            <w:vAlign w:val="center"/>
          </w:tcPr>
          <w:p w14:paraId="4D7BC08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 xml:space="preserve">Intercept </w:t>
            </w:r>
            <w:r w:rsidRPr="00C83CAB">
              <w:rPr>
                <w:rFonts w:ascii="Calibri" w:hAnsi="Calibri" w:cs="Calibri"/>
                <w:i/>
                <w:iCs/>
                <w:color w:val="000000"/>
                <w:sz w:val="20"/>
                <w:szCs w:val="20"/>
              </w:rPr>
              <w:t>P</w:t>
            </w:r>
          </w:p>
        </w:tc>
        <w:tc>
          <w:tcPr>
            <w:tcW w:w="1842" w:type="dxa"/>
            <w:tcBorders>
              <w:top w:val="nil"/>
              <w:left w:val="nil"/>
              <w:bottom w:val="single" w:sz="4" w:space="0" w:color="auto"/>
              <w:right w:val="nil"/>
            </w:tcBorders>
            <w:shd w:val="clear" w:color="auto" w:fill="auto"/>
            <w:noWrap/>
            <w:vAlign w:val="center"/>
          </w:tcPr>
          <w:p w14:paraId="1F962FB3" w14:textId="03ED788F"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OR</w:t>
            </w:r>
            <w:r w:rsidR="00576336">
              <w:rPr>
                <w:rFonts w:ascii="Calibri" w:hAnsi="Calibri" w:cs="Calibri"/>
                <w:color w:val="000000"/>
                <w:sz w:val="20"/>
                <w:szCs w:val="20"/>
              </w:rPr>
              <w:t xml:space="preserve"> </w:t>
            </w:r>
            <w:r w:rsidRPr="00C83CAB">
              <w:rPr>
                <w:rFonts w:ascii="Calibri" w:hAnsi="Calibri" w:cs="Calibri"/>
                <w:color w:val="000000"/>
                <w:sz w:val="20"/>
                <w:szCs w:val="20"/>
              </w:rPr>
              <w:t>(95%CI)</w:t>
            </w:r>
          </w:p>
        </w:tc>
        <w:tc>
          <w:tcPr>
            <w:tcW w:w="709" w:type="dxa"/>
            <w:tcBorders>
              <w:top w:val="nil"/>
              <w:left w:val="nil"/>
              <w:bottom w:val="single" w:sz="4" w:space="0" w:color="auto"/>
              <w:right w:val="nil"/>
            </w:tcBorders>
            <w:vAlign w:val="center"/>
          </w:tcPr>
          <w:p w14:paraId="5FB0970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i/>
                <w:iCs/>
                <w:color w:val="000000"/>
                <w:sz w:val="20"/>
                <w:szCs w:val="20"/>
              </w:rPr>
              <w:t>P</w:t>
            </w:r>
          </w:p>
        </w:tc>
      </w:tr>
      <w:tr w:rsidR="0086380B" w:rsidRPr="00C83CAB" w14:paraId="1E9A73AF" w14:textId="77777777" w:rsidTr="00251E4B">
        <w:trPr>
          <w:trHeight w:val="20"/>
          <w:jc w:val="center"/>
        </w:trPr>
        <w:tc>
          <w:tcPr>
            <w:tcW w:w="2126" w:type="dxa"/>
            <w:tcBorders>
              <w:top w:val="single" w:sz="4" w:space="0" w:color="auto"/>
              <w:left w:val="nil"/>
              <w:bottom w:val="nil"/>
              <w:right w:val="nil"/>
            </w:tcBorders>
            <w:shd w:val="clear" w:color="auto" w:fill="auto"/>
            <w:noWrap/>
            <w:vAlign w:val="center"/>
            <w:hideMark/>
          </w:tcPr>
          <w:p w14:paraId="2DFCA9C5"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Drinks per week</w:t>
            </w:r>
          </w:p>
        </w:tc>
        <w:tc>
          <w:tcPr>
            <w:tcW w:w="680" w:type="dxa"/>
            <w:tcBorders>
              <w:top w:val="single" w:sz="4" w:space="0" w:color="auto"/>
              <w:left w:val="nil"/>
              <w:bottom w:val="nil"/>
              <w:right w:val="nil"/>
            </w:tcBorders>
            <w:shd w:val="clear" w:color="auto" w:fill="auto"/>
            <w:noWrap/>
            <w:vAlign w:val="center"/>
            <w:hideMark/>
          </w:tcPr>
          <w:p w14:paraId="5109AC6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60</w:t>
            </w:r>
          </w:p>
        </w:tc>
        <w:tc>
          <w:tcPr>
            <w:tcW w:w="752" w:type="dxa"/>
            <w:tcBorders>
              <w:top w:val="single" w:sz="4" w:space="0" w:color="auto"/>
              <w:left w:val="nil"/>
              <w:bottom w:val="nil"/>
              <w:right w:val="nil"/>
            </w:tcBorders>
            <w:shd w:val="clear" w:color="auto" w:fill="auto"/>
            <w:noWrap/>
            <w:vAlign w:val="center"/>
            <w:hideMark/>
          </w:tcPr>
          <w:p w14:paraId="7B28C4D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0.87</w:t>
            </w:r>
          </w:p>
        </w:tc>
        <w:tc>
          <w:tcPr>
            <w:tcW w:w="1829" w:type="dxa"/>
            <w:tcBorders>
              <w:top w:val="single" w:sz="4" w:space="0" w:color="auto"/>
              <w:left w:val="nil"/>
              <w:bottom w:val="nil"/>
              <w:right w:val="nil"/>
            </w:tcBorders>
            <w:shd w:val="clear" w:color="auto" w:fill="auto"/>
            <w:noWrap/>
            <w:vAlign w:val="center"/>
            <w:hideMark/>
          </w:tcPr>
          <w:p w14:paraId="66142D8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1.77</w:t>
            </w:r>
            <w:r>
              <w:rPr>
                <w:rFonts w:ascii="Calibri" w:hAnsi="Calibri" w:cs="Calibri"/>
                <w:color w:val="000000"/>
                <w:sz w:val="20"/>
                <w:szCs w:val="20"/>
              </w:rPr>
              <w:t xml:space="preserve"> </w:t>
            </w:r>
            <w:r w:rsidRPr="00C83CAB">
              <w:rPr>
                <w:rFonts w:ascii="Calibri" w:hAnsi="Calibri" w:cs="Calibri"/>
                <w:color w:val="000000"/>
                <w:sz w:val="20"/>
                <w:szCs w:val="20"/>
              </w:rPr>
              <w:t>(0.98-3.18)</w:t>
            </w:r>
          </w:p>
        </w:tc>
        <w:tc>
          <w:tcPr>
            <w:tcW w:w="992" w:type="dxa"/>
            <w:tcBorders>
              <w:top w:val="single" w:sz="4" w:space="0" w:color="auto"/>
              <w:left w:val="nil"/>
              <w:bottom w:val="nil"/>
            </w:tcBorders>
            <w:vAlign w:val="center"/>
          </w:tcPr>
          <w:p w14:paraId="2F2310D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0.06</w:t>
            </w:r>
          </w:p>
        </w:tc>
        <w:tc>
          <w:tcPr>
            <w:tcW w:w="1531" w:type="dxa"/>
            <w:tcBorders>
              <w:top w:val="single" w:sz="4" w:space="0" w:color="auto"/>
              <w:bottom w:val="nil"/>
            </w:tcBorders>
            <w:shd w:val="clear" w:color="auto" w:fill="auto"/>
            <w:noWrap/>
            <w:vAlign w:val="center"/>
            <w:hideMark/>
          </w:tcPr>
          <w:p w14:paraId="6F492965"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2.21</w:t>
            </w:r>
            <w:r>
              <w:rPr>
                <w:rFonts w:ascii="Calibri" w:hAnsi="Calibri" w:cs="Calibri"/>
                <w:color w:val="000000"/>
                <w:sz w:val="20"/>
                <w:szCs w:val="20"/>
              </w:rPr>
              <w:t xml:space="preserve"> </w:t>
            </w:r>
            <w:r w:rsidRPr="00C83CAB">
              <w:rPr>
                <w:rFonts w:ascii="Calibri" w:hAnsi="Calibri" w:cs="Calibri"/>
                <w:color w:val="000000"/>
                <w:sz w:val="20"/>
                <w:szCs w:val="20"/>
              </w:rPr>
              <w:t>(0.94-5.18)</w:t>
            </w:r>
          </w:p>
        </w:tc>
        <w:tc>
          <w:tcPr>
            <w:tcW w:w="992" w:type="dxa"/>
            <w:tcBorders>
              <w:top w:val="single" w:sz="4" w:space="0" w:color="auto"/>
              <w:bottom w:val="nil"/>
            </w:tcBorders>
            <w:vAlign w:val="center"/>
          </w:tcPr>
          <w:p w14:paraId="64C5F11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0.07</w:t>
            </w:r>
          </w:p>
        </w:tc>
        <w:tc>
          <w:tcPr>
            <w:tcW w:w="1163" w:type="dxa"/>
            <w:tcBorders>
              <w:top w:val="single" w:sz="4" w:space="0" w:color="auto"/>
              <w:left w:val="nil"/>
              <w:bottom w:val="nil"/>
              <w:right w:val="nil"/>
            </w:tcBorders>
            <w:shd w:val="clear" w:color="auto" w:fill="auto"/>
            <w:noWrap/>
            <w:vAlign w:val="center"/>
            <w:hideMark/>
          </w:tcPr>
          <w:p w14:paraId="18BFD54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0.89</w:t>
            </w:r>
          </w:p>
        </w:tc>
        <w:tc>
          <w:tcPr>
            <w:tcW w:w="1842" w:type="dxa"/>
            <w:tcBorders>
              <w:top w:val="single" w:sz="4" w:space="0" w:color="auto"/>
              <w:left w:val="nil"/>
              <w:bottom w:val="nil"/>
              <w:right w:val="nil"/>
            </w:tcBorders>
            <w:shd w:val="clear" w:color="auto" w:fill="auto"/>
            <w:noWrap/>
            <w:vAlign w:val="center"/>
            <w:hideMark/>
          </w:tcPr>
          <w:p w14:paraId="1264F1C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1.58</w:t>
            </w:r>
            <w:r>
              <w:rPr>
                <w:rFonts w:ascii="Calibri" w:hAnsi="Calibri" w:cs="Calibri"/>
                <w:color w:val="000000"/>
                <w:sz w:val="20"/>
                <w:szCs w:val="20"/>
              </w:rPr>
              <w:t xml:space="preserve"> </w:t>
            </w:r>
            <w:r w:rsidRPr="00C83CAB">
              <w:rPr>
                <w:rFonts w:ascii="Calibri" w:hAnsi="Calibri" w:cs="Calibri"/>
                <w:color w:val="000000"/>
                <w:sz w:val="20"/>
                <w:szCs w:val="20"/>
              </w:rPr>
              <w:t>(0.27-9.31)</w:t>
            </w:r>
          </w:p>
        </w:tc>
        <w:tc>
          <w:tcPr>
            <w:tcW w:w="709" w:type="dxa"/>
            <w:tcBorders>
              <w:top w:val="single" w:sz="4" w:space="0" w:color="auto"/>
              <w:left w:val="nil"/>
              <w:bottom w:val="nil"/>
              <w:right w:val="nil"/>
            </w:tcBorders>
            <w:vAlign w:val="center"/>
          </w:tcPr>
          <w:p w14:paraId="459C775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0.62</w:t>
            </w:r>
          </w:p>
        </w:tc>
      </w:tr>
      <w:tr w:rsidR="0086380B" w:rsidRPr="00C83CAB" w14:paraId="1C0CE5C6"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2654D3D2"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Alcohol dependence</w:t>
            </w:r>
          </w:p>
        </w:tc>
        <w:tc>
          <w:tcPr>
            <w:tcW w:w="680" w:type="dxa"/>
            <w:tcBorders>
              <w:top w:val="nil"/>
              <w:left w:val="nil"/>
              <w:bottom w:val="nil"/>
              <w:right w:val="nil"/>
            </w:tcBorders>
            <w:shd w:val="clear" w:color="auto" w:fill="auto"/>
            <w:noWrap/>
            <w:vAlign w:val="center"/>
            <w:hideMark/>
          </w:tcPr>
          <w:p w14:paraId="1F4EF19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3</w:t>
            </w:r>
          </w:p>
        </w:tc>
        <w:tc>
          <w:tcPr>
            <w:tcW w:w="752" w:type="dxa"/>
            <w:tcBorders>
              <w:top w:val="nil"/>
              <w:left w:val="nil"/>
              <w:bottom w:val="nil"/>
              <w:right w:val="nil"/>
            </w:tcBorders>
            <w:shd w:val="clear" w:color="auto" w:fill="auto"/>
            <w:noWrap/>
            <w:vAlign w:val="center"/>
            <w:hideMark/>
          </w:tcPr>
          <w:p w14:paraId="3295E5B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0.62</w:t>
            </w:r>
          </w:p>
        </w:tc>
        <w:tc>
          <w:tcPr>
            <w:tcW w:w="1829" w:type="dxa"/>
            <w:tcBorders>
              <w:top w:val="nil"/>
              <w:left w:val="nil"/>
              <w:bottom w:val="nil"/>
              <w:right w:val="nil"/>
            </w:tcBorders>
            <w:shd w:val="clear" w:color="auto" w:fill="auto"/>
            <w:noWrap/>
            <w:vAlign w:val="center"/>
            <w:hideMark/>
          </w:tcPr>
          <w:p w14:paraId="3B9ABDD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1.07</w:t>
            </w:r>
            <w:r>
              <w:rPr>
                <w:rFonts w:ascii="Calibri" w:hAnsi="Calibri" w:cs="Calibri"/>
                <w:color w:val="000000"/>
                <w:sz w:val="20"/>
                <w:szCs w:val="20"/>
              </w:rPr>
              <w:t xml:space="preserve"> </w:t>
            </w:r>
            <w:r w:rsidRPr="00C83CAB">
              <w:rPr>
                <w:rFonts w:ascii="Calibri" w:hAnsi="Calibri" w:cs="Calibri"/>
                <w:color w:val="000000"/>
                <w:sz w:val="20"/>
                <w:szCs w:val="20"/>
              </w:rPr>
              <w:t>(0.39-2.97)</w:t>
            </w:r>
          </w:p>
        </w:tc>
        <w:tc>
          <w:tcPr>
            <w:tcW w:w="992" w:type="dxa"/>
            <w:tcBorders>
              <w:top w:val="nil"/>
              <w:left w:val="nil"/>
              <w:bottom w:val="nil"/>
            </w:tcBorders>
            <w:vAlign w:val="center"/>
          </w:tcPr>
          <w:p w14:paraId="3A713CC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0.89</w:t>
            </w:r>
          </w:p>
        </w:tc>
        <w:tc>
          <w:tcPr>
            <w:tcW w:w="1531" w:type="dxa"/>
            <w:tcBorders>
              <w:top w:val="nil"/>
              <w:bottom w:val="nil"/>
              <w:right w:val="nil"/>
            </w:tcBorders>
            <w:shd w:val="clear" w:color="auto" w:fill="auto"/>
            <w:noWrap/>
            <w:vAlign w:val="center"/>
            <w:hideMark/>
          </w:tcPr>
          <w:p w14:paraId="2535015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1.08</w:t>
            </w:r>
            <w:r>
              <w:rPr>
                <w:rFonts w:ascii="Calibri" w:hAnsi="Calibri" w:cs="Calibri"/>
                <w:color w:val="000000"/>
                <w:sz w:val="20"/>
                <w:szCs w:val="20"/>
              </w:rPr>
              <w:t xml:space="preserve"> </w:t>
            </w:r>
            <w:r w:rsidRPr="00C83CAB">
              <w:rPr>
                <w:rFonts w:ascii="Calibri" w:hAnsi="Calibri" w:cs="Calibri"/>
                <w:color w:val="000000"/>
                <w:sz w:val="20"/>
                <w:szCs w:val="20"/>
              </w:rPr>
              <w:t>(0.36-3.23)</w:t>
            </w:r>
          </w:p>
        </w:tc>
        <w:tc>
          <w:tcPr>
            <w:tcW w:w="992" w:type="dxa"/>
            <w:tcBorders>
              <w:top w:val="nil"/>
              <w:left w:val="nil"/>
              <w:bottom w:val="nil"/>
            </w:tcBorders>
            <w:vAlign w:val="center"/>
          </w:tcPr>
          <w:p w14:paraId="7D826F0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0.89</w:t>
            </w:r>
          </w:p>
        </w:tc>
        <w:tc>
          <w:tcPr>
            <w:tcW w:w="1163" w:type="dxa"/>
            <w:tcBorders>
              <w:top w:val="nil"/>
              <w:left w:val="nil"/>
              <w:bottom w:val="nil"/>
              <w:right w:val="nil"/>
            </w:tcBorders>
            <w:shd w:val="clear" w:color="auto" w:fill="auto"/>
            <w:noWrap/>
            <w:vAlign w:val="center"/>
            <w:hideMark/>
          </w:tcPr>
          <w:p w14:paraId="0FE95CD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0.65</w:t>
            </w:r>
          </w:p>
        </w:tc>
        <w:tc>
          <w:tcPr>
            <w:tcW w:w="1842" w:type="dxa"/>
            <w:tcBorders>
              <w:top w:val="nil"/>
              <w:left w:val="nil"/>
              <w:bottom w:val="nil"/>
              <w:right w:val="nil"/>
            </w:tcBorders>
            <w:shd w:val="clear" w:color="auto" w:fill="auto"/>
            <w:noWrap/>
            <w:vAlign w:val="center"/>
            <w:hideMark/>
          </w:tcPr>
          <w:p w14:paraId="069C92E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0.40</w:t>
            </w:r>
            <w:r>
              <w:rPr>
                <w:rFonts w:ascii="Calibri" w:hAnsi="Calibri" w:cs="Calibri"/>
                <w:color w:val="000000"/>
                <w:sz w:val="20"/>
                <w:szCs w:val="20"/>
              </w:rPr>
              <w:t xml:space="preserve"> </w:t>
            </w:r>
            <w:r w:rsidRPr="00C83CAB">
              <w:rPr>
                <w:rFonts w:ascii="Calibri" w:hAnsi="Calibri" w:cs="Calibri"/>
                <w:color w:val="000000"/>
                <w:sz w:val="20"/>
                <w:szCs w:val="20"/>
              </w:rPr>
              <w:t>(0.02-10.45)</w:t>
            </w:r>
          </w:p>
        </w:tc>
        <w:tc>
          <w:tcPr>
            <w:tcW w:w="709" w:type="dxa"/>
            <w:tcBorders>
              <w:top w:val="nil"/>
              <w:left w:val="nil"/>
              <w:bottom w:val="nil"/>
              <w:right w:val="nil"/>
            </w:tcBorders>
            <w:vAlign w:val="center"/>
          </w:tcPr>
          <w:p w14:paraId="3FBBA09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0.68</w:t>
            </w:r>
          </w:p>
        </w:tc>
      </w:tr>
      <w:tr w:rsidR="0086380B" w:rsidRPr="00C83CAB" w14:paraId="2530CD23"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35D7AEC1"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Alcohol use disorder</w:t>
            </w:r>
          </w:p>
        </w:tc>
        <w:tc>
          <w:tcPr>
            <w:tcW w:w="680" w:type="dxa"/>
            <w:tcBorders>
              <w:top w:val="nil"/>
              <w:left w:val="nil"/>
              <w:bottom w:val="nil"/>
              <w:right w:val="nil"/>
            </w:tcBorders>
            <w:shd w:val="clear" w:color="auto" w:fill="auto"/>
            <w:noWrap/>
            <w:vAlign w:val="center"/>
            <w:hideMark/>
          </w:tcPr>
          <w:p w14:paraId="2E57E31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3</w:t>
            </w:r>
          </w:p>
        </w:tc>
        <w:tc>
          <w:tcPr>
            <w:tcW w:w="752" w:type="dxa"/>
            <w:tcBorders>
              <w:top w:val="nil"/>
              <w:left w:val="nil"/>
              <w:bottom w:val="nil"/>
              <w:right w:val="nil"/>
            </w:tcBorders>
            <w:shd w:val="clear" w:color="auto" w:fill="auto"/>
            <w:noWrap/>
            <w:vAlign w:val="center"/>
            <w:hideMark/>
          </w:tcPr>
          <w:p w14:paraId="7CAF3C3F" w14:textId="77777777" w:rsidR="00BC3F9F" w:rsidRPr="00C83CAB" w:rsidRDefault="00BC3F9F" w:rsidP="00486EE1">
            <w:pPr>
              <w:jc w:val="center"/>
              <w:rPr>
                <w:rFonts w:ascii="Calibri" w:hAnsi="Calibri" w:cs="Calibri"/>
                <w:b/>
                <w:bCs/>
                <w:color w:val="000000"/>
                <w:sz w:val="20"/>
                <w:szCs w:val="20"/>
              </w:rPr>
            </w:pPr>
            <w:r w:rsidRPr="00C83CAB">
              <w:rPr>
                <w:rFonts w:ascii="Calibri" w:hAnsi="Calibri" w:cs="Calibri"/>
                <w:b/>
                <w:bCs/>
                <w:color w:val="000000"/>
                <w:sz w:val="20"/>
                <w:szCs w:val="20"/>
              </w:rPr>
              <w:t>0.01</w:t>
            </w:r>
          </w:p>
        </w:tc>
        <w:tc>
          <w:tcPr>
            <w:tcW w:w="1829" w:type="dxa"/>
            <w:tcBorders>
              <w:top w:val="nil"/>
              <w:left w:val="nil"/>
              <w:bottom w:val="nil"/>
              <w:right w:val="nil"/>
            </w:tcBorders>
            <w:shd w:val="clear" w:color="auto" w:fill="auto"/>
            <w:noWrap/>
            <w:vAlign w:val="center"/>
            <w:hideMark/>
          </w:tcPr>
          <w:p w14:paraId="69A72FC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0.34</w:t>
            </w:r>
            <w:r>
              <w:rPr>
                <w:rFonts w:ascii="Calibri" w:hAnsi="Calibri" w:cs="Calibri"/>
                <w:color w:val="000000"/>
                <w:sz w:val="20"/>
                <w:szCs w:val="20"/>
              </w:rPr>
              <w:t xml:space="preserve"> </w:t>
            </w:r>
            <w:r w:rsidRPr="00C83CAB">
              <w:rPr>
                <w:rFonts w:ascii="Calibri" w:hAnsi="Calibri" w:cs="Calibri"/>
                <w:color w:val="000000"/>
                <w:sz w:val="20"/>
                <w:szCs w:val="20"/>
              </w:rPr>
              <w:t>(</w:t>
            </w:r>
            <w:r>
              <w:rPr>
                <w:rFonts w:ascii="Calibri" w:hAnsi="Calibri" w:cs="Calibri"/>
                <w:color w:val="000000"/>
                <w:sz w:val="20"/>
                <w:szCs w:val="20"/>
              </w:rPr>
              <w:t>&lt;</w:t>
            </w:r>
            <w:r w:rsidRPr="00C83CAB">
              <w:rPr>
                <w:rFonts w:ascii="Calibri" w:hAnsi="Calibri" w:cs="Calibri"/>
                <w:color w:val="000000"/>
                <w:sz w:val="20"/>
                <w:szCs w:val="20"/>
              </w:rPr>
              <w:t>0.0</w:t>
            </w:r>
            <w:r>
              <w:rPr>
                <w:rFonts w:ascii="Calibri" w:hAnsi="Calibri" w:cs="Calibri"/>
                <w:color w:val="000000"/>
                <w:sz w:val="20"/>
                <w:szCs w:val="20"/>
              </w:rPr>
              <w:t>1</w:t>
            </w:r>
            <w:r w:rsidRPr="00C83CAB">
              <w:rPr>
                <w:rFonts w:ascii="Calibri" w:hAnsi="Calibri" w:cs="Calibri"/>
                <w:color w:val="000000"/>
                <w:sz w:val="20"/>
                <w:szCs w:val="20"/>
              </w:rPr>
              <w:t>-60.41)</w:t>
            </w:r>
          </w:p>
        </w:tc>
        <w:tc>
          <w:tcPr>
            <w:tcW w:w="992" w:type="dxa"/>
            <w:tcBorders>
              <w:top w:val="nil"/>
              <w:left w:val="nil"/>
              <w:bottom w:val="nil"/>
            </w:tcBorders>
            <w:vAlign w:val="center"/>
          </w:tcPr>
          <w:p w14:paraId="4DDFC41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0.68</w:t>
            </w:r>
          </w:p>
        </w:tc>
        <w:tc>
          <w:tcPr>
            <w:tcW w:w="1531" w:type="dxa"/>
            <w:tcBorders>
              <w:top w:val="nil"/>
              <w:bottom w:val="nil"/>
              <w:right w:val="nil"/>
            </w:tcBorders>
            <w:shd w:val="clear" w:color="auto" w:fill="auto"/>
            <w:noWrap/>
            <w:vAlign w:val="center"/>
            <w:hideMark/>
          </w:tcPr>
          <w:p w14:paraId="1C73BE4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0.19</w:t>
            </w:r>
            <w:r>
              <w:rPr>
                <w:rFonts w:ascii="Calibri" w:hAnsi="Calibri" w:cs="Calibri"/>
                <w:color w:val="000000"/>
                <w:sz w:val="20"/>
                <w:szCs w:val="20"/>
              </w:rPr>
              <w:t xml:space="preserve"> </w:t>
            </w:r>
            <w:r w:rsidRPr="00C83CAB">
              <w:rPr>
                <w:rFonts w:ascii="Calibri" w:hAnsi="Calibri" w:cs="Calibri"/>
                <w:color w:val="000000"/>
                <w:sz w:val="20"/>
                <w:szCs w:val="20"/>
              </w:rPr>
              <w:t>(0.01-2.40)</w:t>
            </w:r>
          </w:p>
        </w:tc>
        <w:tc>
          <w:tcPr>
            <w:tcW w:w="992" w:type="dxa"/>
            <w:tcBorders>
              <w:top w:val="nil"/>
              <w:left w:val="nil"/>
              <w:bottom w:val="nil"/>
            </w:tcBorders>
            <w:vAlign w:val="center"/>
          </w:tcPr>
          <w:p w14:paraId="1F570AD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0.20</w:t>
            </w:r>
          </w:p>
        </w:tc>
        <w:tc>
          <w:tcPr>
            <w:tcW w:w="1163" w:type="dxa"/>
            <w:tcBorders>
              <w:top w:val="nil"/>
              <w:left w:val="nil"/>
              <w:bottom w:val="nil"/>
              <w:right w:val="nil"/>
            </w:tcBorders>
            <w:shd w:val="clear" w:color="auto" w:fill="auto"/>
            <w:noWrap/>
            <w:vAlign w:val="center"/>
            <w:hideMark/>
          </w:tcPr>
          <w:p w14:paraId="6947FFF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0.91</w:t>
            </w:r>
          </w:p>
        </w:tc>
        <w:tc>
          <w:tcPr>
            <w:tcW w:w="1842" w:type="dxa"/>
            <w:tcBorders>
              <w:top w:val="nil"/>
              <w:left w:val="nil"/>
              <w:bottom w:val="nil"/>
              <w:right w:val="nil"/>
            </w:tcBorders>
            <w:shd w:val="clear" w:color="auto" w:fill="auto"/>
            <w:noWrap/>
            <w:vAlign w:val="center"/>
            <w:hideMark/>
          </w:tcPr>
          <w:p w14:paraId="0A34B95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0.71</w:t>
            </w:r>
            <w:r>
              <w:rPr>
                <w:rFonts w:ascii="Calibri" w:hAnsi="Calibri" w:cs="Calibri"/>
                <w:color w:val="000000"/>
                <w:sz w:val="20"/>
                <w:szCs w:val="20"/>
              </w:rPr>
              <w:t xml:space="preserve"> </w:t>
            </w:r>
            <w:r w:rsidRPr="00C83CAB">
              <w:rPr>
                <w:rFonts w:ascii="Calibri" w:hAnsi="Calibri" w:cs="Calibri"/>
                <w:color w:val="000000"/>
                <w:sz w:val="20"/>
                <w:szCs w:val="20"/>
              </w:rPr>
              <w:t>(</w:t>
            </w:r>
            <w:r>
              <w:rPr>
                <w:rFonts w:ascii="Calibri" w:hAnsi="Calibri" w:cs="Calibri"/>
                <w:color w:val="000000"/>
                <w:sz w:val="20"/>
                <w:szCs w:val="20"/>
              </w:rPr>
              <w:t>&lt;</w:t>
            </w:r>
            <w:r w:rsidRPr="00C83CAB">
              <w:rPr>
                <w:rFonts w:ascii="Calibri" w:hAnsi="Calibri" w:cs="Calibri"/>
                <w:color w:val="000000"/>
                <w:sz w:val="20"/>
                <w:szCs w:val="20"/>
              </w:rPr>
              <w:t>0</w:t>
            </w:r>
            <w:r>
              <w:rPr>
                <w:rFonts w:ascii="Calibri" w:hAnsi="Calibri" w:cs="Calibri"/>
                <w:color w:val="000000"/>
                <w:sz w:val="20"/>
                <w:szCs w:val="20"/>
              </w:rPr>
              <w:t>.01</w:t>
            </w:r>
            <w:r w:rsidRPr="00C83CAB">
              <w:rPr>
                <w:rFonts w:ascii="Calibri" w:hAnsi="Calibri" w:cs="Calibri"/>
                <w:color w:val="000000"/>
                <w:sz w:val="20"/>
                <w:szCs w:val="20"/>
              </w:rPr>
              <w:t>-254973.04)</w:t>
            </w:r>
          </w:p>
        </w:tc>
        <w:tc>
          <w:tcPr>
            <w:tcW w:w="709" w:type="dxa"/>
            <w:tcBorders>
              <w:top w:val="nil"/>
              <w:left w:val="nil"/>
              <w:bottom w:val="nil"/>
              <w:right w:val="nil"/>
            </w:tcBorders>
            <w:vAlign w:val="center"/>
          </w:tcPr>
          <w:p w14:paraId="23B656E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0.97</w:t>
            </w:r>
          </w:p>
        </w:tc>
      </w:tr>
      <w:tr w:rsidR="0086380B" w:rsidRPr="00C83CAB" w14:paraId="5D5FFF30"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5C3A7CCC"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Cigarettes per day</w:t>
            </w:r>
          </w:p>
        </w:tc>
        <w:tc>
          <w:tcPr>
            <w:tcW w:w="680" w:type="dxa"/>
            <w:tcBorders>
              <w:top w:val="nil"/>
              <w:left w:val="nil"/>
              <w:bottom w:val="nil"/>
              <w:right w:val="nil"/>
            </w:tcBorders>
            <w:shd w:val="clear" w:color="auto" w:fill="auto"/>
            <w:noWrap/>
            <w:vAlign w:val="center"/>
            <w:hideMark/>
          </w:tcPr>
          <w:p w14:paraId="4AD28A15"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36</w:t>
            </w:r>
          </w:p>
        </w:tc>
        <w:tc>
          <w:tcPr>
            <w:tcW w:w="752" w:type="dxa"/>
            <w:tcBorders>
              <w:top w:val="nil"/>
              <w:left w:val="nil"/>
              <w:bottom w:val="nil"/>
              <w:right w:val="nil"/>
            </w:tcBorders>
            <w:shd w:val="clear" w:color="auto" w:fill="auto"/>
            <w:noWrap/>
            <w:vAlign w:val="center"/>
            <w:hideMark/>
          </w:tcPr>
          <w:p w14:paraId="0A0817A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0.12</w:t>
            </w:r>
          </w:p>
        </w:tc>
        <w:tc>
          <w:tcPr>
            <w:tcW w:w="1829" w:type="dxa"/>
            <w:tcBorders>
              <w:top w:val="nil"/>
              <w:left w:val="nil"/>
              <w:bottom w:val="nil"/>
              <w:right w:val="nil"/>
            </w:tcBorders>
            <w:shd w:val="clear" w:color="auto" w:fill="auto"/>
            <w:noWrap/>
            <w:vAlign w:val="center"/>
            <w:hideMark/>
          </w:tcPr>
          <w:p w14:paraId="73803B3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1.05</w:t>
            </w:r>
            <w:r>
              <w:rPr>
                <w:rFonts w:ascii="Calibri" w:hAnsi="Calibri" w:cs="Calibri"/>
                <w:color w:val="000000"/>
                <w:sz w:val="20"/>
                <w:szCs w:val="20"/>
              </w:rPr>
              <w:t xml:space="preserve"> </w:t>
            </w:r>
            <w:r w:rsidRPr="00C83CAB">
              <w:rPr>
                <w:rFonts w:ascii="Calibri" w:hAnsi="Calibri" w:cs="Calibri"/>
                <w:color w:val="000000"/>
                <w:sz w:val="20"/>
                <w:szCs w:val="20"/>
              </w:rPr>
              <w:t>(0.73-1.51)</w:t>
            </w:r>
          </w:p>
        </w:tc>
        <w:tc>
          <w:tcPr>
            <w:tcW w:w="992" w:type="dxa"/>
            <w:tcBorders>
              <w:top w:val="nil"/>
              <w:left w:val="nil"/>
              <w:bottom w:val="nil"/>
            </w:tcBorders>
            <w:vAlign w:val="center"/>
          </w:tcPr>
          <w:p w14:paraId="196C3C6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0.78</w:t>
            </w:r>
          </w:p>
        </w:tc>
        <w:tc>
          <w:tcPr>
            <w:tcW w:w="1531" w:type="dxa"/>
            <w:tcBorders>
              <w:top w:val="nil"/>
              <w:bottom w:val="nil"/>
              <w:right w:val="nil"/>
            </w:tcBorders>
            <w:shd w:val="clear" w:color="auto" w:fill="auto"/>
            <w:noWrap/>
            <w:vAlign w:val="center"/>
            <w:hideMark/>
          </w:tcPr>
          <w:p w14:paraId="6856988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0.95</w:t>
            </w:r>
            <w:r>
              <w:rPr>
                <w:rFonts w:ascii="Calibri" w:hAnsi="Calibri" w:cs="Calibri"/>
                <w:color w:val="000000"/>
                <w:sz w:val="20"/>
                <w:szCs w:val="20"/>
              </w:rPr>
              <w:t xml:space="preserve"> </w:t>
            </w:r>
            <w:r w:rsidRPr="00C83CAB">
              <w:rPr>
                <w:rFonts w:ascii="Calibri" w:hAnsi="Calibri" w:cs="Calibri"/>
                <w:color w:val="000000"/>
                <w:sz w:val="20"/>
                <w:szCs w:val="20"/>
              </w:rPr>
              <w:t>(0.60-1.50)</w:t>
            </w:r>
          </w:p>
        </w:tc>
        <w:tc>
          <w:tcPr>
            <w:tcW w:w="992" w:type="dxa"/>
            <w:tcBorders>
              <w:top w:val="nil"/>
              <w:left w:val="nil"/>
              <w:bottom w:val="nil"/>
            </w:tcBorders>
            <w:vAlign w:val="center"/>
          </w:tcPr>
          <w:p w14:paraId="5D26741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0.82</w:t>
            </w:r>
          </w:p>
        </w:tc>
        <w:tc>
          <w:tcPr>
            <w:tcW w:w="1163" w:type="dxa"/>
            <w:tcBorders>
              <w:top w:val="nil"/>
              <w:left w:val="nil"/>
              <w:bottom w:val="nil"/>
              <w:right w:val="nil"/>
            </w:tcBorders>
            <w:shd w:val="clear" w:color="auto" w:fill="auto"/>
            <w:noWrap/>
            <w:vAlign w:val="center"/>
            <w:hideMark/>
          </w:tcPr>
          <w:p w14:paraId="273FA82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0.85</w:t>
            </w:r>
          </w:p>
        </w:tc>
        <w:tc>
          <w:tcPr>
            <w:tcW w:w="1842" w:type="dxa"/>
            <w:tcBorders>
              <w:top w:val="nil"/>
              <w:left w:val="nil"/>
              <w:bottom w:val="nil"/>
              <w:right w:val="nil"/>
            </w:tcBorders>
            <w:shd w:val="clear" w:color="auto" w:fill="auto"/>
            <w:noWrap/>
            <w:vAlign w:val="center"/>
            <w:hideMark/>
          </w:tcPr>
          <w:p w14:paraId="5022192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1.00</w:t>
            </w:r>
            <w:r>
              <w:rPr>
                <w:rFonts w:ascii="Calibri" w:hAnsi="Calibri" w:cs="Calibri"/>
                <w:color w:val="000000"/>
                <w:sz w:val="20"/>
                <w:szCs w:val="20"/>
              </w:rPr>
              <w:t xml:space="preserve"> </w:t>
            </w:r>
            <w:r w:rsidRPr="00C83CAB">
              <w:rPr>
                <w:rFonts w:ascii="Calibri" w:hAnsi="Calibri" w:cs="Calibri"/>
                <w:color w:val="000000"/>
                <w:sz w:val="20"/>
                <w:szCs w:val="20"/>
              </w:rPr>
              <w:t>(0.53-1.88)</w:t>
            </w:r>
          </w:p>
        </w:tc>
        <w:tc>
          <w:tcPr>
            <w:tcW w:w="709" w:type="dxa"/>
            <w:tcBorders>
              <w:top w:val="nil"/>
              <w:left w:val="nil"/>
              <w:bottom w:val="nil"/>
              <w:right w:val="nil"/>
            </w:tcBorders>
            <w:vAlign w:val="center"/>
          </w:tcPr>
          <w:p w14:paraId="472B261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1.00</w:t>
            </w:r>
          </w:p>
        </w:tc>
      </w:tr>
      <w:tr w:rsidR="0086380B" w:rsidRPr="00C83CAB" w14:paraId="23993342"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46CDCA4D"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Smoking initiation</w:t>
            </w:r>
          </w:p>
        </w:tc>
        <w:tc>
          <w:tcPr>
            <w:tcW w:w="680" w:type="dxa"/>
            <w:tcBorders>
              <w:top w:val="nil"/>
              <w:left w:val="nil"/>
              <w:bottom w:val="nil"/>
              <w:right w:val="nil"/>
            </w:tcBorders>
            <w:shd w:val="clear" w:color="auto" w:fill="auto"/>
            <w:noWrap/>
            <w:vAlign w:val="center"/>
            <w:hideMark/>
          </w:tcPr>
          <w:p w14:paraId="5FD6BB1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188</w:t>
            </w:r>
          </w:p>
        </w:tc>
        <w:tc>
          <w:tcPr>
            <w:tcW w:w="752" w:type="dxa"/>
            <w:tcBorders>
              <w:top w:val="nil"/>
              <w:left w:val="nil"/>
              <w:bottom w:val="nil"/>
              <w:right w:val="nil"/>
            </w:tcBorders>
            <w:shd w:val="clear" w:color="auto" w:fill="auto"/>
            <w:noWrap/>
            <w:vAlign w:val="center"/>
            <w:hideMark/>
          </w:tcPr>
          <w:p w14:paraId="4BD480B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0.80</w:t>
            </w:r>
          </w:p>
        </w:tc>
        <w:tc>
          <w:tcPr>
            <w:tcW w:w="1829" w:type="dxa"/>
            <w:tcBorders>
              <w:top w:val="nil"/>
              <w:left w:val="nil"/>
              <w:bottom w:val="nil"/>
              <w:right w:val="nil"/>
            </w:tcBorders>
            <w:shd w:val="clear" w:color="auto" w:fill="auto"/>
            <w:noWrap/>
            <w:vAlign w:val="center"/>
            <w:hideMark/>
          </w:tcPr>
          <w:p w14:paraId="325B46D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1.04</w:t>
            </w:r>
            <w:r>
              <w:rPr>
                <w:rFonts w:ascii="Calibri" w:hAnsi="Calibri" w:cs="Calibri"/>
                <w:color w:val="000000"/>
                <w:sz w:val="20"/>
                <w:szCs w:val="20"/>
              </w:rPr>
              <w:t xml:space="preserve"> </w:t>
            </w:r>
            <w:r w:rsidRPr="00C83CAB">
              <w:rPr>
                <w:rFonts w:ascii="Calibri" w:hAnsi="Calibri" w:cs="Calibri"/>
                <w:color w:val="000000"/>
                <w:sz w:val="20"/>
                <w:szCs w:val="20"/>
              </w:rPr>
              <w:t>(0.87-1.25)</w:t>
            </w:r>
          </w:p>
        </w:tc>
        <w:tc>
          <w:tcPr>
            <w:tcW w:w="992" w:type="dxa"/>
            <w:tcBorders>
              <w:top w:val="nil"/>
              <w:left w:val="nil"/>
              <w:bottom w:val="nil"/>
            </w:tcBorders>
            <w:vAlign w:val="center"/>
          </w:tcPr>
          <w:p w14:paraId="72B8CBA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0.65</w:t>
            </w:r>
          </w:p>
        </w:tc>
        <w:tc>
          <w:tcPr>
            <w:tcW w:w="1531" w:type="dxa"/>
            <w:tcBorders>
              <w:top w:val="nil"/>
              <w:bottom w:val="nil"/>
              <w:right w:val="nil"/>
            </w:tcBorders>
            <w:shd w:val="clear" w:color="auto" w:fill="auto"/>
            <w:noWrap/>
            <w:vAlign w:val="center"/>
            <w:hideMark/>
          </w:tcPr>
          <w:p w14:paraId="366A2FB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0.92</w:t>
            </w:r>
            <w:r>
              <w:rPr>
                <w:rFonts w:ascii="Calibri" w:hAnsi="Calibri" w:cs="Calibri"/>
                <w:color w:val="000000"/>
                <w:sz w:val="20"/>
                <w:szCs w:val="20"/>
              </w:rPr>
              <w:t xml:space="preserve"> </w:t>
            </w:r>
            <w:r w:rsidRPr="00C83CAB">
              <w:rPr>
                <w:rFonts w:ascii="Calibri" w:hAnsi="Calibri" w:cs="Calibri"/>
                <w:color w:val="000000"/>
                <w:sz w:val="20"/>
                <w:szCs w:val="20"/>
              </w:rPr>
              <w:t>(0.71-1.19)</w:t>
            </w:r>
          </w:p>
        </w:tc>
        <w:tc>
          <w:tcPr>
            <w:tcW w:w="992" w:type="dxa"/>
            <w:tcBorders>
              <w:top w:val="nil"/>
              <w:left w:val="nil"/>
              <w:bottom w:val="nil"/>
            </w:tcBorders>
            <w:vAlign w:val="center"/>
          </w:tcPr>
          <w:p w14:paraId="22B676F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0.53</w:t>
            </w:r>
          </w:p>
        </w:tc>
        <w:tc>
          <w:tcPr>
            <w:tcW w:w="1163" w:type="dxa"/>
            <w:tcBorders>
              <w:top w:val="nil"/>
              <w:left w:val="nil"/>
              <w:bottom w:val="nil"/>
              <w:right w:val="nil"/>
            </w:tcBorders>
            <w:shd w:val="clear" w:color="auto" w:fill="auto"/>
            <w:noWrap/>
            <w:vAlign w:val="center"/>
            <w:hideMark/>
          </w:tcPr>
          <w:p w14:paraId="4CFE037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0.53</w:t>
            </w:r>
          </w:p>
        </w:tc>
        <w:tc>
          <w:tcPr>
            <w:tcW w:w="1842" w:type="dxa"/>
            <w:tcBorders>
              <w:top w:val="nil"/>
              <w:left w:val="nil"/>
              <w:bottom w:val="nil"/>
              <w:right w:val="nil"/>
            </w:tcBorders>
            <w:shd w:val="clear" w:color="auto" w:fill="auto"/>
            <w:noWrap/>
            <w:vAlign w:val="center"/>
            <w:hideMark/>
          </w:tcPr>
          <w:p w14:paraId="47D7FF7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0.83</w:t>
            </w:r>
            <w:r>
              <w:rPr>
                <w:rFonts w:ascii="Calibri" w:hAnsi="Calibri" w:cs="Calibri"/>
                <w:color w:val="000000"/>
                <w:sz w:val="20"/>
                <w:szCs w:val="20"/>
              </w:rPr>
              <w:t xml:space="preserve"> </w:t>
            </w:r>
            <w:r w:rsidRPr="00C83CAB">
              <w:rPr>
                <w:rFonts w:ascii="Calibri" w:hAnsi="Calibri" w:cs="Calibri"/>
                <w:color w:val="000000"/>
                <w:sz w:val="20"/>
                <w:szCs w:val="20"/>
              </w:rPr>
              <w:t>(0.40-1.74)</w:t>
            </w:r>
          </w:p>
        </w:tc>
        <w:tc>
          <w:tcPr>
            <w:tcW w:w="709" w:type="dxa"/>
            <w:tcBorders>
              <w:top w:val="nil"/>
              <w:left w:val="nil"/>
              <w:bottom w:val="nil"/>
              <w:right w:val="nil"/>
            </w:tcBorders>
            <w:vAlign w:val="center"/>
          </w:tcPr>
          <w:p w14:paraId="44704F2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0.62</w:t>
            </w:r>
          </w:p>
        </w:tc>
      </w:tr>
      <w:tr w:rsidR="0086380B" w:rsidRPr="00C83CAB" w14:paraId="198887FA"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47502545"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Smoking cessation</w:t>
            </w:r>
          </w:p>
        </w:tc>
        <w:tc>
          <w:tcPr>
            <w:tcW w:w="680" w:type="dxa"/>
            <w:tcBorders>
              <w:top w:val="nil"/>
              <w:left w:val="nil"/>
              <w:bottom w:val="nil"/>
              <w:right w:val="nil"/>
            </w:tcBorders>
            <w:shd w:val="clear" w:color="auto" w:fill="auto"/>
            <w:noWrap/>
            <w:vAlign w:val="center"/>
            <w:hideMark/>
          </w:tcPr>
          <w:p w14:paraId="68B2AE0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15</w:t>
            </w:r>
          </w:p>
        </w:tc>
        <w:tc>
          <w:tcPr>
            <w:tcW w:w="752" w:type="dxa"/>
            <w:tcBorders>
              <w:top w:val="nil"/>
              <w:left w:val="nil"/>
              <w:bottom w:val="nil"/>
              <w:right w:val="nil"/>
            </w:tcBorders>
            <w:shd w:val="clear" w:color="auto" w:fill="auto"/>
            <w:noWrap/>
            <w:vAlign w:val="center"/>
            <w:hideMark/>
          </w:tcPr>
          <w:p w14:paraId="29CBBE0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0.19</w:t>
            </w:r>
          </w:p>
        </w:tc>
        <w:tc>
          <w:tcPr>
            <w:tcW w:w="1829" w:type="dxa"/>
            <w:tcBorders>
              <w:top w:val="nil"/>
              <w:left w:val="nil"/>
              <w:bottom w:val="nil"/>
              <w:right w:val="nil"/>
            </w:tcBorders>
            <w:shd w:val="clear" w:color="auto" w:fill="auto"/>
            <w:noWrap/>
            <w:vAlign w:val="center"/>
            <w:hideMark/>
          </w:tcPr>
          <w:p w14:paraId="0844F65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1.28</w:t>
            </w:r>
            <w:r>
              <w:rPr>
                <w:rFonts w:ascii="Calibri" w:hAnsi="Calibri" w:cs="Calibri"/>
                <w:color w:val="000000"/>
                <w:sz w:val="20"/>
                <w:szCs w:val="20"/>
              </w:rPr>
              <w:t xml:space="preserve"> </w:t>
            </w:r>
            <w:r w:rsidRPr="00C83CAB">
              <w:rPr>
                <w:rFonts w:ascii="Calibri" w:hAnsi="Calibri" w:cs="Calibri"/>
                <w:color w:val="000000"/>
                <w:sz w:val="20"/>
                <w:szCs w:val="20"/>
              </w:rPr>
              <w:t>(0.82-1.98)</w:t>
            </w:r>
          </w:p>
        </w:tc>
        <w:tc>
          <w:tcPr>
            <w:tcW w:w="992" w:type="dxa"/>
            <w:tcBorders>
              <w:top w:val="nil"/>
              <w:left w:val="nil"/>
              <w:bottom w:val="nil"/>
            </w:tcBorders>
            <w:vAlign w:val="center"/>
          </w:tcPr>
          <w:p w14:paraId="58AA65F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0.27</w:t>
            </w:r>
          </w:p>
        </w:tc>
        <w:tc>
          <w:tcPr>
            <w:tcW w:w="1531" w:type="dxa"/>
            <w:tcBorders>
              <w:top w:val="nil"/>
              <w:bottom w:val="nil"/>
              <w:right w:val="nil"/>
            </w:tcBorders>
            <w:shd w:val="clear" w:color="auto" w:fill="auto"/>
            <w:noWrap/>
            <w:vAlign w:val="center"/>
            <w:hideMark/>
          </w:tcPr>
          <w:p w14:paraId="1C171EE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1.37</w:t>
            </w:r>
            <w:r>
              <w:rPr>
                <w:rFonts w:ascii="Calibri" w:hAnsi="Calibri" w:cs="Calibri"/>
                <w:color w:val="000000"/>
                <w:sz w:val="20"/>
                <w:szCs w:val="20"/>
              </w:rPr>
              <w:t xml:space="preserve"> </w:t>
            </w:r>
            <w:r w:rsidRPr="00C83CAB">
              <w:rPr>
                <w:rFonts w:ascii="Calibri" w:hAnsi="Calibri" w:cs="Calibri"/>
                <w:color w:val="000000"/>
                <w:sz w:val="20"/>
                <w:szCs w:val="20"/>
              </w:rPr>
              <w:t>(0.78-2.40)</w:t>
            </w:r>
          </w:p>
        </w:tc>
        <w:tc>
          <w:tcPr>
            <w:tcW w:w="992" w:type="dxa"/>
            <w:tcBorders>
              <w:top w:val="nil"/>
              <w:left w:val="nil"/>
              <w:bottom w:val="nil"/>
            </w:tcBorders>
            <w:vAlign w:val="center"/>
          </w:tcPr>
          <w:p w14:paraId="3E088FA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0.27</w:t>
            </w:r>
          </w:p>
        </w:tc>
        <w:tc>
          <w:tcPr>
            <w:tcW w:w="1163" w:type="dxa"/>
            <w:tcBorders>
              <w:top w:val="nil"/>
              <w:left w:val="nil"/>
              <w:bottom w:val="nil"/>
              <w:right w:val="nil"/>
            </w:tcBorders>
            <w:shd w:val="clear" w:color="auto" w:fill="auto"/>
            <w:noWrap/>
            <w:vAlign w:val="center"/>
            <w:hideMark/>
          </w:tcPr>
          <w:p w14:paraId="697AF0E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0.28</w:t>
            </w:r>
          </w:p>
        </w:tc>
        <w:tc>
          <w:tcPr>
            <w:tcW w:w="1842" w:type="dxa"/>
            <w:tcBorders>
              <w:top w:val="nil"/>
              <w:left w:val="nil"/>
              <w:bottom w:val="nil"/>
              <w:right w:val="nil"/>
            </w:tcBorders>
            <w:shd w:val="clear" w:color="auto" w:fill="auto"/>
            <w:noWrap/>
            <w:vAlign w:val="center"/>
            <w:hideMark/>
          </w:tcPr>
          <w:p w14:paraId="2C797AF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0.67</w:t>
            </w:r>
            <w:r>
              <w:rPr>
                <w:rFonts w:ascii="Calibri" w:hAnsi="Calibri" w:cs="Calibri"/>
                <w:color w:val="000000"/>
                <w:sz w:val="20"/>
                <w:szCs w:val="20"/>
              </w:rPr>
              <w:t xml:space="preserve"> </w:t>
            </w:r>
            <w:r w:rsidRPr="00C83CAB">
              <w:rPr>
                <w:rFonts w:ascii="Calibri" w:hAnsi="Calibri" w:cs="Calibri"/>
                <w:color w:val="000000"/>
                <w:sz w:val="20"/>
                <w:szCs w:val="20"/>
              </w:rPr>
              <w:t>(0.20-2.23)</w:t>
            </w:r>
          </w:p>
        </w:tc>
        <w:tc>
          <w:tcPr>
            <w:tcW w:w="709" w:type="dxa"/>
            <w:tcBorders>
              <w:top w:val="nil"/>
              <w:left w:val="nil"/>
              <w:bottom w:val="nil"/>
              <w:right w:val="nil"/>
            </w:tcBorders>
            <w:vAlign w:val="center"/>
          </w:tcPr>
          <w:p w14:paraId="4B6FC29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0.52</w:t>
            </w:r>
          </w:p>
        </w:tc>
      </w:tr>
      <w:tr w:rsidR="0086380B" w:rsidRPr="00C83CAB" w14:paraId="48B26BBF"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25D53DFD"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Adiponectin</w:t>
            </w:r>
          </w:p>
        </w:tc>
        <w:tc>
          <w:tcPr>
            <w:tcW w:w="680" w:type="dxa"/>
            <w:tcBorders>
              <w:top w:val="nil"/>
              <w:left w:val="nil"/>
              <w:bottom w:val="nil"/>
              <w:right w:val="nil"/>
            </w:tcBorders>
            <w:shd w:val="clear" w:color="auto" w:fill="auto"/>
            <w:noWrap/>
            <w:vAlign w:val="center"/>
            <w:hideMark/>
          </w:tcPr>
          <w:p w14:paraId="00B7E74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8</w:t>
            </w:r>
          </w:p>
        </w:tc>
        <w:tc>
          <w:tcPr>
            <w:tcW w:w="752" w:type="dxa"/>
            <w:tcBorders>
              <w:top w:val="nil"/>
              <w:left w:val="nil"/>
              <w:bottom w:val="nil"/>
              <w:right w:val="nil"/>
            </w:tcBorders>
            <w:shd w:val="clear" w:color="auto" w:fill="auto"/>
            <w:noWrap/>
            <w:vAlign w:val="center"/>
            <w:hideMark/>
          </w:tcPr>
          <w:p w14:paraId="2A307CD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0.34</w:t>
            </w:r>
          </w:p>
        </w:tc>
        <w:tc>
          <w:tcPr>
            <w:tcW w:w="1829" w:type="dxa"/>
            <w:tcBorders>
              <w:top w:val="nil"/>
              <w:left w:val="nil"/>
              <w:bottom w:val="nil"/>
              <w:right w:val="nil"/>
            </w:tcBorders>
            <w:shd w:val="clear" w:color="auto" w:fill="auto"/>
            <w:noWrap/>
            <w:vAlign w:val="center"/>
            <w:hideMark/>
          </w:tcPr>
          <w:p w14:paraId="2132FD9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0.76</w:t>
            </w:r>
            <w:r>
              <w:rPr>
                <w:rFonts w:ascii="Calibri" w:hAnsi="Calibri" w:cs="Calibri"/>
                <w:color w:val="000000"/>
                <w:sz w:val="20"/>
                <w:szCs w:val="20"/>
              </w:rPr>
              <w:t xml:space="preserve"> </w:t>
            </w:r>
            <w:r w:rsidRPr="00C83CAB">
              <w:rPr>
                <w:rFonts w:ascii="Calibri" w:hAnsi="Calibri" w:cs="Calibri"/>
                <w:color w:val="000000"/>
                <w:sz w:val="20"/>
                <w:szCs w:val="20"/>
              </w:rPr>
              <w:t>(0.48-1.20)</w:t>
            </w:r>
          </w:p>
        </w:tc>
        <w:tc>
          <w:tcPr>
            <w:tcW w:w="992" w:type="dxa"/>
            <w:tcBorders>
              <w:top w:val="nil"/>
              <w:left w:val="nil"/>
              <w:bottom w:val="nil"/>
            </w:tcBorders>
            <w:vAlign w:val="center"/>
          </w:tcPr>
          <w:p w14:paraId="3C38080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0.23</w:t>
            </w:r>
          </w:p>
        </w:tc>
        <w:tc>
          <w:tcPr>
            <w:tcW w:w="1531" w:type="dxa"/>
            <w:tcBorders>
              <w:top w:val="nil"/>
              <w:bottom w:val="nil"/>
              <w:right w:val="nil"/>
            </w:tcBorders>
            <w:shd w:val="clear" w:color="auto" w:fill="auto"/>
            <w:noWrap/>
            <w:vAlign w:val="center"/>
            <w:hideMark/>
          </w:tcPr>
          <w:p w14:paraId="4C99A9A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0.68</w:t>
            </w:r>
            <w:r>
              <w:rPr>
                <w:rFonts w:ascii="Calibri" w:hAnsi="Calibri" w:cs="Calibri"/>
                <w:color w:val="000000"/>
                <w:sz w:val="20"/>
                <w:szCs w:val="20"/>
              </w:rPr>
              <w:t xml:space="preserve"> </w:t>
            </w:r>
            <w:r w:rsidRPr="00C83CAB">
              <w:rPr>
                <w:rFonts w:ascii="Calibri" w:hAnsi="Calibri" w:cs="Calibri"/>
                <w:color w:val="000000"/>
                <w:sz w:val="20"/>
                <w:szCs w:val="20"/>
              </w:rPr>
              <w:t>(0.40-1.16)</w:t>
            </w:r>
          </w:p>
        </w:tc>
        <w:tc>
          <w:tcPr>
            <w:tcW w:w="992" w:type="dxa"/>
            <w:tcBorders>
              <w:top w:val="nil"/>
              <w:left w:val="nil"/>
              <w:bottom w:val="nil"/>
            </w:tcBorders>
            <w:vAlign w:val="center"/>
          </w:tcPr>
          <w:p w14:paraId="3E0E8CC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0.16</w:t>
            </w:r>
          </w:p>
        </w:tc>
        <w:tc>
          <w:tcPr>
            <w:tcW w:w="1163" w:type="dxa"/>
            <w:tcBorders>
              <w:top w:val="nil"/>
              <w:left w:val="nil"/>
              <w:bottom w:val="nil"/>
              <w:right w:val="nil"/>
            </w:tcBorders>
            <w:shd w:val="clear" w:color="auto" w:fill="auto"/>
            <w:noWrap/>
            <w:vAlign w:val="center"/>
            <w:hideMark/>
          </w:tcPr>
          <w:p w14:paraId="4F3B02E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0.77</w:t>
            </w:r>
          </w:p>
        </w:tc>
        <w:tc>
          <w:tcPr>
            <w:tcW w:w="1842" w:type="dxa"/>
            <w:tcBorders>
              <w:top w:val="nil"/>
              <w:left w:val="nil"/>
              <w:bottom w:val="nil"/>
              <w:right w:val="nil"/>
            </w:tcBorders>
            <w:shd w:val="clear" w:color="auto" w:fill="auto"/>
            <w:noWrap/>
            <w:vAlign w:val="center"/>
            <w:hideMark/>
          </w:tcPr>
          <w:p w14:paraId="25EB77F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0.68</w:t>
            </w:r>
            <w:r>
              <w:rPr>
                <w:rFonts w:ascii="Calibri" w:hAnsi="Calibri" w:cs="Calibri"/>
                <w:color w:val="000000"/>
                <w:sz w:val="20"/>
                <w:szCs w:val="20"/>
              </w:rPr>
              <w:t xml:space="preserve"> </w:t>
            </w:r>
            <w:r w:rsidRPr="00C83CAB">
              <w:rPr>
                <w:rFonts w:ascii="Calibri" w:hAnsi="Calibri" w:cs="Calibri"/>
                <w:color w:val="000000"/>
                <w:sz w:val="20"/>
                <w:szCs w:val="20"/>
              </w:rPr>
              <w:t>(0.30-1.57)</w:t>
            </w:r>
          </w:p>
        </w:tc>
        <w:tc>
          <w:tcPr>
            <w:tcW w:w="709" w:type="dxa"/>
            <w:tcBorders>
              <w:top w:val="nil"/>
              <w:left w:val="nil"/>
              <w:bottom w:val="nil"/>
              <w:right w:val="nil"/>
            </w:tcBorders>
            <w:vAlign w:val="center"/>
          </w:tcPr>
          <w:p w14:paraId="556617F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0.40</w:t>
            </w:r>
          </w:p>
        </w:tc>
      </w:tr>
      <w:tr w:rsidR="0086380B" w:rsidRPr="00C83CAB" w14:paraId="5C8D6A25"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7FDC5261"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Bilirubin</w:t>
            </w:r>
            <w:r>
              <w:rPr>
                <w:rFonts w:ascii="Calibri" w:hAnsi="Calibri" w:cs="Calibri"/>
                <w:color w:val="000000"/>
                <w:sz w:val="20"/>
                <w:szCs w:val="20"/>
              </w:rPr>
              <w:t>*</w:t>
            </w:r>
          </w:p>
        </w:tc>
        <w:tc>
          <w:tcPr>
            <w:tcW w:w="680" w:type="dxa"/>
            <w:tcBorders>
              <w:top w:val="nil"/>
              <w:left w:val="nil"/>
              <w:bottom w:val="nil"/>
              <w:right w:val="nil"/>
            </w:tcBorders>
            <w:shd w:val="clear" w:color="auto" w:fill="auto"/>
            <w:noWrap/>
            <w:vAlign w:val="center"/>
            <w:hideMark/>
          </w:tcPr>
          <w:p w14:paraId="425144D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2</w:t>
            </w:r>
          </w:p>
        </w:tc>
        <w:tc>
          <w:tcPr>
            <w:tcW w:w="752" w:type="dxa"/>
            <w:tcBorders>
              <w:top w:val="nil"/>
              <w:left w:val="nil"/>
              <w:bottom w:val="nil"/>
              <w:right w:val="nil"/>
            </w:tcBorders>
            <w:shd w:val="clear" w:color="auto" w:fill="auto"/>
            <w:noWrap/>
            <w:vAlign w:val="center"/>
            <w:hideMark/>
          </w:tcPr>
          <w:p w14:paraId="42CA60F1" w14:textId="77777777" w:rsidR="00BC3F9F" w:rsidRPr="00C83CAB" w:rsidRDefault="00BC3F9F" w:rsidP="00486EE1">
            <w:pPr>
              <w:jc w:val="center"/>
              <w:rPr>
                <w:rFonts w:ascii="Calibri" w:hAnsi="Calibri" w:cs="Calibri"/>
                <w:b/>
                <w:bCs/>
                <w:color w:val="000000"/>
                <w:sz w:val="20"/>
                <w:szCs w:val="20"/>
              </w:rPr>
            </w:pPr>
            <w:r w:rsidRPr="00C83CAB">
              <w:rPr>
                <w:rFonts w:ascii="Calibri" w:hAnsi="Calibri" w:cs="Calibri"/>
                <w:b/>
                <w:bCs/>
                <w:color w:val="000000"/>
                <w:sz w:val="20"/>
                <w:szCs w:val="20"/>
              </w:rPr>
              <w:t>0.01</w:t>
            </w:r>
          </w:p>
        </w:tc>
        <w:tc>
          <w:tcPr>
            <w:tcW w:w="1829" w:type="dxa"/>
            <w:tcBorders>
              <w:top w:val="nil"/>
              <w:left w:val="nil"/>
              <w:bottom w:val="nil"/>
              <w:right w:val="nil"/>
            </w:tcBorders>
            <w:shd w:val="clear" w:color="auto" w:fill="auto"/>
            <w:noWrap/>
            <w:vAlign w:val="center"/>
            <w:hideMark/>
          </w:tcPr>
          <w:p w14:paraId="68F5D4E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1.07</w:t>
            </w:r>
            <w:r>
              <w:rPr>
                <w:rFonts w:ascii="Calibri" w:hAnsi="Calibri" w:cs="Calibri"/>
                <w:color w:val="000000"/>
                <w:sz w:val="20"/>
                <w:szCs w:val="20"/>
              </w:rPr>
              <w:t xml:space="preserve"> </w:t>
            </w:r>
            <w:r w:rsidRPr="00C83CAB">
              <w:rPr>
                <w:rFonts w:ascii="Calibri" w:hAnsi="Calibri" w:cs="Calibri"/>
                <w:color w:val="000000"/>
                <w:sz w:val="20"/>
                <w:szCs w:val="20"/>
              </w:rPr>
              <w:t>(0.55-2.09)</w:t>
            </w:r>
          </w:p>
        </w:tc>
        <w:tc>
          <w:tcPr>
            <w:tcW w:w="992" w:type="dxa"/>
            <w:tcBorders>
              <w:top w:val="nil"/>
              <w:left w:val="nil"/>
              <w:bottom w:val="nil"/>
            </w:tcBorders>
            <w:vAlign w:val="center"/>
          </w:tcPr>
          <w:p w14:paraId="39F60D45" w14:textId="77777777" w:rsidR="00BC3F9F" w:rsidRPr="00C83CAB" w:rsidRDefault="00BC3F9F" w:rsidP="00486EE1">
            <w:pPr>
              <w:jc w:val="center"/>
              <w:rPr>
                <w:rFonts w:ascii="Times New Roman" w:eastAsia="Times New Roman" w:hAnsi="Times New Roman" w:cs="Times New Roman"/>
                <w:sz w:val="20"/>
                <w:szCs w:val="20"/>
              </w:rPr>
            </w:pPr>
            <w:r w:rsidRPr="00C83CAB">
              <w:rPr>
                <w:rFonts w:ascii="Calibri" w:hAnsi="Calibri" w:cs="Calibri"/>
                <w:color w:val="000000"/>
                <w:sz w:val="20"/>
                <w:szCs w:val="20"/>
              </w:rPr>
              <w:t>0.84</w:t>
            </w:r>
          </w:p>
        </w:tc>
        <w:tc>
          <w:tcPr>
            <w:tcW w:w="1531" w:type="dxa"/>
            <w:tcBorders>
              <w:top w:val="nil"/>
              <w:bottom w:val="nil"/>
              <w:right w:val="nil"/>
            </w:tcBorders>
            <w:shd w:val="clear" w:color="auto" w:fill="auto"/>
            <w:noWrap/>
            <w:vAlign w:val="center"/>
            <w:hideMark/>
          </w:tcPr>
          <w:p w14:paraId="2F67D800" w14:textId="77777777" w:rsidR="00BC3F9F" w:rsidRPr="00C83CAB" w:rsidRDefault="00BC3F9F" w:rsidP="00486EE1">
            <w:pPr>
              <w:jc w:val="center"/>
              <w:rPr>
                <w:rFonts w:ascii="Times New Roman" w:eastAsia="Times New Roman" w:hAnsi="Times New Roman" w:cs="Times New Roman"/>
                <w:sz w:val="20"/>
                <w:szCs w:val="20"/>
              </w:rPr>
            </w:pPr>
          </w:p>
        </w:tc>
        <w:tc>
          <w:tcPr>
            <w:tcW w:w="992" w:type="dxa"/>
            <w:tcBorders>
              <w:top w:val="nil"/>
              <w:left w:val="nil"/>
              <w:bottom w:val="nil"/>
            </w:tcBorders>
            <w:vAlign w:val="center"/>
          </w:tcPr>
          <w:p w14:paraId="3DD639DD" w14:textId="77777777" w:rsidR="00BC3F9F" w:rsidRPr="00C83CAB" w:rsidRDefault="00BC3F9F" w:rsidP="00486EE1">
            <w:pPr>
              <w:jc w:val="center"/>
              <w:rPr>
                <w:rFonts w:ascii="Times New Roman" w:eastAsia="Times New Roman" w:hAnsi="Times New Roman" w:cs="Times New Roman"/>
                <w:sz w:val="20"/>
                <w:szCs w:val="20"/>
              </w:rPr>
            </w:pPr>
          </w:p>
        </w:tc>
        <w:tc>
          <w:tcPr>
            <w:tcW w:w="1163" w:type="dxa"/>
            <w:tcBorders>
              <w:top w:val="nil"/>
              <w:left w:val="nil"/>
              <w:bottom w:val="nil"/>
              <w:right w:val="nil"/>
            </w:tcBorders>
            <w:shd w:val="clear" w:color="auto" w:fill="auto"/>
            <w:noWrap/>
            <w:vAlign w:val="center"/>
            <w:hideMark/>
          </w:tcPr>
          <w:p w14:paraId="5E76A029" w14:textId="77777777" w:rsidR="00BC3F9F" w:rsidRPr="00C83CAB" w:rsidRDefault="00BC3F9F" w:rsidP="00486EE1">
            <w:pPr>
              <w:jc w:val="center"/>
              <w:rPr>
                <w:rFonts w:ascii="Times New Roman" w:eastAsia="Times New Roman" w:hAnsi="Times New Roman" w:cs="Times New Roman"/>
                <w:sz w:val="20"/>
                <w:szCs w:val="20"/>
              </w:rPr>
            </w:pPr>
          </w:p>
        </w:tc>
        <w:tc>
          <w:tcPr>
            <w:tcW w:w="1842" w:type="dxa"/>
            <w:tcBorders>
              <w:top w:val="nil"/>
              <w:left w:val="nil"/>
              <w:bottom w:val="nil"/>
              <w:right w:val="nil"/>
            </w:tcBorders>
            <w:shd w:val="clear" w:color="auto" w:fill="auto"/>
            <w:noWrap/>
            <w:vAlign w:val="center"/>
            <w:hideMark/>
          </w:tcPr>
          <w:p w14:paraId="07EB2CAD" w14:textId="77777777" w:rsidR="00BC3F9F" w:rsidRPr="00C83CAB" w:rsidRDefault="00BC3F9F" w:rsidP="00486EE1">
            <w:pPr>
              <w:jc w:val="center"/>
              <w:rPr>
                <w:rFonts w:ascii="Times New Roman" w:eastAsia="Times New Roman" w:hAnsi="Times New Roman" w:cs="Times New Roman"/>
                <w:sz w:val="20"/>
                <w:szCs w:val="20"/>
              </w:rPr>
            </w:pPr>
          </w:p>
        </w:tc>
        <w:tc>
          <w:tcPr>
            <w:tcW w:w="709" w:type="dxa"/>
            <w:tcBorders>
              <w:top w:val="nil"/>
              <w:left w:val="nil"/>
              <w:bottom w:val="nil"/>
              <w:right w:val="nil"/>
            </w:tcBorders>
            <w:vAlign w:val="center"/>
          </w:tcPr>
          <w:p w14:paraId="641D8BEA" w14:textId="77777777" w:rsidR="00BC3F9F" w:rsidRPr="00C83CAB" w:rsidRDefault="00BC3F9F" w:rsidP="00486EE1">
            <w:pPr>
              <w:jc w:val="center"/>
              <w:rPr>
                <w:rFonts w:ascii="Times New Roman" w:eastAsia="Times New Roman" w:hAnsi="Times New Roman" w:cs="Times New Roman"/>
                <w:sz w:val="20"/>
                <w:szCs w:val="20"/>
              </w:rPr>
            </w:pPr>
          </w:p>
        </w:tc>
      </w:tr>
      <w:tr w:rsidR="0086380B" w:rsidRPr="00C83CAB" w14:paraId="78C759DF" w14:textId="77777777" w:rsidTr="00251E4B">
        <w:trPr>
          <w:trHeight w:val="20"/>
          <w:jc w:val="center"/>
        </w:trPr>
        <w:tc>
          <w:tcPr>
            <w:tcW w:w="2126" w:type="dxa"/>
            <w:tcBorders>
              <w:top w:val="nil"/>
              <w:left w:val="nil"/>
              <w:bottom w:val="nil"/>
              <w:right w:val="nil"/>
            </w:tcBorders>
            <w:shd w:val="clear" w:color="auto" w:fill="auto"/>
            <w:vAlign w:val="center"/>
            <w:hideMark/>
          </w:tcPr>
          <w:p w14:paraId="382DFAFD"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Vitamin B12</w:t>
            </w:r>
          </w:p>
        </w:tc>
        <w:tc>
          <w:tcPr>
            <w:tcW w:w="680" w:type="dxa"/>
            <w:tcBorders>
              <w:top w:val="nil"/>
              <w:left w:val="nil"/>
              <w:bottom w:val="nil"/>
              <w:right w:val="nil"/>
            </w:tcBorders>
            <w:shd w:val="clear" w:color="auto" w:fill="auto"/>
            <w:noWrap/>
            <w:vAlign w:val="center"/>
            <w:hideMark/>
          </w:tcPr>
          <w:p w14:paraId="570284D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3</w:t>
            </w:r>
          </w:p>
        </w:tc>
        <w:tc>
          <w:tcPr>
            <w:tcW w:w="752" w:type="dxa"/>
            <w:tcBorders>
              <w:top w:val="nil"/>
              <w:left w:val="nil"/>
              <w:bottom w:val="nil"/>
              <w:right w:val="nil"/>
            </w:tcBorders>
            <w:shd w:val="clear" w:color="auto" w:fill="auto"/>
            <w:noWrap/>
            <w:vAlign w:val="center"/>
            <w:hideMark/>
          </w:tcPr>
          <w:p w14:paraId="16AE15A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0.33</w:t>
            </w:r>
          </w:p>
        </w:tc>
        <w:tc>
          <w:tcPr>
            <w:tcW w:w="1829" w:type="dxa"/>
            <w:tcBorders>
              <w:top w:val="nil"/>
              <w:left w:val="nil"/>
              <w:bottom w:val="nil"/>
              <w:right w:val="nil"/>
            </w:tcBorders>
            <w:shd w:val="clear" w:color="auto" w:fill="auto"/>
            <w:noWrap/>
            <w:vAlign w:val="center"/>
            <w:hideMark/>
          </w:tcPr>
          <w:p w14:paraId="2F81655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1.01</w:t>
            </w:r>
            <w:r>
              <w:rPr>
                <w:rFonts w:ascii="Calibri" w:hAnsi="Calibri" w:cs="Calibri"/>
                <w:color w:val="000000"/>
                <w:sz w:val="20"/>
                <w:szCs w:val="20"/>
              </w:rPr>
              <w:t xml:space="preserve"> </w:t>
            </w:r>
            <w:r w:rsidRPr="00C83CAB">
              <w:rPr>
                <w:rFonts w:ascii="Calibri" w:hAnsi="Calibri" w:cs="Calibri"/>
                <w:color w:val="000000"/>
                <w:sz w:val="20"/>
                <w:szCs w:val="20"/>
              </w:rPr>
              <w:t>(0.61-1.67)</w:t>
            </w:r>
          </w:p>
        </w:tc>
        <w:tc>
          <w:tcPr>
            <w:tcW w:w="992" w:type="dxa"/>
            <w:tcBorders>
              <w:top w:val="nil"/>
              <w:left w:val="nil"/>
              <w:bottom w:val="nil"/>
            </w:tcBorders>
            <w:vAlign w:val="center"/>
          </w:tcPr>
          <w:p w14:paraId="12195A8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0.98</w:t>
            </w:r>
          </w:p>
        </w:tc>
        <w:tc>
          <w:tcPr>
            <w:tcW w:w="1531" w:type="dxa"/>
            <w:tcBorders>
              <w:top w:val="nil"/>
              <w:bottom w:val="nil"/>
              <w:right w:val="nil"/>
            </w:tcBorders>
            <w:shd w:val="clear" w:color="auto" w:fill="auto"/>
            <w:noWrap/>
            <w:vAlign w:val="center"/>
            <w:hideMark/>
          </w:tcPr>
          <w:p w14:paraId="71B2AF0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0.81</w:t>
            </w:r>
            <w:r>
              <w:rPr>
                <w:rFonts w:ascii="Calibri" w:hAnsi="Calibri" w:cs="Calibri"/>
                <w:color w:val="000000"/>
                <w:sz w:val="20"/>
                <w:szCs w:val="20"/>
              </w:rPr>
              <w:t xml:space="preserve"> </w:t>
            </w:r>
            <w:r w:rsidRPr="00C83CAB">
              <w:rPr>
                <w:rFonts w:ascii="Calibri" w:hAnsi="Calibri" w:cs="Calibri"/>
                <w:color w:val="000000"/>
                <w:sz w:val="20"/>
                <w:szCs w:val="20"/>
              </w:rPr>
              <w:t>(0.46-1.44)</w:t>
            </w:r>
          </w:p>
        </w:tc>
        <w:tc>
          <w:tcPr>
            <w:tcW w:w="992" w:type="dxa"/>
            <w:tcBorders>
              <w:top w:val="nil"/>
              <w:left w:val="nil"/>
              <w:bottom w:val="nil"/>
            </w:tcBorders>
            <w:vAlign w:val="center"/>
          </w:tcPr>
          <w:p w14:paraId="6EF286E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0.47</w:t>
            </w:r>
          </w:p>
        </w:tc>
        <w:tc>
          <w:tcPr>
            <w:tcW w:w="1163" w:type="dxa"/>
            <w:tcBorders>
              <w:top w:val="nil"/>
              <w:left w:val="nil"/>
              <w:bottom w:val="nil"/>
              <w:right w:val="nil"/>
            </w:tcBorders>
            <w:shd w:val="clear" w:color="auto" w:fill="auto"/>
            <w:noWrap/>
            <w:vAlign w:val="center"/>
            <w:hideMark/>
          </w:tcPr>
          <w:p w14:paraId="692E051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0.77</w:t>
            </w:r>
          </w:p>
        </w:tc>
        <w:tc>
          <w:tcPr>
            <w:tcW w:w="1842" w:type="dxa"/>
            <w:tcBorders>
              <w:top w:val="nil"/>
              <w:left w:val="nil"/>
              <w:bottom w:val="nil"/>
              <w:right w:val="nil"/>
            </w:tcBorders>
            <w:shd w:val="clear" w:color="auto" w:fill="auto"/>
            <w:noWrap/>
            <w:vAlign w:val="center"/>
            <w:hideMark/>
          </w:tcPr>
          <w:p w14:paraId="25860D9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0.57</w:t>
            </w:r>
            <w:r>
              <w:rPr>
                <w:rFonts w:ascii="Calibri" w:hAnsi="Calibri" w:cs="Calibri"/>
                <w:color w:val="000000"/>
                <w:sz w:val="20"/>
                <w:szCs w:val="20"/>
              </w:rPr>
              <w:t xml:space="preserve"> </w:t>
            </w:r>
            <w:r w:rsidRPr="00C83CAB">
              <w:rPr>
                <w:rFonts w:ascii="Calibri" w:hAnsi="Calibri" w:cs="Calibri"/>
                <w:color w:val="000000"/>
                <w:sz w:val="20"/>
                <w:szCs w:val="20"/>
              </w:rPr>
              <w:t>(0.03-10.79)</w:t>
            </w:r>
          </w:p>
        </w:tc>
        <w:tc>
          <w:tcPr>
            <w:tcW w:w="709" w:type="dxa"/>
            <w:tcBorders>
              <w:top w:val="nil"/>
              <w:left w:val="nil"/>
              <w:bottom w:val="nil"/>
              <w:right w:val="nil"/>
            </w:tcBorders>
            <w:vAlign w:val="center"/>
          </w:tcPr>
          <w:p w14:paraId="22C4F3B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0.77</w:t>
            </w:r>
          </w:p>
        </w:tc>
      </w:tr>
      <w:tr w:rsidR="0086380B" w:rsidRPr="00C83CAB" w14:paraId="1049B9B8" w14:textId="77777777" w:rsidTr="00251E4B">
        <w:trPr>
          <w:trHeight w:val="20"/>
          <w:jc w:val="center"/>
        </w:trPr>
        <w:tc>
          <w:tcPr>
            <w:tcW w:w="2126" w:type="dxa"/>
            <w:tcBorders>
              <w:top w:val="nil"/>
              <w:left w:val="nil"/>
              <w:bottom w:val="nil"/>
              <w:right w:val="nil"/>
            </w:tcBorders>
            <w:shd w:val="clear" w:color="auto" w:fill="auto"/>
            <w:vAlign w:val="center"/>
            <w:hideMark/>
          </w:tcPr>
          <w:p w14:paraId="12CFB368"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25-hydroxyvitamin D</w:t>
            </w:r>
          </w:p>
        </w:tc>
        <w:tc>
          <w:tcPr>
            <w:tcW w:w="680" w:type="dxa"/>
            <w:tcBorders>
              <w:top w:val="nil"/>
              <w:left w:val="nil"/>
              <w:bottom w:val="nil"/>
              <w:right w:val="nil"/>
            </w:tcBorders>
            <w:shd w:val="clear" w:color="auto" w:fill="auto"/>
            <w:noWrap/>
            <w:vAlign w:val="center"/>
            <w:hideMark/>
          </w:tcPr>
          <w:p w14:paraId="452245C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6</w:t>
            </w:r>
          </w:p>
        </w:tc>
        <w:tc>
          <w:tcPr>
            <w:tcW w:w="752" w:type="dxa"/>
            <w:tcBorders>
              <w:top w:val="nil"/>
              <w:left w:val="nil"/>
              <w:bottom w:val="nil"/>
              <w:right w:val="nil"/>
            </w:tcBorders>
            <w:shd w:val="clear" w:color="auto" w:fill="auto"/>
            <w:noWrap/>
            <w:vAlign w:val="center"/>
            <w:hideMark/>
          </w:tcPr>
          <w:p w14:paraId="4EDB57C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0.43</w:t>
            </w:r>
          </w:p>
        </w:tc>
        <w:tc>
          <w:tcPr>
            <w:tcW w:w="1829" w:type="dxa"/>
            <w:tcBorders>
              <w:top w:val="nil"/>
              <w:left w:val="nil"/>
              <w:bottom w:val="nil"/>
              <w:right w:val="nil"/>
            </w:tcBorders>
            <w:shd w:val="clear" w:color="auto" w:fill="auto"/>
            <w:noWrap/>
            <w:vAlign w:val="center"/>
            <w:hideMark/>
          </w:tcPr>
          <w:p w14:paraId="4FC2620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1.13</w:t>
            </w:r>
            <w:r>
              <w:rPr>
                <w:rFonts w:ascii="Calibri" w:hAnsi="Calibri" w:cs="Calibri"/>
                <w:color w:val="000000"/>
                <w:sz w:val="20"/>
                <w:szCs w:val="20"/>
              </w:rPr>
              <w:t xml:space="preserve"> </w:t>
            </w:r>
            <w:r w:rsidRPr="00C83CAB">
              <w:rPr>
                <w:rFonts w:ascii="Calibri" w:hAnsi="Calibri" w:cs="Calibri"/>
                <w:color w:val="000000"/>
                <w:sz w:val="20"/>
                <w:szCs w:val="20"/>
              </w:rPr>
              <w:t>(0.71-1.80)</w:t>
            </w:r>
          </w:p>
        </w:tc>
        <w:tc>
          <w:tcPr>
            <w:tcW w:w="992" w:type="dxa"/>
            <w:tcBorders>
              <w:top w:val="nil"/>
              <w:left w:val="nil"/>
              <w:bottom w:val="nil"/>
            </w:tcBorders>
            <w:vAlign w:val="center"/>
          </w:tcPr>
          <w:p w14:paraId="6F36808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0.60</w:t>
            </w:r>
          </w:p>
        </w:tc>
        <w:tc>
          <w:tcPr>
            <w:tcW w:w="1531" w:type="dxa"/>
            <w:tcBorders>
              <w:top w:val="nil"/>
              <w:bottom w:val="nil"/>
              <w:right w:val="nil"/>
            </w:tcBorders>
            <w:shd w:val="clear" w:color="auto" w:fill="auto"/>
            <w:noWrap/>
            <w:vAlign w:val="center"/>
            <w:hideMark/>
          </w:tcPr>
          <w:p w14:paraId="18EC9AE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1.25</w:t>
            </w:r>
            <w:r>
              <w:rPr>
                <w:rFonts w:ascii="Calibri" w:hAnsi="Calibri" w:cs="Calibri"/>
                <w:color w:val="000000"/>
                <w:sz w:val="20"/>
                <w:szCs w:val="20"/>
              </w:rPr>
              <w:t xml:space="preserve"> </w:t>
            </w:r>
            <w:r w:rsidRPr="00C83CAB">
              <w:rPr>
                <w:rFonts w:ascii="Calibri" w:hAnsi="Calibri" w:cs="Calibri"/>
                <w:color w:val="000000"/>
                <w:sz w:val="20"/>
                <w:szCs w:val="20"/>
              </w:rPr>
              <w:t>(0.75-2.10)</w:t>
            </w:r>
          </w:p>
        </w:tc>
        <w:tc>
          <w:tcPr>
            <w:tcW w:w="992" w:type="dxa"/>
            <w:tcBorders>
              <w:top w:val="nil"/>
              <w:left w:val="nil"/>
              <w:bottom w:val="nil"/>
            </w:tcBorders>
            <w:vAlign w:val="center"/>
          </w:tcPr>
          <w:p w14:paraId="4800234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0.40</w:t>
            </w:r>
          </w:p>
        </w:tc>
        <w:tc>
          <w:tcPr>
            <w:tcW w:w="1163" w:type="dxa"/>
            <w:tcBorders>
              <w:top w:val="nil"/>
              <w:left w:val="nil"/>
              <w:bottom w:val="nil"/>
              <w:right w:val="nil"/>
            </w:tcBorders>
            <w:shd w:val="clear" w:color="auto" w:fill="auto"/>
            <w:noWrap/>
            <w:vAlign w:val="center"/>
            <w:hideMark/>
          </w:tcPr>
          <w:p w14:paraId="485648F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0.26</w:t>
            </w:r>
          </w:p>
        </w:tc>
        <w:tc>
          <w:tcPr>
            <w:tcW w:w="1842" w:type="dxa"/>
            <w:tcBorders>
              <w:top w:val="nil"/>
              <w:left w:val="nil"/>
              <w:bottom w:val="nil"/>
              <w:right w:val="nil"/>
            </w:tcBorders>
            <w:shd w:val="clear" w:color="auto" w:fill="auto"/>
            <w:noWrap/>
            <w:vAlign w:val="center"/>
            <w:hideMark/>
          </w:tcPr>
          <w:p w14:paraId="3138F97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1.78</w:t>
            </w:r>
            <w:r>
              <w:rPr>
                <w:rFonts w:ascii="Calibri" w:hAnsi="Calibri" w:cs="Calibri"/>
                <w:color w:val="000000"/>
                <w:sz w:val="20"/>
                <w:szCs w:val="20"/>
              </w:rPr>
              <w:t xml:space="preserve"> </w:t>
            </w:r>
            <w:r w:rsidRPr="00C83CAB">
              <w:rPr>
                <w:rFonts w:ascii="Calibri" w:hAnsi="Calibri" w:cs="Calibri"/>
                <w:color w:val="000000"/>
                <w:sz w:val="20"/>
                <w:szCs w:val="20"/>
              </w:rPr>
              <w:t>(0.79-4.04)</w:t>
            </w:r>
          </w:p>
        </w:tc>
        <w:tc>
          <w:tcPr>
            <w:tcW w:w="709" w:type="dxa"/>
            <w:tcBorders>
              <w:top w:val="nil"/>
              <w:left w:val="nil"/>
              <w:bottom w:val="nil"/>
              <w:right w:val="nil"/>
            </w:tcBorders>
            <w:vAlign w:val="center"/>
          </w:tcPr>
          <w:p w14:paraId="71C7927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0.24</w:t>
            </w:r>
          </w:p>
        </w:tc>
      </w:tr>
      <w:tr w:rsidR="0086380B" w:rsidRPr="00C83CAB" w14:paraId="1D6EE49E" w14:textId="77777777" w:rsidTr="00251E4B">
        <w:trPr>
          <w:trHeight w:val="20"/>
          <w:jc w:val="center"/>
        </w:trPr>
        <w:tc>
          <w:tcPr>
            <w:tcW w:w="2126" w:type="dxa"/>
            <w:tcBorders>
              <w:top w:val="nil"/>
              <w:left w:val="nil"/>
              <w:bottom w:val="nil"/>
              <w:right w:val="nil"/>
            </w:tcBorders>
            <w:shd w:val="clear" w:color="auto" w:fill="auto"/>
            <w:vAlign w:val="center"/>
            <w:hideMark/>
          </w:tcPr>
          <w:p w14:paraId="77667206"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Fasting glucose</w:t>
            </w:r>
          </w:p>
        </w:tc>
        <w:tc>
          <w:tcPr>
            <w:tcW w:w="680" w:type="dxa"/>
            <w:tcBorders>
              <w:top w:val="nil"/>
              <w:left w:val="nil"/>
              <w:bottom w:val="nil"/>
              <w:right w:val="nil"/>
            </w:tcBorders>
            <w:shd w:val="clear" w:color="auto" w:fill="auto"/>
            <w:noWrap/>
            <w:vAlign w:val="center"/>
            <w:hideMark/>
          </w:tcPr>
          <w:p w14:paraId="30315A8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13</w:t>
            </w:r>
          </w:p>
        </w:tc>
        <w:tc>
          <w:tcPr>
            <w:tcW w:w="752" w:type="dxa"/>
            <w:tcBorders>
              <w:top w:val="nil"/>
              <w:left w:val="nil"/>
              <w:bottom w:val="nil"/>
              <w:right w:val="nil"/>
            </w:tcBorders>
            <w:shd w:val="clear" w:color="auto" w:fill="auto"/>
            <w:noWrap/>
            <w:vAlign w:val="center"/>
            <w:hideMark/>
          </w:tcPr>
          <w:p w14:paraId="70699FF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0.71</w:t>
            </w:r>
          </w:p>
        </w:tc>
        <w:tc>
          <w:tcPr>
            <w:tcW w:w="1829" w:type="dxa"/>
            <w:tcBorders>
              <w:top w:val="nil"/>
              <w:left w:val="nil"/>
              <w:bottom w:val="nil"/>
              <w:right w:val="nil"/>
            </w:tcBorders>
            <w:shd w:val="clear" w:color="auto" w:fill="auto"/>
            <w:noWrap/>
            <w:vAlign w:val="center"/>
            <w:hideMark/>
          </w:tcPr>
          <w:p w14:paraId="1F2A9AC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1.68</w:t>
            </w:r>
            <w:r>
              <w:rPr>
                <w:rFonts w:ascii="Calibri" w:hAnsi="Calibri" w:cs="Calibri"/>
                <w:color w:val="000000"/>
                <w:sz w:val="20"/>
                <w:szCs w:val="20"/>
              </w:rPr>
              <w:t xml:space="preserve"> </w:t>
            </w:r>
            <w:r w:rsidRPr="00C83CAB">
              <w:rPr>
                <w:rFonts w:ascii="Calibri" w:hAnsi="Calibri" w:cs="Calibri"/>
                <w:color w:val="000000"/>
                <w:sz w:val="20"/>
                <w:szCs w:val="20"/>
              </w:rPr>
              <w:t>(0.66-4.27)</w:t>
            </w:r>
          </w:p>
        </w:tc>
        <w:tc>
          <w:tcPr>
            <w:tcW w:w="992" w:type="dxa"/>
            <w:tcBorders>
              <w:top w:val="nil"/>
              <w:left w:val="nil"/>
              <w:bottom w:val="nil"/>
            </w:tcBorders>
            <w:vAlign w:val="center"/>
          </w:tcPr>
          <w:p w14:paraId="40817CD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0.27</w:t>
            </w:r>
          </w:p>
        </w:tc>
        <w:tc>
          <w:tcPr>
            <w:tcW w:w="1531" w:type="dxa"/>
            <w:tcBorders>
              <w:top w:val="nil"/>
              <w:bottom w:val="nil"/>
              <w:right w:val="nil"/>
            </w:tcBorders>
            <w:shd w:val="clear" w:color="auto" w:fill="auto"/>
            <w:noWrap/>
            <w:vAlign w:val="center"/>
            <w:hideMark/>
          </w:tcPr>
          <w:p w14:paraId="429E4FA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1.43</w:t>
            </w:r>
            <w:r>
              <w:rPr>
                <w:rFonts w:ascii="Calibri" w:hAnsi="Calibri" w:cs="Calibri"/>
                <w:color w:val="000000"/>
                <w:sz w:val="20"/>
                <w:szCs w:val="20"/>
              </w:rPr>
              <w:t xml:space="preserve"> </w:t>
            </w:r>
            <w:r w:rsidRPr="00C83CAB">
              <w:rPr>
                <w:rFonts w:ascii="Calibri" w:hAnsi="Calibri" w:cs="Calibri"/>
                <w:color w:val="000000"/>
                <w:sz w:val="20"/>
                <w:szCs w:val="20"/>
              </w:rPr>
              <w:t>(0.41-5.02)</w:t>
            </w:r>
          </w:p>
        </w:tc>
        <w:tc>
          <w:tcPr>
            <w:tcW w:w="992" w:type="dxa"/>
            <w:tcBorders>
              <w:top w:val="nil"/>
              <w:left w:val="nil"/>
              <w:bottom w:val="nil"/>
            </w:tcBorders>
            <w:vAlign w:val="center"/>
          </w:tcPr>
          <w:p w14:paraId="4E63229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0.58</w:t>
            </w:r>
          </w:p>
        </w:tc>
        <w:tc>
          <w:tcPr>
            <w:tcW w:w="1163" w:type="dxa"/>
            <w:tcBorders>
              <w:top w:val="nil"/>
              <w:left w:val="nil"/>
              <w:bottom w:val="nil"/>
              <w:right w:val="nil"/>
            </w:tcBorders>
            <w:shd w:val="clear" w:color="auto" w:fill="auto"/>
            <w:noWrap/>
            <w:vAlign w:val="center"/>
            <w:hideMark/>
          </w:tcPr>
          <w:p w14:paraId="4C33FCE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0.42</w:t>
            </w:r>
          </w:p>
        </w:tc>
        <w:tc>
          <w:tcPr>
            <w:tcW w:w="1842" w:type="dxa"/>
            <w:tcBorders>
              <w:top w:val="nil"/>
              <w:left w:val="nil"/>
              <w:bottom w:val="nil"/>
              <w:right w:val="nil"/>
            </w:tcBorders>
            <w:shd w:val="clear" w:color="auto" w:fill="auto"/>
            <w:noWrap/>
            <w:vAlign w:val="center"/>
            <w:hideMark/>
          </w:tcPr>
          <w:p w14:paraId="0179631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5.27</w:t>
            </w:r>
            <w:r>
              <w:rPr>
                <w:rFonts w:ascii="Calibri" w:hAnsi="Calibri" w:cs="Calibri"/>
                <w:color w:val="000000"/>
                <w:sz w:val="20"/>
                <w:szCs w:val="20"/>
              </w:rPr>
              <w:t xml:space="preserve"> </w:t>
            </w:r>
            <w:r w:rsidRPr="00C83CAB">
              <w:rPr>
                <w:rFonts w:ascii="Calibri" w:hAnsi="Calibri" w:cs="Calibri"/>
                <w:color w:val="000000"/>
                <w:sz w:val="20"/>
                <w:szCs w:val="20"/>
              </w:rPr>
              <w:t>(0.30-91.33)</w:t>
            </w:r>
          </w:p>
        </w:tc>
        <w:tc>
          <w:tcPr>
            <w:tcW w:w="709" w:type="dxa"/>
            <w:tcBorders>
              <w:top w:val="nil"/>
              <w:left w:val="nil"/>
              <w:bottom w:val="nil"/>
              <w:right w:val="nil"/>
            </w:tcBorders>
            <w:vAlign w:val="center"/>
          </w:tcPr>
          <w:p w14:paraId="28DC106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0.28</w:t>
            </w:r>
          </w:p>
        </w:tc>
      </w:tr>
      <w:tr w:rsidR="0086380B" w:rsidRPr="00C83CAB" w14:paraId="2AC49540"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42453729"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Fasting insulin</w:t>
            </w:r>
          </w:p>
        </w:tc>
        <w:tc>
          <w:tcPr>
            <w:tcW w:w="680" w:type="dxa"/>
            <w:tcBorders>
              <w:top w:val="nil"/>
              <w:left w:val="nil"/>
              <w:bottom w:val="nil"/>
              <w:right w:val="nil"/>
            </w:tcBorders>
            <w:shd w:val="clear" w:color="auto" w:fill="auto"/>
            <w:noWrap/>
            <w:vAlign w:val="center"/>
            <w:hideMark/>
          </w:tcPr>
          <w:p w14:paraId="7461F31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13</w:t>
            </w:r>
          </w:p>
        </w:tc>
        <w:tc>
          <w:tcPr>
            <w:tcW w:w="752" w:type="dxa"/>
            <w:tcBorders>
              <w:top w:val="nil"/>
              <w:left w:val="nil"/>
              <w:bottom w:val="nil"/>
              <w:right w:val="nil"/>
            </w:tcBorders>
            <w:shd w:val="clear" w:color="auto" w:fill="auto"/>
            <w:noWrap/>
            <w:vAlign w:val="center"/>
            <w:hideMark/>
          </w:tcPr>
          <w:p w14:paraId="6CB80E7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0.81</w:t>
            </w:r>
          </w:p>
        </w:tc>
        <w:tc>
          <w:tcPr>
            <w:tcW w:w="1829" w:type="dxa"/>
            <w:tcBorders>
              <w:top w:val="nil"/>
              <w:left w:val="nil"/>
              <w:bottom w:val="nil"/>
              <w:right w:val="nil"/>
            </w:tcBorders>
            <w:shd w:val="clear" w:color="auto" w:fill="auto"/>
            <w:noWrap/>
            <w:vAlign w:val="center"/>
            <w:hideMark/>
          </w:tcPr>
          <w:p w14:paraId="6C0F421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2.84</w:t>
            </w:r>
            <w:r>
              <w:rPr>
                <w:rFonts w:ascii="Calibri" w:hAnsi="Calibri" w:cs="Calibri"/>
                <w:color w:val="000000"/>
                <w:sz w:val="20"/>
                <w:szCs w:val="20"/>
              </w:rPr>
              <w:t xml:space="preserve"> </w:t>
            </w:r>
            <w:r w:rsidRPr="00C83CAB">
              <w:rPr>
                <w:rFonts w:ascii="Calibri" w:hAnsi="Calibri" w:cs="Calibri"/>
                <w:color w:val="000000"/>
                <w:sz w:val="20"/>
                <w:szCs w:val="20"/>
              </w:rPr>
              <w:t>(1.23-6.56)</w:t>
            </w:r>
          </w:p>
        </w:tc>
        <w:tc>
          <w:tcPr>
            <w:tcW w:w="992" w:type="dxa"/>
            <w:tcBorders>
              <w:top w:val="nil"/>
              <w:left w:val="nil"/>
              <w:bottom w:val="nil"/>
            </w:tcBorders>
            <w:vAlign w:val="center"/>
          </w:tcPr>
          <w:p w14:paraId="2067775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0.01</w:t>
            </w:r>
          </w:p>
        </w:tc>
        <w:tc>
          <w:tcPr>
            <w:tcW w:w="1531" w:type="dxa"/>
            <w:tcBorders>
              <w:top w:val="nil"/>
              <w:bottom w:val="nil"/>
              <w:right w:val="nil"/>
            </w:tcBorders>
            <w:shd w:val="clear" w:color="auto" w:fill="auto"/>
            <w:noWrap/>
            <w:vAlign w:val="center"/>
            <w:hideMark/>
          </w:tcPr>
          <w:p w14:paraId="3C5A691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1.97</w:t>
            </w:r>
            <w:r>
              <w:rPr>
                <w:rFonts w:ascii="Calibri" w:hAnsi="Calibri" w:cs="Calibri"/>
                <w:color w:val="000000"/>
                <w:sz w:val="20"/>
                <w:szCs w:val="20"/>
              </w:rPr>
              <w:t xml:space="preserve"> </w:t>
            </w:r>
            <w:r w:rsidRPr="00C83CAB">
              <w:rPr>
                <w:rFonts w:ascii="Calibri" w:hAnsi="Calibri" w:cs="Calibri"/>
                <w:color w:val="000000"/>
                <w:sz w:val="20"/>
                <w:szCs w:val="20"/>
              </w:rPr>
              <w:t>(0.65-5.97)</w:t>
            </w:r>
          </w:p>
        </w:tc>
        <w:tc>
          <w:tcPr>
            <w:tcW w:w="992" w:type="dxa"/>
            <w:tcBorders>
              <w:top w:val="nil"/>
              <w:left w:val="nil"/>
              <w:bottom w:val="nil"/>
            </w:tcBorders>
            <w:vAlign w:val="center"/>
          </w:tcPr>
          <w:p w14:paraId="737DCC4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0.23</w:t>
            </w:r>
          </w:p>
        </w:tc>
        <w:tc>
          <w:tcPr>
            <w:tcW w:w="1163" w:type="dxa"/>
            <w:tcBorders>
              <w:top w:val="nil"/>
              <w:left w:val="nil"/>
              <w:bottom w:val="nil"/>
              <w:right w:val="nil"/>
            </w:tcBorders>
            <w:shd w:val="clear" w:color="auto" w:fill="auto"/>
            <w:noWrap/>
            <w:vAlign w:val="center"/>
            <w:hideMark/>
          </w:tcPr>
          <w:p w14:paraId="3C12997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0.16</w:t>
            </w:r>
          </w:p>
        </w:tc>
        <w:tc>
          <w:tcPr>
            <w:tcW w:w="1842" w:type="dxa"/>
            <w:tcBorders>
              <w:top w:val="nil"/>
              <w:left w:val="nil"/>
              <w:bottom w:val="nil"/>
              <w:right w:val="nil"/>
            </w:tcBorders>
            <w:shd w:val="clear" w:color="auto" w:fill="auto"/>
            <w:noWrap/>
            <w:vAlign w:val="center"/>
            <w:hideMark/>
          </w:tcPr>
          <w:p w14:paraId="3096EDD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0.04</w:t>
            </w:r>
            <w:r>
              <w:rPr>
                <w:rFonts w:ascii="Calibri" w:hAnsi="Calibri" w:cs="Calibri"/>
                <w:color w:val="000000"/>
                <w:sz w:val="20"/>
                <w:szCs w:val="20"/>
              </w:rPr>
              <w:t xml:space="preserve"> </w:t>
            </w:r>
            <w:r w:rsidRPr="00C83CAB">
              <w:rPr>
                <w:rFonts w:ascii="Calibri" w:hAnsi="Calibri" w:cs="Calibri"/>
                <w:color w:val="000000"/>
                <w:sz w:val="20"/>
                <w:szCs w:val="20"/>
              </w:rPr>
              <w:t>(</w:t>
            </w:r>
            <w:r>
              <w:rPr>
                <w:rFonts w:ascii="Calibri" w:hAnsi="Calibri" w:cs="Calibri"/>
                <w:color w:val="000000"/>
                <w:sz w:val="20"/>
                <w:szCs w:val="20"/>
              </w:rPr>
              <w:t>&lt;</w:t>
            </w:r>
            <w:r w:rsidRPr="00C83CAB">
              <w:rPr>
                <w:rFonts w:ascii="Calibri" w:hAnsi="Calibri" w:cs="Calibri"/>
                <w:color w:val="000000"/>
                <w:sz w:val="20"/>
                <w:szCs w:val="20"/>
              </w:rPr>
              <w:t>0</w:t>
            </w:r>
            <w:r>
              <w:rPr>
                <w:rFonts w:ascii="Calibri" w:hAnsi="Calibri" w:cs="Calibri"/>
                <w:color w:val="000000"/>
                <w:sz w:val="20"/>
                <w:szCs w:val="20"/>
              </w:rPr>
              <w:t>.01</w:t>
            </w:r>
            <w:r w:rsidRPr="00C83CAB">
              <w:rPr>
                <w:rFonts w:ascii="Calibri" w:hAnsi="Calibri" w:cs="Calibri"/>
                <w:color w:val="000000"/>
                <w:sz w:val="20"/>
                <w:szCs w:val="20"/>
              </w:rPr>
              <w:t>-10.61)</w:t>
            </w:r>
          </w:p>
        </w:tc>
        <w:tc>
          <w:tcPr>
            <w:tcW w:w="709" w:type="dxa"/>
            <w:tcBorders>
              <w:top w:val="nil"/>
              <w:left w:val="nil"/>
              <w:bottom w:val="nil"/>
              <w:right w:val="nil"/>
            </w:tcBorders>
            <w:vAlign w:val="center"/>
          </w:tcPr>
          <w:p w14:paraId="292FD32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0.28</w:t>
            </w:r>
          </w:p>
        </w:tc>
      </w:tr>
      <w:tr w:rsidR="0086380B" w:rsidRPr="00C83CAB" w14:paraId="522719B9" w14:textId="77777777" w:rsidTr="00251E4B">
        <w:trPr>
          <w:trHeight w:val="20"/>
          <w:jc w:val="center"/>
        </w:trPr>
        <w:tc>
          <w:tcPr>
            <w:tcW w:w="2126" w:type="dxa"/>
            <w:tcBorders>
              <w:top w:val="nil"/>
              <w:left w:val="nil"/>
              <w:bottom w:val="nil"/>
              <w:right w:val="nil"/>
            </w:tcBorders>
            <w:shd w:val="clear" w:color="auto" w:fill="auto"/>
            <w:vAlign w:val="center"/>
            <w:hideMark/>
          </w:tcPr>
          <w:p w14:paraId="529E8B6B"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Type 1 diabetes</w:t>
            </w:r>
          </w:p>
        </w:tc>
        <w:tc>
          <w:tcPr>
            <w:tcW w:w="680" w:type="dxa"/>
            <w:tcBorders>
              <w:top w:val="nil"/>
              <w:left w:val="nil"/>
              <w:bottom w:val="nil"/>
              <w:right w:val="nil"/>
            </w:tcBorders>
            <w:shd w:val="clear" w:color="auto" w:fill="auto"/>
            <w:noWrap/>
            <w:vAlign w:val="center"/>
            <w:hideMark/>
          </w:tcPr>
          <w:p w14:paraId="2757798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23</w:t>
            </w:r>
          </w:p>
        </w:tc>
        <w:tc>
          <w:tcPr>
            <w:tcW w:w="752" w:type="dxa"/>
            <w:tcBorders>
              <w:top w:val="nil"/>
              <w:left w:val="nil"/>
              <w:bottom w:val="nil"/>
              <w:right w:val="nil"/>
            </w:tcBorders>
            <w:shd w:val="clear" w:color="auto" w:fill="auto"/>
            <w:noWrap/>
            <w:vAlign w:val="center"/>
            <w:hideMark/>
          </w:tcPr>
          <w:p w14:paraId="61DE6BA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0.84</w:t>
            </w:r>
          </w:p>
        </w:tc>
        <w:tc>
          <w:tcPr>
            <w:tcW w:w="1829" w:type="dxa"/>
            <w:tcBorders>
              <w:top w:val="nil"/>
              <w:left w:val="nil"/>
              <w:bottom w:val="nil"/>
              <w:right w:val="nil"/>
            </w:tcBorders>
            <w:shd w:val="clear" w:color="auto" w:fill="auto"/>
            <w:noWrap/>
            <w:vAlign w:val="center"/>
            <w:hideMark/>
          </w:tcPr>
          <w:p w14:paraId="2CD52C0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0.97</w:t>
            </w:r>
            <w:r>
              <w:rPr>
                <w:rFonts w:ascii="Calibri" w:hAnsi="Calibri" w:cs="Calibri"/>
                <w:color w:val="000000"/>
                <w:sz w:val="20"/>
                <w:szCs w:val="20"/>
              </w:rPr>
              <w:t xml:space="preserve"> </w:t>
            </w:r>
            <w:r w:rsidRPr="00C83CAB">
              <w:rPr>
                <w:rFonts w:ascii="Calibri" w:hAnsi="Calibri" w:cs="Calibri"/>
                <w:color w:val="000000"/>
                <w:sz w:val="20"/>
                <w:szCs w:val="20"/>
              </w:rPr>
              <w:t>(0.92-1.01)</w:t>
            </w:r>
          </w:p>
        </w:tc>
        <w:tc>
          <w:tcPr>
            <w:tcW w:w="992" w:type="dxa"/>
            <w:tcBorders>
              <w:top w:val="nil"/>
              <w:left w:val="nil"/>
              <w:bottom w:val="nil"/>
            </w:tcBorders>
            <w:vAlign w:val="center"/>
          </w:tcPr>
          <w:p w14:paraId="0905F4A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0.14</w:t>
            </w:r>
          </w:p>
        </w:tc>
        <w:tc>
          <w:tcPr>
            <w:tcW w:w="1531" w:type="dxa"/>
            <w:tcBorders>
              <w:top w:val="nil"/>
              <w:bottom w:val="nil"/>
              <w:right w:val="nil"/>
            </w:tcBorders>
            <w:shd w:val="clear" w:color="auto" w:fill="auto"/>
            <w:noWrap/>
            <w:vAlign w:val="center"/>
            <w:hideMark/>
          </w:tcPr>
          <w:p w14:paraId="4486D5A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0.96</w:t>
            </w:r>
            <w:r>
              <w:rPr>
                <w:rFonts w:ascii="Calibri" w:hAnsi="Calibri" w:cs="Calibri"/>
                <w:color w:val="000000"/>
                <w:sz w:val="20"/>
                <w:szCs w:val="20"/>
              </w:rPr>
              <w:t xml:space="preserve"> </w:t>
            </w:r>
            <w:r w:rsidRPr="00C83CAB">
              <w:rPr>
                <w:rFonts w:ascii="Calibri" w:hAnsi="Calibri" w:cs="Calibri"/>
                <w:color w:val="000000"/>
                <w:sz w:val="20"/>
                <w:szCs w:val="20"/>
              </w:rPr>
              <w:t>(0.91-1.02)</w:t>
            </w:r>
          </w:p>
        </w:tc>
        <w:tc>
          <w:tcPr>
            <w:tcW w:w="992" w:type="dxa"/>
            <w:tcBorders>
              <w:top w:val="nil"/>
              <w:left w:val="nil"/>
              <w:bottom w:val="nil"/>
            </w:tcBorders>
            <w:vAlign w:val="center"/>
          </w:tcPr>
          <w:p w14:paraId="03BE2EC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0.18</w:t>
            </w:r>
          </w:p>
        </w:tc>
        <w:tc>
          <w:tcPr>
            <w:tcW w:w="1163" w:type="dxa"/>
            <w:tcBorders>
              <w:top w:val="nil"/>
              <w:left w:val="nil"/>
              <w:bottom w:val="nil"/>
              <w:right w:val="nil"/>
            </w:tcBorders>
            <w:shd w:val="clear" w:color="auto" w:fill="auto"/>
            <w:noWrap/>
            <w:vAlign w:val="center"/>
            <w:hideMark/>
          </w:tcPr>
          <w:p w14:paraId="3214242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0.87</w:t>
            </w:r>
          </w:p>
        </w:tc>
        <w:tc>
          <w:tcPr>
            <w:tcW w:w="1842" w:type="dxa"/>
            <w:tcBorders>
              <w:top w:val="nil"/>
              <w:left w:val="nil"/>
              <w:bottom w:val="nil"/>
              <w:right w:val="nil"/>
            </w:tcBorders>
            <w:shd w:val="clear" w:color="auto" w:fill="auto"/>
            <w:noWrap/>
            <w:vAlign w:val="center"/>
            <w:hideMark/>
          </w:tcPr>
          <w:p w14:paraId="49BB28E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0.96</w:t>
            </w:r>
            <w:r>
              <w:rPr>
                <w:rFonts w:ascii="Calibri" w:hAnsi="Calibri" w:cs="Calibri"/>
                <w:color w:val="000000"/>
                <w:sz w:val="20"/>
                <w:szCs w:val="20"/>
              </w:rPr>
              <w:t xml:space="preserve"> </w:t>
            </w:r>
            <w:r w:rsidRPr="00C83CAB">
              <w:rPr>
                <w:rFonts w:ascii="Calibri" w:hAnsi="Calibri" w:cs="Calibri"/>
                <w:color w:val="000000"/>
                <w:sz w:val="20"/>
                <w:szCs w:val="20"/>
              </w:rPr>
              <w:t>(0.90-1.03)</w:t>
            </w:r>
          </w:p>
        </w:tc>
        <w:tc>
          <w:tcPr>
            <w:tcW w:w="709" w:type="dxa"/>
            <w:tcBorders>
              <w:top w:val="nil"/>
              <w:left w:val="nil"/>
              <w:bottom w:val="nil"/>
              <w:right w:val="nil"/>
            </w:tcBorders>
            <w:vAlign w:val="center"/>
          </w:tcPr>
          <w:p w14:paraId="2C1C3B9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0.28</w:t>
            </w:r>
          </w:p>
        </w:tc>
      </w:tr>
      <w:tr w:rsidR="0086380B" w:rsidRPr="00C83CAB" w14:paraId="44648C72" w14:textId="77777777" w:rsidTr="00251E4B">
        <w:trPr>
          <w:trHeight w:val="20"/>
          <w:jc w:val="center"/>
        </w:trPr>
        <w:tc>
          <w:tcPr>
            <w:tcW w:w="2126" w:type="dxa"/>
            <w:tcBorders>
              <w:top w:val="nil"/>
              <w:left w:val="nil"/>
              <w:bottom w:val="nil"/>
              <w:right w:val="nil"/>
            </w:tcBorders>
            <w:shd w:val="clear" w:color="auto" w:fill="auto"/>
            <w:vAlign w:val="center"/>
            <w:hideMark/>
          </w:tcPr>
          <w:p w14:paraId="4112B070"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Type 2 diabetes</w:t>
            </w:r>
          </w:p>
        </w:tc>
        <w:tc>
          <w:tcPr>
            <w:tcW w:w="680" w:type="dxa"/>
            <w:tcBorders>
              <w:top w:val="nil"/>
              <w:left w:val="nil"/>
              <w:bottom w:val="nil"/>
              <w:right w:val="nil"/>
            </w:tcBorders>
            <w:shd w:val="clear" w:color="auto" w:fill="auto"/>
            <w:noWrap/>
            <w:vAlign w:val="center"/>
            <w:hideMark/>
          </w:tcPr>
          <w:p w14:paraId="0507978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95</w:t>
            </w:r>
          </w:p>
        </w:tc>
        <w:tc>
          <w:tcPr>
            <w:tcW w:w="752" w:type="dxa"/>
            <w:tcBorders>
              <w:top w:val="nil"/>
              <w:left w:val="nil"/>
              <w:bottom w:val="nil"/>
              <w:right w:val="nil"/>
            </w:tcBorders>
            <w:shd w:val="clear" w:color="auto" w:fill="auto"/>
            <w:noWrap/>
            <w:vAlign w:val="center"/>
            <w:hideMark/>
          </w:tcPr>
          <w:p w14:paraId="0F4DAE0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0.97</w:t>
            </w:r>
          </w:p>
        </w:tc>
        <w:tc>
          <w:tcPr>
            <w:tcW w:w="1829" w:type="dxa"/>
            <w:tcBorders>
              <w:top w:val="nil"/>
              <w:left w:val="nil"/>
              <w:bottom w:val="nil"/>
              <w:right w:val="nil"/>
            </w:tcBorders>
            <w:shd w:val="clear" w:color="auto" w:fill="auto"/>
            <w:noWrap/>
            <w:vAlign w:val="center"/>
            <w:hideMark/>
          </w:tcPr>
          <w:p w14:paraId="321AFA8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1.09</w:t>
            </w:r>
            <w:r>
              <w:rPr>
                <w:rFonts w:ascii="Calibri" w:hAnsi="Calibri" w:cs="Calibri"/>
                <w:color w:val="000000"/>
                <w:sz w:val="20"/>
                <w:szCs w:val="20"/>
              </w:rPr>
              <w:t xml:space="preserve"> </w:t>
            </w:r>
            <w:r w:rsidRPr="00C83CAB">
              <w:rPr>
                <w:rFonts w:ascii="Calibri" w:hAnsi="Calibri" w:cs="Calibri"/>
                <w:color w:val="000000"/>
                <w:sz w:val="20"/>
                <w:szCs w:val="20"/>
              </w:rPr>
              <w:t>(1.01-1.17)</w:t>
            </w:r>
          </w:p>
        </w:tc>
        <w:tc>
          <w:tcPr>
            <w:tcW w:w="992" w:type="dxa"/>
            <w:tcBorders>
              <w:top w:val="nil"/>
              <w:left w:val="nil"/>
              <w:bottom w:val="nil"/>
            </w:tcBorders>
            <w:vAlign w:val="center"/>
          </w:tcPr>
          <w:p w14:paraId="500A8DD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0.02</w:t>
            </w:r>
          </w:p>
        </w:tc>
        <w:tc>
          <w:tcPr>
            <w:tcW w:w="1531" w:type="dxa"/>
            <w:tcBorders>
              <w:top w:val="nil"/>
              <w:bottom w:val="nil"/>
              <w:right w:val="nil"/>
            </w:tcBorders>
            <w:shd w:val="clear" w:color="auto" w:fill="auto"/>
            <w:noWrap/>
            <w:vAlign w:val="center"/>
            <w:hideMark/>
          </w:tcPr>
          <w:p w14:paraId="3FEF9DA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1.02</w:t>
            </w:r>
            <w:r>
              <w:rPr>
                <w:rFonts w:ascii="Calibri" w:hAnsi="Calibri" w:cs="Calibri"/>
                <w:color w:val="000000"/>
                <w:sz w:val="20"/>
                <w:szCs w:val="20"/>
              </w:rPr>
              <w:t xml:space="preserve"> </w:t>
            </w:r>
            <w:r w:rsidRPr="00C83CAB">
              <w:rPr>
                <w:rFonts w:ascii="Calibri" w:hAnsi="Calibri" w:cs="Calibri"/>
                <w:color w:val="000000"/>
                <w:sz w:val="20"/>
                <w:szCs w:val="20"/>
              </w:rPr>
              <w:t>(0.90-1.15)</w:t>
            </w:r>
          </w:p>
        </w:tc>
        <w:tc>
          <w:tcPr>
            <w:tcW w:w="992" w:type="dxa"/>
            <w:tcBorders>
              <w:top w:val="nil"/>
              <w:left w:val="nil"/>
              <w:bottom w:val="nil"/>
            </w:tcBorders>
            <w:vAlign w:val="center"/>
          </w:tcPr>
          <w:p w14:paraId="667F42B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0.76</w:t>
            </w:r>
          </w:p>
        </w:tc>
        <w:tc>
          <w:tcPr>
            <w:tcW w:w="1163" w:type="dxa"/>
            <w:tcBorders>
              <w:top w:val="nil"/>
              <w:left w:val="nil"/>
              <w:bottom w:val="nil"/>
              <w:right w:val="nil"/>
            </w:tcBorders>
            <w:shd w:val="clear" w:color="auto" w:fill="auto"/>
            <w:noWrap/>
            <w:vAlign w:val="center"/>
            <w:hideMark/>
          </w:tcPr>
          <w:p w14:paraId="3B2F51C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0.07</w:t>
            </w:r>
          </w:p>
        </w:tc>
        <w:tc>
          <w:tcPr>
            <w:tcW w:w="1842" w:type="dxa"/>
            <w:tcBorders>
              <w:top w:val="nil"/>
              <w:left w:val="nil"/>
              <w:bottom w:val="nil"/>
              <w:right w:val="nil"/>
            </w:tcBorders>
            <w:shd w:val="clear" w:color="auto" w:fill="auto"/>
            <w:noWrap/>
            <w:vAlign w:val="center"/>
            <w:hideMark/>
          </w:tcPr>
          <w:p w14:paraId="21611D55"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0.95</w:t>
            </w:r>
            <w:r>
              <w:rPr>
                <w:rFonts w:ascii="Calibri" w:hAnsi="Calibri" w:cs="Calibri"/>
                <w:color w:val="000000"/>
                <w:sz w:val="20"/>
                <w:szCs w:val="20"/>
              </w:rPr>
              <w:t xml:space="preserve"> </w:t>
            </w:r>
            <w:r w:rsidRPr="00C83CAB">
              <w:rPr>
                <w:rFonts w:ascii="Calibri" w:hAnsi="Calibri" w:cs="Calibri"/>
                <w:color w:val="000000"/>
                <w:sz w:val="20"/>
                <w:szCs w:val="20"/>
              </w:rPr>
              <w:t>(0.82-1.12)</w:t>
            </w:r>
          </w:p>
        </w:tc>
        <w:tc>
          <w:tcPr>
            <w:tcW w:w="709" w:type="dxa"/>
            <w:tcBorders>
              <w:top w:val="nil"/>
              <w:left w:val="nil"/>
              <w:bottom w:val="nil"/>
              <w:right w:val="nil"/>
            </w:tcBorders>
            <w:vAlign w:val="center"/>
          </w:tcPr>
          <w:p w14:paraId="25AEF7C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0.57</w:t>
            </w:r>
          </w:p>
        </w:tc>
      </w:tr>
      <w:tr w:rsidR="0086380B" w:rsidRPr="00C83CAB" w14:paraId="5B097C6A" w14:textId="77777777" w:rsidTr="00251E4B">
        <w:trPr>
          <w:trHeight w:val="20"/>
          <w:jc w:val="center"/>
        </w:trPr>
        <w:tc>
          <w:tcPr>
            <w:tcW w:w="2126" w:type="dxa"/>
            <w:tcBorders>
              <w:top w:val="nil"/>
              <w:left w:val="nil"/>
              <w:bottom w:val="nil"/>
              <w:right w:val="nil"/>
            </w:tcBorders>
            <w:shd w:val="clear" w:color="auto" w:fill="auto"/>
            <w:vAlign w:val="center"/>
            <w:hideMark/>
          </w:tcPr>
          <w:p w14:paraId="606CD49E"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Body mass index</w:t>
            </w:r>
          </w:p>
        </w:tc>
        <w:tc>
          <w:tcPr>
            <w:tcW w:w="680" w:type="dxa"/>
            <w:tcBorders>
              <w:top w:val="nil"/>
              <w:left w:val="nil"/>
              <w:bottom w:val="nil"/>
              <w:right w:val="nil"/>
            </w:tcBorders>
            <w:shd w:val="clear" w:color="auto" w:fill="auto"/>
            <w:noWrap/>
            <w:vAlign w:val="center"/>
            <w:hideMark/>
          </w:tcPr>
          <w:p w14:paraId="4A259E1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276</w:t>
            </w:r>
          </w:p>
        </w:tc>
        <w:tc>
          <w:tcPr>
            <w:tcW w:w="752" w:type="dxa"/>
            <w:tcBorders>
              <w:top w:val="nil"/>
              <w:left w:val="nil"/>
              <w:bottom w:val="nil"/>
              <w:right w:val="nil"/>
            </w:tcBorders>
            <w:shd w:val="clear" w:color="auto" w:fill="auto"/>
            <w:noWrap/>
            <w:vAlign w:val="center"/>
            <w:hideMark/>
          </w:tcPr>
          <w:p w14:paraId="202FD43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0.97</w:t>
            </w:r>
          </w:p>
        </w:tc>
        <w:tc>
          <w:tcPr>
            <w:tcW w:w="1829" w:type="dxa"/>
            <w:tcBorders>
              <w:top w:val="nil"/>
              <w:left w:val="nil"/>
              <w:bottom w:val="nil"/>
              <w:right w:val="nil"/>
            </w:tcBorders>
            <w:shd w:val="clear" w:color="auto" w:fill="auto"/>
            <w:noWrap/>
            <w:vAlign w:val="center"/>
            <w:hideMark/>
          </w:tcPr>
          <w:p w14:paraId="65EE253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1.38</w:t>
            </w:r>
            <w:r>
              <w:rPr>
                <w:rFonts w:ascii="Calibri" w:hAnsi="Calibri" w:cs="Calibri"/>
                <w:color w:val="000000"/>
                <w:sz w:val="20"/>
                <w:szCs w:val="20"/>
              </w:rPr>
              <w:t xml:space="preserve"> </w:t>
            </w:r>
            <w:r w:rsidRPr="00C83CAB">
              <w:rPr>
                <w:rFonts w:ascii="Calibri" w:hAnsi="Calibri" w:cs="Calibri"/>
                <w:color w:val="000000"/>
                <w:sz w:val="20"/>
                <w:szCs w:val="20"/>
              </w:rPr>
              <w:t>(1.17-1.64)</w:t>
            </w:r>
          </w:p>
        </w:tc>
        <w:tc>
          <w:tcPr>
            <w:tcW w:w="992" w:type="dxa"/>
            <w:tcBorders>
              <w:top w:val="nil"/>
              <w:left w:val="nil"/>
              <w:bottom w:val="nil"/>
            </w:tcBorders>
            <w:vAlign w:val="center"/>
          </w:tcPr>
          <w:p w14:paraId="7C168EE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1.79x10</w:t>
            </w:r>
            <w:r w:rsidRPr="00C83CAB">
              <w:rPr>
                <w:rFonts w:ascii="Calibri" w:hAnsi="Calibri" w:cs="Calibri"/>
                <w:b/>
                <w:bCs/>
                <w:color w:val="000000"/>
                <w:sz w:val="20"/>
                <w:szCs w:val="20"/>
                <w:vertAlign w:val="superscript"/>
              </w:rPr>
              <w:t>-4</w:t>
            </w:r>
          </w:p>
        </w:tc>
        <w:tc>
          <w:tcPr>
            <w:tcW w:w="1531" w:type="dxa"/>
            <w:tcBorders>
              <w:top w:val="nil"/>
              <w:bottom w:val="nil"/>
              <w:right w:val="nil"/>
            </w:tcBorders>
            <w:shd w:val="clear" w:color="auto" w:fill="auto"/>
            <w:noWrap/>
            <w:vAlign w:val="center"/>
            <w:hideMark/>
          </w:tcPr>
          <w:p w14:paraId="0874877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1.57</w:t>
            </w:r>
            <w:r>
              <w:rPr>
                <w:rFonts w:ascii="Calibri" w:hAnsi="Calibri" w:cs="Calibri"/>
                <w:color w:val="000000"/>
                <w:sz w:val="20"/>
                <w:szCs w:val="20"/>
              </w:rPr>
              <w:t xml:space="preserve"> </w:t>
            </w:r>
            <w:r w:rsidRPr="00C83CAB">
              <w:rPr>
                <w:rFonts w:ascii="Calibri" w:hAnsi="Calibri" w:cs="Calibri"/>
                <w:color w:val="000000"/>
                <w:sz w:val="20"/>
                <w:szCs w:val="20"/>
              </w:rPr>
              <w:t>(1.20-2.06)</w:t>
            </w:r>
          </w:p>
        </w:tc>
        <w:tc>
          <w:tcPr>
            <w:tcW w:w="992" w:type="dxa"/>
            <w:tcBorders>
              <w:top w:val="nil"/>
              <w:left w:val="nil"/>
              <w:bottom w:val="nil"/>
            </w:tcBorders>
            <w:vAlign w:val="center"/>
          </w:tcPr>
          <w:p w14:paraId="797E84F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1.05x10</w:t>
            </w:r>
            <w:r w:rsidRPr="00C83CAB">
              <w:rPr>
                <w:rFonts w:ascii="Calibri" w:hAnsi="Calibri" w:cs="Calibri"/>
                <w:b/>
                <w:bCs/>
                <w:color w:val="000000"/>
                <w:sz w:val="20"/>
                <w:szCs w:val="20"/>
                <w:vertAlign w:val="superscript"/>
              </w:rPr>
              <w:t>-3</w:t>
            </w:r>
          </w:p>
        </w:tc>
        <w:tc>
          <w:tcPr>
            <w:tcW w:w="1163" w:type="dxa"/>
            <w:tcBorders>
              <w:top w:val="nil"/>
              <w:left w:val="nil"/>
              <w:bottom w:val="nil"/>
              <w:right w:val="nil"/>
            </w:tcBorders>
            <w:shd w:val="clear" w:color="auto" w:fill="auto"/>
            <w:noWrap/>
            <w:vAlign w:val="center"/>
            <w:hideMark/>
          </w:tcPr>
          <w:p w14:paraId="05C0380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0.30</w:t>
            </w:r>
          </w:p>
        </w:tc>
        <w:tc>
          <w:tcPr>
            <w:tcW w:w="1842" w:type="dxa"/>
            <w:tcBorders>
              <w:top w:val="nil"/>
              <w:left w:val="nil"/>
              <w:bottom w:val="nil"/>
              <w:right w:val="nil"/>
            </w:tcBorders>
            <w:shd w:val="clear" w:color="auto" w:fill="auto"/>
            <w:noWrap/>
            <w:vAlign w:val="center"/>
            <w:hideMark/>
          </w:tcPr>
          <w:p w14:paraId="3A310F1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1.71</w:t>
            </w:r>
            <w:r>
              <w:rPr>
                <w:rFonts w:ascii="Calibri" w:hAnsi="Calibri" w:cs="Calibri"/>
                <w:color w:val="000000"/>
                <w:sz w:val="20"/>
                <w:szCs w:val="20"/>
              </w:rPr>
              <w:t xml:space="preserve"> </w:t>
            </w:r>
            <w:r w:rsidRPr="00C83CAB">
              <w:rPr>
                <w:rFonts w:ascii="Calibri" w:hAnsi="Calibri" w:cs="Calibri"/>
                <w:color w:val="000000"/>
                <w:sz w:val="20"/>
                <w:szCs w:val="20"/>
              </w:rPr>
              <w:t>(1.11-2.64)</w:t>
            </w:r>
          </w:p>
        </w:tc>
        <w:tc>
          <w:tcPr>
            <w:tcW w:w="709" w:type="dxa"/>
            <w:tcBorders>
              <w:top w:val="nil"/>
              <w:left w:val="nil"/>
              <w:bottom w:val="nil"/>
              <w:right w:val="nil"/>
            </w:tcBorders>
            <w:vAlign w:val="center"/>
          </w:tcPr>
          <w:p w14:paraId="071C12C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0.02</w:t>
            </w:r>
          </w:p>
        </w:tc>
      </w:tr>
      <w:tr w:rsidR="0086380B" w:rsidRPr="00C83CAB" w14:paraId="36EC7FF0" w14:textId="77777777" w:rsidTr="00251E4B">
        <w:trPr>
          <w:trHeight w:val="20"/>
          <w:jc w:val="center"/>
        </w:trPr>
        <w:tc>
          <w:tcPr>
            <w:tcW w:w="2126" w:type="dxa"/>
            <w:tcBorders>
              <w:top w:val="nil"/>
              <w:left w:val="nil"/>
              <w:bottom w:val="nil"/>
              <w:right w:val="nil"/>
            </w:tcBorders>
            <w:shd w:val="clear" w:color="auto" w:fill="auto"/>
            <w:vAlign w:val="center"/>
            <w:hideMark/>
          </w:tcPr>
          <w:p w14:paraId="15F6CEB8"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HDL cholesterol</w:t>
            </w:r>
          </w:p>
        </w:tc>
        <w:tc>
          <w:tcPr>
            <w:tcW w:w="680" w:type="dxa"/>
            <w:tcBorders>
              <w:top w:val="nil"/>
              <w:left w:val="nil"/>
              <w:bottom w:val="nil"/>
              <w:right w:val="nil"/>
            </w:tcBorders>
            <w:shd w:val="clear" w:color="auto" w:fill="auto"/>
            <w:noWrap/>
            <w:vAlign w:val="center"/>
            <w:hideMark/>
          </w:tcPr>
          <w:p w14:paraId="3865250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127</w:t>
            </w:r>
          </w:p>
        </w:tc>
        <w:tc>
          <w:tcPr>
            <w:tcW w:w="752" w:type="dxa"/>
            <w:tcBorders>
              <w:top w:val="nil"/>
              <w:left w:val="nil"/>
              <w:bottom w:val="nil"/>
              <w:right w:val="nil"/>
            </w:tcBorders>
            <w:shd w:val="clear" w:color="auto" w:fill="auto"/>
            <w:noWrap/>
            <w:vAlign w:val="center"/>
            <w:hideMark/>
          </w:tcPr>
          <w:p w14:paraId="1B49B87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0.97</w:t>
            </w:r>
          </w:p>
        </w:tc>
        <w:tc>
          <w:tcPr>
            <w:tcW w:w="1829" w:type="dxa"/>
            <w:tcBorders>
              <w:top w:val="nil"/>
              <w:left w:val="nil"/>
              <w:bottom w:val="nil"/>
              <w:right w:val="nil"/>
            </w:tcBorders>
            <w:shd w:val="clear" w:color="auto" w:fill="auto"/>
            <w:noWrap/>
            <w:vAlign w:val="center"/>
            <w:hideMark/>
          </w:tcPr>
          <w:p w14:paraId="76364E9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0.95</w:t>
            </w:r>
            <w:r>
              <w:rPr>
                <w:rFonts w:ascii="Calibri" w:hAnsi="Calibri" w:cs="Calibri"/>
                <w:color w:val="000000"/>
                <w:sz w:val="20"/>
                <w:szCs w:val="20"/>
              </w:rPr>
              <w:t xml:space="preserve"> </w:t>
            </w:r>
            <w:r w:rsidRPr="00C83CAB">
              <w:rPr>
                <w:rFonts w:ascii="Calibri" w:hAnsi="Calibri" w:cs="Calibri"/>
                <w:color w:val="000000"/>
                <w:sz w:val="20"/>
                <w:szCs w:val="20"/>
              </w:rPr>
              <w:t>(0.82-1.10)</w:t>
            </w:r>
          </w:p>
        </w:tc>
        <w:tc>
          <w:tcPr>
            <w:tcW w:w="992" w:type="dxa"/>
            <w:tcBorders>
              <w:top w:val="nil"/>
              <w:left w:val="nil"/>
              <w:bottom w:val="nil"/>
            </w:tcBorders>
            <w:vAlign w:val="center"/>
          </w:tcPr>
          <w:p w14:paraId="1C7130B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0.49</w:t>
            </w:r>
          </w:p>
        </w:tc>
        <w:tc>
          <w:tcPr>
            <w:tcW w:w="1531" w:type="dxa"/>
            <w:tcBorders>
              <w:top w:val="nil"/>
              <w:bottom w:val="nil"/>
              <w:right w:val="nil"/>
            </w:tcBorders>
            <w:shd w:val="clear" w:color="auto" w:fill="auto"/>
            <w:noWrap/>
            <w:vAlign w:val="center"/>
            <w:hideMark/>
          </w:tcPr>
          <w:p w14:paraId="3D67027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1.05</w:t>
            </w:r>
            <w:r>
              <w:rPr>
                <w:rFonts w:ascii="Calibri" w:hAnsi="Calibri" w:cs="Calibri"/>
                <w:color w:val="000000"/>
                <w:sz w:val="20"/>
                <w:szCs w:val="20"/>
              </w:rPr>
              <w:t xml:space="preserve"> </w:t>
            </w:r>
            <w:r w:rsidRPr="00C83CAB">
              <w:rPr>
                <w:rFonts w:ascii="Calibri" w:hAnsi="Calibri" w:cs="Calibri"/>
                <w:color w:val="000000"/>
                <w:sz w:val="20"/>
                <w:szCs w:val="20"/>
              </w:rPr>
              <w:t>(0.84-1.32)</w:t>
            </w:r>
          </w:p>
        </w:tc>
        <w:tc>
          <w:tcPr>
            <w:tcW w:w="992" w:type="dxa"/>
            <w:tcBorders>
              <w:top w:val="nil"/>
              <w:left w:val="nil"/>
              <w:bottom w:val="nil"/>
            </w:tcBorders>
            <w:vAlign w:val="center"/>
          </w:tcPr>
          <w:p w14:paraId="33D5B61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0.64</w:t>
            </w:r>
          </w:p>
        </w:tc>
        <w:tc>
          <w:tcPr>
            <w:tcW w:w="1163" w:type="dxa"/>
            <w:tcBorders>
              <w:top w:val="nil"/>
              <w:left w:val="nil"/>
              <w:bottom w:val="nil"/>
              <w:right w:val="nil"/>
            </w:tcBorders>
            <w:shd w:val="clear" w:color="auto" w:fill="auto"/>
            <w:noWrap/>
            <w:vAlign w:val="center"/>
            <w:hideMark/>
          </w:tcPr>
          <w:p w14:paraId="28B67E2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0.23</w:t>
            </w:r>
          </w:p>
        </w:tc>
        <w:tc>
          <w:tcPr>
            <w:tcW w:w="1842" w:type="dxa"/>
            <w:tcBorders>
              <w:top w:val="nil"/>
              <w:left w:val="nil"/>
              <w:bottom w:val="nil"/>
              <w:right w:val="nil"/>
            </w:tcBorders>
            <w:shd w:val="clear" w:color="auto" w:fill="auto"/>
            <w:noWrap/>
            <w:vAlign w:val="center"/>
            <w:hideMark/>
          </w:tcPr>
          <w:p w14:paraId="7C13293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1.06</w:t>
            </w:r>
            <w:r>
              <w:rPr>
                <w:rFonts w:ascii="Calibri" w:hAnsi="Calibri" w:cs="Calibri"/>
                <w:color w:val="000000"/>
                <w:sz w:val="20"/>
                <w:szCs w:val="20"/>
              </w:rPr>
              <w:t xml:space="preserve"> </w:t>
            </w:r>
            <w:r w:rsidRPr="00C83CAB">
              <w:rPr>
                <w:rFonts w:ascii="Calibri" w:hAnsi="Calibri" w:cs="Calibri"/>
                <w:color w:val="000000"/>
                <w:sz w:val="20"/>
                <w:szCs w:val="20"/>
              </w:rPr>
              <w:t>(0.84-1.34)</w:t>
            </w:r>
          </w:p>
        </w:tc>
        <w:tc>
          <w:tcPr>
            <w:tcW w:w="709" w:type="dxa"/>
            <w:tcBorders>
              <w:top w:val="nil"/>
              <w:left w:val="nil"/>
              <w:bottom w:val="nil"/>
              <w:right w:val="nil"/>
            </w:tcBorders>
            <w:vAlign w:val="center"/>
          </w:tcPr>
          <w:p w14:paraId="0620E48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0.60</w:t>
            </w:r>
          </w:p>
        </w:tc>
      </w:tr>
      <w:tr w:rsidR="0086380B" w:rsidRPr="00C83CAB" w14:paraId="7D4A81B3" w14:textId="77777777" w:rsidTr="00251E4B">
        <w:trPr>
          <w:trHeight w:val="20"/>
          <w:jc w:val="center"/>
        </w:trPr>
        <w:tc>
          <w:tcPr>
            <w:tcW w:w="2126" w:type="dxa"/>
            <w:tcBorders>
              <w:top w:val="nil"/>
              <w:left w:val="nil"/>
              <w:bottom w:val="nil"/>
              <w:right w:val="nil"/>
            </w:tcBorders>
            <w:shd w:val="clear" w:color="auto" w:fill="auto"/>
            <w:vAlign w:val="center"/>
            <w:hideMark/>
          </w:tcPr>
          <w:p w14:paraId="29F4F30E"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LDL cholesterol</w:t>
            </w:r>
          </w:p>
        </w:tc>
        <w:tc>
          <w:tcPr>
            <w:tcW w:w="680" w:type="dxa"/>
            <w:tcBorders>
              <w:top w:val="nil"/>
              <w:left w:val="nil"/>
              <w:bottom w:val="nil"/>
              <w:right w:val="nil"/>
            </w:tcBorders>
            <w:shd w:val="clear" w:color="auto" w:fill="auto"/>
            <w:noWrap/>
            <w:vAlign w:val="center"/>
            <w:hideMark/>
          </w:tcPr>
          <w:p w14:paraId="351D23E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95</w:t>
            </w:r>
          </w:p>
        </w:tc>
        <w:tc>
          <w:tcPr>
            <w:tcW w:w="752" w:type="dxa"/>
            <w:tcBorders>
              <w:top w:val="nil"/>
              <w:left w:val="nil"/>
              <w:bottom w:val="nil"/>
              <w:right w:val="nil"/>
            </w:tcBorders>
            <w:shd w:val="clear" w:color="auto" w:fill="auto"/>
            <w:noWrap/>
            <w:vAlign w:val="center"/>
            <w:hideMark/>
          </w:tcPr>
          <w:p w14:paraId="39F6F0C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0.85</w:t>
            </w:r>
          </w:p>
        </w:tc>
        <w:tc>
          <w:tcPr>
            <w:tcW w:w="1829" w:type="dxa"/>
            <w:tcBorders>
              <w:top w:val="nil"/>
              <w:left w:val="nil"/>
              <w:bottom w:val="nil"/>
              <w:right w:val="nil"/>
            </w:tcBorders>
            <w:shd w:val="clear" w:color="auto" w:fill="auto"/>
            <w:noWrap/>
            <w:vAlign w:val="center"/>
            <w:hideMark/>
          </w:tcPr>
          <w:p w14:paraId="5180651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1.16</w:t>
            </w:r>
            <w:r>
              <w:rPr>
                <w:rFonts w:ascii="Calibri" w:hAnsi="Calibri" w:cs="Calibri"/>
                <w:color w:val="000000"/>
                <w:sz w:val="20"/>
                <w:szCs w:val="20"/>
              </w:rPr>
              <w:t xml:space="preserve"> </w:t>
            </w:r>
            <w:r w:rsidRPr="00C83CAB">
              <w:rPr>
                <w:rFonts w:ascii="Calibri" w:hAnsi="Calibri" w:cs="Calibri"/>
                <w:color w:val="000000"/>
                <w:sz w:val="20"/>
                <w:szCs w:val="20"/>
              </w:rPr>
              <w:t>(1.02-1.32)</w:t>
            </w:r>
          </w:p>
        </w:tc>
        <w:tc>
          <w:tcPr>
            <w:tcW w:w="992" w:type="dxa"/>
            <w:tcBorders>
              <w:top w:val="nil"/>
              <w:left w:val="nil"/>
              <w:bottom w:val="nil"/>
            </w:tcBorders>
            <w:vAlign w:val="center"/>
          </w:tcPr>
          <w:p w14:paraId="45B3699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0.03</w:t>
            </w:r>
          </w:p>
        </w:tc>
        <w:tc>
          <w:tcPr>
            <w:tcW w:w="1531" w:type="dxa"/>
            <w:tcBorders>
              <w:top w:val="nil"/>
              <w:bottom w:val="nil"/>
              <w:right w:val="nil"/>
            </w:tcBorders>
            <w:shd w:val="clear" w:color="auto" w:fill="auto"/>
            <w:noWrap/>
            <w:vAlign w:val="center"/>
            <w:hideMark/>
          </w:tcPr>
          <w:p w14:paraId="0EE79DB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1.29</w:t>
            </w:r>
            <w:r>
              <w:rPr>
                <w:rFonts w:ascii="Calibri" w:hAnsi="Calibri" w:cs="Calibri"/>
                <w:color w:val="000000"/>
                <w:sz w:val="20"/>
                <w:szCs w:val="20"/>
              </w:rPr>
              <w:t xml:space="preserve"> </w:t>
            </w:r>
            <w:r w:rsidRPr="00C83CAB">
              <w:rPr>
                <w:rFonts w:ascii="Calibri" w:hAnsi="Calibri" w:cs="Calibri"/>
                <w:color w:val="000000"/>
                <w:sz w:val="20"/>
                <w:szCs w:val="20"/>
              </w:rPr>
              <w:t>(1.05-1.58)</w:t>
            </w:r>
          </w:p>
        </w:tc>
        <w:tc>
          <w:tcPr>
            <w:tcW w:w="992" w:type="dxa"/>
            <w:tcBorders>
              <w:top w:val="nil"/>
              <w:left w:val="nil"/>
              <w:bottom w:val="nil"/>
            </w:tcBorders>
            <w:vAlign w:val="center"/>
          </w:tcPr>
          <w:p w14:paraId="6699CAE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0.01</w:t>
            </w:r>
          </w:p>
        </w:tc>
        <w:tc>
          <w:tcPr>
            <w:tcW w:w="1163" w:type="dxa"/>
            <w:tcBorders>
              <w:top w:val="nil"/>
              <w:left w:val="nil"/>
              <w:bottom w:val="nil"/>
              <w:right w:val="nil"/>
            </w:tcBorders>
            <w:shd w:val="clear" w:color="auto" w:fill="auto"/>
            <w:noWrap/>
            <w:vAlign w:val="center"/>
            <w:hideMark/>
          </w:tcPr>
          <w:p w14:paraId="350A92F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0.31</w:t>
            </w:r>
          </w:p>
        </w:tc>
        <w:tc>
          <w:tcPr>
            <w:tcW w:w="1842" w:type="dxa"/>
            <w:tcBorders>
              <w:top w:val="nil"/>
              <w:left w:val="nil"/>
              <w:bottom w:val="nil"/>
              <w:right w:val="nil"/>
            </w:tcBorders>
            <w:shd w:val="clear" w:color="auto" w:fill="auto"/>
            <w:noWrap/>
            <w:vAlign w:val="center"/>
            <w:hideMark/>
          </w:tcPr>
          <w:p w14:paraId="71B5797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1.24</w:t>
            </w:r>
            <w:r>
              <w:rPr>
                <w:rFonts w:ascii="Calibri" w:hAnsi="Calibri" w:cs="Calibri"/>
                <w:color w:val="000000"/>
                <w:sz w:val="20"/>
                <w:szCs w:val="20"/>
              </w:rPr>
              <w:t xml:space="preserve"> </w:t>
            </w:r>
            <w:r w:rsidRPr="00C83CAB">
              <w:rPr>
                <w:rFonts w:ascii="Calibri" w:hAnsi="Calibri" w:cs="Calibri"/>
                <w:color w:val="000000"/>
                <w:sz w:val="20"/>
                <w:szCs w:val="20"/>
              </w:rPr>
              <w:t>(1.03-1.50)</w:t>
            </w:r>
          </w:p>
        </w:tc>
        <w:tc>
          <w:tcPr>
            <w:tcW w:w="709" w:type="dxa"/>
            <w:tcBorders>
              <w:top w:val="nil"/>
              <w:left w:val="nil"/>
              <w:bottom w:val="nil"/>
              <w:right w:val="nil"/>
            </w:tcBorders>
            <w:vAlign w:val="center"/>
          </w:tcPr>
          <w:p w14:paraId="5A0141E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0.03</w:t>
            </w:r>
          </w:p>
        </w:tc>
      </w:tr>
      <w:tr w:rsidR="0086380B" w:rsidRPr="00C83CAB" w14:paraId="77031817" w14:textId="77777777" w:rsidTr="00251E4B">
        <w:trPr>
          <w:trHeight w:val="20"/>
          <w:jc w:val="center"/>
        </w:trPr>
        <w:tc>
          <w:tcPr>
            <w:tcW w:w="2126" w:type="dxa"/>
            <w:tcBorders>
              <w:top w:val="nil"/>
              <w:left w:val="nil"/>
              <w:bottom w:val="nil"/>
              <w:right w:val="nil"/>
            </w:tcBorders>
            <w:shd w:val="clear" w:color="auto" w:fill="auto"/>
            <w:vAlign w:val="center"/>
            <w:hideMark/>
          </w:tcPr>
          <w:p w14:paraId="2E5EAC1C"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Total cholesterol</w:t>
            </w:r>
          </w:p>
        </w:tc>
        <w:tc>
          <w:tcPr>
            <w:tcW w:w="680" w:type="dxa"/>
            <w:tcBorders>
              <w:top w:val="nil"/>
              <w:left w:val="nil"/>
              <w:bottom w:val="nil"/>
              <w:right w:val="nil"/>
            </w:tcBorders>
            <w:shd w:val="clear" w:color="auto" w:fill="auto"/>
            <w:noWrap/>
            <w:vAlign w:val="center"/>
            <w:hideMark/>
          </w:tcPr>
          <w:p w14:paraId="00FD803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93</w:t>
            </w:r>
          </w:p>
        </w:tc>
        <w:tc>
          <w:tcPr>
            <w:tcW w:w="752" w:type="dxa"/>
            <w:tcBorders>
              <w:top w:val="nil"/>
              <w:left w:val="nil"/>
              <w:bottom w:val="nil"/>
              <w:right w:val="nil"/>
            </w:tcBorders>
            <w:shd w:val="clear" w:color="auto" w:fill="auto"/>
            <w:noWrap/>
            <w:vAlign w:val="center"/>
            <w:hideMark/>
          </w:tcPr>
          <w:p w14:paraId="182CBA3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0.34</w:t>
            </w:r>
          </w:p>
        </w:tc>
        <w:tc>
          <w:tcPr>
            <w:tcW w:w="1829" w:type="dxa"/>
            <w:tcBorders>
              <w:top w:val="nil"/>
              <w:left w:val="nil"/>
              <w:bottom w:val="nil"/>
              <w:right w:val="nil"/>
            </w:tcBorders>
            <w:shd w:val="clear" w:color="auto" w:fill="auto"/>
            <w:noWrap/>
            <w:vAlign w:val="center"/>
            <w:hideMark/>
          </w:tcPr>
          <w:p w14:paraId="06F0899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0.91</w:t>
            </w:r>
            <w:r>
              <w:rPr>
                <w:rFonts w:ascii="Calibri" w:hAnsi="Calibri" w:cs="Calibri"/>
                <w:color w:val="000000"/>
                <w:sz w:val="20"/>
                <w:szCs w:val="20"/>
              </w:rPr>
              <w:t xml:space="preserve"> </w:t>
            </w:r>
            <w:r w:rsidRPr="00C83CAB">
              <w:rPr>
                <w:rFonts w:ascii="Calibri" w:hAnsi="Calibri" w:cs="Calibri"/>
                <w:color w:val="000000"/>
                <w:sz w:val="20"/>
                <w:szCs w:val="20"/>
              </w:rPr>
              <w:t>(0.79-1.06)</w:t>
            </w:r>
          </w:p>
        </w:tc>
        <w:tc>
          <w:tcPr>
            <w:tcW w:w="992" w:type="dxa"/>
            <w:tcBorders>
              <w:top w:val="nil"/>
              <w:left w:val="nil"/>
              <w:bottom w:val="nil"/>
            </w:tcBorders>
            <w:vAlign w:val="center"/>
          </w:tcPr>
          <w:p w14:paraId="54DBB21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0.22</w:t>
            </w:r>
          </w:p>
        </w:tc>
        <w:tc>
          <w:tcPr>
            <w:tcW w:w="1531" w:type="dxa"/>
            <w:tcBorders>
              <w:top w:val="nil"/>
              <w:bottom w:val="nil"/>
              <w:right w:val="nil"/>
            </w:tcBorders>
            <w:shd w:val="clear" w:color="auto" w:fill="auto"/>
            <w:noWrap/>
            <w:vAlign w:val="center"/>
            <w:hideMark/>
          </w:tcPr>
          <w:p w14:paraId="0B4B4BE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0.81</w:t>
            </w:r>
            <w:r>
              <w:rPr>
                <w:rFonts w:ascii="Calibri" w:hAnsi="Calibri" w:cs="Calibri"/>
                <w:color w:val="000000"/>
                <w:sz w:val="20"/>
                <w:szCs w:val="20"/>
              </w:rPr>
              <w:t xml:space="preserve"> </w:t>
            </w:r>
            <w:r w:rsidRPr="00C83CAB">
              <w:rPr>
                <w:rFonts w:ascii="Calibri" w:hAnsi="Calibri" w:cs="Calibri"/>
                <w:color w:val="000000"/>
                <w:sz w:val="20"/>
                <w:szCs w:val="20"/>
              </w:rPr>
              <w:t>(0.64-1.04)</w:t>
            </w:r>
          </w:p>
        </w:tc>
        <w:tc>
          <w:tcPr>
            <w:tcW w:w="992" w:type="dxa"/>
            <w:tcBorders>
              <w:top w:val="nil"/>
              <w:left w:val="nil"/>
              <w:bottom w:val="nil"/>
            </w:tcBorders>
            <w:vAlign w:val="center"/>
          </w:tcPr>
          <w:p w14:paraId="62AC63C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0.10</w:t>
            </w:r>
          </w:p>
        </w:tc>
        <w:tc>
          <w:tcPr>
            <w:tcW w:w="1163" w:type="dxa"/>
            <w:tcBorders>
              <w:top w:val="nil"/>
              <w:left w:val="nil"/>
              <w:bottom w:val="nil"/>
              <w:right w:val="nil"/>
            </w:tcBorders>
            <w:shd w:val="clear" w:color="auto" w:fill="auto"/>
            <w:noWrap/>
            <w:vAlign w:val="center"/>
            <w:hideMark/>
          </w:tcPr>
          <w:p w14:paraId="0A7C378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0.33</w:t>
            </w:r>
          </w:p>
        </w:tc>
        <w:tc>
          <w:tcPr>
            <w:tcW w:w="1842" w:type="dxa"/>
            <w:tcBorders>
              <w:top w:val="nil"/>
              <w:left w:val="nil"/>
              <w:bottom w:val="nil"/>
              <w:right w:val="nil"/>
            </w:tcBorders>
            <w:shd w:val="clear" w:color="auto" w:fill="auto"/>
            <w:noWrap/>
            <w:vAlign w:val="center"/>
            <w:hideMark/>
          </w:tcPr>
          <w:p w14:paraId="5A6B5AB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0.83</w:t>
            </w:r>
            <w:r>
              <w:rPr>
                <w:rFonts w:ascii="Calibri" w:hAnsi="Calibri" w:cs="Calibri"/>
                <w:color w:val="000000"/>
                <w:sz w:val="20"/>
                <w:szCs w:val="20"/>
              </w:rPr>
              <w:t xml:space="preserve"> </w:t>
            </w:r>
            <w:r w:rsidRPr="00C83CAB">
              <w:rPr>
                <w:rFonts w:ascii="Calibri" w:hAnsi="Calibri" w:cs="Calibri"/>
                <w:color w:val="000000"/>
                <w:sz w:val="20"/>
                <w:szCs w:val="20"/>
              </w:rPr>
              <w:t>(0.66-1.05)</w:t>
            </w:r>
          </w:p>
        </w:tc>
        <w:tc>
          <w:tcPr>
            <w:tcW w:w="709" w:type="dxa"/>
            <w:tcBorders>
              <w:top w:val="nil"/>
              <w:left w:val="nil"/>
              <w:bottom w:val="nil"/>
              <w:right w:val="nil"/>
            </w:tcBorders>
            <w:vAlign w:val="center"/>
          </w:tcPr>
          <w:p w14:paraId="6384C19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0.13</w:t>
            </w:r>
          </w:p>
        </w:tc>
      </w:tr>
      <w:tr w:rsidR="0086380B" w:rsidRPr="00C83CAB" w14:paraId="707BF53E" w14:textId="77777777" w:rsidTr="00251E4B">
        <w:trPr>
          <w:trHeight w:val="20"/>
          <w:jc w:val="center"/>
        </w:trPr>
        <w:tc>
          <w:tcPr>
            <w:tcW w:w="2126" w:type="dxa"/>
            <w:tcBorders>
              <w:top w:val="nil"/>
              <w:left w:val="nil"/>
              <w:bottom w:val="nil"/>
              <w:right w:val="nil"/>
            </w:tcBorders>
            <w:shd w:val="clear" w:color="auto" w:fill="auto"/>
            <w:vAlign w:val="center"/>
            <w:hideMark/>
          </w:tcPr>
          <w:p w14:paraId="4CC01594"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Triglycerides</w:t>
            </w:r>
          </w:p>
        </w:tc>
        <w:tc>
          <w:tcPr>
            <w:tcW w:w="680" w:type="dxa"/>
            <w:tcBorders>
              <w:top w:val="nil"/>
              <w:left w:val="nil"/>
              <w:bottom w:val="nil"/>
              <w:right w:val="nil"/>
            </w:tcBorders>
            <w:shd w:val="clear" w:color="auto" w:fill="auto"/>
            <w:noWrap/>
            <w:vAlign w:val="center"/>
            <w:hideMark/>
          </w:tcPr>
          <w:p w14:paraId="0008A5E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107</w:t>
            </w:r>
          </w:p>
        </w:tc>
        <w:tc>
          <w:tcPr>
            <w:tcW w:w="752" w:type="dxa"/>
            <w:tcBorders>
              <w:top w:val="nil"/>
              <w:left w:val="nil"/>
              <w:bottom w:val="nil"/>
              <w:right w:val="nil"/>
            </w:tcBorders>
            <w:shd w:val="clear" w:color="auto" w:fill="auto"/>
            <w:noWrap/>
            <w:vAlign w:val="center"/>
            <w:hideMark/>
          </w:tcPr>
          <w:p w14:paraId="66D198A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0.69</w:t>
            </w:r>
          </w:p>
        </w:tc>
        <w:tc>
          <w:tcPr>
            <w:tcW w:w="1829" w:type="dxa"/>
            <w:tcBorders>
              <w:top w:val="nil"/>
              <w:left w:val="nil"/>
              <w:bottom w:val="nil"/>
              <w:right w:val="nil"/>
            </w:tcBorders>
            <w:shd w:val="clear" w:color="auto" w:fill="auto"/>
            <w:noWrap/>
            <w:vAlign w:val="center"/>
            <w:hideMark/>
          </w:tcPr>
          <w:p w14:paraId="11D9798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1.08</w:t>
            </w:r>
            <w:r>
              <w:rPr>
                <w:rFonts w:ascii="Calibri" w:hAnsi="Calibri" w:cs="Calibri"/>
                <w:color w:val="000000"/>
                <w:sz w:val="20"/>
                <w:szCs w:val="20"/>
              </w:rPr>
              <w:t xml:space="preserve"> </w:t>
            </w:r>
            <w:r w:rsidRPr="00C83CAB">
              <w:rPr>
                <w:rFonts w:ascii="Calibri" w:hAnsi="Calibri" w:cs="Calibri"/>
                <w:color w:val="000000"/>
                <w:sz w:val="20"/>
                <w:szCs w:val="20"/>
              </w:rPr>
              <w:t>(0.93-1.26)</w:t>
            </w:r>
          </w:p>
        </w:tc>
        <w:tc>
          <w:tcPr>
            <w:tcW w:w="992" w:type="dxa"/>
            <w:tcBorders>
              <w:top w:val="nil"/>
              <w:left w:val="nil"/>
              <w:bottom w:val="nil"/>
            </w:tcBorders>
            <w:vAlign w:val="center"/>
          </w:tcPr>
          <w:p w14:paraId="5F1764F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0.31</w:t>
            </w:r>
          </w:p>
        </w:tc>
        <w:tc>
          <w:tcPr>
            <w:tcW w:w="1531" w:type="dxa"/>
            <w:tcBorders>
              <w:top w:val="nil"/>
              <w:bottom w:val="nil"/>
              <w:right w:val="nil"/>
            </w:tcBorders>
            <w:shd w:val="clear" w:color="auto" w:fill="auto"/>
            <w:noWrap/>
            <w:vAlign w:val="center"/>
            <w:hideMark/>
          </w:tcPr>
          <w:p w14:paraId="1F89316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0.99</w:t>
            </w:r>
            <w:r>
              <w:rPr>
                <w:rFonts w:ascii="Calibri" w:hAnsi="Calibri" w:cs="Calibri"/>
                <w:color w:val="000000"/>
                <w:sz w:val="20"/>
                <w:szCs w:val="20"/>
              </w:rPr>
              <w:t xml:space="preserve"> </w:t>
            </w:r>
            <w:r w:rsidRPr="00C83CAB">
              <w:rPr>
                <w:rFonts w:ascii="Calibri" w:hAnsi="Calibri" w:cs="Calibri"/>
                <w:color w:val="000000"/>
                <w:sz w:val="20"/>
                <w:szCs w:val="20"/>
              </w:rPr>
              <w:t>(0.76-1.28)</w:t>
            </w:r>
          </w:p>
        </w:tc>
        <w:tc>
          <w:tcPr>
            <w:tcW w:w="992" w:type="dxa"/>
            <w:tcBorders>
              <w:top w:val="nil"/>
              <w:left w:val="nil"/>
              <w:bottom w:val="nil"/>
            </w:tcBorders>
            <w:vAlign w:val="center"/>
          </w:tcPr>
          <w:p w14:paraId="6D39BFF8" w14:textId="77777777" w:rsidR="00BC3F9F" w:rsidRPr="00C83CAB" w:rsidRDefault="00BC3F9F" w:rsidP="00486EE1">
            <w:pPr>
              <w:jc w:val="center"/>
              <w:rPr>
                <w:rFonts w:ascii="Calibri" w:hAnsi="Calibri" w:cs="Calibri"/>
                <w:b/>
                <w:bCs/>
                <w:color w:val="000000"/>
                <w:sz w:val="20"/>
                <w:szCs w:val="20"/>
              </w:rPr>
            </w:pPr>
            <w:r w:rsidRPr="00C83CAB">
              <w:rPr>
                <w:rFonts w:ascii="Calibri" w:hAnsi="Calibri" w:cs="Calibri"/>
                <w:color w:val="000000"/>
                <w:sz w:val="20"/>
                <w:szCs w:val="20"/>
              </w:rPr>
              <w:t>0.91</w:t>
            </w:r>
          </w:p>
        </w:tc>
        <w:tc>
          <w:tcPr>
            <w:tcW w:w="1163" w:type="dxa"/>
            <w:tcBorders>
              <w:top w:val="nil"/>
              <w:left w:val="nil"/>
              <w:bottom w:val="nil"/>
              <w:right w:val="nil"/>
            </w:tcBorders>
            <w:shd w:val="clear" w:color="auto" w:fill="auto"/>
            <w:noWrap/>
            <w:vAlign w:val="center"/>
            <w:hideMark/>
          </w:tcPr>
          <w:p w14:paraId="5B866EB9" w14:textId="77777777" w:rsidR="00BC3F9F" w:rsidRPr="00C83CAB" w:rsidRDefault="00BC3F9F" w:rsidP="00486EE1">
            <w:pPr>
              <w:jc w:val="center"/>
              <w:rPr>
                <w:rFonts w:ascii="Calibri" w:hAnsi="Calibri" w:cs="Calibri"/>
                <w:b/>
                <w:bCs/>
                <w:color w:val="000000"/>
                <w:sz w:val="20"/>
                <w:szCs w:val="20"/>
              </w:rPr>
            </w:pPr>
            <w:r w:rsidRPr="00C83CAB">
              <w:rPr>
                <w:rFonts w:ascii="Calibri" w:hAnsi="Calibri" w:cs="Calibri"/>
                <w:b/>
                <w:bCs/>
                <w:color w:val="000000"/>
                <w:sz w:val="20"/>
                <w:szCs w:val="20"/>
              </w:rPr>
              <w:t>0.02</w:t>
            </w:r>
          </w:p>
        </w:tc>
        <w:tc>
          <w:tcPr>
            <w:tcW w:w="1842" w:type="dxa"/>
            <w:tcBorders>
              <w:top w:val="nil"/>
              <w:left w:val="nil"/>
              <w:bottom w:val="nil"/>
              <w:right w:val="nil"/>
            </w:tcBorders>
            <w:shd w:val="clear" w:color="auto" w:fill="auto"/>
            <w:noWrap/>
            <w:vAlign w:val="center"/>
            <w:hideMark/>
          </w:tcPr>
          <w:p w14:paraId="4F52A31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0.85</w:t>
            </w:r>
            <w:r>
              <w:rPr>
                <w:rFonts w:ascii="Calibri" w:hAnsi="Calibri" w:cs="Calibri"/>
                <w:color w:val="000000"/>
                <w:sz w:val="20"/>
                <w:szCs w:val="20"/>
              </w:rPr>
              <w:t xml:space="preserve"> </w:t>
            </w:r>
            <w:r w:rsidRPr="00C83CAB">
              <w:rPr>
                <w:rFonts w:ascii="Calibri" w:hAnsi="Calibri" w:cs="Calibri"/>
                <w:color w:val="000000"/>
                <w:sz w:val="20"/>
                <w:szCs w:val="20"/>
              </w:rPr>
              <w:t>(0.67-1.09)</w:t>
            </w:r>
          </w:p>
        </w:tc>
        <w:tc>
          <w:tcPr>
            <w:tcW w:w="709" w:type="dxa"/>
            <w:tcBorders>
              <w:top w:val="nil"/>
              <w:left w:val="nil"/>
              <w:bottom w:val="nil"/>
              <w:right w:val="nil"/>
            </w:tcBorders>
            <w:vAlign w:val="center"/>
          </w:tcPr>
          <w:p w14:paraId="3048B60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0.20</w:t>
            </w:r>
          </w:p>
        </w:tc>
      </w:tr>
      <w:tr w:rsidR="0086380B" w:rsidRPr="00C83CAB" w14:paraId="0A394999"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5E7C4F65"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IgE</w:t>
            </w:r>
          </w:p>
        </w:tc>
        <w:tc>
          <w:tcPr>
            <w:tcW w:w="680" w:type="dxa"/>
            <w:tcBorders>
              <w:top w:val="nil"/>
              <w:left w:val="nil"/>
              <w:bottom w:val="nil"/>
              <w:right w:val="nil"/>
            </w:tcBorders>
            <w:shd w:val="clear" w:color="auto" w:fill="auto"/>
            <w:noWrap/>
            <w:vAlign w:val="center"/>
            <w:hideMark/>
          </w:tcPr>
          <w:p w14:paraId="61FEC9E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6</w:t>
            </w:r>
          </w:p>
        </w:tc>
        <w:tc>
          <w:tcPr>
            <w:tcW w:w="752" w:type="dxa"/>
            <w:tcBorders>
              <w:top w:val="nil"/>
              <w:left w:val="nil"/>
              <w:bottom w:val="nil"/>
              <w:right w:val="nil"/>
            </w:tcBorders>
            <w:shd w:val="clear" w:color="auto" w:fill="auto"/>
            <w:noWrap/>
            <w:vAlign w:val="center"/>
            <w:hideMark/>
          </w:tcPr>
          <w:p w14:paraId="0694988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0.95</w:t>
            </w:r>
          </w:p>
        </w:tc>
        <w:tc>
          <w:tcPr>
            <w:tcW w:w="1829" w:type="dxa"/>
            <w:tcBorders>
              <w:top w:val="nil"/>
              <w:left w:val="nil"/>
              <w:bottom w:val="nil"/>
              <w:right w:val="nil"/>
            </w:tcBorders>
            <w:shd w:val="clear" w:color="auto" w:fill="auto"/>
            <w:noWrap/>
            <w:vAlign w:val="center"/>
            <w:hideMark/>
          </w:tcPr>
          <w:p w14:paraId="0DAD602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0.79</w:t>
            </w:r>
            <w:r>
              <w:rPr>
                <w:rFonts w:ascii="Calibri" w:hAnsi="Calibri" w:cs="Calibri"/>
                <w:color w:val="000000"/>
                <w:sz w:val="20"/>
                <w:szCs w:val="20"/>
              </w:rPr>
              <w:t xml:space="preserve"> </w:t>
            </w:r>
            <w:r w:rsidRPr="00C83CAB">
              <w:rPr>
                <w:rFonts w:ascii="Calibri" w:hAnsi="Calibri" w:cs="Calibri"/>
                <w:color w:val="000000"/>
                <w:sz w:val="20"/>
                <w:szCs w:val="20"/>
              </w:rPr>
              <w:t>(0.60-1.06)</w:t>
            </w:r>
          </w:p>
        </w:tc>
        <w:tc>
          <w:tcPr>
            <w:tcW w:w="992" w:type="dxa"/>
            <w:tcBorders>
              <w:top w:val="nil"/>
              <w:left w:val="nil"/>
              <w:bottom w:val="nil"/>
            </w:tcBorders>
            <w:vAlign w:val="center"/>
          </w:tcPr>
          <w:p w14:paraId="4F4F30A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0.11</w:t>
            </w:r>
          </w:p>
        </w:tc>
        <w:tc>
          <w:tcPr>
            <w:tcW w:w="1531" w:type="dxa"/>
            <w:tcBorders>
              <w:top w:val="nil"/>
              <w:bottom w:val="nil"/>
              <w:right w:val="nil"/>
            </w:tcBorders>
            <w:shd w:val="clear" w:color="auto" w:fill="auto"/>
            <w:noWrap/>
            <w:vAlign w:val="center"/>
            <w:hideMark/>
          </w:tcPr>
          <w:p w14:paraId="2C09769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0.83</w:t>
            </w:r>
            <w:r>
              <w:rPr>
                <w:rFonts w:ascii="Calibri" w:hAnsi="Calibri" w:cs="Calibri"/>
                <w:color w:val="000000"/>
                <w:sz w:val="20"/>
                <w:szCs w:val="20"/>
              </w:rPr>
              <w:t xml:space="preserve"> </w:t>
            </w:r>
            <w:r w:rsidRPr="00C83CAB">
              <w:rPr>
                <w:rFonts w:ascii="Calibri" w:hAnsi="Calibri" w:cs="Calibri"/>
                <w:color w:val="000000"/>
                <w:sz w:val="20"/>
                <w:szCs w:val="20"/>
              </w:rPr>
              <w:t>(0.59-1.17)</w:t>
            </w:r>
          </w:p>
        </w:tc>
        <w:tc>
          <w:tcPr>
            <w:tcW w:w="992" w:type="dxa"/>
            <w:tcBorders>
              <w:top w:val="nil"/>
              <w:left w:val="nil"/>
              <w:bottom w:val="nil"/>
            </w:tcBorders>
            <w:vAlign w:val="center"/>
          </w:tcPr>
          <w:p w14:paraId="021854F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0.29</w:t>
            </w:r>
          </w:p>
        </w:tc>
        <w:tc>
          <w:tcPr>
            <w:tcW w:w="1163" w:type="dxa"/>
            <w:tcBorders>
              <w:top w:val="nil"/>
              <w:left w:val="nil"/>
              <w:bottom w:val="nil"/>
              <w:right w:val="nil"/>
            </w:tcBorders>
            <w:shd w:val="clear" w:color="auto" w:fill="auto"/>
            <w:noWrap/>
            <w:vAlign w:val="center"/>
            <w:hideMark/>
          </w:tcPr>
          <w:p w14:paraId="7A80E2E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0.88</w:t>
            </w:r>
          </w:p>
        </w:tc>
        <w:tc>
          <w:tcPr>
            <w:tcW w:w="1842" w:type="dxa"/>
            <w:tcBorders>
              <w:top w:val="nil"/>
              <w:left w:val="nil"/>
              <w:bottom w:val="nil"/>
              <w:right w:val="nil"/>
            </w:tcBorders>
            <w:shd w:val="clear" w:color="auto" w:fill="auto"/>
            <w:noWrap/>
            <w:vAlign w:val="center"/>
            <w:hideMark/>
          </w:tcPr>
          <w:p w14:paraId="3D8D507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0.74</w:t>
            </w:r>
            <w:r>
              <w:rPr>
                <w:rFonts w:ascii="Calibri" w:hAnsi="Calibri" w:cs="Calibri"/>
                <w:color w:val="000000"/>
                <w:sz w:val="20"/>
                <w:szCs w:val="20"/>
              </w:rPr>
              <w:t xml:space="preserve"> </w:t>
            </w:r>
            <w:r w:rsidRPr="00C83CAB">
              <w:rPr>
                <w:rFonts w:ascii="Calibri" w:hAnsi="Calibri" w:cs="Calibri"/>
                <w:color w:val="000000"/>
                <w:sz w:val="20"/>
                <w:szCs w:val="20"/>
              </w:rPr>
              <w:t>(0.29-1.86)</w:t>
            </w:r>
          </w:p>
        </w:tc>
        <w:tc>
          <w:tcPr>
            <w:tcW w:w="709" w:type="dxa"/>
            <w:tcBorders>
              <w:top w:val="nil"/>
              <w:left w:val="nil"/>
              <w:bottom w:val="nil"/>
              <w:right w:val="nil"/>
            </w:tcBorders>
            <w:vAlign w:val="center"/>
          </w:tcPr>
          <w:p w14:paraId="7155F8D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0.55</w:t>
            </w:r>
          </w:p>
        </w:tc>
      </w:tr>
      <w:tr w:rsidR="0086380B" w:rsidRPr="00C83CAB" w14:paraId="25679C56" w14:textId="77777777" w:rsidTr="00251E4B">
        <w:trPr>
          <w:trHeight w:val="20"/>
          <w:jc w:val="center"/>
        </w:trPr>
        <w:tc>
          <w:tcPr>
            <w:tcW w:w="2126" w:type="dxa"/>
            <w:tcBorders>
              <w:top w:val="nil"/>
              <w:left w:val="nil"/>
              <w:bottom w:val="nil"/>
              <w:right w:val="nil"/>
            </w:tcBorders>
            <w:shd w:val="clear" w:color="auto" w:fill="auto"/>
            <w:vAlign w:val="center"/>
            <w:hideMark/>
          </w:tcPr>
          <w:p w14:paraId="52C92A41"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Self-reported allergy</w:t>
            </w:r>
          </w:p>
        </w:tc>
        <w:tc>
          <w:tcPr>
            <w:tcW w:w="680" w:type="dxa"/>
            <w:tcBorders>
              <w:top w:val="nil"/>
              <w:left w:val="nil"/>
              <w:bottom w:val="nil"/>
              <w:right w:val="nil"/>
            </w:tcBorders>
            <w:shd w:val="clear" w:color="auto" w:fill="auto"/>
            <w:noWrap/>
            <w:vAlign w:val="center"/>
            <w:hideMark/>
          </w:tcPr>
          <w:p w14:paraId="0A66D7E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13</w:t>
            </w:r>
          </w:p>
        </w:tc>
        <w:tc>
          <w:tcPr>
            <w:tcW w:w="752" w:type="dxa"/>
            <w:tcBorders>
              <w:top w:val="nil"/>
              <w:left w:val="nil"/>
              <w:bottom w:val="nil"/>
              <w:right w:val="nil"/>
            </w:tcBorders>
            <w:shd w:val="clear" w:color="auto" w:fill="auto"/>
            <w:noWrap/>
            <w:vAlign w:val="center"/>
            <w:hideMark/>
          </w:tcPr>
          <w:p w14:paraId="2674AB8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0.39</w:t>
            </w:r>
          </w:p>
        </w:tc>
        <w:tc>
          <w:tcPr>
            <w:tcW w:w="1829" w:type="dxa"/>
            <w:tcBorders>
              <w:top w:val="nil"/>
              <w:left w:val="nil"/>
              <w:bottom w:val="nil"/>
              <w:right w:val="nil"/>
            </w:tcBorders>
            <w:shd w:val="clear" w:color="auto" w:fill="auto"/>
            <w:noWrap/>
            <w:vAlign w:val="center"/>
            <w:hideMark/>
          </w:tcPr>
          <w:p w14:paraId="64E53D3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0.94</w:t>
            </w:r>
            <w:r>
              <w:rPr>
                <w:rFonts w:ascii="Calibri" w:hAnsi="Calibri" w:cs="Calibri"/>
                <w:color w:val="000000"/>
                <w:sz w:val="20"/>
                <w:szCs w:val="20"/>
              </w:rPr>
              <w:t xml:space="preserve"> </w:t>
            </w:r>
            <w:r w:rsidRPr="00C83CAB">
              <w:rPr>
                <w:rFonts w:ascii="Calibri" w:hAnsi="Calibri" w:cs="Calibri"/>
                <w:color w:val="000000"/>
                <w:sz w:val="20"/>
                <w:szCs w:val="20"/>
              </w:rPr>
              <w:t>(0.81-1.09)</w:t>
            </w:r>
          </w:p>
        </w:tc>
        <w:tc>
          <w:tcPr>
            <w:tcW w:w="992" w:type="dxa"/>
            <w:tcBorders>
              <w:top w:val="nil"/>
              <w:left w:val="nil"/>
              <w:bottom w:val="nil"/>
            </w:tcBorders>
            <w:vAlign w:val="center"/>
          </w:tcPr>
          <w:p w14:paraId="496B869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0.38</w:t>
            </w:r>
          </w:p>
        </w:tc>
        <w:tc>
          <w:tcPr>
            <w:tcW w:w="1531" w:type="dxa"/>
            <w:tcBorders>
              <w:top w:val="nil"/>
              <w:bottom w:val="nil"/>
              <w:right w:val="nil"/>
            </w:tcBorders>
            <w:shd w:val="clear" w:color="auto" w:fill="auto"/>
            <w:noWrap/>
            <w:vAlign w:val="center"/>
            <w:hideMark/>
          </w:tcPr>
          <w:p w14:paraId="3D17D7A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0.84</w:t>
            </w:r>
            <w:r>
              <w:rPr>
                <w:rFonts w:ascii="Calibri" w:hAnsi="Calibri" w:cs="Calibri"/>
                <w:color w:val="000000"/>
                <w:sz w:val="20"/>
                <w:szCs w:val="20"/>
              </w:rPr>
              <w:t xml:space="preserve"> </w:t>
            </w:r>
            <w:r w:rsidRPr="00C83CAB">
              <w:rPr>
                <w:rFonts w:ascii="Calibri" w:hAnsi="Calibri" w:cs="Calibri"/>
                <w:color w:val="000000"/>
                <w:sz w:val="20"/>
                <w:szCs w:val="20"/>
              </w:rPr>
              <w:t>(0.68-1.03)</w:t>
            </w:r>
          </w:p>
        </w:tc>
        <w:tc>
          <w:tcPr>
            <w:tcW w:w="992" w:type="dxa"/>
            <w:tcBorders>
              <w:top w:val="nil"/>
              <w:left w:val="nil"/>
              <w:bottom w:val="nil"/>
            </w:tcBorders>
            <w:vAlign w:val="center"/>
          </w:tcPr>
          <w:p w14:paraId="56B8F85C" w14:textId="77777777" w:rsidR="00BC3F9F" w:rsidRPr="00C83CAB" w:rsidRDefault="00BC3F9F" w:rsidP="00486EE1">
            <w:pPr>
              <w:jc w:val="center"/>
              <w:rPr>
                <w:rFonts w:ascii="Calibri" w:hAnsi="Calibri" w:cs="Calibri"/>
                <w:b/>
                <w:bCs/>
                <w:color w:val="000000"/>
                <w:sz w:val="20"/>
                <w:szCs w:val="20"/>
              </w:rPr>
            </w:pPr>
            <w:r w:rsidRPr="00C83CAB">
              <w:rPr>
                <w:rFonts w:ascii="Calibri" w:hAnsi="Calibri" w:cs="Calibri"/>
                <w:color w:val="000000"/>
                <w:sz w:val="20"/>
                <w:szCs w:val="20"/>
              </w:rPr>
              <w:t>0.09</w:t>
            </w:r>
          </w:p>
        </w:tc>
        <w:tc>
          <w:tcPr>
            <w:tcW w:w="1163" w:type="dxa"/>
            <w:tcBorders>
              <w:top w:val="nil"/>
              <w:left w:val="nil"/>
              <w:bottom w:val="nil"/>
              <w:right w:val="nil"/>
            </w:tcBorders>
            <w:shd w:val="clear" w:color="auto" w:fill="auto"/>
            <w:noWrap/>
            <w:vAlign w:val="center"/>
            <w:hideMark/>
          </w:tcPr>
          <w:p w14:paraId="111CC155" w14:textId="77777777" w:rsidR="00BC3F9F" w:rsidRPr="00C83CAB" w:rsidRDefault="00BC3F9F" w:rsidP="00486EE1">
            <w:pPr>
              <w:jc w:val="center"/>
              <w:rPr>
                <w:rFonts w:ascii="Calibri" w:hAnsi="Calibri" w:cs="Calibri"/>
                <w:b/>
                <w:bCs/>
                <w:color w:val="000000"/>
                <w:sz w:val="20"/>
                <w:szCs w:val="20"/>
              </w:rPr>
            </w:pPr>
            <w:r w:rsidRPr="00C83CAB">
              <w:rPr>
                <w:rFonts w:ascii="Calibri" w:hAnsi="Calibri" w:cs="Calibri"/>
                <w:b/>
                <w:bCs/>
                <w:color w:val="000000"/>
                <w:sz w:val="20"/>
                <w:szCs w:val="20"/>
              </w:rPr>
              <w:t>0.04</w:t>
            </w:r>
          </w:p>
        </w:tc>
        <w:tc>
          <w:tcPr>
            <w:tcW w:w="1842" w:type="dxa"/>
            <w:tcBorders>
              <w:top w:val="nil"/>
              <w:left w:val="nil"/>
              <w:bottom w:val="nil"/>
              <w:right w:val="nil"/>
            </w:tcBorders>
            <w:shd w:val="clear" w:color="auto" w:fill="auto"/>
            <w:noWrap/>
            <w:vAlign w:val="center"/>
            <w:hideMark/>
          </w:tcPr>
          <w:p w14:paraId="1731A08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0.49</w:t>
            </w:r>
            <w:r>
              <w:rPr>
                <w:rFonts w:ascii="Calibri" w:hAnsi="Calibri" w:cs="Calibri"/>
                <w:color w:val="000000"/>
                <w:sz w:val="20"/>
                <w:szCs w:val="20"/>
              </w:rPr>
              <w:t xml:space="preserve"> </w:t>
            </w:r>
            <w:r w:rsidRPr="00C83CAB">
              <w:rPr>
                <w:rFonts w:ascii="Calibri" w:hAnsi="Calibri" w:cs="Calibri"/>
                <w:color w:val="000000"/>
                <w:sz w:val="20"/>
                <w:szCs w:val="20"/>
              </w:rPr>
              <w:t>(0.28-0.86)</w:t>
            </w:r>
          </w:p>
        </w:tc>
        <w:tc>
          <w:tcPr>
            <w:tcW w:w="709" w:type="dxa"/>
            <w:tcBorders>
              <w:top w:val="nil"/>
              <w:left w:val="nil"/>
              <w:bottom w:val="nil"/>
              <w:right w:val="nil"/>
            </w:tcBorders>
            <w:vAlign w:val="center"/>
          </w:tcPr>
          <w:p w14:paraId="65E88C9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b/>
                <w:bCs/>
                <w:color w:val="000000"/>
                <w:sz w:val="20"/>
                <w:szCs w:val="20"/>
              </w:rPr>
              <w:t>0.03</w:t>
            </w:r>
          </w:p>
        </w:tc>
      </w:tr>
      <w:tr w:rsidR="0086380B" w:rsidRPr="00C83CAB" w14:paraId="66E9458E"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12E54A4A"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Atopi</w:t>
            </w:r>
            <w:r>
              <w:rPr>
                <w:rFonts w:ascii="Calibri" w:hAnsi="Calibri" w:cs="Calibri"/>
                <w:color w:val="000000"/>
                <w:sz w:val="20"/>
                <w:szCs w:val="20"/>
              </w:rPr>
              <w:t>c</w:t>
            </w:r>
            <w:r w:rsidRPr="00C83CAB">
              <w:rPr>
                <w:rFonts w:ascii="Calibri" w:hAnsi="Calibri" w:cs="Calibri"/>
                <w:color w:val="000000"/>
                <w:sz w:val="20"/>
                <w:szCs w:val="20"/>
              </w:rPr>
              <w:t xml:space="preserve"> dermatitis</w:t>
            </w:r>
          </w:p>
        </w:tc>
        <w:tc>
          <w:tcPr>
            <w:tcW w:w="680" w:type="dxa"/>
            <w:tcBorders>
              <w:top w:val="nil"/>
              <w:left w:val="nil"/>
              <w:bottom w:val="nil"/>
              <w:right w:val="nil"/>
            </w:tcBorders>
            <w:shd w:val="clear" w:color="auto" w:fill="auto"/>
            <w:noWrap/>
            <w:vAlign w:val="center"/>
            <w:hideMark/>
          </w:tcPr>
          <w:p w14:paraId="015FB175"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17</w:t>
            </w:r>
          </w:p>
        </w:tc>
        <w:tc>
          <w:tcPr>
            <w:tcW w:w="752" w:type="dxa"/>
            <w:tcBorders>
              <w:top w:val="nil"/>
              <w:left w:val="nil"/>
              <w:bottom w:val="nil"/>
              <w:right w:val="nil"/>
            </w:tcBorders>
            <w:shd w:val="clear" w:color="auto" w:fill="auto"/>
            <w:noWrap/>
            <w:vAlign w:val="center"/>
            <w:hideMark/>
          </w:tcPr>
          <w:p w14:paraId="4F278E4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0.78</w:t>
            </w:r>
          </w:p>
        </w:tc>
        <w:tc>
          <w:tcPr>
            <w:tcW w:w="1829" w:type="dxa"/>
            <w:tcBorders>
              <w:top w:val="nil"/>
              <w:left w:val="nil"/>
              <w:bottom w:val="nil"/>
              <w:right w:val="nil"/>
            </w:tcBorders>
            <w:shd w:val="clear" w:color="auto" w:fill="auto"/>
            <w:noWrap/>
            <w:vAlign w:val="center"/>
            <w:hideMark/>
          </w:tcPr>
          <w:p w14:paraId="3B8AEDA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1.00</w:t>
            </w:r>
            <w:r>
              <w:rPr>
                <w:rFonts w:ascii="Calibri" w:hAnsi="Calibri" w:cs="Calibri"/>
                <w:color w:val="000000"/>
                <w:sz w:val="20"/>
                <w:szCs w:val="20"/>
              </w:rPr>
              <w:t xml:space="preserve"> </w:t>
            </w:r>
            <w:r w:rsidRPr="00C83CAB">
              <w:rPr>
                <w:rFonts w:ascii="Calibri" w:hAnsi="Calibri" w:cs="Calibri"/>
                <w:color w:val="000000"/>
                <w:sz w:val="20"/>
                <w:szCs w:val="20"/>
              </w:rPr>
              <w:t>(0.88-1.13)</w:t>
            </w:r>
          </w:p>
        </w:tc>
        <w:tc>
          <w:tcPr>
            <w:tcW w:w="992" w:type="dxa"/>
            <w:tcBorders>
              <w:top w:val="nil"/>
              <w:left w:val="nil"/>
              <w:bottom w:val="nil"/>
            </w:tcBorders>
            <w:vAlign w:val="center"/>
          </w:tcPr>
          <w:p w14:paraId="5BCCD2A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0.95</w:t>
            </w:r>
          </w:p>
        </w:tc>
        <w:tc>
          <w:tcPr>
            <w:tcW w:w="1531" w:type="dxa"/>
            <w:tcBorders>
              <w:top w:val="nil"/>
              <w:bottom w:val="nil"/>
              <w:right w:val="nil"/>
            </w:tcBorders>
            <w:shd w:val="clear" w:color="auto" w:fill="auto"/>
            <w:noWrap/>
            <w:vAlign w:val="center"/>
            <w:hideMark/>
          </w:tcPr>
          <w:p w14:paraId="5BBA0B1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0.94</w:t>
            </w:r>
            <w:r>
              <w:rPr>
                <w:rFonts w:ascii="Calibri" w:hAnsi="Calibri" w:cs="Calibri"/>
                <w:color w:val="000000"/>
                <w:sz w:val="20"/>
                <w:szCs w:val="20"/>
              </w:rPr>
              <w:t xml:space="preserve"> </w:t>
            </w:r>
            <w:r w:rsidRPr="00C83CAB">
              <w:rPr>
                <w:rFonts w:ascii="Calibri" w:hAnsi="Calibri" w:cs="Calibri"/>
                <w:color w:val="000000"/>
                <w:sz w:val="20"/>
                <w:szCs w:val="20"/>
              </w:rPr>
              <w:t>(0.79-1.12)</w:t>
            </w:r>
          </w:p>
        </w:tc>
        <w:tc>
          <w:tcPr>
            <w:tcW w:w="992" w:type="dxa"/>
            <w:tcBorders>
              <w:top w:val="nil"/>
              <w:left w:val="nil"/>
              <w:bottom w:val="nil"/>
            </w:tcBorders>
            <w:vAlign w:val="center"/>
          </w:tcPr>
          <w:p w14:paraId="0B492517"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0.50</w:t>
            </w:r>
          </w:p>
        </w:tc>
        <w:tc>
          <w:tcPr>
            <w:tcW w:w="1163" w:type="dxa"/>
            <w:tcBorders>
              <w:top w:val="nil"/>
              <w:left w:val="nil"/>
              <w:bottom w:val="nil"/>
              <w:right w:val="nil"/>
            </w:tcBorders>
            <w:shd w:val="clear" w:color="auto" w:fill="auto"/>
            <w:noWrap/>
            <w:vAlign w:val="center"/>
            <w:hideMark/>
          </w:tcPr>
          <w:p w14:paraId="102096C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0.35</w:t>
            </w:r>
          </w:p>
        </w:tc>
        <w:tc>
          <w:tcPr>
            <w:tcW w:w="1842" w:type="dxa"/>
            <w:tcBorders>
              <w:top w:val="nil"/>
              <w:left w:val="nil"/>
              <w:bottom w:val="nil"/>
              <w:right w:val="nil"/>
            </w:tcBorders>
            <w:shd w:val="clear" w:color="auto" w:fill="auto"/>
            <w:noWrap/>
            <w:vAlign w:val="center"/>
            <w:hideMark/>
          </w:tcPr>
          <w:p w14:paraId="4D445B2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0.84</w:t>
            </w:r>
            <w:r>
              <w:rPr>
                <w:rFonts w:ascii="Calibri" w:hAnsi="Calibri" w:cs="Calibri"/>
                <w:color w:val="000000"/>
                <w:sz w:val="20"/>
                <w:szCs w:val="20"/>
              </w:rPr>
              <w:t xml:space="preserve"> </w:t>
            </w:r>
            <w:r w:rsidRPr="00C83CAB">
              <w:rPr>
                <w:rFonts w:ascii="Calibri" w:hAnsi="Calibri" w:cs="Calibri"/>
                <w:color w:val="000000"/>
                <w:sz w:val="20"/>
                <w:szCs w:val="20"/>
              </w:rPr>
              <w:t>(0.59-1.21)</w:t>
            </w:r>
          </w:p>
        </w:tc>
        <w:tc>
          <w:tcPr>
            <w:tcW w:w="709" w:type="dxa"/>
            <w:tcBorders>
              <w:top w:val="nil"/>
              <w:left w:val="nil"/>
              <w:bottom w:val="nil"/>
              <w:right w:val="nil"/>
            </w:tcBorders>
            <w:vAlign w:val="center"/>
          </w:tcPr>
          <w:p w14:paraId="526AD138"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0.37</w:t>
            </w:r>
          </w:p>
        </w:tc>
      </w:tr>
      <w:tr w:rsidR="0086380B" w:rsidRPr="00C83CAB" w14:paraId="1CD1F3A3"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1E1E4E3A"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Allergic rhinitis</w:t>
            </w:r>
          </w:p>
        </w:tc>
        <w:tc>
          <w:tcPr>
            <w:tcW w:w="680" w:type="dxa"/>
            <w:tcBorders>
              <w:top w:val="nil"/>
              <w:left w:val="nil"/>
              <w:bottom w:val="nil"/>
              <w:right w:val="nil"/>
            </w:tcBorders>
            <w:shd w:val="clear" w:color="auto" w:fill="auto"/>
            <w:noWrap/>
            <w:vAlign w:val="center"/>
            <w:hideMark/>
          </w:tcPr>
          <w:p w14:paraId="0BABC14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27</w:t>
            </w:r>
          </w:p>
        </w:tc>
        <w:tc>
          <w:tcPr>
            <w:tcW w:w="752" w:type="dxa"/>
            <w:tcBorders>
              <w:top w:val="nil"/>
              <w:left w:val="nil"/>
              <w:bottom w:val="nil"/>
              <w:right w:val="nil"/>
            </w:tcBorders>
            <w:shd w:val="clear" w:color="auto" w:fill="auto"/>
            <w:noWrap/>
            <w:vAlign w:val="center"/>
            <w:hideMark/>
          </w:tcPr>
          <w:p w14:paraId="572312E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0.47</w:t>
            </w:r>
          </w:p>
        </w:tc>
        <w:tc>
          <w:tcPr>
            <w:tcW w:w="1829" w:type="dxa"/>
            <w:tcBorders>
              <w:top w:val="nil"/>
              <w:left w:val="nil"/>
              <w:bottom w:val="nil"/>
              <w:right w:val="nil"/>
            </w:tcBorders>
            <w:shd w:val="clear" w:color="auto" w:fill="auto"/>
            <w:noWrap/>
            <w:vAlign w:val="center"/>
            <w:hideMark/>
          </w:tcPr>
          <w:p w14:paraId="77989AF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0.98</w:t>
            </w:r>
            <w:r>
              <w:rPr>
                <w:rFonts w:ascii="Calibri" w:hAnsi="Calibri" w:cs="Calibri"/>
                <w:color w:val="000000"/>
                <w:sz w:val="20"/>
                <w:szCs w:val="20"/>
              </w:rPr>
              <w:t xml:space="preserve"> </w:t>
            </w:r>
            <w:r w:rsidRPr="00C83CAB">
              <w:rPr>
                <w:rFonts w:ascii="Calibri" w:hAnsi="Calibri" w:cs="Calibri"/>
                <w:color w:val="000000"/>
                <w:sz w:val="20"/>
                <w:szCs w:val="20"/>
              </w:rPr>
              <w:t>(0.83-1.15)</w:t>
            </w:r>
          </w:p>
        </w:tc>
        <w:tc>
          <w:tcPr>
            <w:tcW w:w="992" w:type="dxa"/>
            <w:tcBorders>
              <w:top w:val="nil"/>
              <w:left w:val="nil"/>
              <w:bottom w:val="nil"/>
            </w:tcBorders>
            <w:vAlign w:val="center"/>
          </w:tcPr>
          <w:p w14:paraId="347D729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0.78</w:t>
            </w:r>
          </w:p>
        </w:tc>
        <w:tc>
          <w:tcPr>
            <w:tcW w:w="1531" w:type="dxa"/>
            <w:tcBorders>
              <w:top w:val="nil"/>
              <w:bottom w:val="nil"/>
              <w:right w:val="nil"/>
            </w:tcBorders>
            <w:shd w:val="clear" w:color="auto" w:fill="auto"/>
            <w:noWrap/>
            <w:vAlign w:val="center"/>
            <w:hideMark/>
          </w:tcPr>
          <w:p w14:paraId="4BA1A65B"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0.86</w:t>
            </w:r>
            <w:r>
              <w:rPr>
                <w:rFonts w:ascii="Calibri" w:hAnsi="Calibri" w:cs="Calibri"/>
                <w:color w:val="000000"/>
                <w:sz w:val="20"/>
                <w:szCs w:val="20"/>
              </w:rPr>
              <w:t xml:space="preserve"> </w:t>
            </w:r>
            <w:r w:rsidRPr="00C83CAB">
              <w:rPr>
                <w:rFonts w:ascii="Calibri" w:hAnsi="Calibri" w:cs="Calibri"/>
                <w:color w:val="000000"/>
                <w:sz w:val="20"/>
                <w:szCs w:val="20"/>
              </w:rPr>
              <w:t>(0.68-1.08)</w:t>
            </w:r>
          </w:p>
        </w:tc>
        <w:tc>
          <w:tcPr>
            <w:tcW w:w="992" w:type="dxa"/>
            <w:tcBorders>
              <w:top w:val="nil"/>
              <w:left w:val="nil"/>
              <w:bottom w:val="nil"/>
            </w:tcBorders>
            <w:vAlign w:val="center"/>
          </w:tcPr>
          <w:p w14:paraId="1377BDF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0.18</w:t>
            </w:r>
          </w:p>
        </w:tc>
        <w:tc>
          <w:tcPr>
            <w:tcW w:w="1163" w:type="dxa"/>
            <w:tcBorders>
              <w:top w:val="nil"/>
              <w:left w:val="nil"/>
              <w:bottom w:val="nil"/>
              <w:right w:val="nil"/>
            </w:tcBorders>
            <w:shd w:val="clear" w:color="auto" w:fill="auto"/>
            <w:noWrap/>
            <w:vAlign w:val="center"/>
            <w:hideMark/>
          </w:tcPr>
          <w:p w14:paraId="73BE619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0.08</w:t>
            </w:r>
          </w:p>
        </w:tc>
        <w:tc>
          <w:tcPr>
            <w:tcW w:w="1842" w:type="dxa"/>
            <w:tcBorders>
              <w:top w:val="nil"/>
              <w:left w:val="nil"/>
              <w:bottom w:val="nil"/>
              <w:right w:val="nil"/>
            </w:tcBorders>
            <w:shd w:val="clear" w:color="auto" w:fill="auto"/>
            <w:noWrap/>
            <w:vAlign w:val="center"/>
            <w:hideMark/>
          </w:tcPr>
          <w:p w14:paraId="69B31A5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0.64</w:t>
            </w:r>
            <w:r>
              <w:rPr>
                <w:rFonts w:ascii="Calibri" w:hAnsi="Calibri" w:cs="Calibri"/>
                <w:color w:val="000000"/>
                <w:sz w:val="20"/>
                <w:szCs w:val="20"/>
              </w:rPr>
              <w:t xml:space="preserve"> </w:t>
            </w:r>
            <w:r w:rsidRPr="00C83CAB">
              <w:rPr>
                <w:rFonts w:ascii="Calibri" w:hAnsi="Calibri" w:cs="Calibri"/>
                <w:color w:val="000000"/>
                <w:sz w:val="20"/>
                <w:szCs w:val="20"/>
              </w:rPr>
              <w:t>(0.39-1.04)</w:t>
            </w:r>
          </w:p>
        </w:tc>
        <w:tc>
          <w:tcPr>
            <w:tcW w:w="709" w:type="dxa"/>
            <w:tcBorders>
              <w:top w:val="nil"/>
              <w:left w:val="nil"/>
              <w:bottom w:val="nil"/>
              <w:right w:val="nil"/>
            </w:tcBorders>
            <w:vAlign w:val="center"/>
          </w:tcPr>
          <w:p w14:paraId="1707AF04"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0.09</w:t>
            </w:r>
          </w:p>
        </w:tc>
      </w:tr>
      <w:tr w:rsidR="0086380B" w:rsidRPr="00C83CAB" w14:paraId="54B0B244" w14:textId="77777777" w:rsidTr="00251E4B">
        <w:trPr>
          <w:trHeight w:val="20"/>
          <w:jc w:val="center"/>
        </w:trPr>
        <w:tc>
          <w:tcPr>
            <w:tcW w:w="2126" w:type="dxa"/>
            <w:tcBorders>
              <w:top w:val="nil"/>
              <w:left w:val="nil"/>
              <w:bottom w:val="nil"/>
              <w:right w:val="nil"/>
            </w:tcBorders>
            <w:shd w:val="clear" w:color="auto" w:fill="auto"/>
            <w:noWrap/>
            <w:vAlign w:val="center"/>
            <w:hideMark/>
          </w:tcPr>
          <w:p w14:paraId="3D7C7D1F"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Asthma</w:t>
            </w:r>
          </w:p>
        </w:tc>
        <w:tc>
          <w:tcPr>
            <w:tcW w:w="680" w:type="dxa"/>
            <w:tcBorders>
              <w:top w:val="nil"/>
              <w:left w:val="nil"/>
              <w:bottom w:val="nil"/>
              <w:right w:val="nil"/>
            </w:tcBorders>
            <w:shd w:val="clear" w:color="auto" w:fill="auto"/>
            <w:noWrap/>
            <w:vAlign w:val="center"/>
            <w:hideMark/>
          </w:tcPr>
          <w:p w14:paraId="6BD8DDF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53</w:t>
            </w:r>
          </w:p>
        </w:tc>
        <w:tc>
          <w:tcPr>
            <w:tcW w:w="752" w:type="dxa"/>
            <w:tcBorders>
              <w:top w:val="nil"/>
              <w:left w:val="nil"/>
              <w:bottom w:val="nil"/>
              <w:right w:val="nil"/>
            </w:tcBorders>
            <w:shd w:val="clear" w:color="auto" w:fill="auto"/>
            <w:noWrap/>
            <w:vAlign w:val="center"/>
            <w:hideMark/>
          </w:tcPr>
          <w:p w14:paraId="79C8F09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0.15</w:t>
            </w:r>
          </w:p>
        </w:tc>
        <w:tc>
          <w:tcPr>
            <w:tcW w:w="1829" w:type="dxa"/>
            <w:tcBorders>
              <w:top w:val="nil"/>
              <w:left w:val="nil"/>
              <w:bottom w:val="nil"/>
              <w:right w:val="nil"/>
            </w:tcBorders>
            <w:shd w:val="clear" w:color="auto" w:fill="auto"/>
            <w:noWrap/>
            <w:vAlign w:val="center"/>
            <w:hideMark/>
          </w:tcPr>
          <w:p w14:paraId="2CC22420"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0.98</w:t>
            </w:r>
            <w:r>
              <w:rPr>
                <w:rFonts w:ascii="Calibri" w:hAnsi="Calibri" w:cs="Calibri"/>
                <w:color w:val="000000"/>
                <w:sz w:val="20"/>
                <w:szCs w:val="20"/>
              </w:rPr>
              <w:t xml:space="preserve"> </w:t>
            </w:r>
            <w:r w:rsidRPr="00C83CAB">
              <w:rPr>
                <w:rFonts w:ascii="Calibri" w:hAnsi="Calibri" w:cs="Calibri"/>
                <w:color w:val="000000"/>
                <w:sz w:val="20"/>
                <w:szCs w:val="20"/>
              </w:rPr>
              <w:t>(0.88-1.08)</w:t>
            </w:r>
          </w:p>
        </w:tc>
        <w:tc>
          <w:tcPr>
            <w:tcW w:w="992" w:type="dxa"/>
            <w:tcBorders>
              <w:top w:val="nil"/>
              <w:left w:val="nil"/>
              <w:bottom w:val="nil"/>
            </w:tcBorders>
            <w:vAlign w:val="center"/>
          </w:tcPr>
          <w:p w14:paraId="2EF0A8A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0.68</w:t>
            </w:r>
          </w:p>
        </w:tc>
        <w:tc>
          <w:tcPr>
            <w:tcW w:w="1531" w:type="dxa"/>
            <w:tcBorders>
              <w:top w:val="nil"/>
              <w:bottom w:val="nil"/>
              <w:right w:val="nil"/>
            </w:tcBorders>
            <w:shd w:val="clear" w:color="auto" w:fill="auto"/>
            <w:noWrap/>
            <w:vAlign w:val="center"/>
            <w:hideMark/>
          </w:tcPr>
          <w:p w14:paraId="6183F8D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0.94</w:t>
            </w:r>
            <w:r>
              <w:rPr>
                <w:rFonts w:ascii="Calibri" w:hAnsi="Calibri" w:cs="Calibri"/>
                <w:color w:val="000000"/>
                <w:sz w:val="20"/>
                <w:szCs w:val="20"/>
              </w:rPr>
              <w:t xml:space="preserve"> </w:t>
            </w:r>
            <w:r w:rsidRPr="00C83CAB">
              <w:rPr>
                <w:rFonts w:ascii="Calibri" w:hAnsi="Calibri" w:cs="Calibri"/>
                <w:color w:val="000000"/>
                <w:sz w:val="20"/>
                <w:szCs w:val="20"/>
              </w:rPr>
              <w:t>(0.81-1.09)</w:t>
            </w:r>
          </w:p>
        </w:tc>
        <w:tc>
          <w:tcPr>
            <w:tcW w:w="992" w:type="dxa"/>
            <w:tcBorders>
              <w:top w:val="nil"/>
              <w:left w:val="nil"/>
              <w:bottom w:val="nil"/>
            </w:tcBorders>
            <w:vAlign w:val="center"/>
          </w:tcPr>
          <w:p w14:paraId="1EEF5EC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0.41</w:t>
            </w:r>
          </w:p>
        </w:tc>
        <w:tc>
          <w:tcPr>
            <w:tcW w:w="1163" w:type="dxa"/>
            <w:tcBorders>
              <w:top w:val="nil"/>
              <w:left w:val="nil"/>
              <w:bottom w:val="nil"/>
              <w:right w:val="nil"/>
            </w:tcBorders>
            <w:shd w:val="clear" w:color="auto" w:fill="auto"/>
            <w:noWrap/>
            <w:vAlign w:val="center"/>
            <w:hideMark/>
          </w:tcPr>
          <w:p w14:paraId="6014A581"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0.25</w:t>
            </w:r>
          </w:p>
        </w:tc>
        <w:tc>
          <w:tcPr>
            <w:tcW w:w="1842" w:type="dxa"/>
            <w:tcBorders>
              <w:top w:val="nil"/>
              <w:left w:val="nil"/>
              <w:bottom w:val="nil"/>
              <w:right w:val="nil"/>
            </w:tcBorders>
            <w:shd w:val="clear" w:color="auto" w:fill="auto"/>
            <w:noWrap/>
            <w:vAlign w:val="center"/>
            <w:hideMark/>
          </w:tcPr>
          <w:p w14:paraId="131E273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0.84</w:t>
            </w:r>
            <w:r>
              <w:rPr>
                <w:rFonts w:ascii="Calibri" w:hAnsi="Calibri" w:cs="Calibri"/>
                <w:color w:val="000000"/>
                <w:sz w:val="20"/>
                <w:szCs w:val="20"/>
              </w:rPr>
              <w:t xml:space="preserve"> </w:t>
            </w:r>
            <w:r w:rsidRPr="00C83CAB">
              <w:rPr>
                <w:rFonts w:ascii="Calibri" w:hAnsi="Calibri" w:cs="Calibri"/>
                <w:color w:val="000000"/>
                <w:sz w:val="20"/>
                <w:szCs w:val="20"/>
              </w:rPr>
              <w:t>(0.63-1.11)</w:t>
            </w:r>
          </w:p>
        </w:tc>
        <w:tc>
          <w:tcPr>
            <w:tcW w:w="709" w:type="dxa"/>
            <w:tcBorders>
              <w:top w:val="nil"/>
              <w:left w:val="nil"/>
              <w:bottom w:val="nil"/>
              <w:right w:val="nil"/>
            </w:tcBorders>
            <w:vAlign w:val="center"/>
          </w:tcPr>
          <w:p w14:paraId="06D28122"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0.22</w:t>
            </w:r>
          </w:p>
        </w:tc>
      </w:tr>
      <w:tr w:rsidR="0086380B" w:rsidRPr="00C83CAB" w14:paraId="5814C2D0" w14:textId="77777777" w:rsidTr="00251E4B">
        <w:trPr>
          <w:trHeight w:val="20"/>
          <w:jc w:val="center"/>
        </w:trPr>
        <w:tc>
          <w:tcPr>
            <w:tcW w:w="2126" w:type="dxa"/>
            <w:tcBorders>
              <w:top w:val="nil"/>
              <w:left w:val="nil"/>
              <w:bottom w:val="single" w:sz="4" w:space="0" w:color="auto"/>
              <w:right w:val="nil"/>
            </w:tcBorders>
            <w:shd w:val="clear" w:color="auto" w:fill="auto"/>
            <w:noWrap/>
            <w:vAlign w:val="center"/>
            <w:hideMark/>
          </w:tcPr>
          <w:p w14:paraId="19B3CE65" w14:textId="77777777" w:rsidR="00BC3F9F" w:rsidRPr="00C83CAB" w:rsidRDefault="00BC3F9F" w:rsidP="00486EE1">
            <w:pPr>
              <w:jc w:val="both"/>
              <w:rPr>
                <w:rFonts w:ascii="Calibri" w:hAnsi="Calibri" w:cs="Calibri"/>
                <w:color w:val="000000"/>
                <w:sz w:val="20"/>
                <w:szCs w:val="20"/>
              </w:rPr>
            </w:pPr>
            <w:r w:rsidRPr="00C83CAB">
              <w:rPr>
                <w:rFonts w:ascii="Calibri" w:hAnsi="Calibri" w:cs="Calibri"/>
                <w:color w:val="000000"/>
                <w:sz w:val="20"/>
                <w:szCs w:val="20"/>
              </w:rPr>
              <w:t>Allergic disease</w:t>
            </w:r>
          </w:p>
        </w:tc>
        <w:tc>
          <w:tcPr>
            <w:tcW w:w="680" w:type="dxa"/>
            <w:tcBorders>
              <w:top w:val="nil"/>
              <w:left w:val="nil"/>
              <w:bottom w:val="single" w:sz="4" w:space="0" w:color="auto"/>
              <w:right w:val="nil"/>
            </w:tcBorders>
            <w:shd w:val="clear" w:color="auto" w:fill="auto"/>
            <w:noWrap/>
            <w:vAlign w:val="center"/>
            <w:hideMark/>
          </w:tcPr>
          <w:p w14:paraId="2201BD8D"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77</w:t>
            </w:r>
          </w:p>
        </w:tc>
        <w:tc>
          <w:tcPr>
            <w:tcW w:w="752" w:type="dxa"/>
            <w:tcBorders>
              <w:top w:val="nil"/>
              <w:left w:val="nil"/>
              <w:bottom w:val="single" w:sz="4" w:space="0" w:color="auto"/>
              <w:right w:val="nil"/>
            </w:tcBorders>
            <w:shd w:val="clear" w:color="auto" w:fill="auto"/>
            <w:noWrap/>
            <w:vAlign w:val="center"/>
            <w:hideMark/>
          </w:tcPr>
          <w:p w14:paraId="37D1A14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0.77</w:t>
            </w:r>
          </w:p>
        </w:tc>
        <w:tc>
          <w:tcPr>
            <w:tcW w:w="1829" w:type="dxa"/>
            <w:tcBorders>
              <w:top w:val="nil"/>
              <w:left w:val="nil"/>
              <w:bottom w:val="single" w:sz="4" w:space="0" w:color="auto"/>
              <w:right w:val="nil"/>
            </w:tcBorders>
            <w:shd w:val="clear" w:color="auto" w:fill="auto"/>
            <w:noWrap/>
            <w:vAlign w:val="center"/>
            <w:hideMark/>
          </w:tcPr>
          <w:p w14:paraId="00257046"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0.97</w:t>
            </w:r>
            <w:r>
              <w:rPr>
                <w:rFonts w:ascii="Calibri" w:hAnsi="Calibri" w:cs="Calibri"/>
                <w:color w:val="000000"/>
                <w:sz w:val="20"/>
                <w:szCs w:val="20"/>
              </w:rPr>
              <w:t xml:space="preserve"> </w:t>
            </w:r>
            <w:r w:rsidRPr="00C83CAB">
              <w:rPr>
                <w:rFonts w:ascii="Calibri" w:hAnsi="Calibri" w:cs="Calibri"/>
                <w:color w:val="000000"/>
                <w:sz w:val="20"/>
                <w:szCs w:val="20"/>
              </w:rPr>
              <w:t>(0.86-1.09)</w:t>
            </w:r>
          </w:p>
        </w:tc>
        <w:tc>
          <w:tcPr>
            <w:tcW w:w="992" w:type="dxa"/>
            <w:tcBorders>
              <w:top w:val="nil"/>
              <w:left w:val="nil"/>
              <w:bottom w:val="single" w:sz="4" w:space="0" w:color="auto"/>
            </w:tcBorders>
            <w:vAlign w:val="center"/>
          </w:tcPr>
          <w:p w14:paraId="3750DF7C"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0.60</w:t>
            </w:r>
          </w:p>
        </w:tc>
        <w:tc>
          <w:tcPr>
            <w:tcW w:w="1531" w:type="dxa"/>
            <w:tcBorders>
              <w:top w:val="nil"/>
              <w:bottom w:val="single" w:sz="4" w:space="0" w:color="auto"/>
            </w:tcBorders>
            <w:shd w:val="clear" w:color="auto" w:fill="auto"/>
            <w:noWrap/>
            <w:vAlign w:val="center"/>
            <w:hideMark/>
          </w:tcPr>
          <w:p w14:paraId="349A586A"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0.91</w:t>
            </w:r>
            <w:r>
              <w:rPr>
                <w:rFonts w:ascii="Calibri" w:hAnsi="Calibri" w:cs="Calibri"/>
                <w:color w:val="000000"/>
                <w:sz w:val="20"/>
                <w:szCs w:val="20"/>
              </w:rPr>
              <w:t xml:space="preserve"> </w:t>
            </w:r>
            <w:r w:rsidRPr="00C83CAB">
              <w:rPr>
                <w:rFonts w:ascii="Calibri" w:hAnsi="Calibri" w:cs="Calibri"/>
                <w:color w:val="000000"/>
                <w:sz w:val="20"/>
                <w:szCs w:val="20"/>
              </w:rPr>
              <w:t>(0.75-1.10)</w:t>
            </w:r>
          </w:p>
        </w:tc>
        <w:tc>
          <w:tcPr>
            <w:tcW w:w="992" w:type="dxa"/>
            <w:tcBorders>
              <w:top w:val="nil"/>
              <w:bottom w:val="single" w:sz="4" w:space="0" w:color="auto"/>
            </w:tcBorders>
            <w:vAlign w:val="center"/>
          </w:tcPr>
          <w:p w14:paraId="203E9D7F"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0.31</w:t>
            </w:r>
          </w:p>
        </w:tc>
        <w:tc>
          <w:tcPr>
            <w:tcW w:w="1163" w:type="dxa"/>
            <w:tcBorders>
              <w:top w:val="nil"/>
              <w:left w:val="nil"/>
              <w:bottom w:val="single" w:sz="4" w:space="0" w:color="auto"/>
              <w:right w:val="nil"/>
            </w:tcBorders>
            <w:shd w:val="clear" w:color="auto" w:fill="auto"/>
            <w:noWrap/>
            <w:vAlign w:val="center"/>
            <w:hideMark/>
          </w:tcPr>
          <w:p w14:paraId="1D2CD373"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0.34</w:t>
            </w:r>
          </w:p>
        </w:tc>
        <w:tc>
          <w:tcPr>
            <w:tcW w:w="1842" w:type="dxa"/>
            <w:tcBorders>
              <w:top w:val="nil"/>
              <w:left w:val="nil"/>
              <w:bottom w:val="single" w:sz="4" w:space="0" w:color="auto"/>
              <w:right w:val="nil"/>
            </w:tcBorders>
            <w:shd w:val="clear" w:color="auto" w:fill="auto"/>
            <w:noWrap/>
            <w:vAlign w:val="center"/>
            <w:hideMark/>
          </w:tcPr>
          <w:p w14:paraId="5BB8B319"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0.83</w:t>
            </w:r>
            <w:r>
              <w:rPr>
                <w:rFonts w:ascii="Calibri" w:hAnsi="Calibri" w:cs="Calibri"/>
                <w:color w:val="000000"/>
                <w:sz w:val="20"/>
                <w:szCs w:val="20"/>
              </w:rPr>
              <w:t xml:space="preserve"> </w:t>
            </w:r>
            <w:r w:rsidRPr="00C83CAB">
              <w:rPr>
                <w:rFonts w:ascii="Calibri" w:hAnsi="Calibri" w:cs="Calibri"/>
                <w:color w:val="000000"/>
                <w:sz w:val="20"/>
                <w:szCs w:val="20"/>
              </w:rPr>
              <w:t>(0.58-1.17)</w:t>
            </w:r>
          </w:p>
        </w:tc>
        <w:tc>
          <w:tcPr>
            <w:tcW w:w="709" w:type="dxa"/>
            <w:tcBorders>
              <w:top w:val="nil"/>
              <w:left w:val="nil"/>
              <w:bottom w:val="single" w:sz="4" w:space="0" w:color="auto"/>
              <w:right w:val="nil"/>
            </w:tcBorders>
            <w:vAlign w:val="center"/>
          </w:tcPr>
          <w:p w14:paraId="57BBBB7E" w14:textId="77777777" w:rsidR="00BC3F9F" w:rsidRPr="00C83CAB" w:rsidRDefault="00BC3F9F" w:rsidP="00486EE1">
            <w:pPr>
              <w:jc w:val="center"/>
              <w:rPr>
                <w:rFonts w:ascii="Calibri" w:hAnsi="Calibri" w:cs="Calibri"/>
                <w:color w:val="000000"/>
                <w:sz w:val="20"/>
                <w:szCs w:val="20"/>
              </w:rPr>
            </w:pPr>
            <w:r w:rsidRPr="00C83CAB">
              <w:rPr>
                <w:rFonts w:ascii="Calibri" w:hAnsi="Calibri" w:cs="Calibri"/>
                <w:color w:val="000000"/>
                <w:sz w:val="20"/>
                <w:szCs w:val="20"/>
              </w:rPr>
              <w:t>0.28</w:t>
            </w:r>
          </w:p>
        </w:tc>
      </w:tr>
    </w:tbl>
    <w:p w14:paraId="2BB7A621" w14:textId="77777777" w:rsidR="00C83CAB" w:rsidRPr="00C83CAB" w:rsidRDefault="00C83CAB" w:rsidP="004C3F23">
      <w:pPr>
        <w:jc w:val="both"/>
        <w:rPr>
          <w:rFonts w:ascii="Calibri" w:hAnsi="Calibri" w:cs="Arial"/>
          <w:color w:val="000000"/>
          <w:sz w:val="20"/>
          <w:szCs w:val="20"/>
        </w:rPr>
      </w:pPr>
    </w:p>
    <w:p w14:paraId="76B40EC6" w14:textId="2C1138AA" w:rsidR="002126D5" w:rsidRPr="004C3F23" w:rsidRDefault="00D844AF" w:rsidP="004C3F23">
      <w:pPr>
        <w:jc w:val="both"/>
        <w:rPr>
          <w:rFonts w:eastAsia="DengXian" w:cstheme="minorHAnsi"/>
          <w:b/>
          <w:color w:val="000000"/>
          <w:sz w:val="20"/>
          <w:szCs w:val="16"/>
        </w:rPr>
      </w:pPr>
      <w:r w:rsidRPr="00125D06">
        <w:rPr>
          <w:rFonts w:ascii="Calibri" w:hAnsi="Calibri" w:cs="Arial"/>
          <w:color w:val="000000"/>
          <w:sz w:val="20"/>
          <w:szCs w:val="20"/>
          <w:lang w:val="en-GB"/>
        </w:rPr>
        <w:t>HDL = high-density lipoprotein; LDL = low-density lipoprotein; SNP = single nucleotide polymorphism.</w:t>
      </w:r>
    </w:p>
    <w:p w14:paraId="09E92AC4" w14:textId="2E02C0B9" w:rsidR="002126D5" w:rsidRPr="00D844AF" w:rsidRDefault="00B21E2D" w:rsidP="004C3F23">
      <w:pPr>
        <w:jc w:val="both"/>
        <w:rPr>
          <w:rFonts w:asciiTheme="minorHAnsi" w:eastAsia="DengXian" w:hAnsiTheme="minorHAnsi" w:cstheme="minorHAnsi"/>
          <w:color w:val="000000"/>
          <w:sz w:val="20"/>
          <w:szCs w:val="20"/>
        </w:rPr>
      </w:pPr>
      <w:r>
        <w:rPr>
          <w:rFonts w:asciiTheme="minorHAnsi" w:eastAsia="DengXian" w:hAnsiTheme="minorHAnsi" w:cstheme="minorHAnsi"/>
          <w:color w:val="000000"/>
          <w:sz w:val="20"/>
          <w:szCs w:val="20"/>
        </w:rPr>
        <w:t xml:space="preserve">Bold type denotes </w:t>
      </w:r>
      <w:r w:rsidR="00D844AF" w:rsidRPr="00C83CAB">
        <w:rPr>
          <w:rFonts w:asciiTheme="minorHAnsi" w:eastAsia="DengXian" w:hAnsiTheme="minorHAnsi" w:cstheme="minorHAnsi"/>
          <w:i/>
          <w:color w:val="000000"/>
          <w:sz w:val="20"/>
          <w:szCs w:val="20"/>
        </w:rPr>
        <w:t>P</w:t>
      </w:r>
      <w:r w:rsidR="00D844AF" w:rsidRPr="00D844AF">
        <w:rPr>
          <w:rFonts w:asciiTheme="minorHAnsi" w:eastAsia="DengXian" w:hAnsiTheme="minorHAnsi" w:cstheme="minorHAnsi"/>
          <w:color w:val="000000"/>
          <w:sz w:val="20"/>
          <w:szCs w:val="20"/>
        </w:rPr>
        <w:t xml:space="preserve"> &lt; 0.05</w:t>
      </w:r>
      <w:r w:rsidR="002126D5" w:rsidRPr="004C3F23">
        <w:rPr>
          <w:rFonts w:eastAsia="DengXian" w:cstheme="minorHAnsi"/>
          <w:color w:val="000000"/>
          <w:sz w:val="20"/>
          <w:szCs w:val="16"/>
        </w:rPr>
        <w:t xml:space="preserve"> </w:t>
      </w:r>
    </w:p>
    <w:p w14:paraId="511A5188" w14:textId="76A049D4" w:rsidR="002126D5" w:rsidRPr="00DD516A" w:rsidRDefault="00DD516A" w:rsidP="00DD516A">
      <w:pPr>
        <w:rPr>
          <w:rFonts w:asciiTheme="minorHAnsi" w:eastAsia="DengXian" w:hAnsiTheme="minorHAnsi" w:cstheme="minorHAnsi"/>
          <w:color w:val="000000"/>
          <w:sz w:val="20"/>
          <w:szCs w:val="20"/>
        </w:rPr>
      </w:pPr>
      <w:r w:rsidRPr="00DD516A">
        <w:rPr>
          <w:rFonts w:asciiTheme="minorHAnsi" w:eastAsia="DengXian" w:hAnsiTheme="minorHAnsi" w:cstheme="minorHAnsi"/>
          <w:color w:val="000000"/>
          <w:sz w:val="20"/>
          <w:szCs w:val="20"/>
        </w:rPr>
        <w:t>*</w:t>
      </w:r>
      <w:r w:rsidR="00476B97">
        <w:rPr>
          <w:rFonts w:asciiTheme="minorHAnsi" w:eastAsia="DengXian" w:hAnsiTheme="minorHAnsi" w:cstheme="minorHAnsi"/>
          <w:color w:val="000000"/>
          <w:sz w:val="20"/>
          <w:szCs w:val="20"/>
        </w:rPr>
        <w:t xml:space="preserve">Weighted median and </w:t>
      </w:r>
      <w:r w:rsidRPr="00DD516A">
        <w:rPr>
          <w:rFonts w:asciiTheme="minorHAnsi" w:eastAsia="DengXian" w:hAnsiTheme="minorHAnsi" w:cstheme="minorHAnsi" w:hint="eastAsia"/>
          <w:color w:val="000000"/>
          <w:sz w:val="20"/>
          <w:szCs w:val="20"/>
        </w:rPr>
        <w:t>M</w:t>
      </w:r>
      <w:r w:rsidRPr="00DD516A">
        <w:rPr>
          <w:rFonts w:asciiTheme="minorHAnsi" w:eastAsia="DengXian" w:hAnsiTheme="minorHAnsi" w:cstheme="minorHAnsi"/>
          <w:color w:val="000000"/>
          <w:sz w:val="20"/>
          <w:szCs w:val="20"/>
        </w:rPr>
        <w:t xml:space="preserve">R-Egger </w:t>
      </w:r>
      <w:r>
        <w:rPr>
          <w:rFonts w:asciiTheme="minorHAnsi" w:eastAsia="DengXian" w:hAnsiTheme="minorHAnsi" w:cstheme="minorHAnsi"/>
          <w:color w:val="000000"/>
          <w:sz w:val="20"/>
          <w:szCs w:val="20"/>
        </w:rPr>
        <w:t>is not available when the number of SNPs is less than 3.</w:t>
      </w:r>
    </w:p>
    <w:p w14:paraId="79B6AE50" w14:textId="001B2876" w:rsidR="002126D5" w:rsidRPr="00582A7B" w:rsidRDefault="002126D5" w:rsidP="00582A7B">
      <w:pPr>
        <w:tabs>
          <w:tab w:val="left" w:pos="14524"/>
        </w:tabs>
        <w:rPr>
          <w:rFonts w:eastAsia="DengXian" w:cstheme="minorHAnsi"/>
          <w:color w:val="000000"/>
          <w:sz w:val="16"/>
          <w:szCs w:val="16"/>
        </w:rPr>
      </w:pPr>
    </w:p>
    <w:p w14:paraId="7DFC0FA5" w14:textId="01412C6B" w:rsidR="00582A7B" w:rsidRDefault="00582A7B">
      <w:pPr>
        <w:rPr>
          <w:rFonts w:ascii="Calibri" w:hAnsi="Calibri" w:cs="Arial"/>
          <w:b/>
          <w:lang w:val="en-GB"/>
        </w:rPr>
      </w:pPr>
      <w:r>
        <w:rPr>
          <w:rFonts w:ascii="Calibri" w:hAnsi="Calibri" w:cs="Arial"/>
          <w:b/>
          <w:lang w:val="en-GB"/>
        </w:rPr>
        <w:br w:type="page"/>
      </w:r>
    </w:p>
    <w:p w14:paraId="7F8CBFEB" w14:textId="17D80E14" w:rsidR="00582A7B" w:rsidRPr="00582A7B" w:rsidRDefault="00582A7B" w:rsidP="004C3F23">
      <w:pPr>
        <w:spacing w:line="360" w:lineRule="auto"/>
        <w:rPr>
          <w:rFonts w:ascii="Calibri" w:hAnsi="Calibri" w:cs="Arial"/>
        </w:rPr>
      </w:pPr>
      <w:r w:rsidRPr="00582A7B">
        <w:rPr>
          <w:rFonts w:ascii="Calibri" w:hAnsi="Calibri" w:cs="Arial"/>
          <w:b/>
        </w:rPr>
        <w:lastRenderedPageBreak/>
        <w:t xml:space="preserve">Table 3. </w:t>
      </w:r>
      <w:r w:rsidR="004C3F23">
        <w:rPr>
          <w:rFonts w:ascii="Calibri" w:hAnsi="Calibri" w:cs="Arial"/>
        </w:rPr>
        <w:t>R</w:t>
      </w:r>
      <w:r w:rsidR="004C3F23" w:rsidRPr="00582A7B">
        <w:rPr>
          <w:rFonts w:ascii="Calibri" w:hAnsi="Calibri" w:cs="Arial"/>
        </w:rPr>
        <w:t xml:space="preserve">esults for </w:t>
      </w:r>
      <w:r w:rsidR="004C3F23">
        <w:rPr>
          <w:rFonts w:ascii="Calibri" w:hAnsi="Calibri" w:cs="Arial"/>
        </w:rPr>
        <w:t xml:space="preserve">the restrictive </w:t>
      </w:r>
      <w:r w:rsidR="004C3F23" w:rsidRPr="00582A7B">
        <w:rPr>
          <w:rFonts w:ascii="Calibri" w:hAnsi="Calibri" w:cs="Arial"/>
        </w:rPr>
        <w:t>Mendelian randomization</w:t>
      </w:r>
      <w:r w:rsidR="006E63DB">
        <w:rPr>
          <w:rFonts w:ascii="Calibri" w:hAnsi="Calibri" w:cs="Arial"/>
        </w:rPr>
        <w:t>.</w:t>
      </w:r>
    </w:p>
    <w:tbl>
      <w:tblPr>
        <w:tblW w:w="0" w:type="auto"/>
        <w:jc w:val="center"/>
        <w:tblLayout w:type="fixed"/>
        <w:tblLook w:val="04A0" w:firstRow="1" w:lastRow="0" w:firstColumn="1" w:lastColumn="0" w:noHBand="0" w:noVBand="1"/>
      </w:tblPr>
      <w:tblGrid>
        <w:gridCol w:w="2127"/>
        <w:gridCol w:w="663"/>
        <w:gridCol w:w="621"/>
        <w:gridCol w:w="1834"/>
        <w:gridCol w:w="992"/>
        <w:gridCol w:w="1560"/>
        <w:gridCol w:w="992"/>
        <w:gridCol w:w="1134"/>
        <w:gridCol w:w="1843"/>
        <w:gridCol w:w="850"/>
      </w:tblGrid>
      <w:tr w:rsidR="0086380B" w:rsidRPr="005D0314" w14:paraId="7ABF1539" w14:textId="77777777" w:rsidTr="00251E4B">
        <w:trPr>
          <w:trHeight w:val="20"/>
          <w:jc w:val="center"/>
        </w:trPr>
        <w:tc>
          <w:tcPr>
            <w:tcW w:w="2127" w:type="dxa"/>
            <w:vMerge w:val="restart"/>
            <w:tcBorders>
              <w:top w:val="single" w:sz="4" w:space="0" w:color="auto"/>
              <w:left w:val="nil"/>
              <w:right w:val="nil"/>
            </w:tcBorders>
            <w:shd w:val="clear" w:color="auto" w:fill="auto"/>
            <w:noWrap/>
            <w:vAlign w:val="center"/>
          </w:tcPr>
          <w:p w14:paraId="0B8A82FC"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Exposure</w:t>
            </w:r>
          </w:p>
        </w:tc>
        <w:tc>
          <w:tcPr>
            <w:tcW w:w="663" w:type="dxa"/>
            <w:vMerge w:val="restart"/>
            <w:tcBorders>
              <w:top w:val="single" w:sz="4" w:space="0" w:color="auto"/>
              <w:left w:val="nil"/>
              <w:right w:val="nil"/>
            </w:tcBorders>
            <w:shd w:val="clear" w:color="auto" w:fill="auto"/>
            <w:noWrap/>
            <w:vAlign w:val="center"/>
          </w:tcPr>
          <w:p w14:paraId="5BCFA2E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No. of SNPs</w:t>
            </w:r>
          </w:p>
        </w:tc>
        <w:tc>
          <w:tcPr>
            <w:tcW w:w="3447" w:type="dxa"/>
            <w:gridSpan w:val="3"/>
            <w:tcBorders>
              <w:top w:val="single" w:sz="4" w:space="0" w:color="auto"/>
              <w:left w:val="nil"/>
              <w:bottom w:val="nil"/>
            </w:tcBorders>
            <w:shd w:val="clear" w:color="auto" w:fill="auto"/>
            <w:noWrap/>
            <w:vAlign w:val="center"/>
          </w:tcPr>
          <w:p w14:paraId="47AA9D2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Inverse variance weighted</w:t>
            </w:r>
          </w:p>
        </w:tc>
        <w:tc>
          <w:tcPr>
            <w:tcW w:w="2552" w:type="dxa"/>
            <w:gridSpan w:val="2"/>
            <w:tcBorders>
              <w:top w:val="single" w:sz="4" w:space="0" w:color="auto"/>
              <w:bottom w:val="nil"/>
            </w:tcBorders>
            <w:shd w:val="clear" w:color="auto" w:fill="auto"/>
            <w:noWrap/>
            <w:vAlign w:val="center"/>
          </w:tcPr>
          <w:p w14:paraId="775C352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Weighted median</w:t>
            </w:r>
          </w:p>
        </w:tc>
        <w:tc>
          <w:tcPr>
            <w:tcW w:w="3827" w:type="dxa"/>
            <w:gridSpan w:val="3"/>
            <w:tcBorders>
              <w:top w:val="single" w:sz="4" w:space="0" w:color="auto"/>
              <w:left w:val="nil"/>
              <w:bottom w:val="nil"/>
              <w:right w:val="nil"/>
            </w:tcBorders>
            <w:shd w:val="clear" w:color="auto" w:fill="auto"/>
            <w:noWrap/>
            <w:vAlign w:val="center"/>
          </w:tcPr>
          <w:p w14:paraId="276F7A99" w14:textId="320F9E71"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MR</w:t>
            </w:r>
            <w:r w:rsidR="00B17438">
              <w:rPr>
                <w:rFonts w:ascii="Calibri" w:hAnsi="Calibri" w:cs="Calibri"/>
                <w:color w:val="000000"/>
                <w:sz w:val="20"/>
                <w:szCs w:val="20"/>
              </w:rPr>
              <w:t>-</w:t>
            </w:r>
            <w:r w:rsidRPr="005D0314">
              <w:rPr>
                <w:rFonts w:ascii="Calibri" w:hAnsi="Calibri" w:cs="Calibri"/>
                <w:color w:val="000000"/>
                <w:sz w:val="20"/>
                <w:szCs w:val="20"/>
              </w:rPr>
              <w:t>Egger</w:t>
            </w:r>
          </w:p>
        </w:tc>
      </w:tr>
      <w:tr w:rsidR="0086380B" w:rsidRPr="005D0314" w14:paraId="26BD9325" w14:textId="77777777" w:rsidTr="00251E4B">
        <w:trPr>
          <w:trHeight w:val="20"/>
          <w:jc w:val="center"/>
        </w:trPr>
        <w:tc>
          <w:tcPr>
            <w:tcW w:w="2127" w:type="dxa"/>
            <w:vMerge/>
            <w:tcBorders>
              <w:left w:val="nil"/>
              <w:bottom w:val="single" w:sz="4" w:space="0" w:color="auto"/>
              <w:right w:val="nil"/>
            </w:tcBorders>
            <w:shd w:val="clear" w:color="auto" w:fill="auto"/>
            <w:noWrap/>
            <w:vAlign w:val="center"/>
          </w:tcPr>
          <w:p w14:paraId="0F9E1D27" w14:textId="77777777" w:rsidR="00BC3F9F" w:rsidRPr="005D0314" w:rsidRDefault="00BC3F9F" w:rsidP="00486EE1">
            <w:pPr>
              <w:jc w:val="both"/>
              <w:rPr>
                <w:rFonts w:ascii="Calibri" w:hAnsi="Calibri" w:cs="Calibri"/>
                <w:color w:val="000000"/>
                <w:sz w:val="20"/>
                <w:szCs w:val="20"/>
              </w:rPr>
            </w:pPr>
          </w:p>
        </w:tc>
        <w:tc>
          <w:tcPr>
            <w:tcW w:w="663" w:type="dxa"/>
            <w:vMerge/>
            <w:tcBorders>
              <w:left w:val="nil"/>
              <w:bottom w:val="single" w:sz="4" w:space="0" w:color="auto"/>
              <w:right w:val="nil"/>
            </w:tcBorders>
            <w:shd w:val="clear" w:color="auto" w:fill="auto"/>
            <w:noWrap/>
            <w:vAlign w:val="center"/>
          </w:tcPr>
          <w:p w14:paraId="3FD114F2" w14:textId="77777777" w:rsidR="00BC3F9F" w:rsidRPr="005D0314" w:rsidRDefault="00BC3F9F" w:rsidP="00486EE1">
            <w:pPr>
              <w:jc w:val="center"/>
              <w:rPr>
                <w:rFonts w:ascii="Calibri" w:hAnsi="Calibri" w:cs="Calibri"/>
                <w:color w:val="000000"/>
                <w:sz w:val="20"/>
                <w:szCs w:val="20"/>
              </w:rPr>
            </w:pPr>
          </w:p>
        </w:tc>
        <w:tc>
          <w:tcPr>
            <w:tcW w:w="621" w:type="dxa"/>
            <w:tcBorders>
              <w:top w:val="nil"/>
              <w:left w:val="nil"/>
              <w:bottom w:val="single" w:sz="4" w:space="0" w:color="auto"/>
              <w:right w:val="nil"/>
            </w:tcBorders>
            <w:shd w:val="clear" w:color="auto" w:fill="auto"/>
            <w:noWrap/>
            <w:vAlign w:val="center"/>
          </w:tcPr>
          <w:p w14:paraId="531D4F1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 xml:space="preserve">Q' </w:t>
            </w:r>
            <w:r w:rsidRPr="005D0314">
              <w:rPr>
                <w:rFonts w:ascii="Calibri" w:hAnsi="Calibri" w:cs="Calibri"/>
                <w:i/>
                <w:iCs/>
                <w:color w:val="000000"/>
                <w:sz w:val="20"/>
                <w:szCs w:val="20"/>
              </w:rPr>
              <w:t>P</w:t>
            </w:r>
          </w:p>
        </w:tc>
        <w:tc>
          <w:tcPr>
            <w:tcW w:w="1834" w:type="dxa"/>
            <w:tcBorders>
              <w:top w:val="nil"/>
              <w:left w:val="nil"/>
              <w:bottom w:val="single" w:sz="4" w:space="0" w:color="auto"/>
              <w:right w:val="nil"/>
            </w:tcBorders>
            <w:shd w:val="clear" w:color="auto" w:fill="auto"/>
            <w:noWrap/>
            <w:vAlign w:val="center"/>
          </w:tcPr>
          <w:p w14:paraId="26703AFD" w14:textId="4836B53B"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OR</w:t>
            </w:r>
            <w:r w:rsidR="00576336">
              <w:rPr>
                <w:rFonts w:ascii="Calibri" w:hAnsi="Calibri" w:cs="Calibri"/>
                <w:color w:val="000000"/>
                <w:sz w:val="20"/>
                <w:szCs w:val="20"/>
              </w:rPr>
              <w:t xml:space="preserve"> </w:t>
            </w:r>
            <w:r w:rsidRPr="005D0314">
              <w:rPr>
                <w:rFonts w:ascii="Calibri" w:hAnsi="Calibri" w:cs="Calibri"/>
                <w:color w:val="000000"/>
                <w:sz w:val="20"/>
                <w:szCs w:val="20"/>
              </w:rPr>
              <w:t>(95%CI)</w:t>
            </w:r>
          </w:p>
        </w:tc>
        <w:tc>
          <w:tcPr>
            <w:tcW w:w="992" w:type="dxa"/>
            <w:tcBorders>
              <w:top w:val="nil"/>
              <w:left w:val="nil"/>
              <w:bottom w:val="single" w:sz="4" w:space="0" w:color="auto"/>
            </w:tcBorders>
            <w:vAlign w:val="center"/>
          </w:tcPr>
          <w:p w14:paraId="3A93CBA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i/>
                <w:iCs/>
                <w:color w:val="000000"/>
                <w:sz w:val="20"/>
                <w:szCs w:val="20"/>
              </w:rPr>
              <w:t>P</w:t>
            </w:r>
          </w:p>
        </w:tc>
        <w:tc>
          <w:tcPr>
            <w:tcW w:w="1560" w:type="dxa"/>
            <w:tcBorders>
              <w:top w:val="nil"/>
              <w:bottom w:val="single" w:sz="4" w:space="0" w:color="auto"/>
              <w:right w:val="nil"/>
            </w:tcBorders>
            <w:shd w:val="clear" w:color="auto" w:fill="auto"/>
            <w:noWrap/>
            <w:vAlign w:val="center"/>
          </w:tcPr>
          <w:p w14:paraId="52F7E9E1" w14:textId="75D36382"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OR</w:t>
            </w:r>
            <w:r w:rsidR="00576336">
              <w:rPr>
                <w:rFonts w:ascii="Calibri" w:hAnsi="Calibri" w:cs="Calibri"/>
                <w:color w:val="000000"/>
                <w:sz w:val="20"/>
                <w:szCs w:val="20"/>
              </w:rPr>
              <w:t xml:space="preserve"> </w:t>
            </w:r>
            <w:r w:rsidRPr="005D0314">
              <w:rPr>
                <w:rFonts w:ascii="Calibri" w:hAnsi="Calibri" w:cs="Calibri"/>
                <w:color w:val="000000"/>
                <w:sz w:val="20"/>
                <w:szCs w:val="20"/>
              </w:rPr>
              <w:t>(95%CI)</w:t>
            </w:r>
          </w:p>
        </w:tc>
        <w:tc>
          <w:tcPr>
            <w:tcW w:w="992" w:type="dxa"/>
            <w:tcBorders>
              <w:top w:val="nil"/>
              <w:left w:val="nil"/>
              <w:bottom w:val="single" w:sz="4" w:space="0" w:color="auto"/>
            </w:tcBorders>
            <w:vAlign w:val="center"/>
          </w:tcPr>
          <w:p w14:paraId="0BD4496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i/>
                <w:iCs/>
                <w:color w:val="000000"/>
                <w:sz w:val="20"/>
                <w:szCs w:val="20"/>
              </w:rPr>
              <w:t>P</w:t>
            </w:r>
          </w:p>
        </w:tc>
        <w:tc>
          <w:tcPr>
            <w:tcW w:w="1134" w:type="dxa"/>
            <w:tcBorders>
              <w:top w:val="nil"/>
              <w:left w:val="nil"/>
              <w:bottom w:val="single" w:sz="4" w:space="0" w:color="auto"/>
              <w:right w:val="nil"/>
            </w:tcBorders>
            <w:shd w:val="clear" w:color="auto" w:fill="auto"/>
            <w:noWrap/>
            <w:vAlign w:val="center"/>
          </w:tcPr>
          <w:p w14:paraId="6A101CF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 xml:space="preserve">Intercept </w:t>
            </w:r>
            <w:r w:rsidRPr="005D0314">
              <w:rPr>
                <w:rFonts w:ascii="Calibri" w:hAnsi="Calibri" w:cs="Calibri"/>
                <w:i/>
                <w:iCs/>
                <w:color w:val="000000"/>
                <w:sz w:val="20"/>
                <w:szCs w:val="20"/>
              </w:rPr>
              <w:t>P</w:t>
            </w:r>
          </w:p>
        </w:tc>
        <w:tc>
          <w:tcPr>
            <w:tcW w:w="1843" w:type="dxa"/>
            <w:tcBorders>
              <w:top w:val="nil"/>
              <w:left w:val="nil"/>
              <w:bottom w:val="single" w:sz="4" w:space="0" w:color="auto"/>
              <w:right w:val="nil"/>
            </w:tcBorders>
            <w:shd w:val="clear" w:color="auto" w:fill="auto"/>
            <w:noWrap/>
            <w:vAlign w:val="center"/>
          </w:tcPr>
          <w:p w14:paraId="07347DA3" w14:textId="499D7294"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OR</w:t>
            </w:r>
            <w:r w:rsidR="00576336">
              <w:rPr>
                <w:rFonts w:ascii="Calibri" w:hAnsi="Calibri" w:cs="Calibri"/>
                <w:color w:val="000000"/>
                <w:sz w:val="20"/>
                <w:szCs w:val="20"/>
              </w:rPr>
              <w:t xml:space="preserve"> </w:t>
            </w:r>
            <w:r w:rsidRPr="005D0314">
              <w:rPr>
                <w:rFonts w:ascii="Calibri" w:hAnsi="Calibri" w:cs="Calibri"/>
                <w:color w:val="000000"/>
                <w:sz w:val="20"/>
                <w:szCs w:val="20"/>
              </w:rPr>
              <w:t>(95%CI)</w:t>
            </w:r>
          </w:p>
        </w:tc>
        <w:tc>
          <w:tcPr>
            <w:tcW w:w="850" w:type="dxa"/>
            <w:tcBorders>
              <w:top w:val="nil"/>
              <w:left w:val="nil"/>
              <w:bottom w:val="single" w:sz="4" w:space="0" w:color="auto"/>
              <w:right w:val="nil"/>
            </w:tcBorders>
            <w:vAlign w:val="center"/>
          </w:tcPr>
          <w:p w14:paraId="03C48F6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i/>
                <w:iCs/>
                <w:color w:val="000000"/>
                <w:sz w:val="20"/>
                <w:szCs w:val="20"/>
              </w:rPr>
              <w:t>P</w:t>
            </w:r>
          </w:p>
        </w:tc>
      </w:tr>
      <w:tr w:rsidR="0086380B" w:rsidRPr="005D0314" w14:paraId="482701AF" w14:textId="77777777" w:rsidTr="00251E4B">
        <w:trPr>
          <w:trHeight w:val="20"/>
          <w:jc w:val="center"/>
        </w:trPr>
        <w:tc>
          <w:tcPr>
            <w:tcW w:w="2127" w:type="dxa"/>
            <w:tcBorders>
              <w:top w:val="single" w:sz="4" w:space="0" w:color="auto"/>
              <w:left w:val="nil"/>
              <w:bottom w:val="nil"/>
              <w:right w:val="nil"/>
            </w:tcBorders>
            <w:shd w:val="clear" w:color="auto" w:fill="auto"/>
            <w:noWrap/>
            <w:vAlign w:val="center"/>
            <w:hideMark/>
          </w:tcPr>
          <w:p w14:paraId="51C2C589"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Drinks per week</w:t>
            </w:r>
          </w:p>
        </w:tc>
        <w:tc>
          <w:tcPr>
            <w:tcW w:w="663" w:type="dxa"/>
            <w:tcBorders>
              <w:top w:val="single" w:sz="4" w:space="0" w:color="auto"/>
              <w:left w:val="nil"/>
              <w:bottom w:val="nil"/>
              <w:right w:val="nil"/>
            </w:tcBorders>
            <w:shd w:val="clear" w:color="auto" w:fill="auto"/>
            <w:noWrap/>
            <w:vAlign w:val="center"/>
            <w:hideMark/>
          </w:tcPr>
          <w:p w14:paraId="3821037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56</w:t>
            </w:r>
          </w:p>
        </w:tc>
        <w:tc>
          <w:tcPr>
            <w:tcW w:w="621" w:type="dxa"/>
            <w:tcBorders>
              <w:top w:val="single" w:sz="4" w:space="0" w:color="auto"/>
              <w:left w:val="nil"/>
              <w:bottom w:val="nil"/>
              <w:right w:val="nil"/>
            </w:tcBorders>
            <w:shd w:val="clear" w:color="auto" w:fill="auto"/>
            <w:noWrap/>
            <w:vAlign w:val="center"/>
            <w:hideMark/>
          </w:tcPr>
          <w:p w14:paraId="658EDF3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0.80</w:t>
            </w:r>
          </w:p>
        </w:tc>
        <w:tc>
          <w:tcPr>
            <w:tcW w:w="1834" w:type="dxa"/>
            <w:tcBorders>
              <w:top w:val="single" w:sz="4" w:space="0" w:color="auto"/>
              <w:left w:val="nil"/>
              <w:bottom w:val="nil"/>
              <w:right w:val="nil"/>
            </w:tcBorders>
            <w:shd w:val="clear" w:color="auto" w:fill="auto"/>
            <w:noWrap/>
            <w:vAlign w:val="center"/>
            <w:hideMark/>
          </w:tcPr>
          <w:p w14:paraId="351746C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1.82</w:t>
            </w:r>
            <w:r>
              <w:rPr>
                <w:rFonts w:ascii="Calibri" w:hAnsi="Calibri" w:cs="Calibri"/>
                <w:color w:val="000000"/>
                <w:sz w:val="20"/>
                <w:szCs w:val="20"/>
              </w:rPr>
              <w:t xml:space="preserve"> </w:t>
            </w:r>
            <w:r w:rsidRPr="005D0314">
              <w:rPr>
                <w:rFonts w:ascii="Calibri" w:hAnsi="Calibri" w:cs="Calibri"/>
                <w:color w:val="000000"/>
                <w:sz w:val="20"/>
                <w:szCs w:val="20"/>
              </w:rPr>
              <w:t>(1.00-3.34)</w:t>
            </w:r>
          </w:p>
        </w:tc>
        <w:tc>
          <w:tcPr>
            <w:tcW w:w="992" w:type="dxa"/>
            <w:tcBorders>
              <w:top w:val="single" w:sz="4" w:space="0" w:color="auto"/>
              <w:left w:val="nil"/>
              <w:bottom w:val="nil"/>
            </w:tcBorders>
            <w:vAlign w:val="center"/>
          </w:tcPr>
          <w:p w14:paraId="5902564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0.05</w:t>
            </w:r>
          </w:p>
        </w:tc>
        <w:tc>
          <w:tcPr>
            <w:tcW w:w="1560" w:type="dxa"/>
            <w:tcBorders>
              <w:top w:val="single" w:sz="4" w:space="0" w:color="auto"/>
              <w:bottom w:val="nil"/>
              <w:right w:val="nil"/>
            </w:tcBorders>
            <w:shd w:val="clear" w:color="auto" w:fill="auto"/>
            <w:noWrap/>
            <w:vAlign w:val="center"/>
            <w:hideMark/>
          </w:tcPr>
          <w:p w14:paraId="49B46E1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2.19</w:t>
            </w:r>
            <w:r>
              <w:rPr>
                <w:rFonts w:ascii="Calibri" w:hAnsi="Calibri" w:cs="Calibri"/>
                <w:color w:val="000000"/>
                <w:sz w:val="20"/>
                <w:szCs w:val="20"/>
              </w:rPr>
              <w:t xml:space="preserve"> </w:t>
            </w:r>
            <w:r w:rsidRPr="005D0314">
              <w:rPr>
                <w:rFonts w:ascii="Calibri" w:hAnsi="Calibri" w:cs="Calibri"/>
                <w:color w:val="000000"/>
                <w:sz w:val="20"/>
                <w:szCs w:val="20"/>
              </w:rPr>
              <w:t>(0.87-5.50)</w:t>
            </w:r>
          </w:p>
        </w:tc>
        <w:tc>
          <w:tcPr>
            <w:tcW w:w="992" w:type="dxa"/>
            <w:tcBorders>
              <w:top w:val="single" w:sz="4" w:space="0" w:color="auto"/>
              <w:left w:val="nil"/>
              <w:bottom w:val="nil"/>
            </w:tcBorders>
            <w:vAlign w:val="center"/>
          </w:tcPr>
          <w:p w14:paraId="29EFED6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0.09</w:t>
            </w:r>
          </w:p>
        </w:tc>
        <w:tc>
          <w:tcPr>
            <w:tcW w:w="1134" w:type="dxa"/>
            <w:tcBorders>
              <w:top w:val="single" w:sz="4" w:space="0" w:color="auto"/>
              <w:left w:val="nil"/>
              <w:bottom w:val="nil"/>
              <w:right w:val="nil"/>
            </w:tcBorders>
            <w:shd w:val="clear" w:color="auto" w:fill="auto"/>
            <w:noWrap/>
            <w:vAlign w:val="center"/>
            <w:hideMark/>
          </w:tcPr>
          <w:p w14:paraId="74725C3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0.93</w:t>
            </w:r>
          </w:p>
        </w:tc>
        <w:tc>
          <w:tcPr>
            <w:tcW w:w="1843" w:type="dxa"/>
            <w:tcBorders>
              <w:top w:val="single" w:sz="4" w:space="0" w:color="auto"/>
              <w:left w:val="nil"/>
              <w:bottom w:val="nil"/>
              <w:right w:val="nil"/>
            </w:tcBorders>
            <w:shd w:val="clear" w:color="auto" w:fill="auto"/>
            <w:noWrap/>
            <w:vAlign w:val="center"/>
            <w:hideMark/>
          </w:tcPr>
          <w:p w14:paraId="624933E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1.68</w:t>
            </w:r>
            <w:r>
              <w:rPr>
                <w:rFonts w:ascii="Calibri" w:hAnsi="Calibri" w:cs="Calibri"/>
                <w:color w:val="000000"/>
                <w:sz w:val="20"/>
                <w:szCs w:val="20"/>
              </w:rPr>
              <w:t xml:space="preserve"> </w:t>
            </w:r>
            <w:r w:rsidRPr="005D0314">
              <w:rPr>
                <w:rFonts w:ascii="Calibri" w:hAnsi="Calibri" w:cs="Calibri"/>
                <w:color w:val="000000"/>
                <w:sz w:val="20"/>
                <w:szCs w:val="20"/>
              </w:rPr>
              <w:t>(0.26-10.90)</w:t>
            </w:r>
          </w:p>
        </w:tc>
        <w:tc>
          <w:tcPr>
            <w:tcW w:w="850" w:type="dxa"/>
            <w:tcBorders>
              <w:top w:val="single" w:sz="4" w:space="0" w:color="auto"/>
              <w:left w:val="nil"/>
              <w:bottom w:val="nil"/>
              <w:right w:val="nil"/>
            </w:tcBorders>
            <w:vAlign w:val="center"/>
          </w:tcPr>
          <w:p w14:paraId="2D58F11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0.59</w:t>
            </w:r>
          </w:p>
        </w:tc>
      </w:tr>
      <w:tr w:rsidR="0086380B" w:rsidRPr="005D0314" w14:paraId="0719A6EF"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1B788519"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Alcohol dependence</w:t>
            </w:r>
          </w:p>
        </w:tc>
        <w:tc>
          <w:tcPr>
            <w:tcW w:w="663" w:type="dxa"/>
            <w:tcBorders>
              <w:top w:val="nil"/>
              <w:left w:val="nil"/>
              <w:bottom w:val="nil"/>
              <w:right w:val="nil"/>
            </w:tcBorders>
            <w:shd w:val="clear" w:color="auto" w:fill="auto"/>
            <w:noWrap/>
            <w:vAlign w:val="center"/>
            <w:hideMark/>
          </w:tcPr>
          <w:p w14:paraId="7996C07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3</w:t>
            </w:r>
          </w:p>
        </w:tc>
        <w:tc>
          <w:tcPr>
            <w:tcW w:w="621" w:type="dxa"/>
            <w:tcBorders>
              <w:top w:val="nil"/>
              <w:left w:val="nil"/>
              <w:bottom w:val="nil"/>
              <w:right w:val="nil"/>
            </w:tcBorders>
            <w:shd w:val="clear" w:color="auto" w:fill="auto"/>
            <w:noWrap/>
            <w:vAlign w:val="center"/>
            <w:hideMark/>
          </w:tcPr>
          <w:p w14:paraId="27633BE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0.62</w:t>
            </w:r>
          </w:p>
        </w:tc>
        <w:tc>
          <w:tcPr>
            <w:tcW w:w="1834" w:type="dxa"/>
            <w:tcBorders>
              <w:top w:val="nil"/>
              <w:left w:val="nil"/>
              <w:bottom w:val="nil"/>
              <w:right w:val="nil"/>
            </w:tcBorders>
            <w:shd w:val="clear" w:color="auto" w:fill="auto"/>
            <w:noWrap/>
            <w:vAlign w:val="center"/>
            <w:hideMark/>
          </w:tcPr>
          <w:p w14:paraId="24FEB5B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1.07</w:t>
            </w:r>
            <w:r>
              <w:rPr>
                <w:rFonts w:ascii="Calibri" w:hAnsi="Calibri" w:cs="Calibri"/>
                <w:color w:val="000000"/>
                <w:sz w:val="20"/>
                <w:szCs w:val="20"/>
              </w:rPr>
              <w:t xml:space="preserve"> </w:t>
            </w:r>
            <w:r w:rsidRPr="005D0314">
              <w:rPr>
                <w:rFonts w:ascii="Calibri" w:hAnsi="Calibri" w:cs="Calibri"/>
                <w:color w:val="000000"/>
                <w:sz w:val="20"/>
                <w:szCs w:val="20"/>
              </w:rPr>
              <w:t>(0.39-2.97)</w:t>
            </w:r>
          </w:p>
        </w:tc>
        <w:tc>
          <w:tcPr>
            <w:tcW w:w="992" w:type="dxa"/>
            <w:tcBorders>
              <w:top w:val="nil"/>
              <w:left w:val="nil"/>
              <w:bottom w:val="nil"/>
            </w:tcBorders>
            <w:vAlign w:val="center"/>
          </w:tcPr>
          <w:p w14:paraId="5A8DCCF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0.89</w:t>
            </w:r>
          </w:p>
        </w:tc>
        <w:tc>
          <w:tcPr>
            <w:tcW w:w="1560" w:type="dxa"/>
            <w:tcBorders>
              <w:top w:val="nil"/>
              <w:bottom w:val="nil"/>
              <w:right w:val="nil"/>
            </w:tcBorders>
            <w:shd w:val="clear" w:color="auto" w:fill="auto"/>
            <w:noWrap/>
            <w:vAlign w:val="center"/>
            <w:hideMark/>
          </w:tcPr>
          <w:p w14:paraId="0CFC6B3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1.08</w:t>
            </w:r>
            <w:r>
              <w:rPr>
                <w:rFonts w:ascii="Calibri" w:hAnsi="Calibri" w:cs="Calibri"/>
                <w:color w:val="000000"/>
                <w:sz w:val="20"/>
                <w:szCs w:val="20"/>
              </w:rPr>
              <w:t xml:space="preserve"> </w:t>
            </w:r>
            <w:r w:rsidRPr="005D0314">
              <w:rPr>
                <w:rFonts w:ascii="Calibri" w:hAnsi="Calibri" w:cs="Calibri"/>
                <w:color w:val="000000"/>
                <w:sz w:val="20"/>
                <w:szCs w:val="20"/>
              </w:rPr>
              <w:t>(0.36-3.23)</w:t>
            </w:r>
          </w:p>
        </w:tc>
        <w:tc>
          <w:tcPr>
            <w:tcW w:w="992" w:type="dxa"/>
            <w:tcBorders>
              <w:top w:val="nil"/>
              <w:left w:val="nil"/>
              <w:bottom w:val="nil"/>
            </w:tcBorders>
            <w:vAlign w:val="center"/>
          </w:tcPr>
          <w:p w14:paraId="4AA99D6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0.89</w:t>
            </w:r>
          </w:p>
        </w:tc>
        <w:tc>
          <w:tcPr>
            <w:tcW w:w="1134" w:type="dxa"/>
            <w:tcBorders>
              <w:top w:val="nil"/>
              <w:left w:val="nil"/>
              <w:bottom w:val="nil"/>
              <w:right w:val="nil"/>
            </w:tcBorders>
            <w:shd w:val="clear" w:color="auto" w:fill="auto"/>
            <w:noWrap/>
            <w:vAlign w:val="center"/>
            <w:hideMark/>
          </w:tcPr>
          <w:p w14:paraId="6809623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0.65</w:t>
            </w:r>
          </w:p>
        </w:tc>
        <w:tc>
          <w:tcPr>
            <w:tcW w:w="1843" w:type="dxa"/>
            <w:tcBorders>
              <w:top w:val="nil"/>
              <w:left w:val="nil"/>
              <w:bottom w:val="nil"/>
              <w:right w:val="nil"/>
            </w:tcBorders>
            <w:shd w:val="clear" w:color="auto" w:fill="auto"/>
            <w:noWrap/>
            <w:vAlign w:val="center"/>
            <w:hideMark/>
          </w:tcPr>
          <w:p w14:paraId="4B0AEA3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0.40</w:t>
            </w:r>
            <w:r>
              <w:rPr>
                <w:rFonts w:ascii="Calibri" w:hAnsi="Calibri" w:cs="Calibri"/>
                <w:color w:val="000000"/>
                <w:sz w:val="20"/>
                <w:szCs w:val="20"/>
              </w:rPr>
              <w:t xml:space="preserve"> </w:t>
            </w:r>
            <w:r w:rsidRPr="005D0314">
              <w:rPr>
                <w:rFonts w:ascii="Calibri" w:hAnsi="Calibri" w:cs="Calibri"/>
                <w:color w:val="000000"/>
                <w:sz w:val="20"/>
                <w:szCs w:val="20"/>
              </w:rPr>
              <w:t>(0.02-10.45)</w:t>
            </w:r>
          </w:p>
        </w:tc>
        <w:tc>
          <w:tcPr>
            <w:tcW w:w="850" w:type="dxa"/>
            <w:tcBorders>
              <w:top w:val="nil"/>
              <w:left w:val="nil"/>
              <w:bottom w:val="nil"/>
              <w:right w:val="nil"/>
            </w:tcBorders>
            <w:vAlign w:val="center"/>
          </w:tcPr>
          <w:p w14:paraId="7CC75BC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0.68</w:t>
            </w:r>
          </w:p>
        </w:tc>
      </w:tr>
      <w:tr w:rsidR="0086380B" w:rsidRPr="005D0314" w14:paraId="10BD2452"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7E25E22E"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Alcohol use disorder</w:t>
            </w:r>
            <w:r>
              <w:rPr>
                <w:rFonts w:ascii="Calibri" w:hAnsi="Calibri" w:cs="Calibri"/>
                <w:color w:val="000000"/>
                <w:sz w:val="20"/>
                <w:szCs w:val="20"/>
              </w:rPr>
              <w:t>*</w:t>
            </w:r>
          </w:p>
        </w:tc>
        <w:tc>
          <w:tcPr>
            <w:tcW w:w="663" w:type="dxa"/>
            <w:tcBorders>
              <w:top w:val="nil"/>
              <w:left w:val="nil"/>
              <w:bottom w:val="nil"/>
              <w:right w:val="nil"/>
            </w:tcBorders>
            <w:shd w:val="clear" w:color="auto" w:fill="auto"/>
            <w:noWrap/>
            <w:vAlign w:val="center"/>
            <w:hideMark/>
          </w:tcPr>
          <w:p w14:paraId="0E630A3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w:t>
            </w:r>
          </w:p>
        </w:tc>
        <w:tc>
          <w:tcPr>
            <w:tcW w:w="621" w:type="dxa"/>
            <w:tcBorders>
              <w:top w:val="nil"/>
              <w:left w:val="nil"/>
              <w:bottom w:val="nil"/>
              <w:right w:val="nil"/>
            </w:tcBorders>
            <w:shd w:val="clear" w:color="auto" w:fill="auto"/>
            <w:noWrap/>
            <w:vAlign w:val="center"/>
            <w:hideMark/>
          </w:tcPr>
          <w:p w14:paraId="088C354E" w14:textId="77777777" w:rsidR="00BC3F9F" w:rsidRPr="005D0314" w:rsidRDefault="00BC3F9F" w:rsidP="00486EE1">
            <w:pPr>
              <w:jc w:val="center"/>
              <w:rPr>
                <w:rFonts w:ascii="Calibri" w:hAnsi="Calibri" w:cs="Calibri"/>
                <w:b/>
                <w:bCs/>
                <w:color w:val="000000"/>
                <w:sz w:val="20"/>
                <w:szCs w:val="20"/>
              </w:rPr>
            </w:pPr>
            <w:r w:rsidRPr="005D0314">
              <w:rPr>
                <w:rFonts w:ascii="Calibri" w:hAnsi="Calibri" w:cs="Calibri"/>
                <w:b/>
                <w:bCs/>
                <w:color w:val="000000"/>
                <w:sz w:val="20"/>
                <w:szCs w:val="20"/>
              </w:rPr>
              <w:t>0.02</w:t>
            </w:r>
          </w:p>
        </w:tc>
        <w:tc>
          <w:tcPr>
            <w:tcW w:w="1834" w:type="dxa"/>
            <w:tcBorders>
              <w:top w:val="nil"/>
              <w:left w:val="nil"/>
              <w:bottom w:val="nil"/>
              <w:right w:val="nil"/>
            </w:tcBorders>
            <w:shd w:val="clear" w:color="auto" w:fill="auto"/>
            <w:noWrap/>
            <w:vAlign w:val="center"/>
            <w:hideMark/>
          </w:tcPr>
          <w:p w14:paraId="05E5A9D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1.62</w:t>
            </w:r>
            <w:r>
              <w:rPr>
                <w:rFonts w:ascii="Calibri" w:hAnsi="Calibri" w:cs="Calibri"/>
                <w:color w:val="000000"/>
                <w:sz w:val="20"/>
                <w:szCs w:val="20"/>
              </w:rPr>
              <w:t xml:space="preserve"> </w:t>
            </w:r>
            <w:r w:rsidRPr="005D0314">
              <w:rPr>
                <w:rFonts w:ascii="Calibri" w:hAnsi="Calibri" w:cs="Calibri"/>
                <w:color w:val="000000"/>
                <w:sz w:val="20"/>
                <w:szCs w:val="20"/>
              </w:rPr>
              <w:t>(</w:t>
            </w:r>
            <w:r>
              <w:rPr>
                <w:rFonts w:ascii="Calibri" w:hAnsi="Calibri" w:cs="Calibri"/>
                <w:color w:val="000000"/>
                <w:sz w:val="20"/>
                <w:szCs w:val="20"/>
              </w:rPr>
              <w:t>&lt;0.01</w:t>
            </w:r>
            <w:r w:rsidRPr="005D0314">
              <w:rPr>
                <w:rFonts w:ascii="Calibri" w:hAnsi="Calibri" w:cs="Calibri"/>
                <w:color w:val="000000"/>
                <w:sz w:val="20"/>
                <w:szCs w:val="20"/>
              </w:rPr>
              <w:t>-971.24)</w:t>
            </w:r>
          </w:p>
        </w:tc>
        <w:tc>
          <w:tcPr>
            <w:tcW w:w="992" w:type="dxa"/>
            <w:tcBorders>
              <w:top w:val="nil"/>
              <w:left w:val="nil"/>
              <w:bottom w:val="nil"/>
            </w:tcBorders>
            <w:vAlign w:val="center"/>
          </w:tcPr>
          <w:p w14:paraId="56B1289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0.88</w:t>
            </w:r>
          </w:p>
        </w:tc>
        <w:tc>
          <w:tcPr>
            <w:tcW w:w="1560" w:type="dxa"/>
            <w:tcBorders>
              <w:top w:val="nil"/>
              <w:bottom w:val="nil"/>
              <w:right w:val="nil"/>
            </w:tcBorders>
            <w:shd w:val="clear" w:color="auto" w:fill="auto"/>
            <w:noWrap/>
            <w:vAlign w:val="center"/>
            <w:hideMark/>
          </w:tcPr>
          <w:p w14:paraId="656E3ADC" w14:textId="77777777" w:rsidR="00BC3F9F" w:rsidRPr="005D0314" w:rsidRDefault="00BC3F9F" w:rsidP="00486EE1">
            <w:pPr>
              <w:jc w:val="center"/>
              <w:rPr>
                <w:rFonts w:ascii="Times New Roman" w:eastAsia="Times New Roman" w:hAnsi="Times New Roman" w:cs="Times New Roman"/>
                <w:sz w:val="20"/>
                <w:szCs w:val="20"/>
              </w:rPr>
            </w:pPr>
          </w:p>
        </w:tc>
        <w:tc>
          <w:tcPr>
            <w:tcW w:w="992" w:type="dxa"/>
            <w:tcBorders>
              <w:top w:val="nil"/>
              <w:left w:val="nil"/>
              <w:bottom w:val="nil"/>
            </w:tcBorders>
            <w:vAlign w:val="center"/>
          </w:tcPr>
          <w:p w14:paraId="50D4F13F" w14:textId="77777777" w:rsidR="00BC3F9F" w:rsidRPr="005D0314" w:rsidRDefault="00BC3F9F" w:rsidP="00486EE1">
            <w:pPr>
              <w:jc w:val="center"/>
              <w:rPr>
                <w:rFonts w:ascii="Times New Roman" w:eastAsia="Times New Roman" w:hAnsi="Times New Roman" w:cs="Times New Roman"/>
                <w:sz w:val="20"/>
                <w:szCs w:val="20"/>
              </w:rPr>
            </w:pPr>
          </w:p>
        </w:tc>
        <w:tc>
          <w:tcPr>
            <w:tcW w:w="1134" w:type="dxa"/>
            <w:tcBorders>
              <w:top w:val="nil"/>
              <w:left w:val="nil"/>
              <w:bottom w:val="nil"/>
              <w:right w:val="nil"/>
            </w:tcBorders>
            <w:shd w:val="clear" w:color="auto" w:fill="auto"/>
            <w:noWrap/>
            <w:vAlign w:val="center"/>
            <w:hideMark/>
          </w:tcPr>
          <w:p w14:paraId="1437EA3C" w14:textId="77777777" w:rsidR="00BC3F9F" w:rsidRPr="005D0314" w:rsidRDefault="00BC3F9F" w:rsidP="00486EE1">
            <w:pPr>
              <w:jc w:val="center"/>
              <w:rPr>
                <w:rFonts w:ascii="Times New Roman" w:eastAsia="Times New Roman" w:hAnsi="Times New Roman" w:cs="Times New Roman"/>
                <w:sz w:val="20"/>
                <w:szCs w:val="20"/>
              </w:rPr>
            </w:pPr>
          </w:p>
        </w:tc>
        <w:tc>
          <w:tcPr>
            <w:tcW w:w="1843" w:type="dxa"/>
            <w:tcBorders>
              <w:top w:val="nil"/>
              <w:left w:val="nil"/>
              <w:bottom w:val="nil"/>
              <w:right w:val="nil"/>
            </w:tcBorders>
            <w:shd w:val="clear" w:color="auto" w:fill="auto"/>
            <w:noWrap/>
            <w:vAlign w:val="center"/>
            <w:hideMark/>
          </w:tcPr>
          <w:p w14:paraId="4021CC4D" w14:textId="77777777" w:rsidR="00BC3F9F" w:rsidRPr="005D0314" w:rsidRDefault="00BC3F9F" w:rsidP="00486EE1">
            <w:pPr>
              <w:jc w:val="center"/>
              <w:rPr>
                <w:rFonts w:ascii="Times New Roman" w:eastAsia="Times New Roman" w:hAnsi="Times New Roman" w:cs="Times New Roman"/>
                <w:sz w:val="20"/>
                <w:szCs w:val="20"/>
              </w:rPr>
            </w:pPr>
          </w:p>
        </w:tc>
        <w:tc>
          <w:tcPr>
            <w:tcW w:w="850" w:type="dxa"/>
            <w:tcBorders>
              <w:top w:val="nil"/>
              <w:left w:val="nil"/>
              <w:bottom w:val="nil"/>
              <w:right w:val="nil"/>
            </w:tcBorders>
            <w:vAlign w:val="center"/>
          </w:tcPr>
          <w:p w14:paraId="6BA76AE8" w14:textId="77777777" w:rsidR="00BC3F9F" w:rsidRPr="005D0314" w:rsidRDefault="00BC3F9F" w:rsidP="00486EE1">
            <w:pPr>
              <w:jc w:val="center"/>
              <w:rPr>
                <w:rFonts w:ascii="Times New Roman" w:eastAsia="Times New Roman" w:hAnsi="Times New Roman" w:cs="Times New Roman"/>
                <w:sz w:val="20"/>
                <w:szCs w:val="20"/>
              </w:rPr>
            </w:pPr>
          </w:p>
        </w:tc>
      </w:tr>
      <w:tr w:rsidR="0086380B" w:rsidRPr="005D0314" w14:paraId="4969F7C1"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43270FC4"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Cigarettes per day</w:t>
            </w:r>
          </w:p>
        </w:tc>
        <w:tc>
          <w:tcPr>
            <w:tcW w:w="663" w:type="dxa"/>
            <w:tcBorders>
              <w:top w:val="nil"/>
              <w:left w:val="nil"/>
              <w:bottom w:val="nil"/>
              <w:right w:val="nil"/>
            </w:tcBorders>
            <w:shd w:val="clear" w:color="auto" w:fill="auto"/>
            <w:noWrap/>
            <w:vAlign w:val="center"/>
            <w:hideMark/>
          </w:tcPr>
          <w:p w14:paraId="4C94B1F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36</w:t>
            </w:r>
          </w:p>
        </w:tc>
        <w:tc>
          <w:tcPr>
            <w:tcW w:w="621" w:type="dxa"/>
            <w:tcBorders>
              <w:top w:val="nil"/>
              <w:left w:val="nil"/>
              <w:bottom w:val="nil"/>
              <w:right w:val="nil"/>
            </w:tcBorders>
            <w:shd w:val="clear" w:color="auto" w:fill="auto"/>
            <w:noWrap/>
            <w:vAlign w:val="center"/>
            <w:hideMark/>
          </w:tcPr>
          <w:p w14:paraId="7F7C097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0.12</w:t>
            </w:r>
          </w:p>
        </w:tc>
        <w:tc>
          <w:tcPr>
            <w:tcW w:w="1834" w:type="dxa"/>
            <w:tcBorders>
              <w:top w:val="nil"/>
              <w:left w:val="nil"/>
              <w:bottom w:val="nil"/>
              <w:right w:val="nil"/>
            </w:tcBorders>
            <w:shd w:val="clear" w:color="auto" w:fill="auto"/>
            <w:noWrap/>
            <w:vAlign w:val="center"/>
            <w:hideMark/>
          </w:tcPr>
          <w:p w14:paraId="54836DD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1.05</w:t>
            </w:r>
            <w:r>
              <w:rPr>
                <w:rFonts w:ascii="Calibri" w:hAnsi="Calibri" w:cs="Calibri"/>
                <w:color w:val="000000"/>
                <w:sz w:val="20"/>
                <w:szCs w:val="20"/>
              </w:rPr>
              <w:t xml:space="preserve"> </w:t>
            </w:r>
            <w:r w:rsidRPr="005D0314">
              <w:rPr>
                <w:rFonts w:ascii="Calibri" w:hAnsi="Calibri" w:cs="Calibri"/>
                <w:color w:val="000000"/>
                <w:sz w:val="20"/>
                <w:szCs w:val="20"/>
              </w:rPr>
              <w:t>(0.73-1.51)</w:t>
            </w:r>
          </w:p>
        </w:tc>
        <w:tc>
          <w:tcPr>
            <w:tcW w:w="992" w:type="dxa"/>
            <w:tcBorders>
              <w:top w:val="nil"/>
              <w:left w:val="nil"/>
              <w:bottom w:val="nil"/>
            </w:tcBorders>
            <w:vAlign w:val="center"/>
          </w:tcPr>
          <w:p w14:paraId="511AEFD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0.78</w:t>
            </w:r>
          </w:p>
        </w:tc>
        <w:tc>
          <w:tcPr>
            <w:tcW w:w="1560" w:type="dxa"/>
            <w:tcBorders>
              <w:top w:val="nil"/>
              <w:bottom w:val="nil"/>
              <w:right w:val="nil"/>
            </w:tcBorders>
            <w:shd w:val="clear" w:color="auto" w:fill="auto"/>
            <w:noWrap/>
            <w:vAlign w:val="center"/>
            <w:hideMark/>
          </w:tcPr>
          <w:p w14:paraId="116FA6D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0.95</w:t>
            </w:r>
            <w:r>
              <w:rPr>
                <w:rFonts w:ascii="Calibri" w:hAnsi="Calibri" w:cs="Calibri"/>
                <w:color w:val="000000"/>
                <w:sz w:val="20"/>
                <w:szCs w:val="20"/>
              </w:rPr>
              <w:t xml:space="preserve"> </w:t>
            </w:r>
            <w:r w:rsidRPr="005D0314">
              <w:rPr>
                <w:rFonts w:ascii="Calibri" w:hAnsi="Calibri" w:cs="Calibri"/>
                <w:color w:val="000000"/>
                <w:sz w:val="20"/>
                <w:szCs w:val="20"/>
              </w:rPr>
              <w:t>(0.60-1.50)</w:t>
            </w:r>
          </w:p>
        </w:tc>
        <w:tc>
          <w:tcPr>
            <w:tcW w:w="992" w:type="dxa"/>
            <w:tcBorders>
              <w:top w:val="nil"/>
              <w:left w:val="nil"/>
              <w:bottom w:val="nil"/>
            </w:tcBorders>
            <w:vAlign w:val="center"/>
          </w:tcPr>
          <w:p w14:paraId="035FF4C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0.82</w:t>
            </w:r>
          </w:p>
        </w:tc>
        <w:tc>
          <w:tcPr>
            <w:tcW w:w="1134" w:type="dxa"/>
            <w:tcBorders>
              <w:top w:val="nil"/>
              <w:left w:val="nil"/>
              <w:bottom w:val="nil"/>
              <w:right w:val="nil"/>
            </w:tcBorders>
            <w:shd w:val="clear" w:color="auto" w:fill="auto"/>
            <w:noWrap/>
            <w:vAlign w:val="center"/>
            <w:hideMark/>
          </w:tcPr>
          <w:p w14:paraId="133F118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0.85</w:t>
            </w:r>
          </w:p>
        </w:tc>
        <w:tc>
          <w:tcPr>
            <w:tcW w:w="1843" w:type="dxa"/>
            <w:tcBorders>
              <w:top w:val="nil"/>
              <w:left w:val="nil"/>
              <w:bottom w:val="nil"/>
              <w:right w:val="nil"/>
            </w:tcBorders>
            <w:shd w:val="clear" w:color="auto" w:fill="auto"/>
            <w:noWrap/>
            <w:vAlign w:val="center"/>
            <w:hideMark/>
          </w:tcPr>
          <w:p w14:paraId="75900C3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1.00</w:t>
            </w:r>
            <w:r>
              <w:rPr>
                <w:rFonts w:ascii="Calibri" w:hAnsi="Calibri" w:cs="Calibri"/>
                <w:color w:val="000000"/>
                <w:sz w:val="20"/>
                <w:szCs w:val="20"/>
              </w:rPr>
              <w:t xml:space="preserve"> </w:t>
            </w:r>
            <w:r w:rsidRPr="005D0314">
              <w:rPr>
                <w:rFonts w:ascii="Calibri" w:hAnsi="Calibri" w:cs="Calibri"/>
                <w:color w:val="000000"/>
                <w:sz w:val="20"/>
                <w:szCs w:val="20"/>
              </w:rPr>
              <w:t>(0.53-1.88)</w:t>
            </w:r>
          </w:p>
        </w:tc>
        <w:tc>
          <w:tcPr>
            <w:tcW w:w="850" w:type="dxa"/>
            <w:tcBorders>
              <w:top w:val="nil"/>
              <w:left w:val="nil"/>
              <w:bottom w:val="nil"/>
              <w:right w:val="nil"/>
            </w:tcBorders>
            <w:vAlign w:val="center"/>
          </w:tcPr>
          <w:p w14:paraId="3232295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1.00</w:t>
            </w:r>
          </w:p>
        </w:tc>
      </w:tr>
      <w:tr w:rsidR="0086380B" w:rsidRPr="005D0314" w14:paraId="358B9246"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01528394"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Smoking initiation</w:t>
            </w:r>
          </w:p>
        </w:tc>
        <w:tc>
          <w:tcPr>
            <w:tcW w:w="663" w:type="dxa"/>
            <w:tcBorders>
              <w:top w:val="nil"/>
              <w:left w:val="nil"/>
              <w:bottom w:val="nil"/>
              <w:right w:val="nil"/>
            </w:tcBorders>
            <w:shd w:val="clear" w:color="auto" w:fill="auto"/>
            <w:noWrap/>
            <w:vAlign w:val="center"/>
            <w:hideMark/>
          </w:tcPr>
          <w:p w14:paraId="558E7DC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183</w:t>
            </w:r>
          </w:p>
        </w:tc>
        <w:tc>
          <w:tcPr>
            <w:tcW w:w="621" w:type="dxa"/>
            <w:tcBorders>
              <w:top w:val="nil"/>
              <w:left w:val="nil"/>
              <w:bottom w:val="nil"/>
              <w:right w:val="nil"/>
            </w:tcBorders>
            <w:shd w:val="clear" w:color="auto" w:fill="auto"/>
            <w:noWrap/>
            <w:vAlign w:val="center"/>
            <w:hideMark/>
          </w:tcPr>
          <w:p w14:paraId="567C6AA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0.84</w:t>
            </w:r>
          </w:p>
        </w:tc>
        <w:tc>
          <w:tcPr>
            <w:tcW w:w="1834" w:type="dxa"/>
            <w:tcBorders>
              <w:top w:val="nil"/>
              <w:left w:val="nil"/>
              <w:bottom w:val="nil"/>
              <w:right w:val="nil"/>
            </w:tcBorders>
            <w:shd w:val="clear" w:color="auto" w:fill="auto"/>
            <w:noWrap/>
            <w:vAlign w:val="center"/>
            <w:hideMark/>
          </w:tcPr>
          <w:p w14:paraId="7E1362E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1.06</w:t>
            </w:r>
            <w:r>
              <w:rPr>
                <w:rFonts w:ascii="Calibri" w:hAnsi="Calibri" w:cs="Calibri"/>
                <w:color w:val="000000"/>
                <w:sz w:val="20"/>
                <w:szCs w:val="20"/>
              </w:rPr>
              <w:t xml:space="preserve"> </w:t>
            </w:r>
            <w:r w:rsidRPr="005D0314">
              <w:rPr>
                <w:rFonts w:ascii="Calibri" w:hAnsi="Calibri" w:cs="Calibri"/>
                <w:color w:val="000000"/>
                <w:sz w:val="20"/>
                <w:szCs w:val="20"/>
              </w:rPr>
              <w:t>(0.88-1.28)</w:t>
            </w:r>
          </w:p>
        </w:tc>
        <w:tc>
          <w:tcPr>
            <w:tcW w:w="992" w:type="dxa"/>
            <w:tcBorders>
              <w:top w:val="nil"/>
              <w:left w:val="nil"/>
              <w:bottom w:val="nil"/>
            </w:tcBorders>
            <w:vAlign w:val="center"/>
          </w:tcPr>
          <w:p w14:paraId="48C70007"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0.54</w:t>
            </w:r>
          </w:p>
        </w:tc>
        <w:tc>
          <w:tcPr>
            <w:tcW w:w="1560" w:type="dxa"/>
            <w:tcBorders>
              <w:top w:val="nil"/>
              <w:bottom w:val="nil"/>
              <w:right w:val="nil"/>
            </w:tcBorders>
            <w:shd w:val="clear" w:color="auto" w:fill="auto"/>
            <w:noWrap/>
            <w:vAlign w:val="center"/>
            <w:hideMark/>
          </w:tcPr>
          <w:p w14:paraId="1558F5F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0.92</w:t>
            </w:r>
            <w:r>
              <w:rPr>
                <w:rFonts w:ascii="Calibri" w:hAnsi="Calibri" w:cs="Calibri"/>
                <w:color w:val="000000"/>
                <w:sz w:val="20"/>
                <w:szCs w:val="20"/>
              </w:rPr>
              <w:t xml:space="preserve"> </w:t>
            </w:r>
            <w:r w:rsidRPr="005D0314">
              <w:rPr>
                <w:rFonts w:ascii="Calibri" w:hAnsi="Calibri" w:cs="Calibri"/>
                <w:color w:val="000000"/>
                <w:sz w:val="20"/>
                <w:szCs w:val="20"/>
              </w:rPr>
              <w:t>(0.71-1.19)</w:t>
            </w:r>
          </w:p>
        </w:tc>
        <w:tc>
          <w:tcPr>
            <w:tcW w:w="992" w:type="dxa"/>
            <w:tcBorders>
              <w:top w:val="nil"/>
              <w:left w:val="nil"/>
              <w:bottom w:val="nil"/>
            </w:tcBorders>
            <w:vAlign w:val="center"/>
          </w:tcPr>
          <w:p w14:paraId="10E0F46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0.53</w:t>
            </w:r>
          </w:p>
        </w:tc>
        <w:tc>
          <w:tcPr>
            <w:tcW w:w="1134" w:type="dxa"/>
            <w:tcBorders>
              <w:top w:val="nil"/>
              <w:left w:val="nil"/>
              <w:bottom w:val="nil"/>
              <w:right w:val="nil"/>
            </w:tcBorders>
            <w:shd w:val="clear" w:color="auto" w:fill="auto"/>
            <w:noWrap/>
            <w:vAlign w:val="center"/>
            <w:hideMark/>
          </w:tcPr>
          <w:p w14:paraId="210BD31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0.81</w:t>
            </w:r>
          </w:p>
        </w:tc>
        <w:tc>
          <w:tcPr>
            <w:tcW w:w="1843" w:type="dxa"/>
            <w:tcBorders>
              <w:top w:val="nil"/>
              <w:left w:val="nil"/>
              <w:bottom w:val="nil"/>
              <w:right w:val="nil"/>
            </w:tcBorders>
            <w:shd w:val="clear" w:color="auto" w:fill="auto"/>
            <w:noWrap/>
            <w:vAlign w:val="center"/>
            <w:hideMark/>
          </w:tcPr>
          <w:p w14:paraId="5DAD75B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0.97</w:t>
            </w:r>
            <w:r>
              <w:rPr>
                <w:rFonts w:ascii="Calibri" w:hAnsi="Calibri" w:cs="Calibri"/>
                <w:color w:val="000000"/>
                <w:sz w:val="20"/>
                <w:szCs w:val="20"/>
              </w:rPr>
              <w:t xml:space="preserve"> </w:t>
            </w:r>
            <w:r w:rsidRPr="005D0314">
              <w:rPr>
                <w:rFonts w:ascii="Calibri" w:hAnsi="Calibri" w:cs="Calibri"/>
                <w:color w:val="000000"/>
                <w:sz w:val="20"/>
                <w:szCs w:val="20"/>
              </w:rPr>
              <w:t>(0.46-2.06)</w:t>
            </w:r>
          </w:p>
        </w:tc>
        <w:tc>
          <w:tcPr>
            <w:tcW w:w="850" w:type="dxa"/>
            <w:tcBorders>
              <w:top w:val="nil"/>
              <w:left w:val="nil"/>
              <w:bottom w:val="nil"/>
              <w:right w:val="nil"/>
            </w:tcBorders>
            <w:vAlign w:val="center"/>
          </w:tcPr>
          <w:p w14:paraId="6288CF7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0.93</w:t>
            </w:r>
          </w:p>
        </w:tc>
      </w:tr>
      <w:tr w:rsidR="0086380B" w:rsidRPr="005D0314" w14:paraId="671B2B0F"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467747F1"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Smoking cessation</w:t>
            </w:r>
          </w:p>
        </w:tc>
        <w:tc>
          <w:tcPr>
            <w:tcW w:w="663" w:type="dxa"/>
            <w:tcBorders>
              <w:top w:val="nil"/>
              <w:left w:val="nil"/>
              <w:bottom w:val="nil"/>
              <w:right w:val="nil"/>
            </w:tcBorders>
            <w:shd w:val="clear" w:color="auto" w:fill="auto"/>
            <w:noWrap/>
            <w:vAlign w:val="center"/>
            <w:hideMark/>
          </w:tcPr>
          <w:p w14:paraId="690FD17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15</w:t>
            </w:r>
          </w:p>
        </w:tc>
        <w:tc>
          <w:tcPr>
            <w:tcW w:w="621" w:type="dxa"/>
            <w:tcBorders>
              <w:top w:val="nil"/>
              <w:left w:val="nil"/>
              <w:bottom w:val="nil"/>
              <w:right w:val="nil"/>
            </w:tcBorders>
            <w:shd w:val="clear" w:color="auto" w:fill="auto"/>
            <w:noWrap/>
            <w:vAlign w:val="center"/>
            <w:hideMark/>
          </w:tcPr>
          <w:p w14:paraId="1EE30E0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0.19</w:t>
            </w:r>
          </w:p>
        </w:tc>
        <w:tc>
          <w:tcPr>
            <w:tcW w:w="1834" w:type="dxa"/>
            <w:tcBorders>
              <w:top w:val="nil"/>
              <w:left w:val="nil"/>
              <w:bottom w:val="nil"/>
              <w:right w:val="nil"/>
            </w:tcBorders>
            <w:shd w:val="clear" w:color="auto" w:fill="auto"/>
            <w:noWrap/>
            <w:vAlign w:val="center"/>
            <w:hideMark/>
          </w:tcPr>
          <w:p w14:paraId="079D256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1.28</w:t>
            </w:r>
            <w:r>
              <w:rPr>
                <w:rFonts w:ascii="Calibri" w:hAnsi="Calibri" w:cs="Calibri"/>
                <w:color w:val="000000"/>
                <w:sz w:val="20"/>
                <w:szCs w:val="20"/>
              </w:rPr>
              <w:t xml:space="preserve"> </w:t>
            </w:r>
            <w:r w:rsidRPr="005D0314">
              <w:rPr>
                <w:rFonts w:ascii="Calibri" w:hAnsi="Calibri" w:cs="Calibri"/>
                <w:color w:val="000000"/>
                <w:sz w:val="20"/>
                <w:szCs w:val="20"/>
              </w:rPr>
              <w:t>(0.82-1.98)</w:t>
            </w:r>
          </w:p>
        </w:tc>
        <w:tc>
          <w:tcPr>
            <w:tcW w:w="992" w:type="dxa"/>
            <w:tcBorders>
              <w:top w:val="nil"/>
              <w:left w:val="nil"/>
              <w:bottom w:val="nil"/>
            </w:tcBorders>
            <w:vAlign w:val="center"/>
          </w:tcPr>
          <w:p w14:paraId="32B1204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0.27</w:t>
            </w:r>
          </w:p>
        </w:tc>
        <w:tc>
          <w:tcPr>
            <w:tcW w:w="1560" w:type="dxa"/>
            <w:tcBorders>
              <w:top w:val="nil"/>
              <w:bottom w:val="nil"/>
              <w:right w:val="nil"/>
            </w:tcBorders>
            <w:shd w:val="clear" w:color="auto" w:fill="auto"/>
            <w:noWrap/>
            <w:vAlign w:val="center"/>
            <w:hideMark/>
          </w:tcPr>
          <w:p w14:paraId="5031578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1.37</w:t>
            </w:r>
            <w:r>
              <w:rPr>
                <w:rFonts w:ascii="Calibri" w:hAnsi="Calibri" w:cs="Calibri"/>
                <w:color w:val="000000"/>
                <w:sz w:val="20"/>
                <w:szCs w:val="20"/>
              </w:rPr>
              <w:t xml:space="preserve"> </w:t>
            </w:r>
            <w:r w:rsidRPr="005D0314">
              <w:rPr>
                <w:rFonts w:ascii="Calibri" w:hAnsi="Calibri" w:cs="Calibri"/>
                <w:color w:val="000000"/>
                <w:sz w:val="20"/>
                <w:szCs w:val="20"/>
              </w:rPr>
              <w:t>(0.78-2.40)</w:t>
            </w:r>
          </w:p>
        </w:tc>
        <w:tc>
          <w:tcPr>
            <w:tcW w:w="992" w:type="dxa"/>
            <w:tcBorders>
              <w:top w:val="nil"/>
              <w:left w:val="nil"/>
              <w:bottom w:val="nil"/>
            </w:tcBorders>
            <w:vAlign w:val="center"/>
          </w:tcPr>
          <w:p w14:paraId="0FF6E3C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0.27</w:t>
            </w:r>
          </w:p>
        </w:tc>
        <w:tc>
          <w:tcPr>
            <w:tcW w:w="1134" w:type="dxa"/>
            <w:tcBorders>
              <w:top w:val="nil"/>
              <w:left w:val="nil"/>
              <w:bottom w:val="nil"/>
              <w:right w:val="nil"/>
            </w:tcBorders>
            <w:shd w:val="clear" w:color="auto" w:fill="auto"/>
            <w:noWrap/>
            <w:vAlign w:val="center"/>
            <w:hideMark/>
          </w:tcPr>
          <w:p w14:paraId="0D8D230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0.28</w:t>
            </w:r>
          </w:p>
        </w:tc>
        <w:tc>
          <w:tcPr>
            <w:tcW w:w="1843" w:type="dxa"/>
            <w:tcBorders>
              <w:top w:val="nil"/>
              <w:left w:val="nil"/>
              <w:bottom w:val="nil"/>
              <w:right w:val="nil"/>
            </w:tcBorders>
            <w:shd w:val="clear" w:color="auto" w:fill="auto"/>
            <w:noWrap/>
            <w:vAlign w:val="center"/>
            <w:hideMark/>
          </w:tcPr>
          <w:p w14:paraId="7A86C12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0.67</w:t>
            </w:r>
            <w:r>
              <w:rPr>
                <w:rFonts w:ascii="Calibri" w:hAnsi="Calibri" w:cs="Calibri"/>
                <w:color w:val="000000"/>
                <w:sz w:val="20"/>
                <w:szCs w:val="20"/>
              </w:rPr>
              <w:t xml:space="preserve"> </w:t>
            </w:r>
            <w:r w:rsidRPr="005D0314">
              <w:rPr>
                <w:rFonts w:ascii="Calibri" w:hAnsi="Calibri" w:cs="Calibri"/>
                <w:color w:val="000000"/>
                <w:sz w:val="20"/>
                <w:szCs w:val="20"/>
              </w:rPr>
              <w:t>(0.20-2.23)</w:t>
            </w:r>
          </w:p>
        </w:tc>
        <w:tc>
          <w:tcPr>
            <w:tcW w:w="850" w:type="dxa"/>
            <w:tcBorders>
              <w:top w:val="nil"/>
              <w:left w:val="nil"/>
              <w:bottom w:val="nil"/>
              <w:right w:val="nil"/>
            </w:tcBorders>
            <w:vAlign w:val="center"/>
          </w:tcPr>
          <w:p w14:paraId="1EACD2A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0.52</w:t>
            </w:r>
          </w:p>
        </w:tc>
      </w:tr>
      <w:tr w:rsidR="0086380B" w:rsidRPr="005D0314" w14:paraId="229E1C78"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184FD417"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Adiponectin</w:t>
            </w:r>
          </w:p>
        </w:tc>
        <w:tc>
          <w:tcPr>
            <w:tcW w:w="663" w:type="dxa"/>
            <w:tcBorders>
              <w:top w:val="nil"/>
              <w:left w:val="nil"/>
              <w:bottom w:val="nil"/>
              <w:right w:val="nil"/>
            </w:tcBorders>
            <w:shd w:val="clear" w:color="auto" w:fill="auto"/>
            <w:noWrap/>
            <w:vAlign w:val="center"/>
            <w:hideMark/>
          </w:tcPr>
          <w:p w14:paraId="4988309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7</w:t>
            </w:r>
          </w:p>
        </w:tc>
        <w:tc>
          <w:tcPr>
            <w:tcW w:w="621" w:type="dxa"/>
            <w:tcBorders>
              <w:top w:val="nil"/>
              <w:left w:val="nil"/>
              <w:bottom w:val="nil"/>
              <w:right w:val="nil"/>
            </w:tcBorders>
            <w:shd w:val="clear" w:color="auto" w:fill="auto"/>
            <w:noWrap/>
            <w:vAlign w:val="center"/>
            <w:hideMark/>
          </w:tcPr>
          <w:p w14:paraId="08BC566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0.25</w:t>
            </w:r>
          </w:p>
        </w:tc>
        <w:tc>
          <w:tcPr>
            <w:tcW w:w="1834" w:type="dxa"/>
            <w:tcBorders>
              <w:top w:val="nil"/>
              <w:left w:val="nil"/>
              <w:bottom w:val="nil"/>
              <w:right w:val="nil"/>
            </w:tcBorders>
            <w:shd w:val="clear" w:color="auto" w:fill="auto"/>
            <w:noWrap/>
            <w:vAlign w:val="center"/>
            <w:hideMark/>
          </w:tcPr>
          <w:p w14:paraId="3C4BE04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0.76</w:t>
            </w:r>
            <w:r>
              <w:rPr>
                <w:rFonts w:ascii="Calibri" w:hAnsi="Calibri" w:cs="Calibri"/>
                <w:color w:val="000000"/>
                <w:sz w:val="20"/>
                <w:szCs w:val="20"/>
              </w:rPr>
              <w:t xml:space="preserve"> </w:t>
            </w:r>
            <w:r w:rsidRPr="005D0314">
              <w:rPr>
                <w:rFonts w:ascii="Calibri" w:hAnsi="Calibri" w:cs="Calibri"/>
                <w:color w:val="000000"/>
                <w:sz w:val="20"/>
                <w:szCs w:val="20"/>
              </w:rPr>
              <w:t>(0.45-1.27)</w:t>
            </w:r>
          </w:p>
        </w:tc>
        <w:tc>
          <w:tcPr>
            <w:tcW w:w="992" w:type="dxa"/>
            <w:tcBorders>
              <w:top w:val="nil"/>
              <w:left w:val="nil"/>
              <w:bottom w:val="nil"/>
            </w:tcBorders>
            <w:vAlign w:val="center"/>
          </w:tcPr>
          <w:p w14:paraId="45E7A70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0.30</w:t>
            </w:r>
          </w:p>
        </w:tc>
        <w:tc>
          <w:tcPr>
            <w:tcW w:w="1560" w:type="dxa"/>
            <w:tcBorders>
              <w:top w:val="nil"/>
              <w:bottom w:val="nil"/>
              <w:right w:val="nil"/>
            </w:tcBorders>
            <w:shd w:val="clear" w:color="auto" w:fill="auto"/>
            <w:noWrap/>
            <w:vAlign w:val="center"/>
            <w:hideMark/>
          </w:tcPr>
          <w:p w14:paraId="62FEDFC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0.68</w:t>
            </w:r>
            <w:r>
              <w:rPr>
                <w:rFonts w:ascii="Calibri" w:hAnsi="Calibri" w:cs="Calibri"/>
                <w:color w:val="000000"/>
                <w:sz w:val="20"/>
                <w:szCs w:val="20"/>
              </w:rPr>
              <w:t xml:space="preserve"> </w:t>
            </w:r>
            <w:r w:rsidRPr="005D0314">
              <w:rPr>
                <w:rFonts w:ascii="Calibri" w:hAnsi="Calibri" w:cs="Calibri"/>
                <w:color w:val="000000"/>
                <w:sz w:val="20"/>
                <w:szCs w:val="20"/>
              </w:rPr>
              <w:t>(0.39-1.18)</w:t>
            </w:r>
          </w:p>
        </w:tc>
        <w:tc>
          <w:tcPr>
            <w:tcW w:w="992" w:type="dxa"/>
            <w:tcBorders>
              <w:top w:val="nil"/>
              <w:left w:val="nil"/>
              <w:bottom w:val="nil"/>
            </w:tcBorders>
            <w:vAlign w:val="center"/>
          </w:tcPr>
          <w:p w14:paraId="66DCA0C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0.17</w:t>
            </w:r>
          </w:p>
        </w:tc>
        <w:tc>
          <w:tcPr>
            <w:tcW w:w="1134" w:type="dxa"/>
            <w:tcBorders>
              <w:top w:val="nil"/>
              <w:left w:val="nil"/>
              <w:bottom w:val="nil"/>
              <w:right w:val="nil"/>
            </w:tcBorders>
            <w:shd w:val="clear" w:color="auto" w:fill="auto"/>
            <w:noWrap/>
            <w:vAlign w:val="center"/>
            <w:hideMark/>
          </w:tcPr>
          <w:p w14:paraId="3910BBF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0.77</w:t>
            </w:r>
          </w:p>
        </w:tc>
        <w:tc>
          <w:tcPr>
            <w:tcW w:w="1843" w:type="dxa"/>
            <w:tcBorders>
              <w:top w:val="nil"/>
              <w:left w:val="nil"/>
              <w:bottom w:val="nil"/>
              <w:right w:val="nil"/>
            </w:tcBorders>
            <w:shd w:val="clear" w:color="auto" w:fill="auto"/>
            <w:noWrap/>
            <w:vAlign w:val="center"/>
            <w:hideMark/>
          </w:tcPr>
          <w:p w14:paraId="520721F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0.68</w:t>
            </w:r>
            <w:r>
              <w:rPr>
                <w:rFonts w:ascii="Calibri" w:hAnsi="Calibri" w:cs="Calibri"/>
                <w:color w:val="000000"/>
                <w:sz w:val="20"/>
                <w:szCs w:val="20"/>
              </w:rPr>
              <w:t xml:space="preserve"> </w:t>
            </w:r>
            <w:r w:rsidRPr="005D0314">
              <w:rPr>
                <w:rFonts w:ascii="Calibri" w:hAnsi="Calibri" w:cs="Calibri"/>
                <w:color w:val="000000"/>
                <w:sz w:val="20"/>
                <w:szCs w:val="20"/>
              </w:rPr>
              <w:t>(0.27-1.69)</w:t>
            </w:r>
          </w:p>
        </w:tc>
        <w:tc>
          <w:tcPr>
            <w:tcW w:w="850" w:type="dxa"/>
            <w:tcBorders>
              <w:top w:val="nil"/>
              <w:left w:val="nil"/>
              <w:bottom w:val="nil"/>
              <w:right w:val="nil"/>
            </w:tcBorders>
            <w:vAlign w:val="center"/>
          </w:tcPr>
          <w:p w14:paraId="76AE952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0.44</w:t>
            </w:r>
          </w:p>
        </w:tc>
      </w:tr>
      <w:tr w:rsidR="0086380B" w:rsidRPr="005D0314" w14:paraId="639B48AB"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26B6ECC1"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Bilirubin</w:t>
            </w:r>
            <w:r>
              <w:rPr>
                <w:rFonts w:ascii="Calibri" w:hAnsi="Calibri" w:cs="Calibri"/>
                <w:color w:val="000000"/>
                <w:sz w:val="20"/>
                <w:szCs w:val="20"/>
              </w:rPr>
              <w:t>*</w:t>
            </w:r>
          </w:p>
        </w:tc>
        <w:tc>
          <w:tcPr>
            <w:tcW w:w="663" w:type="dxa"/>
            <w:tcBorders>
              <w:top w:val="nil"/>
              <w:left w:val="nil"/>
              <w:bottom w:val="nil"/>
              <w:right w:val="nil"/>
            </w:tcBorders>
            <w:shd w:val="clear" w:color="auto" w:fill="auto"/>
            <w:noWrap/>
            <w:vAlign w:val="center"/>
            <w:hideMark/>
          </w:tcPr>
          <w:p w14:paraId="52A574B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w:t>
            </w:r>
          </w:p>
        </w:tc>
        <w:tc>
          <w:tcPr>
            <w:tcW w:w="621" w:type="dxa"/>
            <w:tcBorders>
              <w:top w:val="nil"/>
              <w:left w:val="nil"/>
              <w:bottom w:val="nil"/>
              <w:right w:val="nil"/>
            </w:tcBorders>
            <w:shd w:val="clear" w:color="auto" w:fill="auto"/>
            <w:noWrap/>
            <w:vAlign w:val="center"/>
            <w:hideMark/>
          </w:tcPr>
          <w:p w14:paraId="307A7634" w14:textId="77777777" w:rsidR="00BC3F9F" w:rsidRPr="005D0314" w:rsidRDefault="00BC3F9F" w:rsidP="00486EE1">
            <w:pPr>
              <w:jc w:val="center"/>
              <w:rPr>
                <w:rFonts w:ascii="Calibri" w:hAnsi="Calibri" w:cs="Calibri"/>
                <w:b/>
                <w:bCs/>
                <w:color w:val="000000"/>
                <w:sz w:val="20"/>
                <w:szCs w:val="20"/>
              </w:rPr>
            </w:pPr>
            <w:r w:rsidRPr="005D0314">
              <w:rPr>
                <w:rFonts w:ascii="Calibri" w:hAnsi="Calibri" w:cs="Calibri"/>
                <w:b/>
                <w:bCs/>
                <w:color w:val="000000"/>
                <w:sz w:val="20"/>
                <w:szCs w:val="20"/>
              </w:rPr>
              <w:t>0.01</w:t>
            </w:r>
          </w:p>
        </w:tc>
        <w:tc>
          <w:tcPr>
            <w:tcW w:w="1834" w:type="dxa"/>
            <w:tcBorders>
              <w:top w:val="nil"/>
              <w:left w:val="nil"/>
              <w:bottom w:val="nil"/>
              <w:right w:val="nil"/>
            </w:tcBorders>
            <w:shd w:val="clear" w:color="auto" w:fill="auto"/>
            <w:noWrap/>
            <w:vAlign w:val="center"/>
            <w:hideMark/>
          </w:tcPr>
          <w:p w14:paraId="651582C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1.07</w:t>
            </w:r>
            <w:r>
              <w:rPr>
                <w:rFonts w:ascii="Calibri" w:hAnsi="Calibri" w:cs="Calibri"/>
                <w:color w:val="000000"/>
                <w:sz w:val="20"/>
                <w:szCs w:val="20"/>
              </w:rPr>
              <w:t xml:space="preserve"> </w:t>
            </w:r>
            <w:r w:rsidRPr="005D0314">
              <w:rPr>
                <w:rFonts w:ascii="Calibri" w:hAnsi="Calibri" w:cs="Calibri"/>
                <w:color w:val="000000"/>
                <w:sz w:val="20"/>
                <w:szCs w:val="20"/>
              </w:rPr>
              <w:t>(0.55-2.09)</w:t>
            </w:r>
          </w:p>
        </w:tc>
        <w:tc>
          <w:tcPr>
            <w:tcW w:w="992" w:type="dxa"/>
            <w:tcBorders>
              <w:top w:val="nil"/>
              <w:left w:val="nil"/>
              <w:bottom w:val="nil"/>
            </w:tcBorders>
            <w:vAlign w:val="center"/>
          </w:tcPr>
          <w:p w14:paraId="0547F17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0.84</w:t>
            </w:r>
          </w:p>
        </w:tc>
        <w:tc>
          <w:tcPr>
            <w:tcW w:w="1560" w:type="dxa"/>
            <w:tcBorders>
              <w:top w:val="nil"/>
              <w:bottom w:val="nil"/>
              <w:right w:val="nil"/>
            </w:tcBorders>
            <w:shd w:val="clear" w:color="auto" w:fill="auto"/>
            <w:noWrap/>
            <w:vAlign w:val="center"/>
            <w:hideMark/>
          </w:tcPr>
          <w:p w14:paraId="3407AA97" w14:textId="77777777" w:rsidR="00BC3F9F" w:rsidRPr="005D0314" w:rsidRDefault="00BC3F9F" w:rsidP="00486EE1">
            <w:pPr>
              <w:jc w:val="center"/>
              <w:rPr>
                <w:rFonts w:ascii="Times New Roman" w:eastAsia="Times New Roman" w:hAnsi="Times New Roman" w:cs="Times New Roman"/>
                <w:sz w:val="20"/>
                <w:szCs w:val="20"/>
              </w:rPr>
            </w:pPr>
          </w:p>
        </w:tc>
        <w:tc>
          <w:tcPr>
            <w:tcW w:w="992" w:type="dxa"/>
            <w:tcBorders>
              <w:top w:val="nil"/>
              <w:left w:val="nil"/>
              <w:bottom w:val="nil"/>
            </w:tcBorders>
            <w:vAlign w:val="center"/>
          </w:tcPr>
          <w:p w14:paraId="25283175" w14:textId="77777777" w:rsidR="00BC3F9F" w:rsidRPr="005D0314" w:rsidRDefault="00BC3F9F" w:rsidP="00486EE1">
            <w:pPr>
              <w:jc w:val="center"/>
              <w:rPr>
                <w:rFonts w:ascii="Times New Roman" w:eastAsia="Times New Roman" w:hAnsi="Times New Roman" w:cs="Times New Roman"/>
                <w:sz w:val="20"/>
                <w:szCs w:val="20"/>
              </w:rPr>
            </w:pPr>
          </w:p>
        </w:tc>
        <w:tc>
          <w:tcPr>
            <w:tcW w:w="1134" w:type="dxa"/>
            <w:tcBorders>
              <w:top w:val="nil"/>
              <w:left w:val="nil"/>
              <w:bottom w:val="nil"/>
              <w:right w:val="nil"/>
            </w:tcBorders>
            <w:shd w:val="clear" w:color="auto" w:fill="auto"/>
            <w:noWrap/>
            <w:vAlign w:val="center"/>
            <w:hideMark/>
          </w:tcPr>
          <w:p w14:paraId="11FE1DBD" w14:textId="77777777" w:rsidR="00BC3F9F" w:rsidRPr="005D0314" w:rsidRDefault="00BC3F9F" w:rsidP="00486EE1">
            <w:pPr>
              <w:jc w:val="center"/>
              <w:rPr>
                <w:rFonts w:ascii="Times New Roman" w:eastAsia="Times New Roman" w:hAnsi="Times New Roman" w:cs="Times New Roman"/>
                <w:sz w:val="20"/>
                <w:szCs w:val="20"/>
              </w:rPr>
            </w:pPr>
          </w:p>
        </w:tc>
        <w:tc>
          <w:tcPr>
            <w:tcW w:w="1843" w:type="dxa"/>
            <w:tcBorders>
              <w:top w:val="nil"/>
              <w:left w:val="nil"/>
              <w:bottom w:val="nil"/>
              <w:right w:val="nil"/>
            </w:tcBorders>
            <w:shd w:val="clear" w:color="auto" w:fill="auto"/>
            <w:noWrap/>
            <w:vAlign w:val="center"/>
            <w:hideMark/>
          </w:tcPr>
          <w:p w14:paraId="5CC79308" w14:textId="77777777" w:rsidR="00BC3F9F" w:rsidRPr="005D0314" w:rsidRDefault="00BC3F9F" w:rsidP="00486EE1">
            <w:pPr>
              <w:jc w:val="center"/>
              <w:rPr>
                <w:rFonts w:ascii="Times New Roman" w:eastAsia="Times New Roman" w:hAnsi="Times New Roman" w:cs="Times New Roman"/>
                <w:sz w:val="20"/>
                <w:szCs w:val="20"/>
              </w:rPr>
            </w:pPr>
          </w:p>
        </w:tc>
        <w:tc>
          <w:tcPr>
            <w:tcW w:w="850" w:type="dxa"/>
            <w:tcBorders>
              <w:top w:val="nil"/>
              <w:left w:val="nil"/>
              <w:bottom w:val="nil"/>
              <w:right w:val="nil"/>
            </w:tcBorders>
            <w:vAlign w:val="center"/>
          </w:tcPr>
          <w:p w14:paraId="6F607CA9" w14:textId="77777777" w:rsidR="00BC3F9F" w:rsidRPr="005D0314" w:rsidRDefault="00BC3F9F" w:rsidP="00486EE1">
            <w:pPr>
              <w:jc w:val="center"/>
              <w:rPr>
                <w:rFonts w:ascii="Times New Roman" w:eastAsia="Times New Roman" w:hAnsi="Times New Roman" w:cs="Times New Roman"/>
                <w:sz w:val="20"/>
                <w:szCs w:val="20"/>
              </w:rPr>
            </w:pPr>
          </w:p>
        </w:tc>
      </w:tr>
      <w:tr w:rsidR="0086380B" w:rsidRPr="005D0314" w14:paraId="4BCC1563" w14:textId="77777777" w:rsidTr="00251E4B">
        <w:trPr>
          <w:trHeight w:val="20"/>
          <w:jc w:val="center"/>
        </w:trPr>
        <w:tc>
          <w:tcPr>
            <w:tcW w:w="2127" w:type="dxa"/>
            <w:tcBorders>
              <w:top w:val="nil"/>
              <w:left w:val="nil"/>
              <w:bottom w:val="nil"/>
              <w:right w:val="nil"/>
            </w:tcBorders>
            <w:shd w:val="clear" w:color="auto" w:fill="auto"/>
            <w:vAlign w:val="center"/>
            <w:hideMark/>
          </w:tcPr>
          <w:p w14:paraId="573FA9E7"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Vitamin B12</w:t>
            </w:r>
          </w:p>
        </w:tc>
        <w:tc>
          <w:tcPr>
            <w:tcW w:w="663" w:type="dxa"/>
            <w:tcBorders>
              <w:top w:val="nil"/>
              <w:left w:val="nil"/>
              <w:bottom w:val="nil"/>
              <w:right w:val="nil"/>
            </w:tcBorders>
            <w:shd w:val="clear" w:color="auto" w:fill="auto"/>
            <w:noWrap/>
            <w:vAlign w:val="center"/>
            <w:hideMark/>
          </w:tcPr>
          <w:p w14:paraId="4065DE5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3</w:t>
            </w:r>
          </w:p>
        </w:tc>
        <w:tc>
          <w:tcPr>
            <w:tcW w:w="621" w:type="dxa"/>
            <w:tcBorders>
              <w:top w:val="nil"/>
              <w:left w:val="nil"/>
              <w:bottom w:val="nil"/>
              <w:right w:val="nil"/>
            </w:tcBorders>
            <w:shd w:val="clear" w:color="auto" w:fill="auto"/>
            <w:noWrap/>
            <w:vAlign w:val="center"/>
            <w:hideMark/>
          </w:tcPr>
          <w:p w14:paraId="1F0F2D6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0.33</w:t>
            </w:r>
          </w:p>
        </w:tc>
        <w:tc>
          <w:tcPr>
            <w:tcW w:w="1834" w:type="dxa"/>
            <w:tcBorders>
              <w:top w:val="nil"/>
              <w:left w:val="nil"/>
              <w:bottom w:val="nil"/>
              <w:right w:val="nil"/>
            </w:tcBorders>
            <w:shd w:val="clear" w:color="auto" w:fill="auto"/>
            <w:noWrap/>
            <w:vAlign w:val="center"/>
            <w:hideMark/>
          </w:tcPr>
          <w:p w14:paraId="244ECAE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1.01</w:t>
            </w:r>
            <w:r>
              <w:rPr>
                <w:rFonts w:ascii="Calibri" w:hAnsi="Calibri" w:cs="Calibri"/>
                <w:color w:val="000000"/>
                <w:sz w:val="20"/>
                <w:szCs w:val="20"/>
              </w:rPr>
              <w:t xml:space="preserve"> </w:t>
            </w:r>
            <w:r w:rsidRPr="005D0314">
              <w:rPr>
                <w:rFonts w:ascii="Calibri" w:hAnsi="Calibri" w:cs="Calibri"/>
                <w:color w:val="000000"/>
                <w:sz w:val="20"/>
                <w:szCs w:val="20"/>
              </w:rPr>
              <w:t>(0.61-1.67)</w:t>
            </w:r>
          </w:p>
        </w:tc>
        <w:tc>
          <w:tcPr>
            <w:tcW w:w="992" w:type="dxa"/>
            <w:tcBorders>
              <w:top w:val="nil"/>
              <w:left w:val="nil"/>
              <w:bottom w:val="nil"/>
            </w:tcBorders>
            <w:vAlign w:val="center"/>
          </w:tcPr>
          <w:p w14:paraId="7DCAAFA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0.98</w:t>
            </w:r>
          </w:p>
        </w:tc>
        <w:tc>
          <w:tcPr>
            <w:tcW w:w="1560" w:type="dxa"/>
            <w:tcBorders>
              <w:top w:val="nil"/>
              <w:bottom w:val="nil"/>
              <w:right w:val="nil"/>
            </w:tcBorders>
            <w:shd w:val="clear" w:color="auto" w:fill="auto"/>
            <w:noWrap/>
            <w:vAlign w:val="center"/>
            <w:hideMark/>
          </w:tcPr>
          <w:p w14:paraId="63C141D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0.81</w:t>
            </w:r>
            <w:r>
              <w:rPr>
                <w:rFonts w:ascii="Calibri" w:hAnsi="Calibri" w:cs="Calibri"/>
                <w:color w:val="000000"/>
                <w:sz w:val="20"/>
                <w:szCs w:val="20"/>
              </w:rPr>
              <w:t xml:space="preserve"> </w:t>
            </w:r>
            <w:r w:rsidRPr="005D0314">
              <w:rPr>
                <w:rFonts w:ascii="Calibri" w:hAnsi="Calibri" w:cs="Calibri"/>
                <w:color w:val="000000"/>
                <w:sz w:val="20"/>
                <w:szCs w:val="20"/>
              </w:rPr>
              <w:t>(0.46-1.44)</w:t>
            </w:r>
          </w:p>
        </w:tc>
        <w:tc>
          <w:tcPr>
            <w:tcW w:w="992" w:type="dxa"/>
            <w:tcBorders>
              <w:top w:val="nil"/>
              <w:left w:val="nil"/>
              <w:bottom w:val="nil"/>
            </w:tcBorders>
            <w:vAlign w:val="center"/>
          </w:tcPr>
          <w:p w14:paraId="080749A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0.47</w:t>
            </w:r>
          </w:p>
        </w:tc>
        <w:tc>
          <w:tcPr>
            <w:tcW w:w="1134" w:type="dxa"/>
            <w:tcBorders>
              <w:top w:val="nil"/>
              <w:left w:val="nil"/>
              <w:bottom w:val="nil"/>
              <w:right w:val="nil"/>
            </w:tcBorders>
            <w:shd w:val="clear" w:color="auto" w:fill="auto"/>
            <w:noWrap/>
            <w:vAlign w:val="center"/>
            <w:hideMark/>
          </w:tcPr>
          <w:p w14:paraId="1AA0FA7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0.77</w:t>
            </w:r>
          </w:p>
        </w:tc>
        <w:tc>
          <w:tcPr>
            <w:tcW w:w="1843" w:type="dxa"/>
            <w:tcBorders>
              <w:top w:val="nil"/>
              <w:left w:val="nil"/>
              <w:bottom w:val="nil"/>
              <w:right w:val="nil"/>
            </w:tcBorders>
            <w:shd w:val="clear" w:color="auto" w:fill="auto"/>
            <w:noWrap/>
            <w:vAlign w:val="center"/>
            <w:hideMark/>
          </w:tcPr>
          <w:p w14:paraId="2CB456B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0.57</w:t>
            </w:r>
            <w:r>
              <w:rPr>
                <w:rFonts w:ascii="Calibri" w:hAnsi="Calibri" w:cs="Calibri"/>
                <w:color w:val="000000"/>
                <w:sz w:val="20"/>
                <w:szCs w:val="20"/>
              </w:rPr>
              <w:t xml:space="preserve"> </w:t>
            </w:r>
            <w:r w:rsidRPr="005D0314">
              <w:rPr>
                <w:rFonts w:ascii="Calibri" w:hAnsi="Calibri" w:cs="Calibri"/>
                <w:color w:val="000000"/>
                <w:sz w:val="20"/>
                <w:szCs w:val="20"/>
              </w:rPr>
              <w:t>(0.03-10.79)</w:t>
            </w:r>
          </w:p>
        </w:tc>
        <w:tc>
          <w:tcPr>
            <w:tcW w:w="850" w:type="dxa"/>
            <w:tcBorders>
              <w:top w:val="nil"/>
              <w:left w:val="nil"/>
              <w:bottom w:val="nil"/>
              <w:right w:val="nil"/>
            </w:tcBorders>
            <w:vAlign w:val="center"/>
          </w:tcPr>
          <w:p w14:paraId="1D6F243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0.77</w:t>
            </w:r>
          </w:p>
        </w:tc>
      </w:tr>
      <w:tr w:rsidR="0086380B" w:rsidRPr="005D0314" w14:paraId="603B6870" w14:textId="77777777" w:rsidTr="00251E4B">
        <w:trPr>
          <w:trHeight w:val="20"/>
          <w:jc w:val="center"/>
        </w:trPr>
        <w:tc>
          <w:tcPr>
            <w:tcW w:w="2127" w:type="dxa"/>
            <w:tcBorders>
              <w:top w:val="nil"/>
              <w:left w:val="nil"/>
              <w:bottom w:val="nil"/>
              <w:right w:val="nil"/>
            </w:tcBorders>
            <w:shd w:val="clear" w:color="auto" w:fill="auto"/>
            <w:vAlign w:val="center"/>
            <w:hideMark/>
          </w:tcPr>
          <w:p w14:paraId="6F5D4989"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25-hydroxyvitamin D</w:t>
            </w:r>
          </w:p>
        </w:tc>
        <w:tc>
          <w:tcPr>
            <w:tcW w:w="663" w:type="dxa"/>
            <w:tcBorders>
              <w:top w:val="nil"/>
              <w:left w:val="nil"/>
              <w:bottom w:val="nil"/>
              <w:right w:val="nil"/>
            </w:tcBorders>
            <w:shd w:val="clear" w:color="auto" w:fill="auto"/>
            <w:noWrap/>
            <w:vAlign w:val="center"/>
            <w:hideMark/>
          </w:tcPr>
          <w:p w14:paraId="68DAED0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6</w:t>
            </w:r>
          </w:p>
        </w:tc>
        <w:tc>
          <w:tcPr>
            <w:tcW w:w="621" w:type="dxa"/>
            <w:tcBorders>
              <w:top w:val="nil"/>
              <w:left w:val="nil"/>
              <w:bottom w:val="nil"/>
              <w:right w:val="nil"/>
            </w:tcBorders>
            <w:shd w:val="clear" w:color="auto" w:fill="auto"/>
            <w:noWrap/>
            <w:vAlign w:val="center"/>
            <w:hideMark/>
          </w:tcPr>
          <w:p w14:paraId="31C4F54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0.43</w:t>
            </w:r>
          </w:p>
        </w:tc>
        <w:tc>
          <w:tcPr>
            <w:tcW w:w="1834" w:type="dxa"/>
            <w:tcBorders>
              <w:top w:val="nil"/>
              <w:left w:val="nil"/>
              <w:bottom w:val="nil"/>
              <w:right w:val="nil"/>
            </w:tcBorders>
            <w:shd w:val="clear" w:color="auto" w:fill="auto"/>
            <w:noWrap/>
            <w:vAlign w:val="center"/>
            <w:hideMark/>
          </w:tcPr>
          <w:p w14:paraId="6C033BD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1.13</w:t>
            </w:r>
            <w:r>
              <w:rPr>
                <w:rFonts w:ascii="Calibri" w:hAnsi="Calibri" w:cs="Calibri"/>
                <w:color w:val="000000"/>
                <w:sz w:val="20"/>
                <w:szCs w:val="20"/>
              </w:rPr>
              <w:t xml:space="preserve"> </w:t>
            </w:r>
            <w:r w:rsidRPr="005D0314">
              <w:rPr>
                <w:rFonts w:ascii="Calibri" w:hAnsi="Calibri" w:cs="Calibri"/>
                <w:color w:val="000000"/>
                <w:sz w:val="20"/>
                <w:szCs w:val="20"/>
              </w:rPr>
              <w:t>(0.71-1.80)</w:t>
            </w:r>
          </w:p>
        </w:tc>
        <w:tc>
          <w:tcPr>
            <w:tcW w:w="992" w:type="dxa"/>
            <w:tcBorders>
              <w:top w:val="nil"/>
              <w:left w:val="nil"/>
              <w:bottom w:val="nil"/>
            </w:tcBorders>
            <w:vAlign w:val="center"/>
          </w:tcPr>
          <w:p w14:paraId="531AF7F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0.60</w:t>
            </w:r>
          </w:p>
        </w:tc>
        <w:tc>
          <w:tcPr>
            <w:tcW w:w="1560" w:type="dxa"/>
            <w:tcBorders>
              <w:top w:val="nil"/>
              <w:bottom w:val="nil"/>
              <w:right w:val="nil"/>
            </w:tcBorders>
            <w:shd w:val="clear" w:color="auto" w:fill="auto"/>
            <w:noWrap/>
            <w:vAlign w:val="center"/>
            <w:hideMark/>
          </w:tcPr>
          <w:p w14:paraId="4CA8021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1.25</w:t>
            </w:r>
            <w:r>
              <w:rPr>
                <w:rFonts w:ascii="Calibri" w:hAnsi="Calibri" w:cs="Calibri"/>
                <w:color w:val="000000"/>
                <w:sz w:val="20"/>
                <w:szCs w:val="20"/>
              </w:rPr>
              <w:t xml:space="preserve"> </w:t>
            </w:r>
            <w:r w:rsidRPr="005D0314">
              <w:rPr>
                <w:rFonts w:ascii="Calibri" w:hAnsi="Calibri" w:cs="Calibri"/>
                <w:color w:val="000000"/>
                <w:sz w:val="20"/>
                <w:szCs w:val="20"/>
              </w:rPr>
              <w:t>(0.75-2.10)</w:t>
            </w:r>
          </w:p>
        </w:tc>
        <w:tc>
          <w:tcPr>
            <w:tcW w:w="992" w:type="dxa"/>
            <w:tcBorders>
              <w:top w:val="nil"/>
              <w:left w:val="nil"/>
              <w:bottom w:val="nil"/>
            </w:tcBorders>
            <w:vAlign w:val="center"/>
          </w:tcPr>
          <w:p w14:paraId="6464349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0.40</w:t>
            </w:r>
          </w:p>
        </w:tc>
        <w:tc>
          <w:tcPr>
            <w:tcW w:w="1134" w:type="dxa"/>
            <w:tcBorders>
              <w:top w:val="nil"/>
              <w:left w:val="nil"/>
              <w:bottom w:val="nil"/>
              <w:right w:val="nil"/>
            </w:tcBorders>
            <w:shd w:val="clear" w:color="auto" w:fill="auto"/>
            <w:noWrap/>
            <w:vAlign w:val="center"/>
            <w:hideMark/>
          </w:tcPr>
          <w:p w14:paraId="7343878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0.26</w:t>
            </w:r>
          </w:p>
        </w:tc>
        <w:tc>
          <w:tcPr>
            <w:tcW w:w="1843" w:type="dxa"/>
            <w:tcBorders>
              <w:top w:val="nil"/>
              <w:left w:val="nil"/>
              <w:bottom w:val="nil"/>
              <w:right w:val="nil"/>
            </w:tcBorders>
            <w:shd w:val="clear" w:color="auto" w:fill="auto"/>
            <w:noWrap/>
            <w:vAlign w:val="center"/>
            <w:hideMark/>
          </w:tcPr>
          <w:p w14:paraId="00B463F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1.78</w:t>
            </w:r>
            <w:r>
              <w:rPr>
                <w:rFonts w:ascii="Calibri" w:hAnsi="Calibri" w:cs="Calibri"/>
                <w:color w:val="000000"/>
                <w:sz w:val="20"/>
                <w:szCs w:val="20"/>
              </w:rPr>
              <w:t xml:space="preserve"> </w:t>
            </w:r>
            <w:r w:rsidRPr="005D0314">
              <w:rPr>
                <w:rFonts w:ascii="Calibri" w:hAnsi="Calibri" w:cs="Calibri"/>
                <w:color w:val="000000"/>
                <w:sz w:val="20"/>
                <w:szCs w:val="20"/>
              </w:rPr>
              <w:t>(0.79-4.04)</w:t>
            </w:r>
          </w:p>
        </w:tc>
        <w:tc>
          <w:tcPr>
            <w:tcW w:w="850" w:type="dxa"/>
            <w:tcBorders>
              <w:top w:val="nil"/>
              <w:left w:val="nil"/>
              <w:bottom w:val="nil"/>
              <w:right w:val="nil"/>
            </w:tcBorders>
            <w:vAlign w:val="center"/>
          </w:tcPr>
          <w:p w14:paraId="236B237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0.24</w:t>
            </w:r>
          </w:p>
        </w:tc>
      </w:tr>
      <w:tr w:rsidR="0086380B" w:rsidRPr="005D0314" w14:paraId="2ABF23A0" w14:textId="77777777" w:rsidTr="00251E4B">
        <w:trPr>
          <w:trHeight w:val="20"/>
          <w:jc w:val="center"/>
        </w:trPr>
        <w:tc>
          <w:tcPr>
            <w:tcW w:w="2127" w:type="dxa"/>
            <w:tcBorders>
              <w:top w:val="nil"/>
              <w:left w:val="nil"/>
              <w:bottom w:val="nil"/>
              <w:right w:val="nil"/>
            </w:tcBorders>
            <w:shd w:val="clear" w:color="auto" w:fill="auto"/>
            <w:vAlign w:val="center"/>
            <w:hideMark/>
          </w:tcPr>
          <w:p w14:paraId="6222737B"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Fasting glucose</w:t>
            </w:r>
          </w:p>
        </w:tc>
        <w:tc>
          <w:tcPr>
            <w:tcW w:w="663" w:type="dxa"/>
            <w:tcBorders>
              <w:top w:val="nil"/>
              <w:left w:val="nil"/>
              <w:bottom w:val="nil"/>
              <w:right w:val="nil"/>
            </w:tcBorders>
            <w:shd w:val="clear" w:color="auto" w:fill="auto"/>
            <w:noWrap/>
            <w:vAlign w:val="center"/>
            <w:hideMark/>
          </w:tcPr>
          <w:p w14:paraId="5EB50F4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11</w:t>
            </w:r>
          </w:p>
        </w:tc>
        <w:tc>
          <w:tcPr>
            <w:tcW w:w="621" w:type="dxa"/>
            <w:tcBorders>
              <w:top w:val="nil"/>
              <w:left w:val="nil"/>
              <w:bottom w:val="nil"/>
              <w:right w:val="nil"/>
            </w:tcBorders>
            <w:shd w:val="clear" w:color="auto" w:fill="auto"/>
            <w:noWrap/>
            <w:vAlign w:val="center"/>
            <w:hideMark/>
          </w:tcPr>
          <w:p w14:paraId="6318B9B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0.56</w:t>
            </w:r>
          </w:p>
        </w:tc>
        <w:tc>
          <w:tcPr>
            <w:tcW w:w="1834" w:type="dxa"/>
            <w:tcBorders>
              <w:top w:val="nil"/>
              <w:left w:val="nil"/>
              <w:bottom w:val="nil"/>
              <w:right w:val="nil"/>
            </w:tcBorders>
            <w:shd w:val="clear" w:color="auto" w:fill="auto"/>
            <w:noWrap/>
            <w:vAlign w:val="center"/>
            <w:hideMark/>
          </w:tcPr>
          <w:p w14:paraId="469A6D6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1.79</w:t>
            </w:r>
            <w:r>
              <w:rPr>
                <w:rFonts w:ascii="Calibri" w:hAnsi="Calibri" w:cs="Calibri"/>
                <w:color w:val="000000"/>
                <w:sz w:val="20"/>
                <w:szCs w:val="20"/>
              </w:rPr>
              <w:t xml:space="preserve"> </w:t>
            </w:r>
            <w:r w:rsidRPr="005D0314">
              <w:rPr>
                <w:rFonts w:ascii="Calibri" w:hAnsi="Calibri" w:cs="Calibri"/>
                <w:color w:val="000000"/>
                <w:sz w:val="20"/>
                <w:szCs w:val="20"/>
              </w:rPr>
              <w:t>(0.63-5.05)</w:t>
            </w:r>
          </w:p>
        </w:tc>
        <w:tc>
          <w:tcPr>
            <w:tcW w:w="992" w:type="dxa"/>
            <w:tcBorders>
              <w:top w:val="nil"/>
              <w:left w:val="nil"/>
              <w:bottom w:val="nil"/>
            </w:tcBorders>
            <w:vAlign w:val="center"/>
          </w:tcPr>
          <w:p w14:paraId="2D64489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0.27</w:t>
            </w:r>
          </w:p>
        </w:tc>
        <w:tc>
          <w:tcPr>
            <w:tcW w:w="1560" w:type="dxa"/>
            <w:tcBorders>
              <w:top w:val="nil"/>
              <w:bottom w:val="nil"/>
              <w:right w:val="nil"/>
            </w:tcBorders>
            <w:shd w:val="clear" w:color="auto" w:fill="auto"/>
            <w:noWrap/>
            <w:vAlign w:val="center"/>
            <w:hideMark/>
          </w:tcPr>
          <w:p w14:paraId="7B425EF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2.19</w:t>
            </w:r>
            <w:r>
              <w:rPr>
                <w:rFonts w:ascii="Calibri" w:hAnsi="Calibri" w:cs="Calibri"/>
                <w:color w:val="000000"/>
                <w:sz w:val="20"/>
                <w:szCs w:val="20"/>
              </w:rPr>
              <w:t xml:space="preserve"> </w:t>
            </w:r>
            <w:r w:rsidRPr="005D0314">
              <w:rPr>
                <w:rFonts w:ascii="Calibri" w:hAnsi="Calibri" w:cs="Calibri"/>
                <w:color w:val="000000"/>
                <w:sz w:val="20"/>
                <w:szCs w:val="20"/>
              </w:rPr>
              <w:t>(0.55-8.78)</w:t>
            </w:r>
          </w:p>
        </w:tc>
        <w:tc>
          <w:tcPr>
            <w:tcW w:w="992" w:type="dxa"/>
            <w:tcBorders>
              <w:top w:val="nil"/>
              <w:left w:val="nil"/>
              <w:bottom w:val="nil"/>
            </w:tcBorders>
            <w:vAlign w:val="center"/>
          </w:tcPr>
          <w:p w14:paraId="3C42F357"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0.27</w:t>
            </w:r>
          </w:p>
        </w:tc>
        <w:tc>
          <w:tcPr>
            <w:tcW w:w="1134" w:type="dxa"/>
            <w:tcBorders>
              <w:top w:val="nil"/>
              <w:left w:val="nil"/>
              <w:bottom w:val="nil"/>
              <w:right w:val="nil"/>
            </w:tcBorders>
            <w:shd w:val="clear" w:color="auto" w:fill="auto"/>
            <w:noWrap/>
            <w:vAlign w:val="center"/>
            <w:hideMark/>
          </w:tcPr>
          <w:p w14:paraId="6F7E2BF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0.30</w:t>
            </w:r>
          </w:p>
        </w:tc>
        <w:tc>
          <w:tcPr>
            <w:tcW w:w="1843" w:type="dxa"/>
            <w:tcBorders>
              <w:top w:val="nil"/>
              <w:left w:val="nil"/>
              <w:bottom w:val="nil"/>
              <w:right w:val="nil"/>
            </w:tcBorders>
            <w:shd w:val="clear" w:color="auto" w:fill="auto"/>
            <w:noWrap/>
            <w:vAlign w:val="center"/>
            <w:hideMark/>
          </w:tcPr>
          <w:p w14:paraId="5668A68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9.30</w:t>
            </w:r>
            <w:r>
              <w:rPr>
                <w:rFonts w:ascii="Calibri" w:hAnsi="Calibri" w:cs="Calibri"/>
                <w:color w:val="000000"/>
                <w:sz w:val="20"/>
                <w:szCs w:val="20"/>
              </w:rPr>
              <w:t xml:space="preserve"> </w:t>
            </w:r>
            <w:r w:rsidRPr="005D0314">
              <w:rPr>
                <w:rFonts w:ascii="Calibri" w:hAnsi="Calibri" w:cs="Calibri"/>
                <w:color w:val="000000"/>
                <w:sz w:val="20"/>
                <w:szCs w:val="20"/>
              </w:rPr>
              <w:t>(0.40-214.99)</w:t>
            </w:r>
          </w:p>
        </w:tc>
        <w:tc>
          <w:tcPr>
            <w:tcW w:w="850" w:type="dxa"/>
            <w:tcBorders>
              <w:top w:val="nil"/>
              <w:left w:val="nil"/>
              <w:bottom w:val="nil"/>
              <w:right w:val="nil"/>
            </w:tcBorders>
            <w:vAlign w:val="center"/>
          </w:tcPr>
          <w:p w14:paraId="07C8505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0.20</w:t>
            </w:r>
          </w:p>
        </w:tc>
      </w:tr>
      <w:tr w:rsidR="0086380B" w:rsidRPr="005D0314" w14:paraId="6623A598"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01C67AEF"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Fasting insulin</w:t>
            </w:r>
          </w:p>
        </w:tc>
        <w:tc>
          <w:tcPr>
            <w:tcW w:w="663" w:type="dxa"/>
            <w:tcBorders>
              <w:top w:val="nil"/>
              <w:left w:val="nil"/>
              <w:bottom w:val="nil"/>
              <w:right w:val="nil"/>
            </w:tcBorders>
            <w:shd w:val="clear" w:color="auto" w:fill="auto"/>
            <w:noWrap/>
            <w:vAlign w:val="center"/>
            <w:hideMark/>
          </w:tcPr>
          <w:p w14:paraId="3666D31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7</w:t>
            </w:r>
          </w:p>
        </w:tc>
        <w:tc>
          <w:tcPr>
            <w:tcW w:w="621" w:type="dxa"/>
            <w:tcBorders>
              <w:top w:val="nil"/>
              <w:left w:val="nil"/>
              <w:bottom w:val="nil"/>
              <w:right w:val="nil"/>
            </w:tcBorders>
            <w:shd w:val="clear" w:color="auto" w:fill="auto"/>
            <w:noWrap/>
            <w:vAlign w:val="center"/>
            <w:hideMark/>
          </w:tcPr>
          <w:p w14:paraId="21BC7F3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0.49</w:t>
            </w:r>
          </w:p>
        </w:tc>
        <w:tc>
          <w:tcPr>
            <w:tcW w:w="1834" w:type="dxa"/>
            <w:tcBorders>
              <w:top w:val="nil"/>
              <w:left w:val="nil"/>
              <w:bottom w:val="nil"/>
              <w:right w:val="nil"/>
            </w:tcBorders>
            <w:shd w:val="clear" w:color="auto" w:fill="auto"/>
            <w:noWrap/>
            <w:vAlign w:val="center"/>
            <w:hideMark/>
          </w:tcPr>
          <w:p w14:paraId="5768F60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3.38</w:t>
            </w:r>
            <w:r>
              <w:rPr>
                <w:rFonts w:ascii="Calibri" w:hAnsi="Calibri" w:cs="Calibri"/>
                <w:color w:val="000000"/>
                <w:sz w:val="20"/>
                <w:szCs w:val="20"/>
              </w:rPr>
              <w:t xml:space="preserve"> </w:t>
            </w:r>
            <w:r w:rsidRPr="005D0314">
              <w:rPr>
                <w:rFonts w:ascii="Calibri" w:hAnsi="Calibri" w:cs="Calibri"/>
                <w:color w:val="000000"/>
                <w:sz w:val="20"/>
                <w:szCs w:val="20"/>
              </w:rPr>
              <w:t>(1.13-10.06)</w:t>
            </w:r>
          </w:p>
        </w:tc>
        <w:tc>
          <w:tcPr>
            <w:tcW w:w="992" w:type="dxa"/>
            <w:tcBorders>
              <w:top w:val="nil"/>
              <w:left w:val="nil"/>
              <w:bottom w:val="nil"/>
            </w:tcBorders>
            <w:vAlign w:val="center"/>
          </w:tcPr>
          <w:p w14:paraId="70B392A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b/>
                <w:bCs/>
                <w:color w:val="000000"/>
                <w:sz w:val="20"/>
                <w:szCs w:val="20"/>
              </w:rPr>
              <w:t>0.03</w:t>
            </w:r>
          </w:p>
        </w:tc>
        <w:tc>
          <w:tcPr>
            <w:tcW w:w="1560" w:type="dxa"/>
            <w:tcBorders>
              <w:top w:val="nil"/>
              <w:bottom w:val="nil"/>
              <w:right w:val="nil"/>
            </w:tcBorders>
            <w:shd w:val="clear" w:color="auto" w:fill="auto"/>
            <w:noWrap/>
            <w:vAlign w:val="center"/>
            <w:hideMark/>
          </w:tcPr>
          <w:p w14:paraId="340F0E2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2.26</w:t>
            </w:r>
            <w:r>
              <w:rPr>
                <w:rFonts w:ascii="Calibri" w:hAnsi="Calibri" w:cs="Calibri"/>
                <w:color w:val="000000"/>
                <w:sz w:val="20"/>
                <w:szCs w:val="20"/>
              </w:rPr>
              <w:t xml:space="preserve"> </w:t>
            </w:r>
            <w:r w:rsidRPr="005D0314">
              <w:rPr>
                <w:rFonts w:ascii="Calibri" w:hAnsi="Calibri" w:cs="Calibri"/>
                <w:color w:val="000000"/>
                <w:sz w:val="20"/>
                <w:szCs w:val="20"/>
              </w:rPr>
              <w:t>(0.56-9.18)</w:t>
            </w:r>
          </w:p>
        </w:tc>
        <w:tc>
          <w:tcPr>
            <w:tcW w:w="992" w:type="dxa"/>
            <w:tcBorders>
              <w:top w:val="nil"/>
              <w:left w:val="nil"/>
              <w:bottom w:val="nil"/>
            </w:tcBorders>
            <w:vAlign w:val="center"/>
          </w:tcPr>
          <w:p w14:paraId="409DD7A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0.25</w:t>
            </w:r>
          </w:p>
        </w:tc>
        <w:tc>
          <w:tcPr>
            <w:tcW w:w="1134" w:type="dxa"/>
            <w:tcBorders>
              <w:top w:val="nil"/>
              <w:left w:val="nil"/>
              <w:bottom w:val="nil"/>
              <w:right w:val="nil"/>
            </w:tcBorders>
            <w:shd w:val="clear" w:color="auto" w:fill="auto"/>
            <w:noWrap/>
            <w:vAlign w:val="center"/>
            <w:hideMark/>
          </w:tcPr>
          <w:p w14:paraId="0266654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0.12</w:t>
            </w:r>
          </w:p>
        </w:tc>
        <w:tc>
          <w:tcPr>
            <w:tcW w:w="1843" w:type="dxa"/>
            <w:tcBorders>
              <w:top w:val="nil"/>
              <w:left w:val="nil"/>
              <w:bottom w:val="nil"/>
              <w:right w:val="nil"/>
            </w:tcBorders>
            <w:shd w:val="clear" w:color="auto" w:fill="auto"/>
            <w:noWrap/>
            <w:vAlign w:val="center"/>
            <w:hideMark/>
          </w:tcPr>
          <w:p w14:paraId="2D481F33" w14:textId="77777777" w:rsidR="00BC3F9F" w:rsidRPr="005D0314" w:rsidRDefault="00BC3F9F" w:rsidP="00486EE1">
            <w:pPr>
              <w:jc w:val="center"/>
              <w:rPr>
                <w:rFonts w:ascii="Calibri" w:hAnsi="Calibri" w:cs="Calibri"/>
                <w:color w:val="000000"/>
                <w:sz w:val="20"/>
                <w:szCs w:val="20"/>
              </w:rPr>
            </w:pPr>
            <w:r>
              <w:rPr>
                <w:rFonts w:ascii="Calibri" w:hAnsi="Calibri" w:cs="Calibri"/>
                <w:color w:val="000000"/>
                <w:sz w:val="20"/>
                <w:szCs w:val="20"/>
              </w:rPr>
              <w:t>&lt;</w:t>
            </w:r>
            <w:r w:rsidRPr="005D0314">
              <w:rPr>
                <w:rFonts w:ascii="Calibri" w:hAnsi="Calibri" w:cs="Calibri"/>
                <w:color w:val="000000"/>
                <w:sz w:val="20"/>
                <w:szCs w:val="20"/>
              </w:rPr>
              <w:t>0.0</w:t>
            </w:r>
            <w:r>
              <w:rPr>
                <w:rFonts w:ascii="Calibri" w:hAnsi="Calibri" w:cs="Calibri"/>
                <w:color w:val="000000"/>
                <w:sz w:val="20"/>
                <w:szCs w:val="20"/>
              </w:rPr>
              <w:t xml:space="preserve">1 </w:t>
            </w:r>
            <w:r w:rsidRPr="005D0314">
              <w:rPr>
                <w:rFonts w:ascii="Calibri" w:hAnsi="Calibri" w:cs="Calibri"/>
                <w:color w:val="000000"/>
                <w:sz w:val="20"/>
                <w:szCs w:val="20"/>
              </w:rPr>
              <w:t>(</w:t>
            </w:r>
            <w:r>
              <w:rPr>
                <w:rFonts w:ascii="Calibri" w:hAnsi="Calibri" w:cs="Calibri"/>
                <w:color w:val="000000"/>
                <w:sz w:val="20"/>
                <w:szCs w:val="20"/>
              </w:rPr>
              <w:t>&lt;</w:t>
            </w:r>
            <w:r w:rsidRPr="005D0314">
              <w:rPr>
                <w:rFonts w:ascii="Calibri" w:hAnsi="Calibri" w:cs="Calibri"/>
                <w:color w:val="000000"/>
                <w:sz w:val="20"/>
                <w:szCs w:val="20"/>
              </w:rPr>
              <w:t>0.0</w:t>
            </w:r>
            <w:r>
              <w:rPr>
                <w:rFonts w:ascii="Calibri" w:hAnsi="Calibri" w:cs="Calibri"/>
                <w:color w:val="000000"/>
                <w:sz w:val="20"/>
                <w:szCs w:val="20"/>
              </w:rPr>
              <w:t>1</w:t>
            </w:r>
            <w:r w:rsidRPr="005D0314">
              <w:rPr>
                <w:rFonts w:ascii="Calibri" w:hAnsi="Calibri" w:cs="Calibri"/>
                <w:color w:val="000000"/>
                <w:sz w:val="20"/>
                <w:szCs w:val="20"/>
              </w:rPr>
              <w:t>-5.24)</w:t>
            </w:r>
          </w:p>
        </w:tc>
        <w:tc>
          <w:tcPr>
            <w:tcW w:w="850" w:type="dxa"/>
            <w:tcBorders>
              <w:top w:val="nil"/>
              <w:left w:val="nil"/>
              <w:bottom w:val="nil"/>
              <w:right w:val="nil"/>
            </w:tcBorders>
            <w:vAlign w:val="center"/>
          </w:tcPr>
          <w:p w14:paraId="42E1A92B" w14:textId="77777777" w:rsidR="00BC3F9F"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0.19</w:t>
            </w:r>
          </w:p>
        </w:tc>
      </w:tr>
      <w:tr w:rsidR="0086380B" w:rsidRPr="005D0314" w14:paraId="376C4686" w14:textId="77777777" w:rsidTr="00251E4B">
        <w:trPr>
          <w:trHeight w:val="20"/>
          <w:jc w:val="center"/>
        </w:trPr>
        <w:tc>
          <w:tcPr>
            <w:tcW w:w="2127" w:type="dxa"/>
            <w:tcBorders>
              <w:top w:val="nil"/>
              <w:left w:val="nil"/>
              <w:bottom w:val="nil"/>
              <w:right w:val="nil"/>
            </w:tcBorders>
            <w:shd w:val="clear" w:color="auto" w:fill="auto"/>
            <w:vAlign w:val="center"/>
            <w:hideMark/>
          </w:tcPr>
          <w:p w14:paraId="0094A34C"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Type 1 diabetes</w:t>
            </w:r>
          </w:p>
        </w:tc>
        <w:tc>
          <w:tcPr>
            <w:tcW w:w="663" w:type="dxa"/>
            <w:tcBorders>
              <w:top w:val="nil"/>
              <w:left w:val="nil"/>
              <w:bottom w:val="nil"/>
              <w:right w:val="nil"/>
            </w:tcBorders>
            <w:shd w:val="clear" w:color="auto" w:fill="auto"/>
            <w:noWrap/>
            <w:vAlign w:val="center"/>
            <w:hideMark/>
          </w:tcPr>
          <w:p w14:paraId="61493D6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22</w:t>
            </w:r>
          </w:p>
        </w:tc>
        <w:tc>
          <w:tcPr>
            <w:tcW w:w="621" w:type="dxa"/>
            <w:tcBorders>
              <w:top w:val="nil"/>
              <w:left w:val="nil"/>
              <w:bottom w:val="nil"/>
              <w:right w:val="nil"/>
            </w:tcBorders>
            <w:shd w:val="clear" w:color="auto" w:fill="auto"/>
            <w:noWrap/>
            <w:vAlign w:val="center"/>
            <w:hideMark/>
          </w:tcPr>
          <w:p w14:paraId="51C4708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0.79</w:t>
            </w:r>
          </w:p>
        </w:tc>
        <w:tc>
          <w:tcPr>
            <w:tcW w:w="1834" w:type="dxa"/>
            <w:tcBorders>
              <w:top w:val="nil"/>
              <w:left w:val="nil"/>
              <w:bottom w:val="nil"/>
              <w:right w:val="nil"/>
            </w:tcBorders>
            <w:shd w:val="clear" w:color="auto" w:fill="auto"/>
            <w:noWrap/>
            <w:vAlign w:val="center"/>
            <w:hideMark/>
          </w:tcPr>
          <w:p w14:paraId="781CE7F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0.97</w:t>
            </w:r>
            <w:r>
              <w:rPr>
                <w:rFonts w:ascii="Calibri" w:hAnsi="Calibri" w:cs="Calibri"/>
                <w:color w:val="000000"/>
                <w:sz w:val="20"/>
                <w:szCs w:val="20"/>
              </w:rPr>
              <w:t xml:space="preserve"> </w:t>
            </w:r>
            <w:r w:rsidRPr="005D0314">
              <w:rPr>
                <w:rFonts w:ascii="Calibri" w:hAnsi="Calibri" w:cs="Calibri"/>
                <w:color w:val="000000"/>
                <w:sz w:val="20"/>
                <w:szCs w:val="20"/>
              </w:rPr>
              <w:t>(0.92-1.01)</w:t>
            </w:r>
          </w:p>
        </w:tc>
        <w:tc>
          <w:tcPr>
            <w:tcW w:w="992" w:type="dxa"/>
            <w:tcBorders>
              <w:top w:val="nil"/>
              <w:left w:val="nil"/>
              <w:bottom w:val="nil"/>
            </w:tcBorders>
            <w:vAlign w:val="center"/>
          </w:tcPr>
          <w:p w14:paraId="07FCE10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0.14</w:t>
            </w:r>
          </w:p>
        </w:tc>
        <w:tc>
          <w:tcPr>
            <w:tcW w:w="1560" w:type="dxa"/>
            <w:tcBorders>
              <w:top w:val="nil"/>
              <w:bottom w:val="nil"/>
              <w:right w:val="nil"/>
            </w:tcBorders>
            <w:shd w:val="clear" w:color="auto" w:fill="auto"/>
            <w:noWrap/>
            <w:vAlign w:val="center"/>
            <w:hideMark/>
          </w:tcPr>
          <w:p w14:paraId="0B5196C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0.96</w:t>
            </w:r>
            <w:r>
              <w:rPr>
                <w:rFonts w:ascii="Calibri" w:hAnsi="Calibri" w:cs="Calibri"/>
                <w:color w:val="000000"/>
                <w:sz w:val="20"/>
                <w:szCs w:val="20"/>
              </w:rPr>
              <w:t xml:space="preserve"> </w:t>
            </w:r>
            <w:r w:rsidRPr="005D0314">
              <w:rPr>
                <w:rFonts w:ascii="Calibri" w:hAnsi="Calibri" w:cs="Calibri"/>
                <w:color w:val="000000"/>
                <w:sz w:val="20"/>
                <w:szCs w:val="20"/>
              </w:rPr>
              <w:t>(0.91-1.02)</w:t>
            </w:r>
          </w:p>
        </w:tc>
        <w:tc>
          <w:tcPr>
            <w:tcW w:w="992" w:type="dxa"/>
            <w:tcBorders>
              <w:top w:val="nil"/>
              <w:left w:val="nil"/>
              <w:bottom w:val="nil"/>
            </w:tcBorders>
            <w:vAlign w:val="center"/>
          </w:tcPr>
          <w:p w14:paraId="5412CE0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0.17</w:t>
            </w:r>
          </w:p>
        </w:tc>
        <w:tc>
          <w:tcPr>
            <w:tcW w:w="1134" w:type="dxa"/>
            <w:tcBorders>
              <w:top w:val="nil"/>
              <w:left w:val="nil"/>
              <w:bottom w:val="nil"/>
              <w:right w:val="nil"/>
            </w:tcBorders>
            <w:shd w:val="clear" w:color="auto" w:fill="auto"/>
            <w:noWrap/>
            <w:vAlign w:val="center"/>
            <w:hideMark/>
          </w:tcPr>
          <w:p w14:paraId="7075B12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0.88</w:t>
            </w:r>
          </w:p>
        </w:tc>
        <w:tc>
          <w:tcPr>
            <w:tcW w:w="1843" w:type="dxa"/>
            <w:tcBorders>
              <w:top w:val="nil"/>
              <w:left w:val="nil"/>
              <w:bottom w:val="nil"/>
              <w:right w:val="nil"/>
            </w:tcBorders>
            <w:shd w:val="clear" w:color="auto" w:fill="auto"/>
            <w:noWrap/>
            <w:vAlign w:val="center"/>
            <w:hideMark/>
          </w:tcPr>
          <w:p w14:paraId="6E1B5A7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0.96</w:t>
            </w:r>
            <w:r>
              <w:rPr>
                <w:rFonts w:ascii="Calibri" w:hAnsi="Calibri" w:cs="Calibri"/>
                <w:color w:val="000000"/>
                <w:sz w:val="20"/>
                <w:szCs w:val="20"/>
              </w:rPr>
              <w:t xml:space="preserve"> </w:t>
            </w:r>
            <w:r w:rsidRPr="005D0314">
              <w:rPr>
                <w:rFonts w:ascii="Calibri" w:hAnsi="Calibri" w:cs="Calibri"/>
                <w:color w:val="000000"/>
                <w:sz w:val="20"/>
                <w:szCs w:val="20"/>
              </w:rPr>
              <w:t>(0.90-1.03)</w:t>
            </w:r>
          </w:p>
        </w:tc>
        <w:tc>
          <w:tcPr>
            <w:tcW w:w="850" w:type="dxa"/>
            <w:tcBorders>
              <w:top w:val="nil"/>
              <w:left w:val="nil"/>
              <w:bottom w:val="nil"/>
              <w:right w:val="nil"/>
            </w:tcBorders>
            <w:vAlign w:val="center"/>
          </w:tcPr>
          <w:p w14:paraId="2A69C9B7"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0.29</w:t>
            </w:r>
          </w:p>
        </w:tc>
      </w:tr>
      <w:tr w:rsidR="0086380B" w:rsidRPr="005D0314" w14:paraId="1AA357E6" w14:textId="77777777" w:rsidTr="00251E4B">
        <w:trPr>
          <w:trHeight w:val="20"/>
          <w:jc w:val="center"/>
        </w:trPr>
        <w:tc>
          <w:tcPr>
            <w:tcW w:w="2127" w:type="dxa"/>
            <w:tcBorders>
              <w:top w:val="nil"/>
              <w:left w:val="nil"/>
              <w:bottom w:val="nil"/>
              <w:right w:val="nil"/>
            </w:tcBorders>
            <w:shd w:val="clear" w:color="auto" w:fill="auto"/>
            <w:vAlign w:val="center"/>
            <w:hideMark/>
          </w:tcPr>
          <w:p w14:paraId="4FDA62BD"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Type 2 diabetes</w:t>
            </w:r>
          </w:p>
        </w:tc>
        <w:tc>
          <w:tcPr>
            <w:tcW w:w="663" w:type="dxa"/>
            <w:tcBorders>
              <w:top w:val="nil"/>
              <w:left w:val="nil"/>
              <w:bottom w:val="nil"/>
              <w:right w:val="nil"/>
            </w:tcBorders>
            <w:shd w:val="clear" w:color="auto" w:fill="auto"/>
            <w:noWrap/>
            <w:vAlign w:val="center"/>
            <w:hideMark/>
          </w:tcPr>
          <w:p w14:paraId="080AC14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83</w:t>
            </w:r>
          </w:p>
        </w:tc>
        <w:tc>
          <w:tcPr>
            <w:tcW w:w="621" w:type="dxa"/>
            <w:tcBorders>
              <w:top w:val="nil"/>
              <w:left w:val="nil"/>
              <w:bottom w:val="nil"/>
              <w:right w:val="nil"/>
            </w:tcBorders>
            <w:shd w:val="clear" w:color="auto" w:fill="auto"/>
            <w:noWrap/>
            <w:vAlign w:val="center"/>
            <w:hideMark/>
          </w:tcPr>
          <w:p w14:paraId="1FA4B73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0.88</w:t>
            </w:r>
          </w:p>
        </w:tc>
        <w:tc>
          <w:tcPr>
            <w:tcW w:w="1834" w:type="dxa"/>
            <w:tcBorders>
              <w:top w:val="nil"/>
              <w:left w:val="nil"/>
              <w:bottom w:val="nil"/>
              <w:right w:val="nil"/>
            </w:tcBorders>
            <w:shd w:val="clear" w:color="auto" w:fill="auto"/>
            <w:noWrap/>
            <w:vAlign w:val="center"/>
            <w:hideMark/>
          </w:tcPr>
          <w:p w14:paraId="0D15F30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1.09</w:t>
            </w:r>
            <w:r>
              <w:rPr>
                <w:rFonts w:ascii="Calibri" w:hAnsi="Calibri" w:cs="Calibri"/>
                <w:color w:val="000000"/>
                <w:sz w:val="20"/>
                <w:szCs w:val="20"/>
              </w:rPr>
              <w:t xml:space="preserve"> </w:t>
            </w:r>
            <w:r w:rsidRPr="005D0314">
              <w:rPr>
                <w:rFonts w:ascii="Calibri" w:hAnsi="Calibri" w:cs="Calibri"/>
                <w:color w:val="000000"/>
                <w:sz w:val="20"/>
                <w:szCs w:val="20"/>
              </w:rPr>
              <w:t>(1.00-1.19)</w:t>
            </w:r>
          </w:p>
        </w:tc>
        <w:tc>
          <w:tcPr>
            <w:tcW w:w="992" w:type="dxa"/>
            <w:tcBorders>
              <w:top w:val="nil"/>
              <w:left w:val="nil"/>
              <w:bottom w:val="nil"/>
            </w:tcBorders>
            <w:vAlign w:val="center"/>
          </w:tcPr>
          <w:p w14:paraId="1E192DE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0.05</w:t>
            </w:r>
          </w:p>
        </w:tc>
        <w:tc>
          <w:tcPr>
            <w:tcW w:w="1560" w:type="dxa"/>
            <w:tcBorders>
              <w:top w:val="nil"/>
              <w:bottom w:val="nil"/>
              <w:right w:val="nil"/>
            </w:tcBorders>
            <w:shd w:val="clear" w:color="auto" w:fill="auto"/>
            <w:noWrap/>
            <w:vAlign w:val="center"/>
            <w:hideMark/>
          </w:tcPr>
          <w:p w14:paraId="4702F95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1.06</w:t>
            </w:r>
            <w:r>
              <w:rPr>
                <w:rFonts w:ascii="Calibri" w:hAnsi="Calibri" w:cs="Calibri"/>
                <w:color w:val="000000"/>
                <w:sz w:val="20"/>
                <w:szCs w:val="20"/>
              </w:rPr>
              <w:t xml:space="preserve"> </w:t>
            </w:r>
            <w:r w:rsidRPr="005D0314">
              <w:rPr>
                <w:rFonts w:ascii="Calibri" w:hAnsi="Calibri" w:cs="Calibri"/>
                <w:color w:val="000000"/>
                <w:sz w:val="20"/>
                <w:szCs w:val="20"/>
              </w:rPr>
              <w:t>(0.92-1.22)</w:t>
            </w:r>
          </w:p>
        </w:tc>
        <w:tc>
          <w:tcPr>
            <w:tcW w:w="992" w:type="dxa"/>
            <w:tcBorders>
              <w:top w:val="nil"/>
              <w:left w:val="nil"/>
              <w:bottom w:val="nil"/>
            </w:tcBorders>
            <w:vAlign w:val="center"/>
          </w:tcPr>
          <w:p w14:paraId="58256E0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0.40</w:t>
            </w:r>
          </w:p>
        </w:tc>
        <w:tc>
          <w:tcPr>
            <w:tcW w:w="1134" w:type="dxa"/>
            <w:tcBorders>
              <w:top w:val="nil"/>
              <w:left w:val="nil"/>
              <w:bottom w:val="nil"/>
              <w:right w:val="nil"/>
            </w:tcBorders>
            <w:shd w:val="clear" w:color="auto" w:fill="auto"/>
            <w:noWrap/>
            <w:vAlign w:val="center"/>
            <w:hideMark/>
          </w:tcPr>
          <w:p w14:paraId="2EFBDFE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0.20</w:t>
            </w:r>
          </w:p>
        </w:tc>
        <w:tc>
          <w:tcPr>
            <w:tcW w:w="1843" w:type="dxa"/>
            <w:tcBorders>
              <w:top w:val="nil"/>
              <w:left w:val="nil"/>
              <w:bottom w:val="nil"/>
              <w:right w:val="nil"/>
            </w:tcBorders>
            <w:shd w:val="clear" w:color="auto" w:fill="auto"/>
            <w:noWrap/>
            <w:vAlign w:val="center"/>
            <w:hideMark/>
          </w:tcPr>
          <w:p w14:paraId="0FCAAD4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0.90</w:t>
            </w:r>
            <w:r>
              <w:rPr>
                <w:rFonts w:ascii="Calibri" w:hAnsi="Calibri" w:cs="Calibri"/>
                <w:color w:val="000000"/>
                <w:sz w:val="20"/>
                <w:szCs w:val="20"/>
              </w:rPr>
              <w:t xml:space="preserve"> </w:t>
            </w:r>
            <w:r w:rsidRPr="005D0314">
              <w:rPr>
                <w:rFonts w:ascii="Calibri" w:hAnsi="Calibri" w:cs="Calibri"/>
                <w:color w:val="000000"/>
                <w:sz w:val="20"/>
                <w:szCs w:val="20"/>
              </w:rPr>
              <w:t>(0.66-1.23)</w:t>
            </w:r>
          </w:p>
        </w:tc>
        <w:tc>
          <w:tcPr>
            <w:tcW w:w="850" w:type="dxa"/>
            <w:tcBorders>
              <w:top w:val="nil"/>
              <w:left w:val="nil"/>
              <w:bottom w:val="nil"/>
              <w:right w:val="nil"/>
            </w:tcBorders>
            <w:vAlign w:val="center"/>
          </w:tcPr>
          <w:p w14:paraId="6D66C51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0.50</w:t>
            </w:r>
          </w:p>
        </w:tc>
      </w:tr>
      <w:tr w:rsidR="0086380B" w:rsidRPr="005D0314" w14:paraId="25CC8A29" w14:textId="77777777" w:rsidTr="00251E4B">
        <w:trPr>
          <w:trHeight w:val="20"/>
          <w:jc w:val="center"/>
        </w:trPr>
        <w:tc>
          <w:tcPr>
            <w:tcW w:w="2127" w:type="dxa"/>
            <w:tcBorders>
              <w:top w:val="nil"/>
              <w:left w:val="nil"/>
              <w:bottom w:val="nil"/>
              <w:right w:val="nil"/>
            </w:tcBorders>
            <w:shd w:val="clear" w:color="auto" w:fill="auto"/>
            <w:vAlign w:val="center"/>
            <w:hideMark/>
          </w:tcPr>
          <w:p w14:paraId="076FDEE9"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Body mass index</w:t>
            </w:r>
          </w:p>
        </w:tc>
        <w:tc>
          <w:tcPr>
            <w:tcW w:w="663" w:type="dxa"/>
            <w:tcBorders>
              <w:top w:val="nil"/>
              <w:left w:val="nil"/>
              <w:bottom w:val="nil"/>
              <w:right w:val="nil"/>
            </w:tcBorders>
            <w:shd w:val="clear" w:color="auto" w:fill="auto"/>
            <w:noWrap/>
            <w:vAlign w:val="center"/>
            <w:hideMark/>
          </w:tcPr>
          <w:p w14:paraId="69C747A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283</w:t>
            </w:r>
          </w:p>
        </w:tc>
        <w:tc>
          <w:tcPr>
            <w:tcW w:w="621" w:type="dxa"/>
            <w:tcBorders>
              <w:top w:val="nil"/>
              <w:left w:val="nil"/>
              <w:bottom w:val="nil"/>
              <w:right w:val="nil"/>
            </w:tcBorders>
            <w:shd w:val="clear" w:color="auto" w:fill="auto"/>
            <w:noWrap/>
            <w:vAlign w:val="center"/>
            <w:hideMark/>
          </w:tcPr>
          <w:p w14:paraId="1D1444D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0.11</w:t>
            </w:r>
          </w:p>
        </w:tc>
        <w:tc>
          <w:tcPr>
            <w:tcW w:w="1834" w:type="dxa"/>
            <w:tcBorders>
              <w:top w:val="nil"/>
              <w:left w:val="nil"/>
              <w:bottom w:val="nil"/>
              <w:right w:val="nil"/>
            </w:tcBorders>
            <w:shd w:val="clear" w:color="auto" w:fill="auto"/>
            <w:noWrap/>
            <w:vAlign w:val="center"/>
            <w:hideMark/>
          </w:tcPr>
          <w:p w14:paraId="2DA25D1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1.43</w:t>
            </w:r>
            <w:r>
              <w:rPr>
                <w:rFonts w:ascii="Calibri" w:hAnsi="Calibri" w:cs="Calibri"/>
                <w:color w:val="000000"/>
                <w:sz w:val="20"/>
                <w:szCs w:val="20"/>
              </w:rPr>
              <w:t xml:space="preserve"> </w:t>
            </w:r>
            <w:r w:rsidRPr="005D0314">
              <w:rPr>
                <w:rFonts w:ascii="Calibri" w:hAnsi="Calibri" w:cs="Calibri"/>
                <w:color w:val="000000"/>
                <w:sz w:val="20"/>
                <w:szCs w:val="20"/>
              </w:rPr>
              <w:t>(1.20-1.71)</w:t>
            </w:r>
          </w:p>
        </w:tc>
        <w:tc>
          <w:tcPr>
            <w:tcW w:w="992" w:type="dxa"/>
            <w:tcBorders>
              <w:top w:val="nil"/>
              <w:left w:val="nil"/>
              <w:bottom w:val="nil"/>
            </w:tcBorders>
            <w:vAlign w:val="center"/>
          </w:tcPr>
          <w:p w14:paraId="48D981BC" w14:textId="77777777" w:rsidR="00BC3F9F" w:rsidRPr="005D0314" w:rsidRDefault="00BC3F9F" w:rsidP="00486EE1">
            <w:pPr>
              <w:jc w:val="center"/>
              <w:rPr>
                <w:rFonts w:ascii="Calibri" w:hAnsi="Calibri" w:cs="Calibri"/>
                <w:b/>
                <w:bCs/>
                <w:color w:val="000000"/>
                <w:sz w:val="20"/>
                <w:szCs w:val="20"/>
              </w:rPr>
            </w:pPr>
            <w:r w:rsidRPr="005D0314">
              <w:rPr>
                <w:rFonts w:ascii="Calibri" w:hAnsi="Calibri" w:cs="Calibri"/>
                <w:b/>
                <w:bCs/>
                <w:color w:val="000000"/>
                <w:sz w:val="20"/>
                <w:szCs w:val="20"/>
              </w:rPr>
              <w:t>8.43x10</w:t>
            </w:r>
            <w:r w:rsidRPr="005D0314">
              <w:rPr>
                <w:rFonts w:ascii="Calibri" w:hAnsi="Calibri" w:cs="Calibri"/>
                <w:b/>
                <w:bCs/>
                <w:color w:val="000000"/>
                <w:sz w:val="20"/>
                <w:szCs w:val="20"/>
                <w:vertAlign w:val="superscript"/>
              </w:rPr>
              <w:t>-5</w:t>
            </w:r>
          </w:p>
        </w:tc>
        <w:tc>
          <w:tcPr>
            <w:tcW w:w="1560" w:type="dxa"/>
            <w:tcBorders>
              <w:top w:val="nil"/>
              <w:bottom w:val="nil"/>
              <w:right w:val="nil"/>
            </w:tcBorders>
            <w:shd w:val="clear" w:color="auto" w:fill="auto"/>
            <w:noWrap/>
            <w:vAlign w:val="center"/>
            <w:hideMark/>
          </w:tcPr>
          <w:p w14:paraId="5B52EF5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1.57</w:t>
            </w:r>
            <w:r>
              <w:rPr>
                <w:rFonts w:ascii="Calibri" w:hAnsi="Calibri" w:cs="Calibri"/>
                <w:color w:val="000000"/>
                <w:sz w:val="20"/>
                <w:szCs w:val="20"/>
              </w:rPr>
              <w:t xml:space="preserve"> </w:t>
            </w:r>
            <w:r w:rsidRPr="005D0314">
              <w:rPr>
                <w:rFonts w:ascii="Calibri" w:hAnsi="Calibri" w:cs="Calibri"/>
                <w:color w:val="000000"/>
                <w:sz w:val="20"/>
                <w:szCs w:val="20"/>
              </w:rPr>
              <w:t>(1.18-2.09)</w:t>
            </w:r>
          </w:p>
        </w:tc>
        <w:tc>
          <w:tcPr>
            <w:tcW w:w="992" w:type="dxa"/>
            <w:tcBorders>
              <w:top w:val="nil"/>
              <w:left w:val="nil"/>
              <w:bottom w:val="nil"/>
            </w:tcBorders>
            <w:vAlign w:val="center"/>
          </w:tcPr>
          <w:p w14:paraId="17B5124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b/>
                <w:bCs/>
                <w:color w:val="000000"/>
                <w:sz w:val="20"/>
                <w:szCs w:val="20"/>
              </w:rPr>
              <w:t>1.85x10</w:t>
            </w:r>
            <w:r w:rsidRPr="005D0314">
              <w:rPr>
                <w:rFonts w:ascii="Calibri" w:hAnsi="Calibri" w:cs="Calibri"/>
                <w:b/>
                <w:bCs/>
                <w:color w:val="000000"/>
                <w:sz w:val="20"/>
                <w:szCs w:val="20"/>
                <w:vertAlign w:val="superscript"/>
              </w:rPr>
              <w:t>-3</w:t>
            </w:r>
          </w:p>
        </w:tc>
        <w:tc>
          <w:tcPr>
            <w:tcW w:w="1134" w:type="dxa"/>
            <w:tcBorders>
              <w:top w:val="nil"/>
              <w:left w:val="nil"/>
              <w:bottom w:val="nil"/>
              <w:right w:val="nil"/>
            </w:tcBorders>
            <w:shd w:val="clear" w:color="auto" w:fill="auto"/>
            <w:noWrap/>
            <w:vAlign w:val="center"/>
            <w:hideMark/>
          </w:tcPr>
          <w:p w14:paraId="188C268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0.59</w:t>
            </w:r>
          </w:p>
        </w:tc>
        <w:tc>
          <w:tcPr>
            <w:tcW w:w="1843" w:type="dxa"/>
            <w:tcBorders>
              <w:top w:val="nil"/>
              <w:left w:val="nil"/>
              <w:bottom w:val="nil"/>
              <w:right w:val="nil"/>
            </w:tcBorders>
            <w:shd w:val="clear" w:color="auto" w:fill="auto"/>
            <w:noWrap/>
            <w:vAlign w:val="center"/>
            <w:hideMark/>
          </w:tcPr>
          <w:p w14:paraId="53AF145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1.60</w:t>
            </w:r>
            <w:r>
              <w:rPr>
                <w:rFonts w:ascii="Calibri" w:hAnsi="Calibri" w:cs="Calibri"/>
                <w:color w:val="000000"/>
                <w:sz w:val="20"/>
                <w:szCs w:val="20"/>
              </w:rPr>
              <w:t xml:space="preserve"> </w:t>
            </w:r>
            <w:r w:rsidRPr="005D0314">
              <w:rPr>
                <w:rFonts w:ascii="Calibri" w:hAnsi="Calibri" w:cs="Calibri"/>
                <w:color w:val="000000"/>
                <w:sz w:val="20"/>
                <w:szCs w:val="20"/>
              </w:rPr>
              <w:t>(1.01-2.55)</w:t>
            </w:r>
          </w:p>
        </w:tc>
        <w:tc>
          <w:tcPr>
            <w:tcW w:w="850" w:type="dxa"/>
            <w:tcBorders>
              <w:top w:val="nil"/>
              <w:left w:val="nil"/>
              <w:bottom w:val="nil"/>
              <w:right w:val="nil"/>
            </w:tcBorders>
            <w:vAlign w:val="center"/>
          </w:tcPr>
          <w:p w14:paraId="7EABF46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b/>
                <w:bCs/>
                <w:color w:val="000000"/>
                <w:sz w:val="20"/>
                <w:szCs w:val="20"/>
              </w:rPr>
              <w:t>0.05</w:t>
            </w:r>
          </w:p>
        </w:tc>
      </w:tr>
      <w:tr w:rsidR="0086380B" w:rsidRPr="005D0314" w14:paraId="5AA3B3C5" w14:textId="77777777" w:rsidTr="00251E4B">
        <w:trPr>
          <w:trHeight w:val="20"/>
          <w:jc w:val="center"/>
        </w:trPr>
        <w:tc>
          <w:tcPr>
            <w:tcW w:w="2127" w:type="dxa"/>
            <w:tcBorders>
              <w:top w:val="nil"/>
              <w:left w:val="nil"/>
              <w:bottom w:val="nil"/>
              <w:right w:val="nil"/>
            </w:tcBorders>
            <w:shd w:val="clear" w:color="auto" w:fill="auto"/>
            <w:vAlign w:val="center"/>
            <w:hideMark/>
          </w:tcPr>
          <w:p w14:paraId="32DCFFEB"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HDL cholesterol</w:t>
            </w:r>
          </w:p>
        </w:tc>
        <w:tc>
          <w:tcPr>
            <w:tcW w:w="663" w:type="dxa"/>
            <w:tcBorders>
              <w:top w:val="nil"/>
              <w:left w:val="nil"/>
              <w:bottom w:val="nil"/>
              <w:right w:val="nil"/>
            </w:tcBorders>
            <w:shd w:val="clear" w:color="auto" w:fill="auto"/>
            <w:noWrap/>
            <w:vAlign w:val="center"/>
            <w:hideMark/>
          </w:tcPr>
          <w:p w14:paraId="6352969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83</w:t>
            </w:r>
          </w:p>
        </w:tc>
        <w:tc>
          <w:tcPr>
            <w:tcW w:w="621" w:type="dxa"/>
            <w:tcBorders>
              <w:top w:val="nil"/>
              <w:left w:val="nil"/>
              <w:bottom w:val="nil"/>
              <w:right w:val="nil"/>
            </w:tcBorders>
            <w:shd w:val="clear" w:color="auto" w:fill="auto"/>
            <w:noWrap/>
            <w:vAlign w:val="center"/>
            <w:hideMark/>
          </w:tcPr>
          <w:p w14:paraId="7268E05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0.94</w:t>
            </w:r>
          </w:p>
        </w:tc>
        <w:tc>
          <w:tcPr>
            <w:tcW w:w="1834" w:type="dxa"/>
            <w:tcBorders>
              <w:top w:val="nil"/>
              <w:left w:val="nil"/>
              <w:bottom w:val="nil"/>
              <w:right w:val="nil"/>
            </w:tcBorders>
            <w:shd w:val="clear" w:color="auto" w:fill="auto"/>
            <w:noWrap/>
            <w:vAlign w:val="center"/>
            <w:hideMark/>
          </w:tcPr>
          <w:p w14:paraId="3C74867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0.97</w:t>
            </w:r>
            <w:r>
              <w:rPr>
                <w:rFonts w:ascii="Calibri" w:hAnsi="Calibri" w:cs="Calibri"/>
                <w:color w:val="000000"/>
                <w:sz w:val="20"/>
                <w:szCs w:val="20"/>
              </w:rPr>
              <w:t xml:space="preserve"> </w:t>
            </w:r>
            <w:r w:rsidRPr="005D0314">
              <w:rPr>
                <w:rFonts w:ascii="Calibri" w:hAnsi="Calibri" w:cs="Calibri"/>
                <w:color w:val="000000"/>
                <w:sz w:val="20"/>
                <w:szCs w:val="20"/>
              </w:rPr>
              <w:t>(0.81-1.17)</w:t>
            </w:r>
          </w:p>
        </w:tc>
        <w:tc>
          <w:tcPr>
            <w:tcW w:w="992" w:type="dxa"/>
            <w:tcBorders>
              <w:top w:val="nil"/>
              <w:left w:val="nil"/>
              <w:bottom w:val="nil"/>
            </w:tcBorders>
            <w:vAlign w:val="center"/>
          </w:tcPr>
          <w:p w14:paraId="5D5730B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0.76</w:t>
            </w:r>
          </w:p>
        </w:tc>
        <w:tc>
          <w:tcPr>
            <w:tcW w:w="1560" w:type="dxa"/>
            <w:tcBorders>
              <w:top w:val="nil"/>
              <w:bottom w:val="nil"/>
              <w:right w:val="nil"/>
            </w:tcBorders>
            <w:shd w:val="clear" w:color="auto" w:fill="auto"/>
            <w:noWrap/>
            <w:vAlign w:val="center"/>
            <w:hideMark/>
          </w:tcPr>
          <w:p w14:paraId="74F499C5"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1.08</w:t>
            </w:r>
            <w:r>
              <w:rPr>
                <w:rFonts w:ascii="Calibri" w:hAnsi="Calibri" w:cs="Calibri"/>
                <w:color w:val="000000"/>
                <w:sz w:val="20"/>
                <w:szCs w:val="20"/>
              </w:rPr>
              <w:t xml:space="preserve"> </w:t>
            </w:r>
            <w:r w:rsidRPr="005D0314">
              <w:rPr>
                <w:rFonts w:ascii="Calibri" w:hAnsi="Calibri" w:cs="Calibri"/>
                <w:color w:val="000000"/>
                <w:sz w:val="20"/>
                <w:szCs w:val="20"/>
              </w:rPr>
              <w:t>(0.82-1.44)</w:t>
            </w:r>
          </w:p>
        </w:tc>
        <w:tc>
          <w:tcPr>
            <w:tcW w:w="992" w:type="dxa"/>
            <w:tcBorders>
              <w:top w:val="nil"/>
              <w:left w:val="nil"/>
              <w:bottom w:val="nil"/>
            </w:tcBorders>
            <w:vAlign w:val="center"/>
          </w:tcPr>
          <w:p w14:paraId="66BC0AB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0.57</w:t>
            </w:r>
          </w:p>
        </w:tc>
        <w:tc>
          <w:tcPr>
            <w:tcW w:w="1134" w:type="dxa"/>
            <w:tcBorders>
              <w:top w:val="nil"/>
              <w:left w:val="nil"/>
              <w:bottom w:val="nil"/>
              <w:right w:val="nil"/>
            </w:tcBorders>
            <w:shd w:val="clear" w:color="auto" w:fill="auto"/>
            <w:noWrap/>
            <w:vAlign w:val="center"/>
            <w:hideMark/>
          </w:tcPr>
          <w:p w14:paraId="56F4A4F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0.28</w:t>
            </w:r>
          </w:p>
        </w:tc>
        <w:tc>
          <w:tcPr>
            <w:tcW w:w="1843" w:type="dxa"/>
            <w:tcBorders>
              <w:top w:val="nil"/>
              <w:left w:val="nil"/>
              <w:bottom w:val="nil"/>
              <w:right w:val="nil"/>
            </w:tcBorders>
            <w:shd w:val="clear" w:color="auto" w:fill="auto"/>
            <w:noWrap/>
            <w:vAlign w:val="center"/>
            <w:hideMark/>
          </w:tcPr>
          <w:p w14:paraId="026A5DD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1.12</w:t>
            </w:r>
            <w:r>
              <w:rPr>
                <w:rFonts w:ascii="Calibri" w:hAnsi="Calibri" w:cs="Calibri"/>
                <w:color w:val="000000"/>
                <w:sz w:val="20"/>
                <w:szCs w:val="20"/>
              </w:rPr>
              <w:t xml:space="preserve"> </w:t>
            </w:r>
            <w:r w:rsidRPr="005D0314">
              <w:rPr>
                <w:rFonts w:ascii="Calibri" w:hAnsi="Calibri" w:cs="Calibri"/>
                <w:color w:val="000000"/>
                <w:sz w:val="20"/>
                <w:szCs w:val="20"/>
              </w:rPr>
              <w:t>(0.82-1.53)</w:t>
            </w:r>
          </w:p>
        </w:tc>
        <w:tc>
          <w:tcPr>
            <w:tcW w:w="850" w:type="dxa"/>
            <w:tcBorders>
              <w:top w:val="nil"/>
              <w:left w:val="nil"/>
              <w:bottom w:val="nil"/>
              <w:right w:val="nil"/>
            </w:tcBorders>
            <w:vAlign w:val="center"/>
          </w:tcPr>
          <w:p w14:paraId="459E07F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0.49</w:t>
            </w:r>
          </w:p>
        </w:tc>
      </w:tr>
      <w:tr w:rsidR="0086380B" w:rsidRPr="005D0314" w14:paraId="1CB5492D" w14:textId="77777777" w:rsidTr="00251E4B">
        <w:trPr>
          <w:trHeight w:val="20"/>
          <w:jc w:val="center"/>
        </w:trPr>
        <w:tc>
          <w:tcPr>
            <w:tcW w:w="2127" w:type="dxa"/>
            <w:tcBorders>
              <w:top w:val="nil"/>
              <w:left w:val="nil"/>
              <w:bottom w:val="nil"/>
              <w:right w:val="nil"/>
            </w:tcBorders>
            <w:shd w:val="clear" w:color="auto" w:fill="auto"/>
            <w:vAlign w:val="center"/>
            <w:hideMark/>
          </w:tcPr>
          <w:p w14:paraId="553469C7"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LDL cholesterol</w:t>
            </w:r>
          </w:p>
        </w:tc>
        <w:tc>
          <w:tcPr>
            <w:tcW w:w="663" w:type="dxa"/>
            <w:tcBorders>
              <w:top w:val="nil"/>
              <w:left w:val="nil"/>
              <w:bottom w:val="nil"/>
              <w:right w:val="nil"/>
            </w:tcBorders>
            <w:shd w:val="clear" w:color="auto" w:fill="auto"/>
            <w:noWrap/>
            <w:vAlign w:val="center"/>
            <w:hideMark/>
          </w:tcPr>
          <w:p w14:paraId="56CACFA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51</w:t>
            </w:r>
          </w:p>
        </w:tc>
        <w:tc>
          <w:tcPr>
            <w:tcW w:w="621" w:type="dxa"/>
            <w:tcBorders>
              <w:top w:val="nil"/>
              <w:left w:val="nil"/>
              <w:bottom w:val="nil"/>
              <w:right w:val="nil"/>
            </w:tcBorders>
            <w:shd w:val="clear" w:color="auto" w:fill="auto"/>
            <w:noWrap/>
            <w:vAlign w:val="center"/>
            <w:hideMark/>
          </w:tcPr>
          <w:p w14:paraId="3D8C599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0.76</w:t>
            </w:r>
          </w:p>
        </w:tc>
        <w:tc>
          <w:tcPr>
            <w:tcW w:w="1834" w:type="dxa"/>
            <w:tcBorders>
              <w:top w:val="nil"/>
              <w:left w:val="nil"/>
              <w:bottom w:val="nil"/>
              <w:right w:val="nil"/>
            </w:tcBorders>
            <w:shd w:val="clear" w:color="auto" w:fill="auto"/>
            <w:noWrap/>
            <w:vAlign w:val="center"/>
            <w:hideMark/>
          </w:tcPr>
          <w:p w14:paraId="4C5694C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1.08</w:t>
            </w:r>
            <w:r>
              <w:rPr>
                <w:rFonts w:ascii="Calibri" w:hAnsi="Calibri" w:cs="Calibri"/>
                <w:color w:val="000000"/>
                <w:sz w:val="20"/>
                <w:szCs w:val="20"/>
              </w:rPr>
              <w:t xml:space="preserve"> </w:t>
            </w:r>
            <w:r w:rsidRPr="005D0314">
              <w:rPr>
                <w:rFonts w:ascii="Calibri" w:hAnsi="Calibri" w:cs="Calibri"/>
                <w:color w:val="000000"/>
                <w:sz w:val="20"/>
                <w:szCs w:val="20"/>
              </w:rPr>
              <w:t>(0.88-1.33)</w:t>
            </w:r>
          </w:p>
        </w:tc>
        <w:tc>
          <w:tcPr>
            <w:tcW w:w="992" w:type="dxa"/>
            <w:tcBorders>
              <w:top w:val="nil"/>
              <w:left w:val="nil"/>
              <w:bottom w:val="nil"/>
            </w:tcBorders>
            <w:vAlign w:val="center"/>
          </w:tcPr>
          <w:p w14:paraId="30959D3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0.46</w:t>
            </w:r>
          </w:p>
        </w:tc>
        <w:tc>
          <w:tcPr>
            <w:tcW w:w="1560" w:type="dxa"/>
            <w:tcBorders>
              <w:top w:val="nil"/>
              <w:bottom w:val="nil"/>
              <w:right w:val="nil"/>
            </w:tcBorders>
            <w:shd w:val="clear" w:color="auto" w:fill="auto"/>
            <w:noWrap/>
            <w:vAlign w:val="center"/>
            <w:hideMark/>
          </w:tcPr>
          <w:p w14:paraId="76BCE61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1.29</w:t>
            </w:r>
            <w:r>
              <w:rPr>
                <w:rFonts w:ascii="Calibri" w:hAnsi="Calibri" w:cs="Calibri"/>
                <w:color w:val="000000"/>
                <w:sz w:val="20"/>
                <w:szCs w:val="20"/>
              </w:rPr>
              <w:t xml:space="preserve"> </w:t>
            </w:r>
            <w:r w:rsidRPr="005D0314">
              <w:rPr>
                <w:rFonts w:ascii="Calibri" w:hAnsi="Calibri" w:cs="Calibri"/>
                <w:color w:val="000000"/>
                <w:sz w:val="20"/>
                <w:szCs w:val="20"/>
              </w:rPr>
              <w:t>(0.94-1.78)</w:t>
            </w:r>
          </w:p>
        </w:tc>
        <w:tc>
          <w:tcPr>
            <w:tcW w:w="992" w:type="dxa"/>
            <w:tcBorders>
              <w:top w:val="nil"/>
              <w:left w:val="nil"/>
              <w:bottom w:val="nil"/>
            </w:tcBorders>
            <w:vAlign w:val="center"/>
          </w:tcPr>
          <w:p w14:paraId="47D34F5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0.12</w:t>
            </w:r>
          </w:p>
        </w:tc>
        <w:tc>
          <w:tcPr>
            <w:tcW w:w="1134" w:type="dxa"/>
            <w:tcBorders>
              <w:top w:val="nil"/>
              <w:left w:val="nil"/>
              <w:bottom w:val="nil"/>
              <w:right w:val="nil"/>
            </w:tcBorders>
            <w:shd w:val="clear" w:color="auto" w:fill="auto"/>
            <w:noWrap/>
            <w:vAlign w:val="center"/>
            <w:hideMark/>
          </w:tcPr>
          <w:p w14:paraId="109811A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0.61</w:t>
            </w:r>
          </w:p>
        </w:tc>
        <w:tc>
          <w:tcPr>
            <w:tcW w:w="1843" w:type="dxa"/>
            <w:tcBorders>
              <w:top w:val="nil"/>
              <w:left w:val="nil"/>
              <w:bottom w:val="nil"/>
              <w:right w:val="nil"/>
            </w:tcBorders>
            <w:shd w:val="clear" w:color="auto" w:fill="auto"/>
            <w:noWrap/>
            <w:vAlign w:val="center"/>
            <w:hideMark/>
          </w:tcPr>
          <w:p w14:paraId="34E9107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1.16</w:t>
            </w:r>
            <w:r>
              <w:rPr>
                <w:rFonts w:ascii="Calibri" w:hAnsi="Calibri" w:cs="Calibri"/>
                <w:color w:val="000000"/>
                <w:sz w:val="20"/>
                <w:szCs w:val="20"/>
              </w:rPr>
              <w:t xml:space="preserve"> </w:t>
            </w:r>
            <w:r w:rsidRPr="005D0314">
              <w:rPr>
                <w:rFonts w:ascii="Calibri" w:hAnsi="Calibri" w:cs="Calibri"/>
                <w:color w:val="000000"/>
                <w:sz w:val="20"/>
                <w:szCs w:val="20"/>
              </w:rPr>
              <w:t>(0.83-1.63)</w:t>
            </w:r>
          </w:p>
        </w:tc>
        <w:tc>
          <w:tcPr>
            <w:tcW w:w="850" w:type="dxa"/>
            <w:tcBorders>
              <w:top w:val="nil"/>
              <w:left w:val="nil"/>
              <w:bottom w:val="nil"/>
              <w:right w:val="nil"/>
            </w:tcBorders>
            <w:vAlign w:val="center"/>
          </w:tcPr>
          <w:p w14:paraId="6C29DAA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0.39</w:t>
            </w:r>
          </w:p>
        </w:tc>
      </w:tr>
      <w:tr w:rsidR="0086380B" w:rsidRPr="005D0314" w14:paraId="249FD97B" w14:textId="77777777" w:rsidTr="00251E4B">
        <w:trPr>
          <w:trHeight w:val="20"/>
          <w:jc w:val="center"/>
        </w:trPr>
        <w:tc>
          <w:tcPr>
            <w:tcW w:w="2127" w:type="dxa"/>
            <w:tcBorders>
              <w:top w:val="nil"/>
              <w:left w:val="nil"/>
              <w:bottom w:val="nil"/>
              <w:right w:val="nil"/>
            </w:tcBorders>
            <w:shd w:val="clear" w:color="auto" w:fill="auto"/>
            <w:vAlign w:val="center"/>
            <w:hideMark/>
          </w:tcPr>
          <w:p w14:paraId="71C51265"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Total cholesterol</w:t>
            </w:r>
          </w:p>
        </w:tc>
        <w:tc>
          <w:tcPr>
            <w:tcW w:w="663" w:type="dxa"/>
            <w:tcBorders>
              <w:top w:val="nil"/>
              <w:left w:val="nil"/>
              <w:bottom w:val="nil"/>
              <w:right w:val="nil"/>
            </w:tcBorders>
            <w:shd w:val="clear" w:color="auto" w:fill="auto"/>
            <w:noWrap/>
            <w:vAlign w:val="center"/>
            <w:hideMark/>
          </w:tcPr>
          <w:p w14:paraId="305F9EB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37</w:t>
            </w:r>
          </w:p>
        </w:tc>
        <w:tc>
          <w:tcPr>
            <w:tcW w:w="621" w:type="dxa"/>
            <w:tcBorders>
              <w:top w:val="nil"/>
              <w:left w:val="nil"/>
              <w:bottom w:val="nil"/>
              <w:right w:val="nil"/>
            </w:tcBorders>
            <w:shd w:val="clear" w:color="auto" w:fill="auto"/>
            <w:noWrap/>
            <w:vAlign w:val="center"/>
            <w:hideMark/>
          </w:tcPr>
          <w:p w14:paraId="5F59577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0.74</w:t>
            </w:r>
          </w:p>
        </w:tc>
        <w:tc>
          <w:tcPr>
            <w:tcW w:w="1834" w:type="dxa"/>
            <w:tcBorders>
              <w:top w:val="nil"/>
              <w:left w:val="nil"/>
              <w:bottom w:val="nil"/>
              <w:right w:val="nil"/>
            </w:tcBorders>
            <w:shd w:val="clear" w:color="auto" w:fill="auto"/>
            <w:noWrap/>
            <w:vAlign w:val="center"/>
            <w:hideMark/>
          </w:tcPr>
          <w:p w14:paraId="017CF01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0.84</w:t>
            </w:r>
            <w:r>
              <w:rPr>
                <w:rFonts w:ascii="Calibri" w:hAnsi="Calibri" w:cs="Calibri"/>
                <w:color w:val="000000"/>
                <w:sz w:val="20"/>
                <w:szCs w:val="20"/>
              </w:rPr>
              <w:t xml:space="preserve"> </w:t>
            </w:r>
            <w:r w:rsidRPr="005D0314">
              <w:rPr>
                <w:rFonts w:ascii="Calibri" w:hAnsi="Calibri" w:cs="Calibri"/>
                <w:color w:val="000000"/>
                <w:sz w:val="20"/>
                <w:szCs w:val="20"/>
              </w:rPr>
              <w:t>(0.66-1.07)</w:t>
            </w:r>
          </w:p>
        </w:tc>
        <w:tc>
          <w:tcPr>
            <w:tcW w:w="992" w:type="dxa"/>
            <w:tcBorders>
              <w:top w:val="nil"/>
              <w:left w:val="nil"/>
              <w:bottom w:val="nil"/>
            </w:tcBorders>
            <w:vAlign w:val="center"/>
          </w:tcPr>
          <w:p w14:paraId="3113218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0.16</w:t>
            </w:r>
          </w:p>
        </w:tc>
        <w:tc>
          <w:tcPr>
            <w:tcW w:w="1560" w:type="dxa"/>
            <w:tcBorders>
              <w:top w:val="nil"/>
              <w:bottom w:val="nil"/>
              <w:right w:val="nil"/>
            </w:tcBorders>
            <w:shd w:val="clear" w:color="auto" w:fill="auto"/>
            <w:noWrap/>
            <w:vAlign w:val="center"/>
            <w:hideMark/>
          </w:tcPr>
          <w:p w14:paraId="45FA385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0.79</w:t>
            </w:r>
            <w:r>
              <w:rPr>
                <w:rFonts w:ascii="Calibri" w:hAnsi="Calibri" w:cs="Calibri"/>
                <w:color w:val="000000"/>
                <w:sz w:val="20"/>
                <w:szCs w:val="20"/>
              </w:rPr>
              <w:t xml:space="preserve"> </w:t>
            </w:r>
            <w:r w:rsidRPr="005D0314">
              <w:rPr>
                <w:rFonts w:ascii="Calibri" w:hAnsi="Calibri" w:cs="Calibri"/>
                <w:color w:val="000000"/>
                <w:sz w:val="20"/>
                <w:szCs w:val="20"/>
              </w:rPr>
              <w:t>(0.55-1.12)</w:t>
            </w:r>
          </w:p>
        </w:tc>
        <w:tc>
          <w:tcPr>
            <w:tcW w:w="992" w:type="dxa"/>
            <w:tcBorders>
              <w:top w:val="nil"/>
              <w:left w:val="nil"/>
              <w:bottom w:val="nil"/>
            </w:tcBorders>
            <w:vAlign w:val="center"/>
          </w:tcPr>
          <w:p w14:paraId="2B4F85E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0.19</w:t>
            </w:r>
          </w:p>
        </w:tc>
        <w:tc>
          <w:tcPr>
            <w:tcW w:w="1134" w:type="dxa"/>
            <w:tcBorders>
              <w:top w:val="nil"/>
              <w:left w:val="nil"/>
              <w:bottom w:val="nil"/>
              <w:right w:val="nil"/>
            </w:tcBorders>
            <w:shd w:val="clear" w:color="auto" w:fill="auto"/>
            <w:noWrap/>
            <w:vAlign w:val="center"/>
            <w:hideMark/>
          </w:tcPr>
          <w:p w14:paraId="24D1DF6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0.13</w:t>
            </w:r>
          </w:p>
        </w:tc>
        <w:tc>
          <w:tcPr>
            <w:tcW w:w="1843" w:type="dxa"/>
            <w:tcBorders>
              <w:top w:val="nil"/>
              <w:left w:val="nil"/>
              <w:bottom w:val="nil"/>
              <w:right w:val="nil"/>
            </w:tcBorders>
            <w:shd w:val="clear" w:color="auto" w:fill="auto"/>
            <w:noWrap/>
            <w:vAlign w:val="center"/>
            <w:hideMark/>
          </w:tcPr>
          <w:p w14:paraId="2274CB3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0.67</w:t>
            </w:r>
            <w:r>
              <w:rPr>
                <w:rFonts w:ascii="Calibri" w:hAnsi="Calibri" w:cs="Calibri"/>
                <w:color w:val="000000"/>
                <w:sz w:val="20"/>
                <w:szCs w:val="20"/>
              </w:rPr>
              <w:t xml:space="preserve"> </w:t>
            </w:r>
            <w:r w:rsidRPr="005D0314">
              <w:rPr>
                <w:rFonts w:ascii="Calibri" w:hAnsi="Calibri" w:cs="Calibri"/>
                <w:color w:val="000000"/>
                <w:sz w:val="20"/>
                <w:szCs w:val="20"/>
              </w:rPr>
              <w:t>(0.45-0.98)</w:t>
            </w:r>
          </w:p>
        </w:tc>
        <w:tc>
          <w:tcPr>
            <w:tcW w:w="850" w:type="dxa"/>
            <w:tcBorders>
              <w:top w:val="nil"/>
              <w:left w:val="nil"/>
              <w:bottom w:val="nil"/>
              <w:right w:val="nil"/>
            </w:tcBorders>
            <w:vAlign w:val="center"/>
          </w:tcPr>
          <w:p w14:paraId="75A3B69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0.05</w:t>
            </w:r>
          </w:p>
        </w:tc>
      </w:tr>
      <w:tr w:rsidR="0086380B" w:rsidRPr="005D0314" w14:paraId="148034F0" w14:textId="77777777" w:rsidTr="00251E4B">
        <w:trPr>
          <w:trHeight w:val="20"/>
          <w:jc w:val="center"/>
        </w:trPr>
        <w:tc>
          <w:tcPr>
            <w:tcW w:w="2127" w:type="dxa"/>
            <w:tcBorders>
              <w:top w:val="nil"/>
              <w:left w:val="nil"/>
              <w:bottom w:val="nil"/>
              <w:right w:val="nil"/>
            </w:tcBorders>
            <w:shd w:val="clear" w:color="auto" w:fill="auto"/>
            <w:vAlign w:val="center"/>
            <w:hideMark/>
          </w:tcPr>
          <w:p w14:paraId="23670074"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Triglycerides</w:t>
            </w:r>
          </w:p>
        </w:tc>
        <w:tc>
          <w:tcPr>
            <w:tcW w:w="663" w:type="dxa"/>
            <w:tcBorders>
              <w:top w:val="nil"/>
              <w:left w:val="nil"/>
              <w:bottom w:val="nil"/>
              <w:right w:val="nil"/>
            </w:tcBorders>
            <w:shd w:val="clear" w:color="auto" w:fill="auto"/>
            <w:noWrap/>
            <w:vAlign w:val="center"/>
            <w:hideMark/>
          </w:tcPr>
          <w:p w14:paraId="4189218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69</w:t>
            </w:r>
          </w:p>
        </w:tc>
        <w:tc>
          <w:tcPr>
            <w:tcW w:w="621" w:type="dxa"/>
            <w:tcBorders>
              <w:top w:val="nil"/>
              <w:left w:val="nil"/>
              <w:bottom w:val="nil"/>
              <w:right w:val="nil"/>
            </w:tcBorders>
            <w:shd w:val="clear" w:color="auto" w:fill="auto"/>
            <w:noWrap/>
            <w:vAlign w:val="center"/>
            <w:hideMark/>
          </w:tcPr>
          <w:p w14:paraId="44D82B8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0.60</w:t>
            </w:r>
          </w:p>
        </w:tc>
        <w:tc>
          <w:tcPr>
            <w:tcW w:w="1834" w:type="dxa"/>
            <w:tcBorders>
              <w:top w:val="nil"/>
              <w:left w:val="nil"/>
              <w:bottom w:val="nil"/>
              <w:right w:val="nil"/>
            </w:tcBorders>
            <w:shd w:val="clear" w:color="auto" w:fill="auto"/>
            <w:noWrap/>
            <w:vAlign w:val="center"/>
            <w:hideMark/>
          </w:tcPr>
          <w:p w14:paraId="3409F08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1.18</w:t>
            </w:r>
            <w:r>
              <w:rPr>
                <w:rFonts w:ascii="Calibri" w:hAnsi="Calibri" w:cs="Calibri"/>
                <w:color w:val="000000"/>
                <w:sz w:val="20"/>
                <w:szCs w:val="20"/>
              </w:rPr>
              <w:t xml:space="preserve"> </w:t>
            </w:r>
            <w:r w:rsidRPr="005D0314">
              <w:rPr>
                <w:rFonts w:ascii="Calibri" w:hAnsi="Calibri" w:cs="Calibri"/>
                <w:color w:val="000000"/>
                <w:sz w:val="20"/>
                <w:szCs w:val="20"/>
              </w:rPr>
              <w:t>(0.93-1.50)</w:t>
            </w:r>
          </w:p>
        </w:tc>
        <w:tc>
          <w:tcPr>
            <w:tcW w:w="992" w:type="dxa"/>
            <w:tcBorders>
              <w:top w:val="nil"/>
              <w:left w:val="nil"/>
              <w:bottom w:val="nil"/>
            </w:tcBorders>
            <w:vAlign w:val="center"/>
          </w:tcPr>
          <w:p w14:paraId="7C5DE7E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0.16</w:t>
            </w:r>
          </w:p>
        </w:tc>
        <w:tc>
          <w:tcPr>
            <w:tcW w:w="1560" w:type="dxa"/>
            <w:tcBorders>
              <w:top w:val="nil"/>
              <w:bottom w:val="nil"/>
              <w:right w:val="nil"/>
            </w:tcBorders>
            <w:shd w:val="clear" w:color="auto" w:fill="auto"/>
            <w:noWrap/>
            <w:vAlign w:val="center"/>
            <w:hideMark/>
          </w:tcPr>
          <w:p w14:paraId="39974A5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0.93</w:t>
            </w:r>
            <w:r>
              <w:rPr>
                <w:rFonts w:ascii="Calibri" w:hAnsi="Calibri" w:cs="Calibri"/>
                <w:color w:val="000000"/>
                <w:sz w:val="20"/>
                <w:szCs w:val="20"/>
              </w:rPr>
              <w:t xml:space="preserve"> </w:t>
            </w:r>
            <w:r w:rsidRPr="005D0314">
              <w:rPr>
                <w:rFonts w:ascii="Calibri" w:hAnsi="Calibri" w:cs="Calibri"/>
                <w:color w:val="000000"/>
                <w:sz w:val="20"/>
                <w:szCs w:val="20"/>
              </w:rPr>
              <w:t>(0.64-1.36)</w:t>
            </w:r>
          </w:p>
        </w:tc>
        <w:tc>
          <w:tcPr>
            <w:tcW w:w="992" w:type="dxa"/>
            <w:tcBorders>
              <w:top w:val="nil"/>
              <w:left w:val="nil"/>
              <w:bottom w:val="nil"/>
            </w:tcBorders>
            <w:vAlign w:val="center"/>
          </w:tcPr>
          <w:p w14:paraId="7C0C8E8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0.72</w:t>
            </w:r>
          </w:p>
        </w:tc>
        <w:tc>
          <w:tcPr>
            <w:tcW w:w="1134" w:type="dxa"/>
            <w:tcBorders>
              <w:top w:val="nil"/>
              <w:left w:val="nil"/>
              <w:bottom w:val="nil"/>
              <w:right w:val="nil"/>
            </w:tcBorders>
            <w:shd w:val="clear" w:color="auto" w:fill="auto"/>
            <w:noWrap/>
            <w:vAlign w:val="center"/>
            <w:hideMark/>
          </w:tcPr>
          <w:p w14:paraId="08C59CF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0.12</w:t>
            </w:r>
          </w:p>
        </w:tc>
        <w:tc>
          <w:tcPr>
            <w:tcW w:w="1843" w:type="dxa"/>
            <w:tcBorders>
              <w:top w:val="nil"/>
              <w:left w:val="nil"/>
              <w:bottom w:val="nil"/>
              <w:right w:val="nil"/>
            </w:tcBorders>
            <w:shd w:val="clear" w:color="auto" w:fill="auto"/>
            <w:noWrap/>
            <w:vAlign w:val="center"/>
            <w:hideMark/>
          </w:tcPr>
          <w:p w14:paraId="2023F01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0.89</w:t>
            </w:r>
            <w:r>
              <w:rPr>
                <w:rFonts w:ascii="Calibri" w:hAnsi="Calibri" w:cs="Calibri"/>
                <w:color w:val="000000"/>
                <w:sz w:val="20"/>
                <w:szCs w:val="20"/>
              </w:rPr>
              <w:t xml:space="preserve"> </w:t>
            </w:r>
            <w:r w:rsidRPr="005D0314">
              <w:rPr>
                <w:rFonts w:ascii="Calibri" w:hAnsi="Calibri" w:cs="Calibri"/>
                <w:color w:val="000000"/>
                <w:sz w:val="20"/>
                <w:szCs w:val="20"/>
              </w:rPr>
              <w:t>(0.58-1.37)</w:t>
            </w:r>
          </w:p>
        </w:tc>
        <w:tc>
          <w:tcPr>
            <w:tcW w:w="850" w:type="dxa"/>
            <w:tcBorders>
              <w:top w:val="nil"/>
              <w:left w:val="nil"/>
              <w:bottom w:val="nil"/>
              <w:right w:val="nil"/>
            </w:tcBorders>
            <w:vAlign w:val="center"/>
          </w:tcPr>
          <w:p w14:paraId="1DBDC6C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0.59</w:t>
            </w:r>
          </w:p>
        </w:tc>
      </w:tr>
      <w:tr w:rsidR="0086380B" w:rsidRPr="005D0314" w14:paraId="207D41BE"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157B90D7"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IgE</w:t>
            </w:r>
          </w:p>
        </w:tc>
        <w:tc>
          <w:tcPr>
            <w:tcW w:w="663" w:type="dxa"/>
            <w:tcBorders>
              <w:top w:val="nil"/>
              <w:left w:val="nil"/>
              <w:bottom w:val="nil"/>
              <w:right w:val="nil"/>
            </w:tcBorders>
            <w:shd w:val="clear" w:color="auto" w:fill="auto"/>
            <w:noWrap/>
            <w:vAlign w:val="center"/>
            <w:hideMark/>
          </w:tcPr>
          <w:p w14:paraId="40703DA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6</w:t>
            </w:r>
          </w:p>
        </w:tc>
        <w:tc>
          <w:tcPr>
            <w:tcW w:w="621" w:type="dxa"/>
            <w:tcBorders>
              <w:top w:val="nil"/>
              <w:left w:val="nil"/>
              <w:bottom w:val="nil"/>
              <w:right w:val="nil"/>
            </w:tcBorders>
            <w:shd w:val="clear" w:color="auto" w:fill="auto"/>
            <w:noWrap/>
            <w:vAlign w:val="center"/>
            <w:hideMark/>
          </w:tcPr>
          <w:p w14:paraId="2CFB112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0.95</w:t>
            </w:r>
          </w:p>
        </w:tc>
        <w:tc>
          <w:tcPr>
            <w:tcW w:w="1834" w:type="dxa"/>
            <w:tcBorders>
              <w:top w:val="nil"/>
              <w:left w:val="nil"/>
              <w:bottom w:val="nil"/>
              <w:right w:val="nil"/>
            </w:tcBorders>
            <w:shd w:val="clear" w:color="auto" w:fill="auto"/>
            <w:noWrap/>
            <w:vAlign w:val="center"/>
            <w:hideMark/>
          </w:tcPr>
          <w:p w14:paraId="36CEEAC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0.79</w:t>
            </w:r>
            <w:r>
              <w:rPr>
                <w:rFonts w:ascii="Calibri" w:hAnsi="Calibri" w:cs="Calibri"/>
                <w:color w:val="000000"/>
                <w:sz w:val="20"/>
                <w:szCs w:val="20"/>
              </w:rPr>
              <w:t xml:space="preserve"> </w:t>
            </w:r>
            <w:r w:rsidRPr="005D0314">
              <w:rPr>
                <w:rFonts w:ascii="Calibri" w:hAnsi="Calibri" w:cs="Calibri"/>
                <w:color w:val="000000"/>
                <w:sz w:val="20"/>
                <w:szCs w:val="20"/>
              </w:rPr>
              <w:t>(0.60-1.06)</w:t>
            </w:r>
          </w:p>
        </w:tc>
        <w:tc>
          <w:tcPr>
            <w:tcW w:w="992" w:type="dxa"/>
            <w:tcBorders>
              <w:top w:val="nil"/>
              <w:left w:val="nil"/>
              <w:bottom w:val="nil"/>
            </w:tcBorders>
            <w:vAlign w:val="center"/>
          </w:tcPr>
          <w:p w14:paraId="3B12933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0.11</w:t>
            </w:r>
          </w:p>
        </w:tc>
        <w:tc>
          <w:tcPr>
            <w:tcW w:w="1560" w:type="dxa"/>
            <w:tcBorders>
              <w:top w:val="nil"/>
              <w:bottom w:val="nil"/>
              <w:right w:val="nil"/>
            </w:tcBorders>
            <w:shd w:val="clear" w:color="auto" w:fill="auto"/>
            <w:noWrap/>
            <w:vAlign w:val="center"/>
            <w:hideMark/>
          </w:tcPr>
          <w:p w14:paraId="52A574A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0.83</w:t>
            </w:r>
            <w:r>
              <w:rPr>
                <w:rFonts w:ascii="Calibri" w:hAnsi="Calibri" w:cs="Calibri"/>
                <w:color w:val="000000"/>
                <w:sz w:val="20"/>
                <w:szCs w:val="20"/>
              </w:rPr>
              <w:t xml:space="preserve"> </w:t>
            </w:r>
            <w:r w:rsidRPr="005D0314">
              <w:rPr>
                <w:rFonts w:ascii="Calibri" w:hAnsi="Calibri" w:cs="Calibri"/>
                <w:color w:val="000000"/>
                <w:sz w:val="20"/>
                <w:szCs w:val="20"/>
              </w:rPr>
              <w:t>(0.59-1.17)</w:t>
            </w:r>
          </w:p>
        </w:tc>
        <w:tc>
          <w:tcPr>
            <w:tcW w:w="992" w:type="dxa"/>
            <w:tcBorders>
              <w:top w:val="nil"/>
              <w:left w:val="nil"/>
              <w:bottom w:val="nil"/>
            </w:tcBorders>
            <w:vAlign w:val="center"/>
          </w:tcPr>
          <w:p w14:paraId="3079DB5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0.29</w:t>
            </w:r>
          </w:p>
        </w:tc>
        <w:tc>
          <w:tcPr>
            <w:tcW w:w="1134" w:type="dxa"/>
            <w:tcBorders>
              <w:top w:val="nil"/>
              <w:left w:val="nil"/>
              <w:bottom w:val="nil"/>
              <w:right w:val="nil"/>
            </w:tcBorders>
            <w:shd w:val="clear" w:color="auto" w:fill="auto"/>
            <w:noWrap/>
            <w:vAlign w:val="center"/>
            <w:hideMark/>
          </w:tcPr>
          <w:p w14:paraId="4DDFEE1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0.88</w:t>
            </w:r>
          </w:p>
        </w:tc>
        <w:tc>
          <w:tcPr>
            <w:tcW w:w="1843" w:type="dxa"/>
            <w:tcBorders>
              <w:top w:val="nil"/>
              <w:left w:val="nil"/>
              <w:bottom w:val="nil"/>
              <w:right w:val="nil"/>
            </w:tcBorders>
            <w:shd w:val="clear" w:color="auto" w:fill="auto"/>
            <w:noWrap/>
            <w:vAlign w:val="center"/>
            <w:hideMark/>
          </w:tcPr>
          <w:p w14:paraId="22BEF57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0.74</w:t>
            </w:r>
            <w:r>
              <w:rPr>
                <w:rFonts w:ascii="Calibri" w:hAnsi="Calibri" w:cs="Calibri"/>
                <w:color w:val="000000"/>
                <w:sz w:val="20"/>
                <w:szCs w:val="20"/>
              </w:rPr>
              <w:t xml:space="preserve"> </w:t>
            </w:r>
            <w:r w:rsidRPr="005D0314">
              <w:rPr>
                <w:rFonts w:ascii="Calibri" w:hAnsi="Calibri" w:cs="Calibri"/>
                <w:color w:val="000000"/>
                <w:sz w:val="20"/>
                <w:szCs w:val="20"/>
              </w:rPr>
              <w:t>(0.29-1.86)</w:t>
            </w:r>
          </w:p>
        </w:tc>
        <w:tc>
          <w:tcPr>
            <w:tcW w:w="850" w:type="dxa"/>
            <w:tcBorders>
              <w:top w:val="nil"/>
              <w:left w:val="nil"/>
              <w:bottom w:val="nil"/>
              <w:right w:val="nil"/>
            </w:tcBorders>
            <w:vAlign w:val="center"/>
          </w:tcPr>
          <w:p w14:paraId="12DC177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0.55</w:t>
            </w:r>
          </w:p>
        </w:tc>
      </w:tr>
      <w:tr w:rsidR="0086380B" w:rsidRPr="005D0314" w14:paraId="540336BA" w14:textId="77777777" w:rsidTr="00251E4B">
        <w:trPr>
          <w:trHeight w:val="20"/>
          <w:jc w:val="center"/>
        </w:trPr>
        <w:tc>
          <w:tcPr>
            <w:tcW w:w="2127" w:type="dxa"/>
            <w:tcBorders>
              <w:top w:val="nil"/>
              <w:left w:val="nil"/>
              <w:bottom w:val="nil"/>
              <w:right w:val="nil"/>
            </w:tcBorders>
            <w:shd w:val="clear" w:color="auto" w:fill="auto"/>
            <w:vAlign w:val="center"/>
            <w:hideMark/>
          </w:tcPr>
          <w:p w14:paraId="004FE620"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Self-reported allergy</w:t>
            </w:r>
          </w:p>
        </w:tc>
        <w:tc>
          <w:tcPr>
            <w:tcW w:w="663" w:type="dxa"/>
            <w:tcBorders>
              <w:top w:val="nil"/>
              <w:left w:val="nil"/>
              <w:bottom w:val="nil"/>
              <w:right w:val="nil"/>
            </w:tcBorders>
            <w:shd w:val="clear" w:color="auto" w:fill="auto"/>
            <w:noWrap/>
            <w:vAlign w:val="center"/>
            <w:hideMark/>
          </w:tcPr>
          <w:p w14:paraId="143C13C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13</w:t>
            </w:r>
          </w:p>
        </w:tc>
        <w:tc>
          <w:tcPr>
            <w:tcW w:w="621" w:type="dxa"/>
            <w:tcBorders>
              <w:top w:val="nil"/>
              <w:left w:val="nil"/>
              <w:bottom w:val="nil"/>
              <w:right w:val="nil"/>
            </w:tcBorders>
            <w:shd w:val="clear" w:color="auto" w:fill="auto"/>
            <w:noWrap/>
            <w:vAlign w:val="center"/>
            <w:hideMark/>
          </w:tcPr>
          <w:p w14:paraId="5FCF449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0.39</w:t>
            </w:r>
          </w:p>
        </w:tc>
        <w:tc>
          <w:tcPr>
            <w:tcW w:w="1834" w:type="dxa"/>
            <w:tcBorders>
              <w:top w:val="nil"/>
              <w:left w:val="nil"/>
              <w:bottom w:val="nil"/>
              <w:right w:val="nil"/>
            </w:tcBorders>
            <w:shd w:val="clear" w:color="auto" w:fill="auto"/>
            <w:noWrap/>
            <w:vAlign w:val="center"/>
            <w:hideMark/>
          </w:tcPr>
          <w:p w14:paraId="2D87E6E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0.94</w:t>
            </w:r>
            <w:r>
              <w:rPr>
                <w:rFonts w:ascii="Calibri" w:hAnsi="Calibri" w:cs="Calibri"/>
                <w:color w:val="000000"/>
                <w:sz w:val="20"/>
                <w:szCs w:val="20"/>
              </w:rPr>
              <w:t xml:space="preserve"> </w:t>
            </w:r>
            <w:r w:rsidRPr="005D0314">
              <w:rPr>
                <w:rFonts w:ascii="Calibri" w:hAnsi="Calibri" w:cs="Calibri"/>
                <w:color w:val="000000"/>
                <w:sz w:val="20"/>
                <w:szCs w:val="20"/>
              </w:rPr>
              <w:t>(0.81-1.09)</w:t>
            </w:r>
          </w:p>
        </w:tc>
        <w:tc>
          <w:tcPr>
            <w:tcW w:w="992" w:type="dxa"/>
            <w:tcBorders>
              <w:top w:val="nil"/>
              <w:left w:val="nil"/>
              <w:bottom w:val="nil"/>
            </w:tcBorders>
            <w:vAlign w:val="center"/>
          </w:tcPr>
          <w:p w14:paraId="51B2DE6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0.38</w:t>
            </w:r>
          </w:p>
        </w:tc>
        <w:tc>
          <w:tcPr>
            <w:tcW w:w="1560" w:type="dxa"/>
            <w:tcBorders>
              <w:top w:val="nil"/>
              <w:bottom w:val="nil"/>
              <w:right w:val="nil"/>
            </w:tcBorders>
            <w:shd w:val="clear" w:color="auto" w:fill="auto"/>
            <w:noWrap/>
            <w:vAlign w:val="center"/>
            <w:hideMark/>
          </w:tcPr>
          <w:p w14:paraId="5609DF44"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0.84</w:t>
            </w:r>
            <w:r>
              <w:rPr>
                <w:rFonts w:ascii="Calibri" w:hAnsi="Calibri" w:cs="Calibri"/>
                <w:color w:val="000000"/>
                <w:sz w:val="20"/>
                <w:szCs w:val="20"/>
              </w:rPr>
              <w:t xml:space="preserve"> </w:t>
            </w:r>
            <w:r w:rsidRPr="005D0314">
              <w:rPr>
                <w:rFonts w:ascii="Calibri" w:hAnsi="Calibri" w:cs="Calibri"/>
                <w:color w:val="000000"/>
                <w:sz w:val="20"/>
                <w:szCs w:val="20"/>
              </w:rPr>
              <w:t>(0.68-1.03)</w:t>
            </w:r>
          </w:p>
        </w:tc>
        <w:tc>
          <w:tcPr>
            <w:tcW w:w="992" w:type="dxa"/>
            <w:tcBorders>
              <w:top w:val="nil"/>
              <w:left w:val="nil"/>
              <w:bottom w:val="nil"/>
            </w:tcBorders>
            <w:vAlign w:val="center"/>
          </w:tcPr>
          <w:p w14:paraId="53C71E1A" w14:textId="77777777" w:rsidR="00BC3F9F" w:rsidRPr="005D0314" w:rsidRDefault="00BC3F9F" w:rsidP="00486EE1">
            <w:pPr>
              <w:jc w:val="center"/>
              <w:rPr>
                <w:rFonts w:ascii="Calibri" w:hAnsi="Calibri" w:cs="Calibri"/>
                <w:b/>
                <w:bCs/>
                <w:color w:val="000000"/>
                <w:sz w:val="20"/>
                <w:szCs w:val="20"/>
              </w:rPr>
            </w:pPr>
            <w:r w:rsidRPr="005D0314">
              <w:rPr>
                <w:rFonts w:ascii="Calibri" w:hAnsi="Calibri" w:cs="Calibri"/>
                <w:color w:val="000000"/>
                <w:sz w:val="20"/>
                <w:szCs w:val="20"/>
              </w:rPr>
              <w:t>0.09</w:t>
            </w:r>
          </w:p>
        </w:tc>
        <w:tc>
          <w:tcPr>
            <w:tcW w:w="1134" w:type="dxa"/>
            <w:tcBorders>
              <w:top w:val="nil"/>
              <w:left w:val="nil"/>
              <w:bottom w:val="nil"/>
              <w:right w:val="nil"/>
            </w:tcBorders>
            <w:shd w:val="clear" w:color="auto" w:fill="auto"/>
            <w:noWrap/>
            <w:vAlign w:val="center"/>
            <w:hideMark/>
          </w:tcPr>
          <w:p w14:paraId="18DAA297" w14:textId="77777777" w:rsidR="00BC3F9F" w:rsidRPr="005D0314" w:rsidRDefault="00BC3F9F" w:rsidP="00486EE1">
            <w:pPr>
              <w:jc w:val="center"/>
              <w:rPr>
                <w:rFonts w:ascii="Calibri" w:hAnsi="Calibri" w:cs="Calibri"/>
                <w:b/>
                <w:bCs/>
                <w:color w:val="000000"/>
                <w:sz w:val="20"/>
                <w:szCs w:val="20"/>
              </w:rPr>
            </w:pPr>
            <w:r w:rsidRPr="005D0314">
              <w:rPr>
                <w:rFonts w:ascii="Calibri" w:hAnsi="Calibri" w:cs="Calibri"/>
                <w:b/>
                <w:bCs/>
                <w:color w:val="000000"/>
                <w:sz w:val="20"/>
                <w:szCs w:val="20"/>
              </w:rPr>
              <w:t>0.04</w:t>
            </w:r>
          </w:p>
        </w:tc>
        <w:tc>
          <w:tcPr>
            <w:tcW w:w="1843" w:type="dxa"/>
            <w:tcBorders>
              <w:top w:val="nil"/>
              <w:left w:val="nil"/>
              <w:bottom w:val="nil"/>
              <w:right w:val="nil"/>
            </w:tcBorders>
            <w:shd w:val="clear" w:color="auto" w:fill="auto"/>
            <w:noWrap/>
            <w:vAlign w:val="center"/>
            <w:hideMark/>
          </w:tcPr>
          <w:p w14:paraId="169C37D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0.49</w:t>
            </w:r>
            <w:r>
              <w:rPr>
                <w:rFonts w:ascii="Calibri" w:hAnsi="Calibri" w:cs="Calibri"/>
                <w:color w:val="000000"/>
                <w:sz w:val="20"/>
                <w:szCs w:val="20"/>
              </w:rPr>
              <w:t xml:space="preserve"> </w:t>
            </w:r>
            <w:r w:rsidRPr="005D0314">
              <w:rPr>
                <w:rFonts w:ascii="Calibri" w:hAnsi="Calibri" w:cs="Calibri"/>
                <w:color w:val="000000"/>
                <w:sz w:val="20"/>
                <w:szCs w:val="20"/>
              </w:rPr>
              <w:t>(0.28-0.86)</w:t>
            </w:r>
          </w:p>
        </w:tc>
        <w:tc>
          <w:tcPr>
            <w:tcW w:w="850" w:type="dxa"/>
            <w:tcBorders>
              <w:top w:val="nil"/>
              <w:left w:val="nil"/>
              <w:bottom w:val="nil"/>
              <w:right w:val="nil"/>
            </w:tcBorders>
            <w:vAlign w:val="center"/>
          </w:tcPr>
          <w:p w14:paraId="0217542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b/>
                <w:bCs/>
                <w:color w:val="000000"/>
                <w:sz w:val="20"/>
                <w:szCs w:val="20"/>
              </w:rPr>
              <w:t>0.03</w:t>
            </w:r>
          </w:p>
        </w:tc>
      </w:tr>
      <w:tr w:rsidR="0086380B" w:rsidRPr="005D0314" w14:paraId="1D06A5D0"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1A575504"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Atopi</w:t>
            </w:r>
            <w:r>
              <w:rPr>
                <w:rFonts w:ascii="Calibri" w:hAnsi="Calibri" w:cs="Calibri"/>
                <w:color w:val="000000"/>
                <w:sz w:val="20"/>
                <w:szCs w:val="20"/>
              </w:rPr>
              <w:t>c</w:t>
            </w:r>
            <w:r w:rsidRPr="005D0314">
              <w:rPr>
                <w:rFonts w:ascii="Calibri" w:hAnsi="Calibri" w:cs="Calibri"/>
                <w:color w:val="000000"/>
                <w:sz w:val="20"/>
                <w:szCs w:val="20"/>
              </w:rPr>
              <w:t xml:space="preserve"> dermatitis</w:t>
            </w:r>
          </w:p>
        </w:tc>
        <w:tc>
          <w:tcPr>
            <w:tcW w:w="663" w:type="dxa"/>
            <w:tcBorders>
              <w:top w:val="nil"/>
              <w:left w:val="nil"/>
              <w:bottom w:val="nil"/>
              <w:right w:val="nil"/>
            </w:tcBorders>
            <w:shd w:val="clear" w:color="auto" w:fill="auto"/>
            <w:noWrap/>
            <w:vAlign w:val="center"/>
            <w:hideMark/>
          </w:tcPr>
          <w:p w14:paraId="236543F6"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17</w:t>
            </w:r>
          </w:p>
        </w:tc>
        <w:tc>
          <w:tcPr>
            <w:tcW w:w="621" w:type="dxa"/>
            <w:tcBorders>
              <w:top w:val="nil"/>
              <w:left w:val="nil"/>
              <w:bottom w:val="nil"/>
              <w:right w:val="nil"/>
            </w:tcBorders>
            <w:shd w:val="clear" w:color="auto" w:fill="auto"/>
            <w:noWrap/>
            <w:vAlign w:val="center"/>
            <w:hideMark/>
          </w:tcPr>
          <w:p w14:paraId="7EECEF1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0.78</w:t>
            </w:r>
          </w:p>
        </w:tc>
        <w:tc>
          <w:tcPr>
            <w:tcW w:w="1834" w:type="dxa"/>
            <w:tcBorders>
              <w:top w:val="nil"/>
              <w:left w:val="nil"/>
              <w:bottom w:val="nil"/>
              <w:right w:val="nil"/>
            </w:tcBorders>
            <w:shd w:val="clear" w:color="auto" w:fill="auto"/>
            <w:noWrap/>
            <w:vAlign w:val="center"/>
            <w:hideMark/>
          </w:tcPr>
          <w:p w14:paraId="629DEE98"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1.00</w:t>
            </w:r>
            <w:r>
              <w:rPr>
                <w:rFonts w:ascii="Calibri" w:hAnsi="Calibri" w:cs="Calibri"/>
                <w:color w:val="000000"/>
                <w:sz w:val="20"/>
                <w:szCs w:val="20"/>
              </w:rPr>
              <w:t xml:space="preserve"> </w:t>
            </w:r>
            <w:r w:rsidRPr="005D0314">
              <w:rPr>
                <w:rFonts w:ascii="Calibri" w:hAnsi="Calibri" w:cs="Calibri"/>
                <w:color w:val="000000"/>
                <w:sz w:val="20"/>
                <w:szCs w:val="20"/>
              </w:rPr>
              <w:t>(0.88-1.13)</w:t>
            </w:r>
          </w:p>
        </w:tc>
        <w:tc>
          <w:tcPr>
            <w:tcW w:w="992" w:type="dxa"/>
            <w:tcBorders>
              <w:top w:val="nil"/>
              <w:left w:val="nil"/>
              <w:bottom w:val="nil"/>
            </w:tcBorders>
            <w:vAlign w:val="center"/>
          </w:tcPr>
          <w:p w14:paraId="5FD72CE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0.95</w:t>
            </w:r>
          </w:p>
        </w:tc>
        <w:tc>
          <w:tcPr>
            <w:tcW w:w="1560" w:type="dxa"/>
            <w:tcBorders>
              <w:top w:val="nil"/>
              <w:bottom w:val="nil"/>
              <w:right w:val="nil"/>
            </w:tcBorders>
            <w:shd w:val="clear" w:color="auto" w:fill="auto"/>
            <w:noWrap/>
            <w:vAlign w:val="center"/>
            <w:hideMark/>
          </w:tcPr>
          <w:p w14:paraId="5CE3C65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0.94</w:t>
            </w:r>
            <w:r>
              <w:rPr>
                <w:rFonts w:ascii="Calibri" w:hAnsi="Calibri" w:cs="Calibri"/>
                <w:color w:val="000000"/>
                <w:sz w:val="20"/>
                <w:szCs w:val="20"/>
              </w:rPr>
              <w:t xml:space="preserve"> </w:t>
            </w:r>
            <w:r w:rsidRPr="005D0314">
              <w:rPr>
                <w:rFonts w:ascii="Calibri" w:hAnsi="Calibri" w:cs="Calibri"/>
                <w:color w:val="000000"/>
                <w:sz w:val="20"/>
                <w:szCs w:val="20"/>
              </w:rPr>
              <w:t>(0.79-1.12)</w:t>
            </w:r>
          </w:p>
        </w:tc>
        <w:tc>
          <w:tcPr>
            <w:tcW w:w="992" w:type="dxa"/>
            <w:tcBorders>
              <w:top w:val="nil"/>
              <w:left w:val="nil"/>
              <w:bottom w:val="nil"/>
            </w:tcBorders>
            <w:vAlign w:val="center"/>
          </w:tcPr>
          <w:p w14:paraId="293D82B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0.50</w:t>
            </w:r>
          </w:p>
        </w:tc>
        <w:tc>
          <w:tcPr>
            <w:tcW w:w="1134" w:type="dxa"/>
            <w:tcBorders>
              <w:top w:val="nil"/>
              <w:left w:val="nil"/>
              <w:bottom w:val="nil"/>
              <w:right w:val="nil"/>
            </w:tcBorders>
            <w:shd w:val="clear" w:color="auto" w:fill="auto"/>
            <w:noWrap/>
            <w:vAlign w:val="center"/>
            <w:hideMark/>
          </w:tcPr>
          <w:p w14:paraId="37CCE21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0.35</w:t>
            </w:r>
          </w:p>
        </w:tc>
        <w:tc>
          <w:tcPr>
            <w:tcW w:w="1843" w:type="dxa"/>
            <w:tcBorders>
              <w:top w:val="nil"/>
              <w:left w:val="nil"/>
              <w:bottom w:val="nil"/>
              <w:right w:val="nil"/>
            </w:tcBorders>
            <w:shd w:val="clear" w:color="auto" w:fill="auto"/>
            <w:noWrap/>
            <w:vAlign w:val="center"/>
            <w:hideMark/>
          </w:tcPr>
          <w:p w14:paraId="4A0AD2B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0.84</w:t>
            </w:r>
            <w:r>
              <w:rPr>
                <w:rFonts w:ascii="Calibri" w:hAnsi="Calibri" w:cs="Calibri"/>
                <w:color w:val="000000"/>
                <w:sz w:val="20"/>
                <w:szCs w:val="20"/>
              </w:rPr>
              <w:t xml:space="preserve"> </w:t>
            </w:r>
            <w:r w:rsidRPr="005D0314">
              <w:rPr>
                <w:rFonts w:ascii="Calibri" w:hAnsi="Calibri" w:cs="Calibri"/>
                <w:color w:val="000000"/>
                <w:sz w:val="20"/>
                <w:szCs w:val="20"/>
              </w:rPr>
              <w:t>(0.59-1.21)</w:t>
            </w:r>
          </w:p>
        </w:tc>
        <w:tc>
          <w:tcPr>
            <w:tcW w:w="850" w:type="dxa"/>
            <w:tcBorders>
              <w:top w:val="nil"/>
              <w:left w:val="nil"/>
              <w:bottom w:val="nil"/>
              <w:right w:val="nil"/>
            </w:tcBorders>
            <w:vAlign w:val="center"/>
          </w:tcPr>
          <w:p w14:paraId="1C41A29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0.37</w:t>
            </w:r>
          </w:p>
        </w:tc>
      </w:tr>
      <w:tr w:rsidR="0086380B" w:rsidRPr="005D0314" w14:paraId="6CF110C9"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2313F02F"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Allergic rhinitis</w:t>
            </w:r>
          </w:p>
        </w:tc>
        <w:tc>
          <w:tcPr>
            <w:tcW w:w="663" w:type="dxa"/>
            <w:tcBorders>
              <w:top w:val="nil"/>
              <w:left w:val="nil"/>
              <w:bottom w:val="nil"/>
              <w:right w:val="nil"/>
            </w:tcBorders>
            <w:shd w:val="clear" w:color="auto" w:fill="auto"/>
            <w:noWrap/>
            <w:vAlign w:val="center"/>
            <w:hideMark/>
          </w:tcPr>
          <w:p w14:paraId="4EF209D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27</w:t>
            </w:r>
          </w:p>
        </w:tc>
        <w:tc>
          <w:tcPr>
            <w:tcW w:w="621" w:type="dxa"/>
            <w:tcBorders>
              <w:top w:val="nil"/>
              <w:left w:val="nil"/>
              <w:bottom w:val="nil"/>
              <w:right w:val="nil"/>
            </w:tcBorders>
            <w:shd w:val="clear" w:color="auto" w:fill="auto"/>
            <w:noWrap/>
            <w:vAlign w:val="center"/>
            <w:hideMark/>
          </w:tcPr>
          <w:p w14:paraId="366FB9D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0.47</w:t>
            </w:r>
          </w:p>
        </w:tc>
        <w:tc>
          <w:tcPr>
            <w:tcW w:w="1834" w:type="dxa"/>
            <w:tcBorders>
              <w:top w:val="nil"/>
              <w:left w:val="nil"/>
              <w:bottom w:val="nil"/>
              <w:right w:val="nil"/>
            </w:tcBorders>
            <w:shd w:val="clear" w:color="auto" w:fill="auto"/>
            <w:noWrap/>
            <w:vAlign w:val="center"/>
            <w:hideMark/>
          </w:tcPr>
          <w:p w14:paraId="773882C7"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0.98</w:t>
            </w:r>
            <w:r>
              <w:rPr>
                <w:rFonts w:ascii="Calibri" w:hAnsi="Calibri" w:cs="Calibri"/>
                <w:color w:val="000000"/>
                <w:sz w:val="20"/>
                <w:szCs w:val="20"/>
              </w:rPr>
              <w:t xml:space="preserve"> </w:t>
            </w:r>
            <w:r w:rsidRPr="005D0314">
              <w:rPr>
                <w:rFonts w:ascii="Calibri" w:hAnsi="Calibri" w:cs="Calibri"/>
                <w:color w:val="000000"/>
                <w:sz w:val="20"/>
                <w:szCs w:val="20"/>
              </w:rPr>
              <w:t>(0.83-1.15)</w:t>
            </w:r>
          </w:p>
        </w:tc>
        <w:tc>
          <w:tcPr>
            <w:tcW w:w="992" w:type="dxa"/>
            <w:tcBorders>
              <w:top w:val="nil"/>
              <w:left w:val="nil"/>
              <w:bottom w:val="nil"/>
            </w:tcBorders>
            <w:vAlign w:val="center"/>
          </w:tcPr>
          <w:p w14:paraId="4DFE162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0.78</w:t>
            </w:r>
          </w:p>
        </w:tc>
        <w:tc>
          <w:tcPr>
            <w:tcW w:w="1560" w:type="dxa"/>
            <w:tcBorders>
              <w:top w:val="nil"/>
              <w:bottom w:val="nil"/>
              <w:right w:val="nil"/>
            </w:tcBorders>
            <w:shd w:val="clear" w:color="auto" w:fill="auto"/>
            <w:noWrap/>
            <w:vAlign w:val="center"/>
            <w:hideMark/>
          </w:tcPr>
          <w:p w14:paraId="27A5052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0.86</w:t>
            </w:r>
            <w:r>
              <w:rPr>
                <w:rFonts w:ascii="Calibri" w:hAnsi="Calibri" w:cs="Calibri"/>
                <w:color w:val="000000"/>
                <w:sz w:val="20"/>
                <w:szCs w:val="20"/>
              </w:rPr>
              <w:t xml:space="preserve"> </w:t>
            </w:r>
            <w:r w:rsidRPr="005D0314">
              <w:rPr>
                <w:rFonts w:ascii="Calibri" w:hAnsi="Calibri" w:cs="Calibri"/>
                <w:color w:val="000000"/>
                <w:sz w:val="20"/>
                <w:szCs w:val="20"/>
              </w:rPr>
              <w:t>(0.68-1.08)</w:t>
            </w:r>
          </w:p>
        </w:tc>
        <w:tc>
          <w:tcPr>
            <w:tcW w:w="992" w:type="dxa"/>
            <w:tcBorders>
              <w:top w:val="nil"/>
              <w:left w:val="nil"/>
              <w:bottom w:val="nil"/>
            </w:tcBorders>
            <w:vAlign w:val="center"/>
          </w:tcPr>
          <w:p w14:paraId="00C27B7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0.18</w:t>
            </w:r>
          </w:p>
        </w:tc>
        <w:tc>
          <w:tcPr>
            <w:tcW w:w="1134" w:type="dxa"/>
            <w:tcBorders>
              <w:top w:val="nil"/>
              <w:left w:val="nil"/>
              <w:bottom w:val="nil"/>
              <w:right w:val="nil"/>
            </w:tcBorders>
            <w:shd w:val="clear" w:color="auto" w:fill="auto"/>
            <w:noWrap/>
            <w:vAlign w:val="center"/>
            <w:hideMark/>
          </w:tcPr>
          <w:p w14:paraId="40081C3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0.08</w:t>
            </w:r>
          </w:p>
        </w:tc>
        <w:tc>
          <w:tcPr>
            <w:tcW w:w="1843" w:type="dxa"/>
            <w:tcBorders>
              <w:top w:val="nil"/>
              <w:left w:val="nil"/>
              <w:bottom w:val="nil"/>
              <w:right w:val="nil"/>
            </w:tcBorders>
            <w:shd w:val="clear" w:color="auto" w:fill="auto"/>
            <w:noWrap/>
            <w:vAlign w:val="center"/>
            <w:hideMark/>
          </w:tcPr>
          <w:p w14:paraId="123021FC"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0.64</w:t>
            </w:r>
            <w:r>
              <w:rPr>
                <w:rFonts w:ascii="Calibri" w:hAnsi="Calibri" w:cs="Calibri"/>
                <w:color w:val="000000"/>
                <w:sz w:val="20"/>
                <w:szCs w:val="20"/>
              </w:rPr>
              <w:t xml:space="preserve"> </w:t>
            </w:r>
            <w:r w:rsidRPr="005D0314">
              <w:rPr>
                <w:rFonts w:ascii="Calibri" w:hAnsi="Calibri" w:cs="Calibri"/>
                <w:color w:val="000000"/>
                <w:sz w:val="20"/>
                <w:szCs w:val="20"/>
              </w:rPr>
              <w:t>(0.39-1.04)</w:t>
            </w:r>
          </w:p>
        </w:tc>
        <w:tc>
          <w:tcPr>
            <w:tcW w:w="850" w:type="dxa"/>
            <w:tcBorders>
              <w:top w:val="nil"/>
              <w:left w:val="nil"/>
              <w:bottom w:val="nil"/>
              <w:right w:val="nil"/>
            </w:tcBorders>
            <w:vAlign w:val="center"/>
          </w:tcPr>
          <w:p w14:paraId="5B948CF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0.09</w:t>
            </w:r>
          </w:p>
        </w:tc>
      </w:tr>
      <w:tr w:rsidR="0086380B" w:rsidRPr="005D0314" w14:paraId="637B9780" w14:textId="77777777" w:rsidTr="00251E4B">
        <w:trPr>
          <w:trHeight w:val="20"/>
          <w:jc w:val="center"/>
        </w:trPr>
        <w:tc>
          <w:tcPr>
            <w:tcW w:w="2127" w:type="dxa"/>
            <w:tcBorders>
              <w:top w:val="nil"/>
              <w:left w:val="nil"/>
              <w:bottom w:val="nil"/>
              <w:right w:val="nil"/>
            </w:tcBorders>
            <w:shd w:val="clear" w:color="auto" w:fill="auto"/>
            <w:noWrap/>
            <w:vAlign w:val="center"/>
            <w:hideMark/>
          </w:tcPr>
          <w:p w14:paraId="771DD12C"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Asthma</w:t>
            </w:r>
          </w:p>
        </w:tc>
        <w:tc>
          <w:tcPr>
            <w:tcW w:w="663" w:type="dxa"/>
            <w:tcBorders>
              <w:top w:val="nil"/>
              <w:left w:val="nil"/>
              <w:bottom w:val="nil"/>
              <w:right w:val="nil"/>
            </w:tcBorders>
            <w:shd w:val="clear" w:color="auto" w:fill="auto"/>
            <w:noWrap/>
            <w:vAlign w:val="center"/>
            <w:hideMark/>
          </w:tcPr>
          <w:p w14:paraId="4DEE836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53</w:t>
            </w:r>
          </w:p>
        </w:tc>
        <w:tc>
          <w:tcPr>
            <w:tcW w:w="621" w:type="dxa"/>
            <w:tcBorders>
              <w:top w:val="nil"/>
              <w:left w:val="nil"/>
              <w:bottom w:val="nil"/>
              <w:right w:val="nil"/>
            </w:tcBorders>
            <w:shd w:val="clear" w:color="auto" w:fill="auto"/>
            <w:noWrap/>
            <w:vAlign w:val="center"/>
            <w:hideMark/>
          </w:tcPr>
          <w:p w14:paraId="5233574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0.15</w:t>
            </w:r>
          </w:p>
        </w:tc>
        <w:tc>
          <w:tcPr>
            <w:tcW w:w="1834" w:type="dxa"/>
            <w:tcBorders>
              <w:top w:val="nil"/>
              <w:left w:val="nil"/>
              <w:bottom w:val="nil"/>
              <w:right w:val="nil"/>
            </w:tcBorders>
            <w:shd w:val="clear" w:color="auto" w:fill="auto"/>
            <w:noWrap/>
            <w:vAlign w:val="center"/>
            <w:hideMark/>
          </w:tcPr>
          <w:p w14:paraId="16A8820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0.98</w:t>
            </w:r>
            <w:r>
              <w:rPr>
                <w:rFonts w:ascii="Calibri" w:hAnsi="Calibri" w:cs="Calibri"/>
                <w:color w:val="000000"/>
                <w:sz w:val="20"/>
                <w:szCs w:val="20"/>
              </w:rPr>
              <w:t xml:space="preserve"> </w:t>
            </w:r>
            <w:r w:rsidRPr="005D0314">
              <w:rPr>
                <w:rFonts w:ascii="Calibri" w:hAnsi="Calibri" w:cs="Calibri"/>
                <w:color w:val="000000"/>
                <w:sz w:val="20"/>
                <w:szCs w:val="20"/>
              </w:rPr>
              <w:t>(0.88-1.08)</w:t>
            </w:r>
          </w:p>
        </w:tc>
        <w:tc>
          <w:tcPr>
            <w:tcW w:w="992" w:type="dxa"/>
            <w:tcBorders>
              <w:top w:val="nil"/>
              <w:left w:val="nil"/>
              <w:bottom w:val="nil"/>
            </w:tcBorders>
            <w:vAlign w:val="center"/>
          </w:tcPr>
          <w:p w14:paraId="59923A90"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0.68</w:t>
            </w:r>
          </w:p>
        </w:tc>
        <w:tc>
          <w:tcPr>
            <w:tcW w:w="1560" w:type="dxa"/>
            <w:tcBorders>
              <w:top w:val="nil"/>
              <w:bottom w:val="nil"/>
              <w:right w:val="nil"/>
            </w:tcBorders>
            <w:shd w:val="clear" w:color="auto" w:fill="auto"/>
            <w:noWrap/>
            <w:vAlign w:val="center"/>
            <w:hideMark/>
          </w:tcPr>
          <w:p w14:paraId="59DD7A3B"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0.94</w:t>
            </w:r>
            <w:r>
              <w:rPr>
                <w:rFonts w:ascii="Calibri" w:hAnsi="Calibri" w:cs="Calibri"/>
                <w:color w:val="000000"/>
                <w:sz w:val="20"/>
                <w:szCs w:val="20"/>
              </w:rPr>
              <w:t xml:space="preserve"> </w:t>
            </w:r>
            <w:r w:rsidRPr="005D0314">
              <w:rPr>
                <w:rFonts w:ascii="Calibri" w:hAnsi="Calibri" w:cs="Calibri"/>
                <w:color w:val="000000"/>
                <w:sz w:val="20"/>
                <w:szCs w:val="20"/>
              </w:rPr>
              <w:t>(0.81-1.09)</w:t>
            </w:r>
          </w:p>
        </w:tc>
        <w:tc>
          <w:tcPr>
            <w:tcW w:w="992" w:type="dxa"/>
            <w:tcBorders>
              <w:top w:val="nil"/>
              <w:left w:val="nil"/>
              <w:bottom w:val="nil"/>
            </w:tcBorders>
            <w:vAlign w:val="center"/>
          </w:tcPr>
          <w:p w14:paraId="20A7140F"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0.41</w:t>
            </w:r>
          </w:p>
        </w:tc>
        <w:tc>
          <w:tcPr>
            <w:tcW w:w="1134" w:type="dxa"/>
            <w:tcBorders>
              <w:top w:val="nil"/>
              <w:left w:val="nil"/>
              <w:bottom w:val="nil"/>
              <w:right w:val="nil"/>
            </w:tcBorders>
            <w:shd w:val="clear" w:color="auto" w:fill="auto"/>
            <w:noWrap/>
            <w:vAlign w:val="center"/>
            <w:hideMark/>
          </w:tcPr>
          <w:p w14:paraId="44B94922"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0.25</w:t>
            </w:r>
          </w:p>
        </w:tc>
        <w:tc>
          <w:tcPr>
            <w:tcW w:w="1843" w:type="dxa"/>
            <w:tcBorders>
              <w:top w:val="nil"/>
              <w:left w:val="nil"/>
              <w:bottom w:val="nil"/>
              <w:right w:val="nil"/>
            </w:tcBorders>
            <w:shd w:val="clear" w:color="auto" w:fill="auto"/>
            <w:noWrap/>
            <w:vAlign w:val="center"/>
            <w:hideMark/>
          </w:tcPr>
          <w:p w14:paraId="1337745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0.84</w:t>
            </w:r>
            <w:r>
              <w:rPr>
                <w:rFonts w:ascii="Calibri" w:hAnsi="Calibri" w:cs="Calibri"/>
                <w:color w:val="000000"/>
                <w:sz w:val="20"/>
                <w:szCs w:val="20"/>
              </w:rPr>
              <w:t xml:space="preserve"> </w:t>
            </w:r>
            <w:r w:rsidRPr="005D0314">
              <w:rPr>
                <w:rFonts w:ascii="Calibri" w:hAnsi="Calibri" w:cs="Calibri"/>
                <w:color w:val="000000"/>
                <w:sz w:val="20"/>
                <w:szCs w:val="20"/>
              </w:rPr>
              <w:t>(0.63-1.11)</w:t>
            </w:r>
          </w:p>
        </w:tc>
        <w:tc>
          <w:tcPr>
            <w:tcW w:w="850" w:type="dxa"/>
            <w:tcBorders>
              <w:top w:val="nil"/>
              <w:left w:val="nil"/>
              <w:bottom w:val="nil"/>
              <w:right w:val="nil"/>
            </w:tcBorders>
            <w:vAlign w:val="center"/>
          </w:tcPr>
          <w:p w14:paraId="5177296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0.22</w:t>
            </w:r>
          </w:p>
        </w:tc>
      </w:tr>
      <w:tr w:rsidR="0086380B" w:rsidRPr="005D0314" w14:paraId="6D7A2E8B" w14:textId="77777777" w:rsidTr="00251E4B">
        <w:trPr>
          <w:trHeight w:val="20"/>
          <w:jc w:val="center"/>
        </w:trPr>
        <w:tc>
          <w:tcPr>
            <w:tcW w:w="2127" w:type="dxa"/>
            <w:tcBorders>
              <w:top w:val="nil"/>
              <w:left w:val="nil"/>
              <w:bottom w:val="single" w:sz="4" w:space="0" w:color="auto"/>
              <w:right w:val="nil"/>
            </w:tcBorders>
            <w:shd w:val="clear" w:color="auto" w:fill="auto"/>
            <w:noWrap/>
            <w:vAlign w:val="center"/>
            <w:hideMark/>
          </w:tcPr>
          <w:p w14:paraId="176FEFDB" w14:textId="77777777" w:rsidR="00BC3F9F" w:rsidRPr="005D0314" w:rsidRDefault="00BC3F9F" w:rsidP="00486EE1">
            <w:pPr>
              <w:jc w:val="both"/>
              <w:rPr>
                <w:rFonts w:ascii="Calibri" w:hAnsi="Calibri" w:cs="Calibri"/>
                <w:color w:val="000000"/>
                <w:sz w:val="20"/>
                <w:szCs w:val="20"/>
              </w:rPr>
            </w:pPr>
            <w:r w:rsidRPr="005D0314">
              <w:rPr>
                <w:rFonts w:ascii="Calibri" w:hAnsi="Calibri" w:cs="Calibri"/>
                <w:color w:val="000000"/>
                <w:sz w:val="20"/>
                <w:szCs w:val="20"/>
              </w:rPr>
              <w:t>Allergic disease</w:t>
            </w:r>
          </w:p>
        </w:tc>
        <w:tc>
          <w:tcPr>
            <w:tcW w:w="663" w:type="dxa"/>
            <w:tcBorders>
              <w:top w:val="nil"/>
              <w:left w:val="nil"/>
              <w:bottom w:val="single" w:sz="4" w:space="0" w:color="auto"/>
              <w:right w:val="nil"/>
            </w:tcBorders>
            <w:shd w:val="clear" w:color="auto" w:fill="auto"/>
            <w:noWrap/>
            <w:vAlign w:val="center"/>
            <w:hideMark/>
          </w:tcPr>
          <w:p w14:paraId="3C515CAE"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77</w:t>
            </w:r>
          </w:p>
        </w:tc>
        <w:tc>
          <w:tcPr>
            <w:tcW w:w="621" w:type="dxa"/>
            <w:tcBorders>
              <w:top w:val="nil"/>
              <w:left w:val="nil"/>
              <w:bottom w:val="single" w:sz="4" w:space="0" w:color="auto"/>
              <w:right w:val="nil"/>
            </w:tcBorders>
            <w:shd w:val="clear" w:color="auto" w:fill="auto"/>
            <w:noWrap/>
            <w:vAlign w:val="center"/>
            <w:hideMark/>
          </w:tcPr>
          <w:p w14:paraId="185D5AE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0.77</w:t>
            </w:r>
          </w:p>
        </w:tc>
        <w:tc>
          <w:tcPr>
            <w:tcW w:w="1834" w:type="dxa"/>
            <w:tcBorders>
              <w:top w:val="nil"/>
              <w:left w:val="nil"/>
              <w:bottom w:val="single" w:sz="4" w:space="0" w:color="auto"/>
              <w:right w:val="nil"/>
            </w:tcBorders>
            <w:shd w:val="clear" w:color="auto" w:fill="auto"/>
            <w:noWrap/>
            <w:vAlign w:val="center"/>
            <w:hideMark/>
          </w:tcPr>
          <w:p w14:paraId="5075F62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0.97</w:t>
            </w:r>
            <w:r>
              <w:rPr>
                <w:rFonts w:ascii="Calibri" w:hAnsi="Calibri" w:cs="Calibri"/>
                <w:color w:val="000000"/>
                <w:sz w:val="20"/>
                <w:szCs w:val="20"/>
              </w:rPr>
              <w:t xml:space="preserve"> </w:t>
            </w:r>
            <w:r w:rsidRPr="005D0314">
              <w:rPr>
                <w:rFonts w:ascii="Calibri" w:hAnsi="Calibri" w:cs="Calibri"/>
                <w:color w:val="000000"/>
                <w:sz w:val="20"/>
                <w:szCs w:val="20"/>
              </w:rPr>
              <w:t>(0.86-1.09)</w:t>
            </w:r>
          </w:p>
        </w:tc>
        <w:tc>
          <w:tcPr>
            <w:tcW w:w="992" w:type="dxa"/>
            <w:tcBorders>
              <w:top w:val="nil"/>
              <w:left w:val="nil"/>
              <w:bottom w:val="single" w:sz="4" w:space="0" w:color="auto"/>
            </w:tcBorders>
            <w:vAlign w:val="center"/>
          </w:tcPr>
          <w:p w14:paraId="58716859"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0.60</w:t>
            </w:r>
          </w:p>
        </w:tc>
        <w:tc>
          <w:tcPr>
            <w:tcW w:w="1560" w:type="dxa"/>
            <w:tcBorders>
              <w:top w:val="nil"/>
              <w:bottom w:val="single" w:sz="4" w:space="0" w:color="auto"/>
            </w:tcBorders>
            <w:shd w:val="clear" w:color="auto" w:fill="auto"/>
            <w:noWrap/>
            <w:vAlign w:val="center"/>
            <w:hideMark/>
          </w:tcPr>
          <w:p w14:paraId="11BCF5E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0.91</w:t>
            </w:r>
            <w:r>
              <w:rPr>
                <w:rFonts w:ascii="Calibri" w:hAnsi="Calibri" w:cs="Calibri"/>
                <w:color w:val="000000"/>
                <w:sz w:val="20"/>
                <w:szCs w:val="20"/>
              </w:rPr>
              <w:t xml:space="preserve"> </w:t>
            </w:r>
            <w:r w:rsidRPr="005D0314">
              <w:rPr>
                <w:rFonts w:ascii="Calibri" w:hAnsi="Calibri" w:cs="Calibri"/>
                <w:color w:val="000000"/>
                <w:sz w:val="20"/>
                <w:szCs w:val="20"/>
              </w:rPr>
              <w:t>(0.75-1.10)</w:t>
            </w:r>
          </w:p>
        </w:tc>
        <w:tc>
          <w:tcPr>
            <w:tcW w:w="992" w:type="dxa"/>
            <w:tcBorders>
              <w:top w:val="nil"/>
              <w:bottom w:val="single" w:sz="4" w:space="0" w:color="auto"/>
            </w:tcBorders>
            <w:vAlign w:val="center"/>
          </w:tcPr>
          <w:p w14:paraId="1933458A"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0.31</w:t>
            </w:r>
          </w:p>
        </w:tc>
        <w:tc>
          <w:tcPr>
            <w:tcW w:w="1134" w:type="dxa"/>
            <w:tcBorders>
              <w:top w:val="nil"/>
              <w:left w:val="nil"/>
              <w:bottom w:val="single" w:sz="4" w:space="0" w:color="auto"/>
              <w:right w:val="nil"/>
            </w:tcBorders>
            <w:shd w:val="clear" w:color="auto" w:fill="auto"/>
            <w:noWrap/>
            <w:vAlign w:val="center"/>
            <w:hideMark/>
          </w:tcPr>
          <w:p w14:paraId="5EFF7AB3"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0.34</w:t>
            </w:r>
          </w:p>
        </w:tc>
        <w:tc>
          <w:tcPr>
            <w:tcW w:w="1843" w:type="dxa"/>
            <w:tcBorders>
              <w:top w:val="nil"/>
              <w:left w:val="nil"/>
              <w:bottom w:val="single" w:sz="4" w:space="0" w:color="auto"/>
              <w:right w:val="nil"/>
            </w:tcBorders>
            <w:shd w:val="clear" w:color="auto" w:fill="auto"/>
            <w:noWrap/>
            <w:vAlign w:val="center"/>
            <w:hideMark/>
          </w:tcPr>
          <w:p w14:paraId="0A130E61"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0.83</w:t>
            </w:r>
            <w:r>
              <w:rPr>
                <w:rFonts w:ascii="Calibri" w:hAnsi="Calibri" w:cs="Calibri"/>
                <w:color w:val="000000"/>
                <w:sz w:val="20"/>
                <w:szCs w:val="20"/>
              </w:rPr>
              <w:t xml:space="preserve"> </w:t>
            </w:r>
            <w:r w:rsidRPr="005D0314">
              <w:rPr>
                <w:rFonts w:ascii="Calibri" w:hAnsi="Calibri" w:cs="Calibri"/>
                <w:color w:val="000000"/>
                <w:sz w:val="20"/>
                <w:szCs w:val="20"/>
              </w:rPr>
              <w:t>(0.58-1.17)</w:t>
            </w:r>
          </w:p>
        </w:tc>
        <w:tc>
          <w:tcPr>
            <w:tcW w:w="850" w:type="dxa"/>
            <w:tcBorders>
              <w:top w:val="nil"/>
              <w:left w:val="nil"/>
              <w:bottom w:val="single" w:sz="4" w:space="0" w:color="auto"/>
              <w:right w:val="nil"/>
            </w:tcBorders>
            <w:vAlign w:val="center"/>
          </w:tcPr>
          <w:p w14:paraId="181B618D" w14:textId="77777777" w:rsidR="00BC3F9F" w:rsidRPr="005D0314" w:rsidRDefault="00BC3F9F" w:rsidP="00486EE1">
            <w:pPr>
              <w:jc w:val="center"/>
              <w:rPr>
                <w:rFonts w:ascii="Calibri" w:hAnsi="Calibri" w:cs="Calibri"/>
                <w:color w:val="000000"/>
                <w:sz w:val="20"/>
                <w:szCs w:val="20"/>
              </w:rPr>
            </w:pPr>
            <w:r w:rsidRPr="005D0314">
              <w:rPr>
                <w:rFonts w:ascii="Calibri" w:hAnsi="Calibri" w:cs="Calibri"/>
                <w:color w:val="000000"/>
                <w:sz w:val="20"/>
                <w:szCs w:val="20"/>
              </w:rPr>
              <w:t>0.28</w:t>
            </w:r>
          </w:p>
        </w:tc>
      </w:tr>
    </w:tbl>
    <w:p w14:paraId="2F6A2F44" w14:textId="77777777" w:rsidR="002126D5" w:rsidRDefault="002126D5" w:rsidP="004C3F23">
      <w:pPr>
        <w:rPr>
          <w:rFonts w:eastAsia="DengXian" w:cstheme="minorHAnsi"/>
          <w:b/>
          <w:color w:val="000000"/>
          <w:sz w:val="16"/>
          <w:szCs w:val="16"/>
        </w:rPr>
      </w:pPr>
    </w:p>
    <w:p w14:paraId="00D6919D" w14:textId="77777777" w:rsidR="00D844AF" w:rsidRDefault="00D844AF" w:rsidP="004C3F23">
      <w:pPr>
        <w:jc w:val="both"/>
        <w:rPr>
          <w:rFonts w:ascii="Calibri" w:hAnsi="Calibri" w:cs="Arial"/>
          <w:color w:val="000000"/>
          <w:sz w:val="20"/>
          <w:szCs w:val="20"/>
          <w:lang w:val="en-GB"/>
        </w:rPr>
      </w:pPr>
      <w:r w:rsidRPr="00125D06">
        <w:rPr>
          <w:rFonts w:ascii="Calibri" w:hAnsi="Calibri" w:cs="Arial"/>
          <w:color w:val="000000"/>
          <w:sz w:val="20"/>
          <w:szCs w:val="20"/>
          <w:lang w:val="en-GB"/>
        </w:rPr>
        <w:t>HDL = high-density lipoprotein; LDL = low-density lipoprotein; SNP = single nucleotide polymorphism.</w:t>
      </w:r>
    </w:p>
    <w:p w14:paraId="7672916F" w14:textId="2007E612" w:rsidR="002126D5" w:rsidRDefault="00B21E2D" w:rsidP="004C3F23">
      <w:pPr>
        <w:jc w:val="both"/>
        <w:rPr>
          <w:rFonts w:asciiTheme="minorHAnsi" w:eastAsia="DengXian" w:hAnsiTheme="minorHAnsi" w:cstheme="minorHAnsi"/>
          <w:color w:val="000000"/>
          <w:sz w:val="20"/>
          <w:szCs w:val="20"/>
        </w:rPr>
      </w:pPr>
      <w:r>
        <w:rPr>
          <w:rFonts w:asciiTheme="minorHAnsi" w:eastAsia="DengXian" w:hAnsiTheme="minorHAnsi" w:cstheme="minorHAnsi"/>
          <w:color w:val="000000"/>
          <w:sz w:val="20"/>
          <w:szCs w:val="20"/>
        </w:rPr>
        <w:t xml:space="preserve">Bold type denotes </w:t>
      </w:r>
      <w:r w:rsidR="00D844AF" w:rsidRPr="00C83CAB">
        <w:rPr>
          <w:rFonts w:asciiTheme="minorHAnsi" w:eastAsia="DengXian" w:hAnsiTheme="minorHAnsi" w:cstheme="minorHAnsi"/>
          <w:i/>
          <w:color w:val="000000"/>
          <w:sz w:val="20"/>
          <w:szCs w:val="20"/>
        </w:rPr>
        <w:t>P</w:t>
      </w:r>
      <w:r w:rsidR="00D844AF" w:rsidRPr="00D844AF">
        <w:rPr>
          <w:rFonts w:asciiTheme="minorHAnsi" w:eastAsia="DengXian" w:hAnsiTheme="minorHAnsi" w:cstheme="minorHAnsi"/>
          <w:color w:val="000000"/>
          <w:sz w:val="20"/>
          <w:szCs w:val="20"/>
        </w:rPr>
        <w:t xml:space="preserve"> &lt; 0.05</w:t>
      </w:r>
      <w:r w:rsidR="00DD516A">
        <w:rPr>
          <w:rFonts w:asciiTheme="minorHAnsi" w:eastAsia="DengXian" w:hAnsiTheme="minorHAnsi" w:cstheme="minorHAnsi"/>
          <w:color w:val="000000"/>
          <w:sz w:val="20"/>
          <w:szCs w:val="20"/>
        </w:rPr>
        <w:t>.</w:t>
      </w:r>
    </w:p>
    <w:p w14:paraId="68AB2B4E" w14:textId="4761833A" w:rsidR="00DD516A" w:rsidRPr="00476B97" w:rsidRDefault="005F554D" w:rsidP="005F554D">
      <w:pPr>
        <w:jc w:val="both"/>
        <w:rPr>
          <w:rFonts w:asciiTheme="minorHAnsi" w:eastAsia="DengXian" w:hAnsiTheme="minorHAnsi" w:cstheme="minorHAnsi"/>
          <w:color w:val="000000"/>
          <w:sz w:val="20"/>
          <w:szCs w:val="20"/>
        </w:rPr>
      </w:pPr>
      <w:r w:rsidRPr="00476B97">
        <w:rPr>
          <w:rFonts w:asciiTheme="minorHAnsi" w:eastAsia="DengXian" w:hAnsiTheme="minorHAnsi" w:cstheme="minorHAnsi"/>
          <w:color w:val="000000"/>
          <w:sz w:val="20"/>
          <w:szCs w:val="20"/>
        </w:rPr>
        <w:t xml:space="preserve">Weighted median and </w:t>
      </w:r>
      <w:r w:rsidR="00DD516A" w:rsidRPr="00476B97">
        <w:rPr>
          <w:rFonts w:asciiTheme="minorHAnsi" w:eastAsia="DengXian" w:hAnsiTheme="minorHAnsi" w:cstheme="minorHAnsi" w:hint="eastAsia"/>
          <w:color w:val="000000"/>
          <w:sz w:val="20"/>
          <w:szCs w:val="20"/>
        </w:rPr>
        <w:t>M</w:t>
      </w:r>
      <w:r w:rsidR="00DD516A" w:rsidRPr="00476B97">
        <w:rPr>
          <w:rFonts w:asciiTheme="minorHAnsi" w:eastAsia="DengXian" w:hAnsiTheme="minorHAnsi" w:cstheme="minorHAnsi"/>
          <w:color w:val="000000"/>
          <w:sz w:val="20"/>
          <w:szCs w:val="20"/>
        </w:rPr>
        <w:t>R-Egger is not available when the number of SNPs is less than 3.</w:t>
      </w:r>
    </w:p>
    <w:p w14:paraId="24424B08" w14:textId="77777777" w:rsidR="002126D5" w:rsidRPr="00582A7B" w:rsidRDefault="002126D5" w:rsidP="00582A7B">
      <w:pPr>
        <w:tabs>
          <w:tab w:val="left" w:pos="14673"/>
        </w:tabs>
        <w:rPr>
          <w:rFonts w:eastAsia="DengXian" w:cstheme="minorHAnsi"/>
          <w:color w:val="000000"/>
          <w:sz w:val="16"/>
          <w:szCs w:val="16"/>
        </w:rPr>
      </w:pPr>
      <w:r w:rsidRPr="00582A7B">
        <w:rPr>
          <w:rFonts w:eastAsia="DengXian" w:cstheme="minorHAnsi"/>
          <w:color w:val="000000"/>
          <w:sz w:val="16"/>
          <w:szCs w:val="16"/>
        </w:rPr>
        <w:tab/>
      </w:r>
    </w:p>
    <w:p w14:paraId="51057514" w14:textId="77777777" w:rsidR="00F34DBB" w:rsidRDefault="00F34DBB" w:rsidP="004F78F6">
      <w:pPr>
        <w:rPr>
          <w:rFonts w:ascii="Calibri" w:hAnsi="Calibri" w:cs="Arial"/>
          <w:b/>
          <w:lang w:val="en-GB"/>
        </w:rPr>
      </w:pPr>
    </w:p>
    <w:p w14:paraId="68DF7ADA" w14:textId="77777777" w:rsidR="008C6219" w:rsidRPr="00AD4C4D" w:rsidRDefault="008C6219" w:rsidP="000645E7">
      <w:pPr>
        <w:jc w:val="both"/>
        <w:rPr>
          <w:rFonts w:ascii="Calibri" w:hAnsi="Calibri" w:cs="Arial"/>
          <w:lang w:val="en-GB"/>
        </w:rPr>
      </w:pPr>
    </w:p>
    <w:sectPr w:rsidR="008C6219" w:rsidRPr="00AD4C4D" w:rsidSect="00AD4C4D">
      <w:pgSz w:w="16838" w:h="11906" w:orient="landscape"/>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1217FD" w14:textId="77777777" w:rsidR="00552642" w:rsidRDefault="00552642" w:rsidP="006D5FE0">
      <w:r>
        <w:separator/>
      </w:r>
    </w:p>
  </w:endnote>
  <w:endnote w:type="continuationSeparator" w:id="0">
    <w:p w14:paraId="0034BA86" w14:textId="77777777" w:rsidR="00552642" w:rsidRDefault="00552642" w:rsidP="006D5FE0">
      <w:r>
        <w:continuationSeparator/>
      </w:r>
    </w:p>
  </w:endnote>
  <w:endnote w:type="continuationNotice" w:id="1">
    <w:p w14:paraId="314C57BB" w14:textId="77777777" w:rsidR="00552642" w:rsidRDefault="005526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alibr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639C9" w14:textId="77777777" w:rsidR="00014867" w:rsidRDefault="00014867" w:rsidP="00E063B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34E731" w14:textId="77777777" w:rsidR="00014867" w:rsidRDefault="0001486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DC9D4" w14:textId="21067705" w:rsidR="00014867" w:rsidRDefault="00014867" w:rsidP="00E063B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22</w:t>
    </w:r>
    <w:r>
      <w:rPr>
        <w:rStyle w:val="PageNumber"/>
      </w:rPr>
      <w:fldChar w:fldCharType="end"/>
    </w:r>
  </w:p>
  <w:p w14:paraId="0031051D" w14:textId="77777777" w:rsidR="00014867" w:rsidRDefault="000148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C2F45" w14:textId="77777777" w:rsidR="00552642" w:rsidRDefault="00552642" w:rsidP="006D5FE0">
      <w:r>
        <w:separator/>
      </w:r>
    </w:p>
  </w:footnote>
  <w:footnote w:type="continuationSeparator" w:id="0">
    <w:p w14:paraId="34CDAED2" w14:textId="77777777" w:rsidR="00552642" w:rsidRDefault="00552642" w:rsidP="006D5FE0">
      <w:r>
        <w:continuationSeparator/>
      </w:r>
    </w:p>
  </w:footnote>
  <w:footnote w:type="continuationNotice" w:id="1">
    <w:p w14:paraId="2F0ECE61" w14:textId="77777777" w:rsidR="00552642" w:rsidRDefault="0055264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F591B03"/>
    <w:multiLevelType w:val="multilevel"/>
    <w:tmpl w:val="16D2C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53979DC"/>
    <w:multiLevelType w:val="hybridMultilevel"/>
    <w:tmpl w:val="4B7407B6"/>
    <w:lvl w:ilvl="0" w:tplc="2DD6CE28">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38DA39DB"/>
    <w:multiLevelType w:val="hybridMultilevel"/>
    <w:tmpl w:val="8FDC8E76"/>
    <w:lvl w:ilvl="0" w:tplc="2396B544">
      <w:start w:val="1"/>
      <w:numFmt w:val="lowerLetter"/>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598A58D4"/>
    <w:multiLevelType w:val="hybridMultilevel"/>
    <w:tmpl w:val="937C816C"/>
    <w:lvl w:ilvl="0" w:tplc="2B32831E">
      <w:numFmt w:val="bullet"/>
      <w:lvlText w:val=""/>
      <w:lvlJc w:val="left"/>
      <w:pPr>
        <w:ind w:left="720" w:hanging="360"/>
      </w:pPr>
      <w:rPr>
        <w:rFonts w:ascii="Symbol" w:eastAsia="DengXian"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9A67E28"/>
    <w:multiLevelType w:val="hybridMultilevel"/>
    <w:tmpl w:val="852C4CAE"/>
    <w:lvl w:ilvl="0" w:tplc="16946E22">
      <w:start w:val="49"/>
      <w:numFmt w:val="bullet"/>
      <w:lvlText w:val=""/>
      <w:lvlJc w:val="left"/>
      <w:pPr>
        <w:ind w:left="360" w:hanging="360"/>
      </w:pPr>
      <w:rPr>
        <w:rFonts w:ascii="Wingdings" w:eastAsia="DengXian" w:hAnsi="Wingdings" w:cstheme="minorHAns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15:restartNumberingAfterBreak="0">
    <w:nsid w:val="6C873B1A"/>
    <w:multiLevelType w:val="hybridMultilevel"/>
    <w:tmpl w:val="6A6ADA80"/>
    <w:lvl w:ilvl="0" w:tplc="F3965AA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635374722">
    <w:abstractNumId w:val="5"/>
  </w:num>
  <w:num w:numId="2" w16cid:durableId="613633553">
    <w:abstractNumId w:val="1"/>
  </w:num>
  <w:num w:numId="3" w16cid:durableId="1737319392">
    <w:abstractNumId w:val="2"/>
  </w:num>
  <w:num w:numId="4" w16cid:durableId="1111632633">
    <w:abstractNumId w:val="0"/>
  </w:num>
  <w:num w:numId="5" w16cid:durableId="1520773691">
    <w:abstractNumId w:val="4"/>
  </w:num>
  <w:num w:numId="6" w16cid:durableId="69326933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08"/>
  <w:hyphenationZone w:val="283"/>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sLA0NjK1MLawNLM0sTBU0lEKTi0uzszPAykwMqsFAP2US3EtAAAA"/>
  </w:docVars>
  <w:rsids>
    <w:rsidRoot w:val="00C90886"/>
    <w:rsid w:val="00001933"/>
    <w:rsid w:val="0000328B"/>
    <w:rsid w:val="00004C01"/>
    <w:rsid w:val="000064E6"/>
    <w:rsid w:val="00010A80"/>
    <w:rsid w:val="00012ACF"/>
    <w:rsid w:val="00014235"/>
    <w:rsid w:val="00014867"/>
    <w:rsid w:val="00021F80"/>
    <w:rsid w:val="0002253C"/>
    <w:rsid w:val="0002263A"/>
    <w:rsid w:val="00023056"/>
    <w:rsid w:val="000230F7"/>
    <w:rsid w:val="00023D03"/>
    <w:rsid w:val="00026530"/>
    <w:rsid w:val="00026F00"/>
    <w:rsid w:val="00031C00"/>
    <w:rsid w:val="00031CE7"/>
    <w:rsid w:val="00033159"/>
    <w:rsid w:val="0003365C"/>
    <w:rsid w:val="000374CE"/>
    <w:rsid w:val="000402EB"/>
    <w:rsid w:val="00040A4E"/>
    <w:rsid w:val="00040E1C"/>
    <w:rsid w:val="00043116"/>
    <w:rsid w:val="0004388D"/>
    <w:rsid w:val="00044249"/>
    <w:rsid w:val="00044DC6"/>
    <w:rsid w:val="00046E74"/>
    <w:rsid w:val="000471A8"/>
    <w:rsid w:val="00047326"/>
    <w:rsid w:val="000519A8"/>
    <w:rsid w:val="00052E50"/>
    <w:rsid w:val="00053BDA"/>
    <w:rsid w:val="000601CB"/>
    <w:rsid w:val="00061C60"/>
    <w:rsid w:val="000645E7"/>
    <w:rsid w:val="00064B9D"/>
    <w:rsid w:val="000650D4"/>
    <w:rsid w:val="00065519"/>
    <w:rsid w:val="00066A0E"/>
    <w:rsid w:val="00072DC9"/>
    <w:rsid w:val="0007435C"/>
    <w:rsid w:val="00080A16"/>
    <w:rsid w:val="00082A06"/>
    <w:rsid w:val="00085AE2"/>
    <w:rsid w:val="00085DEC"/>
    <w:rsid w:val="00085ED1"/>
    <w:rsid w:val="00086AD2"/>
    <w:rsid w:val="00086C54"/>
    <w:rsid w:val="00090284"/>
    <w:rsid w:val="0009078E"/>
    <w:rsid w:val="00093656"/>
    <w:rsid w:val="000966EE"/>
    <w:rsid w:val="00096C4C"/>
    <w:rsid w:val="0009749E"/>
    <w:rsid w:val="000A0F45"/>
    <w:rsid w:val="000A1B31"/>
    <w:rsid w:val="000A1BF1"/>
    <w:rsid w:val="000A2015"/>
    <w:rsid w:val="000A218A"/>
    <w:rsid w:val="000A3626"/>
    <w:rsid w:val="000A4D86"/>
    <w:rsid w:val="000A5AD0"/>
    <w:rsid w:val="000B28F4"/>
    <w:rsid w:val="000B3298"/>
    <w:rsid w:val="000B3ADA"/>
    <w:rsid w:val="000B6804"/>
    <w:rsid w:val="000C1D17"/>
    <w:rsid w:val="000C212D"/>
    <w:rsid w:val="000C3877"/>
    <w:rsid w:val="000C7C65"/>
    <w:rsid w:val="000D24B8"/>
    <w:rsid w:val="000D24F8"/>
    <w:rsid w:val="000D35D6"/>
    <w:rsid w:val="000D49E4"/>
    <w:rsid w:val="000D5A14"/>
    <w:rsid w:val="000D69A0"/>
    <w:rsid w:val="000E1D57"/>
    <w:rsid w:val="000E3815"/>
    <w:rsid w:val="000E7ECA"/>
    <w:rsid w:val="000F16FB"/>
    <w:rsid w:val="000F1B8C"/>
    <w:rsid w:val="000F2DDC"/>
    <w:rsid w:val="000F395A"/>
    <w:rsid w:val="000F458E"/>
    <w:rsid w:val="000F530A"/>
    <w:rsid w:val="000F746B"/>
    <w:rsid w:val="000F7607"/>
    <w:rsid w:val="00102910"/>
    <w:rsid w:val="00103F72"/>
    <w:rsid w:val="0010691C"/>
    <w:rsid w:val="00110E84"/>
    <w:rsid w:val="00113EF2"/>
    <w:rsid w:val="00114378"/>
    <w:rsid w:val="00114C63"/>
    <w:rsid w:val="00116A19"/>
    <w:rsid w:val="001173C8"/>
    <w:rsid w:val="0012340B"/>
    <w:rsid w:val="00125196"/>
    <w:rsid w:val="00125D06"/>
    <w:rsid w:val="00127F61"/>
    <w:rsid w:val="00132558"/>
    <w:rsid w:val="001347BE"/>
    <w:rsid w:val="001349A2"/>
    <w:rsid w:val="00135F36"/>
    <w:rsid w:val="00136DA3"/>
    <w:rsid w:val="00137730"/>
    <w:rsid w:val="0014100C"/>
    <w:rsid w:val="0014121C"/>
    <w:rsid w:val="001426FB"/>
    <w:rsid w:val="00142A08"/>
    <w:rsid w:val="0014326E"/>
    <w:rsid w:val="00143F31"/>
    <w:rsid w:val="00144308"/>
    <w:rsid w:val="00145157"/>
    <w:rsid w:val="0014582C"/>
    <w:rsid w:val="00147791"/>
    <w:rsid w:val="001511F1"/>
    <w:rsid w:val="001540B3"/>
    <w:rsid w:val="00154158"/>
    <w:rsid w:val="00155558"/>
    <w:rsid w:val="00155788"/>
    <w:rsid w:val="001563C1"/>
    <w:rsid w:val="001613D2"/>
    <w:rsid w:val="00162A3F"/>
    <w:rsid w:val="001657C4"/>
    <w:rsid w:val="00167F09"/>
    <w:rsid w:val="001708FE"/>
    <w:rsid w:val="00172A21"/>
    <w:rsid w:val="0017372A"/>
    <w:rsid w:val="00174EF8"/>
    <w:rsid w:val="00180C9F"/>
    <w:rsid w:val="00182078"/>
    <w:rsid w:val="0018246A"/>
    <w:rsid w:val="00186682"/>
    <w:rsid w:val="001875D1"/>
    <w:rsid w:val="00190D0C"/>
    <w:rsid w:val="00192320"/>
    <w:rsid w:val="00195451"/>
    <w:rsid w:val="00197413"/>
    <w:rsid w:val="001A1CAA"/>
    <w:rsid w:val="001A1FAB"/>
    <w:rsid w:val="001A297B"/>
    <w:rsid w:val="001A54DD"/>
    <w:rsid w:val="001A6061"/>
    <w:rsid w:val="001A7798"/>
    <w:rsid w:val="001B002E"/>
    <w:rsid w:val="001B61BC"/>
    <w:rsid w:val="001B64AE"/>
    <w:rsid w:val="001C0800"/>
    <w:rsid w:val="001C3E0B"/>
    <w:rsid w:val="001C402B"/>
    <w:rsid w:val="001C4DA7"/>
    <w:rsid w:val="001C52E3"/>
    <w:rsid w:val="001C6011"/>
    <w:rsid w:val="001C7C30"/>
    <w:rsid w:val="001D148E"/>
    <w:rsid w:val="001D172E"/>
    <w:rsid w:val="001D23B9"/>
    <w:rsid w:val="001D2454"/>
    <w:rsid w:val="001D5A4E"/>
    <w:rsid w:val="001D70A7"/>
    <w:rsid w:val="001D70C3"/>
    <w:rsid w:val="001E5B5A"/>
    <w:rsid w:val="001E5D8C"/>
    <w:rsid w:val="001F1E88"/>
    <w:rsid w:val="001F3214"/>
    <w:rsid w:val="001F62C0"/>
    <w:rsid w:val="001F7A9D"/>
    <w:rsid w:val="001F7E04"/>
    <w:rsid w:val="00200BE8"/>
    <w:rsid w:val="0020191E"/>
    <w:rsid w:val="00202691"/>
    <w:rsid w:val="00203459"/>
    <w:rsid w:val="002034C3"/>
    <w:rsid w:val="0020396A"/>
    <w:rsid w:val="00207DF8"/>
    <w:rsid w:val="002126D5"/>
    <w:rsid w:val="0021290C"/>
    <w:rsid w:val="0021309E"/>
    <w:rsid w:val="002209C3"/>
    <w:rsid w:val="00223EEB"/>
    <w:rsid w:val="00227D89"/>
    <w:rsid w:val="0023186E"/>
    <w:rsid w:val="00232EC7"/>
    <w:rsid w:val="002342DE"/>
    <w:rsid w:val="0024102F"/>
    <w:rsid w:val="0024302C"/>
    <w:rsid w:val="00243E21"/>
    <w:rsid w:val="00245F2F"/>
    <w:rsid w:val="00250E09"/>
    <w:rsid w:val="00250E8E"/>
    <w:rsid w:val="00251801"/>
    <w:rsid w:val="00251E4B"/>
    <w:rsid w:val="00253FE5"/>
    <w:rsid w:val="0025481D"/>
    <w:rsid w:val="00255DD5"/>
    <w:rsid w:val="00256D7A"/>
    <w:rsid w:val="00257259"/>
    <w:rsid w:val="00257546"/>
    <w:rsid w:val="0026013E"/>
    <w:rsid w:val="00262930"/>
    <w:rsid w:val="002630A1"/>
    <w:rsid w:val="002652C6"/>
    <w:rsid w:val="002678F2"/>
    <w:rsid w:val="0026792F"/>
    <w:rsid w:val="00272FB3"/>
    <w:rsid w:val="002745ED"/>
    <w:rsid w:val="002748CC"/>
    <w:rsid w:val="00276BEB"/>
    <w:rsid w:val="00276EE2"/>
    <w:rsid w:val="00283600"/>
    <w:rsid w:val="002840DE"/>
    <w:rsid w:val="002843E9"/>
    <w:rsid w:val="0028771B"/>
    <w:rsid w:val="00287A9B"/>
    <w:rsid w:val="00290DF3"/>
    <w:rsid w:val="0029428B"/>
    <w:rsid w:val="002A0344"/>
    <w:rsid w:val="002A46D4"/>
    <w:rsid w:val="002A5095"/>
    <w:rsid w:val="002A56D7"/>
    <w:rsid w:val="002A5CED"/>
    <w:rsid w:val="002A6691"/>
    <w:rsid w:val="002A66AB"/>
    <w:rsid w:val="002A70F8"/>
    <w:rsid w:val="002A7BA2"/>
    <w:rsid w:val="002B2211"/>
    <w:rsid w:val="002B3289"/>
    <w:rsid w:val="002B3973"/>
    <w:rsid w:val="002C15F1"/>
    <w:rsid w:val="002C2F09"/>
    <w:rsid w:val="002C3238"/>
    <w:rsid w:val="002D048C"/>
    <w:rsid w:val="002D1257"/>
    <w:rsid w:val="002D19DD"/>
    <w:rsid w:val="002D6A6F"/>
    <w:rsid w:val="002E0096"/>
    <w:rsid w:val="002E0B0B"/>
    <w:rsid w:val="002E2B6E"/>
    <w:rsid w:val="002E5330"/>
    <w:rsid w:val="002E6C48"/>
    <w:rsid w:val="002F1F0B"/>
    <w:rsid w:val="002F4230"/>
    <w:rsid w:val="002F756F"/>
    <w:rsid w:val="002F7B0E"/>
    <w:rsid w:val="002F7B21"/>
    <w:rsid w:val="002F7F1F"/>
    <w:rsid w:val="00300765"/>
    <w:rsid w:val="00304C2C"/>
    <w:rsid w:val="00305AB0"/>
    <w:rsid w:val="00310C64"/>
    <w:rsid w:val="00316FB2"/>
    <w:rsid w:val="00320201"/>
    <w:rsid w:val="0032264D"/>
    <w:rsid w:val="0032444B"/>
    <w:rsid w:val="00324F14"/>
    <w:rsid w:val="00326604"/>
    <w:rsid w:val="003267BB"/>
    <w:rsid w:val="00331D04"/>
    <w:rsid w:val="00332762"/>
    <w:rsid w:val="00332840"/>
    <w:rsid w:val="00333151"/>
    <w:rsid w:val="0033411F"/>
    <w:rsid w:val="00335CD3"/>
    <w:rsid w:val="003368DA"/>
    <w:rsid w:val="0033722D"/>
    <w:rsid w:val="003372FA"/>
    <w:rsid w:val="003407FF"/>
    <w:rsid w:val="003412F6"/>
    <w:rsid w:val="0034145E"/>
    <w:rsid w:val="00342215"/>
    <w:rsid w:val="003436FB"/>
    <w:rsid w:val="0034391B"/>
    <w:rsid w:val="00343DE5"/>
    <w:rsid w:val="00344358"/>
    <w:rsid w:val="00346DD9"/>
    <w:rsid w:val="0035122E"/>
    <w:rsid w:val="00352139"/>
    <w:rsid w:val="003525E6"/>
    <w:rsid w:val="003536E4"/>
    <w:rsid w:val="00353ABB"/>
    <w:rsid w:val="00355CE7"/>
    <w:rsid w:val="00357C01"/>
    <w:rsid w:val="00367138"/>
    <w:rsid w:val="0036761D"/>
    <w:rsid w:val="00367655"/>
    <w:rsid w:val="00372C0D"/>
    <w:rsid w:val="0037392F"/>
    <w:rsid w:val="00373DA3"/>
    <w:rsid w:val="0037434E"/>
    <w:rsid w:val="00383A93"/>
    <w:rsid w:val="00385EE6"/>
    <w:rsid w:val="00386FD9"/>
    <w:rsid w:val="00392ED0"/>
    <w:rsid w:val="003A1D50"/>
    <w:rsid w:val="003A2CA6"/>
    <w:rsid w:val="003A3336"/>
    <w:rsid w:val="003A7A8B"/>
    <w:rsid w:val="003B0B02"/>
    <w:rsid w:val="003B2F2C"/>
    <w:rsid w:val="003B3C3A"/>
    <w:rsid w:val="003B4312"/>
    <w:rsid w:val="003B6DAC"/>
    <w:rsid w:val="003C3008"/>
    <w:rsid w:val="003C3FC5"/>
    <w:rsid w:val="003C58CA"/>
    <w:rsid w:val="003C7B58"/>
    <w:rsid w:val="003D1BC2"/>
    <w:rsid w:val="003D39DD"/>
    <w:rsid w:val="003D3E61"/>
    <w:rsid w:val="003D50A7"/>
    <w:rsid w:val="003D6343"/>
    <w:rsid w:val="003E2575"/>
    <w:rsid w:val="003E3F45"/>
    <w:rsid w:val="003E54CB"/>
    <w:rsid w:val="003E6F17"/>
    <w:rsid w:val="003F1FEE"/>
    <w:rsid w:val="003F57F6"/>
    <w:rsid w:val="00401218"/>
    <w:rsid w:val="0040161B"/>
    <w:rsid w:val="0041011E"/>
    <w:rsid w:val="004118A9"/>
    <w:rsid w:val="00412DB5"/>
    <w:rsid w:val="0041411F"/>
    <w:rsid w:val="0041477B"/>
    <w:rsid w:val="00415431"/>
    <w:rsid w:val="00415BB9"/>
    <w:rsid w:val="00422323"/>
    <w:rsid w:val="00430C9E"/>
    <w:rsid w:val="004338EF"/>
    <w:rsid w:val="00443054"/>
    <w:rsid w:val="00443081"/>
    <w:rsid w:val="00444B6A"/>
    <w:rsid w:val="00445023"/>
    <w:rsid w:val="004536C6"/>
    <w:rsid w:val="00460561"/>
    <w:rsid w:val="00461C7D"/>
    <w:rsid w:val="004623C3"/>
    <w:rsid w:val="004640F9"/>
    <w:rsid w:val="00465239"/>
    <w:rsid w:val="00465F5D"/>
    <w:rsid w:val="00466C0F"/>
    <w:rsid w:val="0047014F"/>
    <w:rsid w:val="00474324"/>
    <w:rsid w:val="004753C5"/>
    <w:rsid w:val="00475E2A"/>
    <w:rsid w:val="00475E2C"/>
    <w:rsid w:val="00476B97"/>
    <w:rsid w:val="004837FA"/>
    <w:rsid w:val="00485643"/>
    <w:rsid w:val="00486EE1"/>
    <w:rsid w:val="00490D70"/>
    <w:rsid w:val="00494389"/>
    <w:rsid w:val="004954B6"/>
    <w:rsid w:val="00496F1F"/>
    <w:rsid w:val="00497423"/>
    <w:rsid w:val="004A0FBE"/>
    <w:rsid w:val="004A3E00"/>
    <w:rsid w:val="004B08E4"/>
    <w:rsid w:val="004B497A"/>
    <w:rsid w:val="004B4C81"/>
    <w:rsid w:val="004C0CD0"/>
    <w:rsid w:val="004C142F"/>
    <w:rsid w:val="004C3F23"/>
    <w:rsid w:val="004C5341"/>
    <w:rsid w:val="004D0710"/>
    <w:rsid w:val="004D0C53"/>
    <w:rsid w:val="004D2FAF"/>
    <w:rsid w:val="004D4172"/>
    <w:rsid w:val="004E1BCB"/>
    <w:rsid w:val="004E2579"/>
    <w:rsid w:val="004E58C1"/>
    <w:rsid w:val="004E6EAC"/>
    <w:rsid w:val="004F0EC0"/>
    <w:rsid w:val="004F51D8"/>
    <w:rsid w:val="004F5264"/>
    <w:rsid w:val="004F78F6"/>
    <w:rsid w:val="0050197E"/>
    <w:rsid w:val="00503292"/>
    <w:rsid w:val="00503CF4"/>
    <w:rsid w:val="005046E2"/>
    <w:rsid w:val="00506FFA"/>
    <w:rsid w:val="0051089D"/>
    <w:rsid w:val="00511B9E"/>
    <w:rsid w:val="00512269"/>
    <w:rsid w:val="005138A4"/>
    <w:rsid w:val="0051575D"/>
    <w:rsid w:val="00515F0A"/>
    <w:rsid w:val="00524237"/>
    <w:rsid w:val="005254FF"/>
    <w:rsid w:val="0052716A"/>
    <w:rsid w:val="0053096D"/>
    <w:rsid w:val="005429DF"/>
    <w:rsid w:val="00542FF7"/>
    <w:rsid w:val="0054513A"/>
    <w:rsid w:val="00546AE2"/>
    <w:rsid w:val="00552642"/>
    <w:rsid w:val="0055345F"/>
    <w:rsid w:val="005534AD"/>
    <w:rsid w:val="00553DA8"/>
    <w:rsid w:val="00555475"/>
    <w:rsid w:val="00556285"/>
    <w:rsid w:val="00557EC2"/>
    <w:rsid w:val="005614E5"/>
    <w:rsid w:val="00564A1B"/>
    <w:rsid w:val="005724F2"/>
    <w:rsid w:val="0057625E"/>
    <w:rsid w:val="00576336"/>
    <w:rsid w:val="0057681D"/>
    <w:rsid w:val="0058077D"/>
    <w:rsid w:val="005822E2"/>
    <w:rsid w:val="00582A7B"/>
    <w:rsid w:val="00584612"/>
    <w:rsid w:val="00594981"/>
    <w:rsid w:val="005965CB"/>
    <w:rsid w:val="0059763E"/>
    <w:rsid w:val="00597778"/>
    <w:rsid w:val="00597853"/>
    <w:rsid w:val="00597E05"/>
    <w:rsid w:val="005A042C"/>
    <w:rsid w:val="005A1ED6"/>
    <w:rsid w:val="005A1EF1"/>
    <w:rsid w:val="005A5683"/>
    <w:rsid w:val="005B4FE0"/>
    <w:rsid w:val="005B5AE1"/>
    <w:rsid w:val="005B7283"/>
    <w:rsid w:val="005B734C"/>
    <w:rsid w:val="005C0A11"/>
    <w:rsid w:val="005C0F58"/>
    <w:rsid w:val="005C388B"/>
    <w:rsid w:val="005C55DF"/>
    <w:rsid w:val="005C7240"/>
    <w:rsid w:val="005C770C"/>
    <w:rsid w:val="005D0314"/>
    <w:rsid w:val="005D1DD9"/>
    <w:rsid w:val="005D3F31"/>
    <w:rsid w:val="005E14DE"/>
    <w:rsid w:val="005E350B"/>
    <w:rsid w:val="005E3FB4"/>
    <w:rsid w:val="005E56DB"/>
    <w:rsid w:val="005E6D9D"/>
    <w:rsid w:val="005E75AC"/>
    <w:rsid w:val="005E777D"/>
    <w:rsid w:val="005E7E73"/>
    <w:rsid w:val="005F554D"/>
    <w:rsid w:val="005F5ED1"/>
    <w:rsid w:val="00603246"/>
    <w:rsid w:val="00605AE9"/>
    <w:rsid w:val="00605C87"/>
    <w:rsid w:val="00610E8D"/>
    <w:rsid w:val="00611388"/>
    <w:rsid w:val="00611FCE"/>
    <w:rsid w:val="00615C3B"/>
    <w:rsid w:val="006200C1"/>
    <w:rsid w:val="0062119F"/>
    <w:rsid w:val="006211A4"/>
    <w:rsid w:val="006245EE"/>
    <w:rsid w:val="006266BF"/>
    <w:rsid w:val="00626947"/>
    <w:rsid w:val="00630074"/>
    <w:rsid w:val="00631DD5"/>
    <w:rsid w:val="006323C4"/>
    <w:rsid w:val="00632BF9"/>
    <w:rsid w:val="006334D1"/>
    <w:rsid w:val="006375AB"/>
    <w:rsid w:val="00637973"/>
    <w:rsid w:val="00641E8E"/>
    <w:rsid w:val="00642F66"/>
    <w:rsid w:val="00646B78"/>
    <w:rsid w:val="00655285"/>
    <w:rsid w:val="0065748E"/>
    <w:rsid w:val="00662D65"/>
    <w:rsid w:val="0066436D"/>
    <w:rsid w:val="00664CE8"/>
    <w:rsid w:val="00667087"/>
    <w:rsid w:val="00670D5E"/>
    <w:rsid w:val="006720B7"/>
    <w:rsid w:val="006739C5"/>
    <w:rsid w:val="0067457D"/>
    <w:rsid w:val="00675992"/>
    <w:rsid w:val="006765C0"/>
    <w:rsid w:val="00676AAD"/>
    <w:rsid w:val="00680E77"/>
    <w:rsid w:val="00681FBA"/>
    <w:rsid w:val="00686E0E"/>
    <w:rsid w:val="006900D7"/>
    <w:rsid w:val="00690248"/>
    <w:rsid w:val="00692E68"/>
    <w:rsid w:val="006951A5"/>
    <w:rsid w:val="006958D4"/>
    <w:rsid w:val="006976BF"/>
    <w:rsid w:val="006A0775"/>
    <w:rsid w:val="006A48D3"/>
    <w:rsid w:val="006A72DA"/>
    <w:rsid w:val="006B0706"/>
    <w:rsid w:val="006C0D0D"/>
    <w:rsid w:val="006C537B"/>
    <w:rsid w:val="006C572A"/>
    <w:rsid w:val="006C628E"/>
    <w:rsid w:val="006D0E14"/>
    <w:rsid w:val="006D12A7"/>
    <w:rsid w:val="006D19F8"/>
    <w:rsid w:val="006D5226"/>
    <w:rsid w:val="006D5DF5"/>
    <w:rsid w:val="006D5FE0"/>
    <w:rsid w:val="006D648E"/>
    <w:rsid w:val="006D7044"/>
    <w:rsid w:val="006E026D"/>
    <w:rsid w:val="006E3B64"/>
    <w:rsid w:val="006E4494"/>
    <w:rsid w:val="006E63DB"/>
    <w:rsid w:val="006F01EF"/>
    <w:rsid w:val="006F122B"/>
    <w:rsid w:val="006F4011"/>
    <w:rsid w:val="006F4C19"/>
    <w:rsid w:val="006F530C"/>
    <w:rsid w:val="006F5FCA"/>
    <w:rsid w:val="006F7564"/>
    <w:rsid w:val="00701018"/>
    <w:rsid w:val="00703CB7"/>
    <w:rsid w:val="007074DB"/>
    <w:rsid w:val="0071032C"/>
    <w:rsid w:val="00712F31"/>
    <w:rsid w:val="00713C39"/>
    <w:rsid w:val="0071708B"/>
    <w:rsid w:val="0072157B"/>
    <w:rsid w:val="00727D34"/>
    <w:rsid w:val="00730DD6"/>
    <w:rsid w:val="00732A48"/>
    <w:rsid w:val="0073321C"/>
    <w:rsid w:val="007371B2"/>
    <w:rsid w:val="0074115E"/>
    <w:rsid w:val="007424D7"/>
    <w:rsid w:val="00742A58"/>
    <w:rsid w:val="00742E61"/>
    <w:rsid w:val="00744F8A"/>
    <w:rsid w:val="00746B70"/>
    <w:rsid w:val="00750DDB"/>
    <w:rsid w:val="007512E9"/>
    <w:rsid w:val="00752687"/>
    <w:rsid w:val="00752A66"/>
    <w:rsid w:val="00754466"/>
    <w:rsid w:val="00757C65"/>
    <w:rsid w:val="0076107B"/>
    <w:rsid w:val="007614A6"/>
    <w:rsid w:val="00763C38"/>
    <w:rsid w:val="00764C04"/>
    <w:rsid w:val="00764CF3"/>
    <w:rsid w:val="00764EB0"/>
    <w:rsid w:val="0076539F"/>
    <w:rsid w:val="007672ED"/>
    <w:rsid w:val="00772955"/>
    <w:rsid w:val="00776B34"/>
    <w:rsid w:val="0077789B"/>
    <w:rsid w:val="00782C74"/>
    <w:rsid w:val="00784647"/>
    <w:rsid w:val="00784917"/>
    <w:rsid w:val="00784F76"/>
    <w:rsid w:val="00787A88"/>
    <w:rsid w:val="00790D6B"/>
    <w:rsid w:val="00792883"/>
    <w:rsid w:val="00795A37"/>
    <w:rsid w:val="00796D2F"/>
    <w:rsid w:val="007A005E"/>
    <w:rsid w:val="007A4A28"/>
    <w:rsid w:val="007A68C8"/>
    <w:rsid w:val="007B2B3A"/>
    <w:rsid w:val="007B71C1"/>
    <w:rsid w:val="007B7617"/>
    <w:rsid w:val="007B7FF4"/>
    <w:rsid w:val="007C4808"/>
    <w:rsid w:val="007C4E9F"/>
    <w:rsid w:val="007C5065"/>
    <w:rsid w:val="007C56C6"/>
    <w:rsid w:val="007C5A88"/>
    <w:rsid w:val="007C72E2"/>
    <w:rsid w:val="007D376C"/>
    <w:rsid w:val="007D3A4D"/>
    <w:rsid w:val="007D728E"/>
    <w:rsid w:val="007E0457"/>
    <w:rsid w:val="007E176C"/>
    <w:rsid w:val="007E3A50"/>
    <w:rsid w:val="007E4255"/>
    <w:rsid w:val="007E54C7"/>
    <w:rsid w:val="007E5A73"/>
    <w:rsid w:val="007E5D82"/>
    <w:rsid w:val="007E5FE5"/>
    <w:rsid w:val="007F29A6"/>
    <w:rsid w:val="007F2D7F"/>
    <w:rsid w:val="007F6028"/>
    <w:rsid w:val="007F6747"/>
    <w:rsid w:val="007F77C4"/>
    <w:rsid w:val="007F784A"/>
    <w:rsid w:val="008025D7"/>
    <w:rsid w:val="0080305D"/>
    <w:rsid w:val="0080419B"/>
    <w:rsid w:val="0080455A"/>
    <w:rsid w:val="00813E25"/>
    <w:rsid w:val="00814DB6"/>
    <w:rsid w:val="00816504"/>
    <w:rsid w:val="00817282"/>
    <w:rsid w:val="00817C97"/>
    <w:rsid w:val="00821C8F"/>
    <w:rsid w:val="00823A4D"/>
    <w:rsid w:val="008243EA"/>
    <w:rsid w:val="00824AFB"/>
    <w:rsid w:val="00827E54"/>
    <w:rsid w:val="008318C4"/>
    <w:rsid w:val="00833641"/>
    <w:rsid w:val="00834456"/>
    <w:rsid w:val="00834537"/>
    <w:rsid w:val="008352EA"/>
    <w:rsid w:val="00837A10"/>
    <w:rsid w:val="00837B14"/>
    <w:rsid w:val="00837D13"/>
    <w:rsid w:val="0084170F"/>
    <w:rsid w:val="008463FE"/>
    <w:rsid w:val="008508EC"/>
    <w:rsid w:val="0085303D"/>
    <w:rsid w:val="0085330F"/>
    <w:rsid w:val="0085345A"/>
    <w:rsid w:val="008546CE"/>
    <w:rsid w:val="00854780"/>
    <w:rsid w:val="008552E1"/>
    <w:rsid w:val="0085531E"/>
    <w:rsid w:val="008603F5"/>
    <w:rsid w:val="008610D2"/>
    <w:rsid w:val="008611CB"/>
    <w:rsid w:val="00861F39"/>
    <w:rsid w:val="0086380B"/>
    <w:rsid w:val="008669B9"/>
    <w:rsid w:val="00866E0B"/>
    <w:rsid w:val="00866F2D"/>
    <w:rsid w:val="00870A7F"/>
    <w:rsid w:val="008726A3"/>
    <w:rsid w:val="00873E69"/>
    <w:rsid w:val="00876474"/>
    <w:rsid w:val="008808BD"/>
    <w:rsid w:val="00883CCA"/>
    <w:rsid w:val="008844DB"/>
    <w:rsid w:val="00887776"/>
    <w:rsid w:val="008901ED"/>
    <w:rsid w:val="008933BB"/>
    <w:rsid w:val="00896F98"/>
    <w:rsid w:val="008A220E"/>
    <w:rsid w:val="008A2620"/>
    <w:rsid w:val="008A469E"/>
    <w:rsid w:val="008A4D68"/>
    <w:rsid w:val="008A5062"/>
    <w:rsid w:val="008B000B"/>
    <w:rsid w:val="008B0F5A"/>
    <w:rsid w:val="008B2069"/>
    <w:rsid w:val="008B3F7B"/>
    <w:rsid w:val="008B600B"/>
    <w:rsid w:val="008B78F8"/>
    <w:rsid w:val="008C0E81"/>
    <w:rsid w:val="008C189D"/>
    <w:rsid w:val="008C1993"/>
    <w:rsid w:val="008C3885"/>
    <w:rsid w:val="008C575C"/>
    <w:rsid w:val="008C5856"/>
    <w:rsid w:val="008C5B2A"/>
    <w:rsid w:val="008C6219"/>
    <w:rsid w:val="008D24CA"/>
    <w:rsid w:val="008D28FD"/>
    <w:rsid w:val="008D30DE"/>
    <w:rsid w:val="008D449F"/>
    <w:rsid w:val="008D5CD1"/>
    <w:rsid w:val="008D7C03"/>
    <w:rsid w:val="008E00D1"/>
    <w:rsid w:val="008E1EB7"/>
    <w:rsid w:val="008E1F85"/>
    <w:rsid w:val="008E31B9"/>
    <w:rsid w:val="008E331C"/>
    <w:rsid w:val="008E57BE"/>
    <w:rsid w:val="008E59FB"/>
    <w:rsid w:val="008F0546"/>
    <w:rsid w:val="008F05E5"/>
    <w:rsid w:val="008F11F2"/>
    <w:rsid w:val="008F4374"/>
    <w:rsid w:val="008F5BCD"/>
    <w:rsid w:val="009044D0"/>
    <w:rsid w:val="00907A3C"/>
    <w:rsid w:val="00910049"/>
    <w:rsid w:val="00911925"/>
    <w:rsid w:val="0091457C"/>
    <w:rsid w:val="009155CD"/>
    <w:rsid w:val="00916C1E"/>
    <w:rsid w:val="00916C72"/>
    <w:rsid w:val="009176E9"/>
    <w:rsid w:val="00917FA8"/>
    <w:rsid w:val="00920F07"/>
    <w:rsid w:val="009214A2"/>
    <w:rsid w:val="00924697"/>
    <w:rsid w:val="00925FC5"/>
    <w:rsid w:val="00927674"/>
    <w:rsid w:val="0093067F"/>
    <w:rsid w:val="0093163D"/>
    <w:rsid w:val="009343D3"/>
    <w:rsid w:val="0093773D"/>
    <w:rsid w:val="009378A2"/>
    <w:rsid w:val="00942A2E"/>
    <w:rsid w:val="00943883"/>
    <w:rsid w:val="009456E4"/>
    <w:rsid w:val="00945C60"/>
    <w:rsid w:val="00946755"/>
    <w:rsid w:val="00947DAB"/>
    <w:rsid w:val="00950CAC"/>
    <w:rsid w:val="00954DB6"/>
    <w:rsid w:val="00957861"/>
    <w:rsid w:val="00957A12"/>
    <w:rsid w:val="00957B1C"/>
    <w:rsid w:val="00961074"/>
    <w:rsid w:val="009638FE"/>
    <w:rsid w:val="00965510"/>
    <w:rsid w:val="00966A9C"/>
    <w:rsid w:val="00970617"/>
    <w:rsid w:val="00971638"/>
    <w:rsid w:val="00972858"/>
    <w:rsid w:val="00973E44"/>
    <w:rsid w:val="00974AB3"/>
    <w:rsid w:val="0097602F"/>
    <w:rsid w:val="009818F5"/>
    <w:rsid w:val="0098210F"/>
    <w:rsid w:val="009846A6"/>
    <w:rsid w:val="00984CC1"/>
    <w:rsid w:val="0098653B"/>
    <w:rsid w:val="00990CA3"/>
    <w:rsid w:val="009918F6"/>
    <w:rsid w:val="009936D5"/>
    <w:rsid w:val="009975D2"/>
    <w:rsid w:val="009A0ECE"/>
    <w:rsid w:val="009A28EC"/>
    <w:rsid w:val="009A4EF6"/>
    <w:rsid w:val="009A6DEB"/>
    <w:rsid w:val="009B2690"/>
    <w:rsid w:val="009B3E53"/>
    <w:rsid w:val="009B4A7D"/>
    <w:rsid w:val="009B556B"/>
    <w:rsid w:val="009C3125"/>
    <w:rsid w:val="009C3E79"/>
    <w:rsid w:val="009C7706"/>
    <w:rsid w:val="009D20A0"/>
    <w:rsid w:val="009D4C96"/>
    <w:rsid w:val="009D58C2"/>
    <w:rsid w:val="009D6D38"/>
    <w:rsid w:val="009E0560"/>
    <w:rsid w:val="009E3343"/>
    <w:rsid w:val="009E5E57"/>
    <w:rsid w:val="009F4101"/>
    <w:rsid w:val="00A026CE"/>
    <w:rsid w:val="00A04693"/>
    <w:rsid w:val="00A059F7"/>
    <w:rsid w:val="00A06BCB"/>
    <w:rsid w:val="00A1054E"/>
    <w:rsid w:val="00A11969"/>
    <w:rsid w:val="00A11A60"/>
    <w:rsid w:val="00A13933"/>
    <w:rsid w:val="00A13E09"/>
    <w:rsid w:val="00A141ED"/>
    <w:rsid w:val="00A16457"/>
    <w:rsid w:val="00A16ADA"/>
    <w:rsid w:val="00A17E5E"/>
    <w:rsid w:val="00A21A6E"/>
    <w:rsid w:val="00A23C1E"/>
    <w:rsid w:val="00A23E14"/>
    <w:rsid w:val="00A24EF7"/>
    <w:rsid w:val="00A25482"/>
    <w:rsid w:val="00A27B8F"/>
    <w:rsid w:val="00A27F14"/>
    <w:rsid w:val="00A31A19"/>
    <w:rsid w:val="00A34E49"/>
    <w:rsid w:val="00A367F1"/>
    <w:rsid w:val="00A40010"/>
    <w:rsid w:val="00A411D2"/>
    <w:rsid w:val="00A41FEA"/>
    <w:rsid w:val="00A42F44"/>
    <w:rsid w:val="00A43532"/>
    <w:rsid w:val="00A47A52"/>
    <w:rsid w:val="00A51416"/>
    <w:rsid w:val="00A5180A"/>
    <w:rsid w:val="00A5338F"/>
    <w:rsid w:val="00A554B6"/>
    <w:rsid w:val="00A564B8"/>
    <w:rsid w:val="00A564DE"/>
    <w:rsid w:val="00A56B96"/>
    <w:rsid w:val="00A5775B"/>
    <w:rsid w:val="00A63E63"/>
    <w:rsid w:val="00A708AA"/>
    <w:rsid w:val="00A73F2D"/>
    <w:rsid w:val="00A74CCD"/>
    <w:rsid w:val="00A75212"/>
    <w:rsid w:val="00A76227"/>
    <w:rsid w:val="00A769AF"/>
    <w:rsid w:val="00A83182"/>
    <w:rsid w:val="00A85EBB"/>
    <w:rsid w:val="00A86572"/>
    <w:rsid w:val="00A86CEC"/>
    <w:rsid w:val="00A86D8A"/>
    <w:rsid w:val="00A8728E"/>
    <w:rsid w:val="00A90A15"/>
    <w:rsid w:val="00A90CC3"/>
    <w:rsid w:val="00A92EE5"/>
    <w:rsid w:val="00A931F5"/>
    <w:rsid w:val="00A9359C"/>
    <w:rsid w:val="00A9369E"/>
    <w:rsid w:val="00A943D2"/>
    <w:rsid w:val="00A96209"/>
    <w:rsid w:val="00A965E3"/>
    <w:rsid w:val="00A96AD3"/>
    <w:rsid w:val="00A96ED7"/>
    <w:rsid w:val="00AA1CD6"/>
    <w:rsid w:val="00AA446B"/>
    <w:rsid w:val="00AA732A"/>
    <w:rsid w:val="00AA7F9D"/>
    <w:rsid w:val="00AB03F6"/>
    <w:rsid w:val="00AB6603"/>
    <w:rsid w:val="00AC0C17"/>
    <w:rsid w:val="00AC1E36"/>
    <w:rsid w:val="00AC2B7E"/>
    <w:rsid w:val="00AD0C81"/>
    <w:rsid w:val="00AD206E"/>
    <w:rsid w:val="00AD36F3"/>
    <w:rsid w:val="00AD4145"/>
    <w:rsid w:val="00AD4C4D"/>
    <w:rsid w:val="00AD6FA2"/>
    <w:rsid w:val="00AE21C3"/>
    <w:rsid w:val="00AE2216"/>
    <w:rsid w:val="00AE345C"/>
    <w:rsid w:val="00AE4E44"/>
    <w:rsid w:val="00AE7A5A"/>
    <w:rsid w:val="00AF07D2"/>
    <w:rsid w:val="00AF2408"/>
    <w:rsid w:val="00AF34B1"/>
    <w:rsid w:val="00AF4890"/>
    <w:rsid w:val="00AF7FAB"/>
    <w:rsid w:val="00B02E17"/>
    <w:rsid w:val="00B03813"/>
    <w:rsid w:val="00B055D6"/>
    <w:rsid w:val="00B118FB"/>
    <w:rsid w:val="00B125B9"/>
    <w:rsid w:val="00B14090"/>
    <w:rsid w:val="00B1715F"/>
    <w:rsid w:val="00B17438"/>
    <w:rsid w:val="00B201D7"/>
    <w:rsid w:val="00B20799"/>
    <w:rsid w:val="00B21447"/>
    <w:rsid w:val="00B21E2D"/>
    <w:rsid w:val="00B2463A"/>
    <w:rsid w:val="00B267E9"/>
    <w:rsid w:val="00B26B9A"/>
    <w:rsid w:val="00B2787E"/>
    <w:rsid w:val="00B311A7"/>
    <w:rsid w:val="00B31E98"/>
    <w:rsid w:val="00B32A3D"/>
    <w:rsid w:val="00B33A57"/>
    <w:rsid w:val="00B34EC3"/>
    <w:rsid w:val="00B40A1F"/>
    <w:rsid w:val="00B40C0C"/>
    <w:rsid w:val="00B443EE"/>
    <w:rsid w:val="00B44A4F"/>
    <w:rsid w:val="00B47025"/>
    <w:rsid w:val="00B4728D"/>
    <w:rsid w:val="00B475B3"/>
    <w:rsid w:val="00B5092D"/>
    <w:rsid w:val="00B51828"/>
    <w:rsid w:val="00B527C2"/>
    <w:rsid w:val="00B56DCC"/>
    <w:rsid w:val="00B612BC"/>
    <w:rsid w:val="00B67D02"/>
    <w:rsid w:val="00B719F4"/>
    <w:rsid w:val="00B74A45"/>
    <w:rsid w:val="00B7601B"/>
    <w:rsid w:val="00B81016"/>
    <w:rsid w:val="00B81849"/>
    <w:rsid w:val="00B82231"/>
    <w:rsid w:val="00B82FAC"/>
    <w:rsid w:val="00B83536"/>
    <w:rsid w:val="00B87EA3"/>
    <w:rsid w:val="00B90D60"/>
    <w:rsid w:val="00B93A22"/>
    <w:rsid w:val="00B945D1"/>
    <w:rsid w:val="00B96DBB"/>
    <w:rsid w:val="00BA247A"/>
    <w:rsid w:val="00BA3685"/>
    <w:rsid w:val="00BA3FB5"/>
    <w:rsid w:val="00BA41AC"/>
    <w:rsid w:val="00BA56A0"/>
    <w:rsid w:val="00BA5A60"/>
    <w:rsid w:val="00BA699C"/>
    <w:rsid w:val="00BB4D08"/>
    <w:rsid w:val="00BC2649"/>
    <w:rsid w:val="00BC2795"/>
    <w:rsid w:val="00BC2FCB"/>
    <w:rsid w:val="00BC399C"/>
    <w:rsid w:val="00BC3F9F"/>
    <w:rsid w:val="00BC44CB"/>
    <w:rsid w:val="00BC55DB"/>
    <w:rsid w:val="00BC57FF"/>
    <w:rsid w:val="00BD23D6"/>
    <w:rsid w:val="00BE1D6C"/>
    <w:rsid w:val="00BE30B1"/>
    <w:rsid w:val="00BE38FD"/>
    <w:rsid w:val="00BE47E4"/>
    <w:rsid w:val="00BE4EEA"/>
    <w:rsid w:val="00BF162F"/>
    <w:rsid w:val="00BF257E"/>
    <w:rsid w:val="00BF5E9D"/>
    <w:rsid w:val="00BF6E85"/>
    <w:rsid w:val="00BF71FD"/>
    <w:rsid w:val="00C02BA9"/>
    <w:rsid w:val="00C03246"/>
    <w:rsid w:val="00C04643"/>
    <w:rsid w:val="00C05DE7"/>
    <w:rsid w:val="00C0661C"/>
    <w:rsid w:val="00C06DC0"/>
    <w:rsid w:val="00C0710F"/>
    <w:rsid w:val="00C111F9"/>
    <w:rsid w:val="00C14D1F"/>
    <w:rsid w:val="00C16304"/>
    <w:rsid w:val="00C17BE4"/>
    <w:rsid w:val="00C23B70"/>
    <w:rsid w:val="00C23F1D"/>
    <w:rsid w:val="00C26DED"/>
    <w:rsid w:val="00C26E22"/>
    <w:rsid w:val="00C27C02"/>
    <w:rsid w:val="00C27E2D"/>
    <w:rsid w:val="00C340D2"/>
    <w:rsid w:val="00C404C5"/>
    <w:rsid w:val="00C40625"/>
    <w:rsid w:val="00C42953"/>
    <w:rsid w:val="00C4430B"/>
    <w:rsid w:val="00C4442B"/>
    <w:rsid w:val="00C45C19"/>
    <w:rsid w:val="00C4784D"/>
    <w:rsid w:val="00C55035"/>
    <w:rsid w:val="00C57614"/>
    <w:rsid w:val="00C57BA2"/>
    <w:rsid w:val="00C61605"/>
    <w:rsid w:val="00C6174C"/>
    <w:rsid w:val="00C66570"/>
    <w:rsid w:val="00C672B7"/>
    <w:rsid w:val="00C726BA"/>
    <w:rsid w:val="00C757FC"/>
    <w:rsid w:val="00C768B9"/>
    <w:rsid w:val="00C804EB"/>
    <w:rsid w:val="00C80820"/>
    <w:rsid w:val="00C81275"/>
    <w:rsid w:val="00C83CAB"/>
    <w:rsid w:val="00C84DBC"/>
    <w:rsid w:val="00C86475"/>
    <w:rsid w:val="00C87C10"/>
    <w:rsid w:val="00C87D37"/>
    <w:rsid w:val="00C90886"/>
    <w:rsid w:val="00C940DB"/>
    <w:rsid w:val="00C9605C"/>
    <w:rsid w:val="00C96C9D"/>
    <w:rsid w:val="00C970A2"/>
    <w:rsid w:val="00C97DF8"/>
    <w:rsid w:val="00CA4C6E"/>
    <w:rsid w:val="00CA5242"/>
    <w:rsid w:val="00CA7017"/>
    <w:rsid w:val="00CA76DE"/>
    <w:rsid w:val="00CB1FF3"/>
    <w:rsid w:val="00CB2891"/>
    <w:rsid w:val="00CB29ED"/>
    <w:rsid w:val="00CB6A6E"/>
    <w:rsid w:val="00CB727A"/>
    <w:rsid w:val="00CC0ACA"/>
    <w:rsid w:val="00CC2F7F"/>
    <w:rsid w:val="00CC5A25"/>
    <w:rsid w:val="00CC71F9"/>
    <w:rsid w:val="00CC7827"/>
    <w:rsid w:val="00CC7BA4"/>
    <w:rsid w:val="00CD35E0"/>
    <w:rsid w:val="00CD4063"/>
    <w:rsid w:val="00CD4DC9"/>
    <w:rsid w:val="00CD71A9"/>
    <w:rsid w:val="00CD729F"/>
    <w:rsid w:val="00CD73C0"/>
    <w:rsid w:val="00CE2FBE"/>
    <w:rsid w:val="00CE6172"/>
    <w:rsid w:val="00CE6F63"/>
    <w:rsid w:val="00CF0F00"/>
    <w:rsid w:val="00CF21CD"/>
    <w:rsid w:val="00CF44B9"/>
    <w:rsid w:val="00CF4C6A"/>
    <w:rsid w:val="00CF5E3E"/>
    <w:rsid w:val="00CF63D8"/>
    <w:rsid w:val="00D00729"/>
    <w:rsid w:val="00D01BA8"/>
    <w:rsid w:val="00D045A4"/>
    <w:rsid w:val="00D05333"/>
    <w:rsid w:val="00D059B4"/>
    <w:rsid w:val="00D129B9"/>
    <w:rsid w:val="00D14A63"/>
    <w:rsid w:val="00D2096B"/>
    <w:rsid w:val="00D222CF"/>
    <w:rsid w:val="00D260E2"/>
    <w:rsid w:val="00D26F6F"/>
    <w:rsid w:val="00D27A45"/>
    <w:rsid w:val="00D30AE8"/>
    <w:rsid w:val="00D30E05"/>
    <w:rsid w:val="00D342A1"/>
    <w:rsid w:val="00D40D95"/>
    <w:rsid w:val="00D41A57"/>
    <w:rsid w:val="00D42633"/>
    <w:rsid w:val="00D460F3"/>
    <w:rsid w:val="00D51824"/>
    <w:rsid w:val="00D534F1"/>
    <w:rsid w:val="00D53EB4"/>
    <w:rsid w:val="00D5415C"/>
    <w:rsid w:val="00D5468C"/>
    <w:rsid w:val="00D56716"/>
    <w:rsid w:val="00D62334"/>
    <w:rsid w:val="00D626B2"/>
    <w:rsid w:val="00D63431"/>
    <w:rsid w:val="00D635AD"/>
    <w:rsid w:val="00D6748C"/>
    <w:rsid w:val="00D709D7"/>
    <w:rsid w:val="00D74AAD"/>
    <w:rsid w:val="00D75B7D"/>
    <w:rsid w:val="00D77E98"/>
    <w:rsid w:val="00D83691"/>
    <w:rsid w:val="00D843C8"/>
    <w:rsid w:val="00D844AF"/>
    <w:rsid w:val="00D85906"/>
    <w:rsid w:val="00D87B20"/>
    <w:rsid w:val="00D924D0"/>
    <w:rsid w:val="00D9265A"/>
    <w:rsid w:val="00D949A2"/>
    <w:rsid w:val="00D95B05"/>
    <w:rsid w:val="00DA1D4F"/>
    <w:rsid w:val="00DA5BD6"/>
    <w:rsid w:val="00DA5FF7"/>
    <w:rsid w:val="00DB020F"/>
    <w:rsid w:val="00DB2D3F"/>
    <w:rsid w:val="00DB4155"/>
    <w:rsid w:val="00DC0EA9"/>
    <w:rsid w:val="00DC1782"/>
    <w:rsid w:val="00DC22AD"/>
    <w:rsid w:val="00DC426A"/>
    <w:rsid w:val="00DC595B"/>
    <w:rsid w:val="00DC6C22"/>
    <w:rsid w:val="00DD4293"/>
    <w:rsid w:val="00DD516A"/>
    <w:rsid w:val="00DD5898"/>
    <w:rsid w:val="00DD7C0D"/>
    <w:rsid w:val="00DE0F07"/>
    <w:rsid w:val="00DE28CA"/>
    <w:rsid w:val="00DE3151"/>
    <w:rsid w:val="00DE3DFE"/>
    <w:rsid w:val="00DE4A74"/>
    <w:rsid w:val="00DE4E8E"/>
    <w:rsid w:val="00DE611F"/>
    <w:rsid w:val="00DE7530"/>
    <w:rsid w:val="00DE79F3"/>
    <w:rsid w:val="00DF507A"/>
    <w:rsid w:val="00DF59AA"/>
    <w:rsid w:val="00DF7CA8"/>
    <w:rsid w:val="00E00DDE"/>
    <w:rsid w:val="00E020B4"/>
    <w:rsid w:val="00E02761"/>
    <w:rsid w:val="00E02A9B"/>
    <w:rsid w:val="00E02DE7"/>
    <w:rsid w:val="00E03723"/>
    <w:rsid w:val="00E037D6"/>
    <w:rsid w:val="00E04BD4"/>
    <w:rsid w:val="00E063B6"/>
    <w:rsid w:val="00E063DA"/>
    <w:rsid w:val="00E0744C"/>
    <w:rsid w:val="00E07486"/>
    <w:rsid w:val="00E135FD"/>
    <w:rsid w:val="00E139F9"/>
    <w:rsid w:val="00E13EE1"/>
    <w:rsid w:val="00E15E5F"/>
    <w:rsid w:val="00E24E51"/>
    <w:rsid w:val="00E24E83"/>
    <w:rsid w:val="00E27652"/>
    <w:rsid w:val="00E30F37"/>
    <w:rsid w:val="00E315E8"/>
    <w:rsid w:val="00E32ABF"/>
    <w:rsid w:val="00E341D1"/>
    <w:rsid w:val="00E42303"/>
    <w:rsid w:val="00E430C2"/>
    <w:rsid w:val="00E45705"/>
    <w:rsid w:val="00E45E74"/>
    <w:rsid w:val="00E526B6"/>
    <w:rsid w:val="00E62439"/>
    <w:rsid w:val="00E62A85"/>
    <w:rsid w:val="00E637B2"/>
    <w:rsid w:val="00E70C33"/>
    <w:rsid w:val="00E728B2"/>
    <w:rsid w:val="00E72ECC"/>
    <w:rsid w:val="00E747B4"/>
    <w:rsid w:val="00E75151"/>
    <w:rsid w:val="00E77FF3"/>
    <w:rsid w:val="00E80CA1"/>
    <w:rsid w:val="00E82C84"/>
    <w:rsid w:val="00E847AE"/>
    <w:rsid w:val="00EA0BDC"/>
    <w:rsid w:val="00EA41F7"/>
    <w:rsid w:val="00EA4357"/>
    <w:rsid w:val="00EA6465"/>
    <w:rsid w:val="00EA7F46"/>
    <w:rsid w:val="00EB237B"/>
    <w:rsid w:val="00EB42BE"/>
    <w:rsid w:val="00EC5B92"/>
    <w:rsid w:val="00EC5DA6"/>
    <w:rsid w:val="00EC5E54"/>
    <w:rsid w:val="00EC6AED"/>
    <w:rsid w:val="00ED2EC3"/>
    <w:rsid w:val="00ED41AE"/>
    <w:rsid w:val="00ED7B8F"/>
    <w:rsid w:val="00EE1EAE"/>
    <w:rsid w:val="00EE2C29"/>
    <w:rsid w:val="00EE3ECE"/>
    <w:rsid w:val="00EE4F7C"/>
    <w:rsid w:val="00EE667D"/>
    <w:rsid w:val="00EE6C00"/>
    <w:rsid w:val="00EF17A8"/>
    <w:rsid w:val="00EF3BB5"/>
    <w:rsid w:val="00EF532B"/>
    <w:rsid w:val="00F00A7C"/>
    <w:rsid w:val="00F0564C"/>
    <w:rsid w:val="00F07433"/>
    <w:rsid w:val="00F12910"/>
    <w:rsid w:val="00F14F27"/>
    <w:rsid w:val="00F15B0D"/>
    <w:rsid w:val="00F17674"/>
    <w:rsid w:val="00F209C5"/>
    <w:rsid w:val="00F2329F"/>
    <w:rsid w:val="00F26D51"/>
    <w:rsid w:val="00F27340"/>
    <w:rsid w:val="00F27CE2"/>
    <w:rsid w:val="00F31EC7"/>
    <w:rsid w:val="00F34DBB"/>
    <w:rsid w:val="00F369D2"/>
    <w:rsid w:val="00F418D0"/>
    <w:rsid w:val="00F429F7"/>
    <w:rsid w:val="00F50050"/>
    <w:rsid w:val="00F5052B"/>
    <w:rsid w:val="00F51EA4"/>
    <w:rsid w:val="00F52AE9"/>
    <w:rsid w:val="00F53481"/>
    <w:rsid w:val="00F54E0D"/>
    <w:rsid w:val="00F558F1"/>
    <w:rsid w:val="00F56097"/>
    <w:rsid w:val="00F5792D"/>
    <w:rsid w:val="00F61B38"/>
    <w:rsid w:val="00F6435A"/>
    <w:rsid w:val="00F647D6"/>
    <w:rsid w:val="00F64CE6"/>
    <w:rsid w:val="00F72917"/>
    <w:rsid w:val="00F77871"/>
    <w:rsid w:val="00F81912"/>
    <w:rsid w:val="00F82C3E"/>
    <w:rsid w:val="00F846D5"/>
    <w:rsid w:val="00F85EEB"/>
    <w:rsid w:val="00F86D9E"/>
    <w:rsid w:val="00F9062A"/>
    <w:rsid w:val="00F91B09"/>
    <w:rsid w:val="00F929A2"/>
    <w:rsid w:val="00F943EA"/>
    <w:rsid w:val="00F947EA"/>
    <w:rsid w:val="00F94BAB"/>
    <w:rsid w:val="00F950FE"/>
    <w:rsid w:val="00F95889"/>
    <w:rsid w:val="00F96908"/>
    <w:rsid w:val="00FA1EC6"/>
    <w:rsid w:val="00FA30BB"/>
    <w:rsid w:val="00FA72FC"/>
    <w:rsid w:val="00FA7FB6"/>
    <w:rsid w:val="00FB1565"/>
    <w:rsid w:val="00FB474E"/>
    <w:rsid w:val="00FB631A"/>
    <w:rsid w:val="00FC1271"/>
    <w:rsid w:val="00FC167A"/>
    <w:rsid w:val="00FC1DAC"/>
    <w:rsid w:val="00FC1E41"/>
    <w:rsid w:val="00FC4308"/>
    <w:rsid w:val="00FC43AA"/>
    <w:rsid w:val="00FC57C7"/>
    <w:rsid w:val="00FD3A8B"/>
    <w:rsid w:val="00FD5C94"/>
    <w:rsid w:val="00FE1193"/>
    <w:rsid w:val="00FE2B3C"/>
    <w:rsid w:val="00FE4C76"/>
    <w:rsid w:val="00FE5286"/>
    <w:rsid w:val="00FE636B"/>
    <w:rsid w:val="00FE688A"/>
    <w:rsid w:val="00FF26E9"/>
    <w:rsid w:val="00FF4117"/>
    <w:rsid w:val="00FF51E1"/>
    <w:rsid w:val="00FF5B68"/>
    <w:rsid w:val="00FF6462"/>
    <w:rsid w:val="00FF7CA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2AEB4972"/>
  <w15:docId w15:val="{81077E7C-6B2F-4ADD-97AD-AEAFA9F39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SimSun"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44AF"/>
    <w:pPr>
      <w:spacing w:after="0" w:line="240" w:lineRule="auto"/>
    </w:pPr>
    <w:rPr>
      <w:rFonts w:ascii="SimSun" w:hAnsi="SimSun" w:cs="SimSun"/>
      <w:sz w:val="24"/>
      <w:szCs w:val="24"/>
      <w:lang w:val="en-US" w:eastAsia="zh-CN"/>
    </w:rPr>
  </w:style>
  <w:style w:type="paragraph" w:styleId="Heading1">
    <w:name w:val="heading 1"/>
    <w:basedOn w:val="Normal"/>
    <w:next w:val="Normal"/>
    <w:link w:val="Heading1Char"/>
    <w:uiPriority w:val="9"/>
    <w:qFormat/>
    <w:rsid w:val="00C4442B"/>
    <w:pPr>
      <w:spacing w:line="480" w:lineRule="auto"/>
      <w:jc w:val="both"/>
      <w:outlineLvl w:val="0"/>
    </w:pPr>
    <w:rPr>
      <w:rFonts w:ascii="Arial" w:eastAsia="Arial" w:hAnsi="Arial" w:cs="Arial"/>
      <w:b/>
      <w:sz w:val="28"/>
      <w:szCs w:val="28"/>
      <w:lang w:eastAsia="en-GB"/>
    </w:rPr>
  </w:style>
  <w:style w:type="paragraph" w:styleId="Heading2">
    <w:name w:val="heading 2"/>
    <w:basedOn w:val="Normal"/>
    <w:next w:val="Normal"/>
    <w:link w:val="Heading2Char"/>
    <w:uiPriority w:val="9"/>
    <w:unhideWhenUsed/>
    <w:qFormat/>
    <w:rsid w:val="008E59F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C4442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442B"/>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C4442B"/>
    <w:rPr>
      <w:rFonts w:ascii="Arial" w:eastAsia="Arial" w:hAnsi="Arial" w:cs="Arial"/>
      <w:b/>
      <w:sz w:val="28"/>
      <w:szCs w:val="28"/>
      <w:lang w:val="en-US" w:eastAsia="en-GB"/>
    </w:rPr>
  </w:style>
  <w:style w:type="paragraph" w:styleId="BalloonText">
    <w:name w:val="Balloon Text"/>
    <w:basedOn w:val="Normal"/>
    <w:link w:val="BalloonTextChar"/>
    <w:uiPriority w:val="99"/>
    <w:semiHidden/>
    <w:unhideWhenUsed/>
    <w:rsid w:val="00C4442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4442B"/>
    <w:rPr>
      <w:rFonts w:ascii="Segoe UI" w:hAnsi="Segoe UI" w:cs="Segoe UI"/>
      <w:sz w:val="18"/>
      <w:szCs w:val="18"/>
    </w:rPr>
  </w:style>
  <w:style w:type="paragraph" w:styleId="ListParagraph">
    <w:name w:val="List Paragraph"/>
    <w:basedOn w:val="Normal"/>
    <w:uiPriority w:val="34"/>
    <w:qFormat/>
    <w:rsid w:val="00742E61"/>
    <w:pPr>
      <w:widowControl w:val="0"/>
      <w:ind w:firstLineChars="200" w:firstLine="420"/>
      <w:jc w:val="both"/>
    </w:pPr>
    <w:rPr>
      <w:rFonts w:eastAsiaTheme="minorEastAsia"/>
      <w:kern w:val="2"/>
    </w:rPr>
  </w:style>
  <w:style w:type="character" w:styleId="CommentReference">
    <w:name w:val="annotation reference"/>
    <w:basedOn w:val="DefaultParagraphFont"/>
    <w:uiPriority w:val="99"/>
    <w:semiHidden/>
    <w:unhideWhenUsed/>
    <w:rsid w:val="001F1E88"/>
    <w:rPr>
      <w:sz w:val="18"/>
      <w:szCs w:val="18"/>
    </w:rPr>
  </w:style>
  <w:style w:type="paragraph" w:styleId="CommentText">
    <w:name w:val="annotation text"/>
    <w:basedOn w:val="Normal"/>
    <w:link w:val="CommentTextChar"/>
    <w:uiPriority w:val="99"/>
    <w:unhideWhenUsed/>
    <w:rsid w:val="001F1E88"/>
  </w:style>
  <w:style w:type="character" w:customStyle="1" w:styleId="CommentTextChar">
    <w:name w:val="Comment Text Char"/>
    <w:basedOn w:val="DefaultParagraphFont"/>
    <w:link w:val="CommentText"/>
    <w:uiPriority w:val="99"/>
    <w:rsid w:val="001F1E88"/>
    <w:rPr>
      <w:sz w:val="24"/>
      <w:szCs w:val="24"/>
    </w:rPr>
  </w:style>
  <w:style w:type="paragraph" w:styleId="CommentSubject">
    <w:name w:val="annotation subject"/>
    <w:basedOn w:val="CommentText"/>
    <w:next w:val="CommentText"/>
    <w:link w:val="CommentSubjectChar"/>
    <w:uiPriority w:val="99"/>
    <w:semiHidden/>
    <w:unhideWhenUsed/>
    <w:rsid w:val="001F1E88"/>
    <w:rPr>
      <w:b/>
      <w:bCs/>
      <w:sz w:val="20"/>
      <w:szCs w:val="20"/>
    </w:rPr>
  </w:style>
  <w:style w:type="character" w:customStyle="1" w:styleId="CommentSubjectChar">
    <w:name w:val="Comment Subject Char"/>
    <w:basedOn w:val="CommentTextChar"/>
    <w:link w:val="CommentSubject"/>
    <w:uiPriority w:val="99"/>
    <w:semiHidden/>
    <w:rsid w:val="001F1E88"/>
    <w:rPr>
      <w:b/>
      <w:bCs/>
      <w:sz w:val="20"/>
      <w:szCs w:val="20"/>
    </w:rPr>
  </w:style>
  <w:style w:type="paragraph" w:styleId="Footer">
    <w:name w:val="footer"/>
    <w:basedOn w:val="Normal"/>
    <w:link w:val="FooterChar"/>
    <w:uiPriority w:val="99"/>
    <w:unhideWhenUsed/>
    <w:rsid w:val="006D5FE0"/>
    <w:pPr>
      <w:tabs>
        <w:tab w:val="center" w:pos="4320"/>
        <w:tab w:val="right" w:pos="8640"/>
      </w:tabs>
    </w:pPr>
  </w:style>
  <w:style w:type="character" w:customStyle="1" w:styleId="FooterChar">
    <w:name w:val="Footer Char"/>
    <w:basedOn w:val="DefaultParagraphFont"/>
    <w:link w:val="Footer"/>
    <w:uiPriority w:val="99"/>
    <w:rsid w:val="006D5FE0"/>
  </w:style>
  <w:style w:type="character" w:styleId="PageNumber">
    <w:name w:val="page number"/>
    <w:basedOn w:val="DefaultParagraphFont"/>
    <w:uiPriority w:val="99"/>
    <w:semiHidden/>
    <w:unhideWhenUsed/>
    <w:rsid w:val="006D5FE0"/>
  </w:style>
  <w:style w:type="character" w:styleId="Hyperlink">
    <w:name w:val="Hyperlink"/>
    <w:basedOn w:val="DefaultParagraphFont"/>
    <w:uiPriority w:val="99"/>
    <w:unhideWhenUsed/>
    <w:rsid w:val="00E063B6"/>
    <w:rPr>
      <w:color w:val="0563C1" w:themeColor="hyperlink"/>
      <w:u w:val="single"/>
    </w:rPr>
  </w:style>
  <w:style w:type="paragraph" w:styleId="Revision">
    <w:name w:val="Revision"/>
    <w:hidden/>
    <w:uiPriority w:val="99"/>
    <w:semiHidden/>
    <w:rsid w:val="002748CC"/>
    <w:pPr>
      <w:spacing w:after="0" w:line="240" w:lineRule="auto"/>
    </w:pPr>
  </w:style>
  <w:style w:type="character" w:styleId="FollowedHyperlink">
    <w:name w:val="FollowedHyperlink"/>
    <w:basedOn w:val="DefaultParagraphFont"/>
    <w:uiPriority w:val="99"/>
    <w:semiHidden/>
    <w:unhideWhenUsed/>
    <w:rsid w:val="009C3E79"/>
    <w:rPr>
      <w:color w:val="954F72" w:themeColor="followedHyperlink"/>
      <w:u w:val="single"/>
    </w:rPr>
  </w:style>
  <w:style w:type="character" w:styleId="Strong">
    <w:name w:val="Strong"/>
    <w:basedOn w:val="DefaultParagraphFont"/>
    <w:uiPriority w:val="22"/>
    <w:qFormat/>
    <w:rsid w:val="000B28F4"/>
    <w:rPr>
      <w:b/>
      <w:bCs/>
    </w:rPr>
  </w:style>
  <w:style w:type="numbering" w:customStyle="1" w:styleId="1">
    <w:name w:val="无列表1"/>
    <w:next w:val="NoList"/>
    <w:uiPriority w:val="99"/>
    <w:semiHidden/>
    <w:unhideWhenUsed/>
    <w:rsid w:val="00033159"/>
  </w:style>
  <w:style w:type="paragraph" w:styleId="PlainText">
    <w:name w:val="Plain Text"/>
    <w:basedOn w:val="Normal"/>
    <w:link w:val="PlainTextChar"/>
    <w:uiPriority w:val="99"/>
    <w:unhideWhenUsed/>
    <w:rsid w:val="00033159"/>
    <w:pPr>
      <w:widowControl w:val="0"/>
      <w:jc w:val="both"/>
    </w:pPr>
    <w:rPr>
      <w:rFonts w:asciiTheme="minorEastAsia" w:eastAsiaTheme="minorEastAsia" w:hAnsi="Courier New" w:cs="Courier New"/>
      <w:kern w:val="2"/>
      <w:sz w:val="21"/>
    </w:rPr>
  </w:style>
  <w:style w:type="character" w:customStyle="1" w:styleId="PlainTextChar">
    <w:name w:val="Plain Text Char"/>
    <w:basedOn w:val="DefaultParagraphFont"/>
    <w:link w:val="PlainText"/>
    <w:uiPriority w:val="99"/>
    <w:rsid w:val="00033159"/>
    <w:rPr>
      <w:rFonts w:asciiTheme="minorEastAsia" w:eastAsiaTheme="minorEastAsia" w:hAnsi="Courier New" w:cs="Courier New"/>
      <w:kern w:val="2"/>
      <w:sz w:val="21"/>
      <w:szCs w:val="24"/>
      <w:lang w:val="en-US" w:eastAsia="zh-CN"/>
    </w:rPr>
  </w:style>
  <w:style w:type="character" w:customStyle="1" w:styleId="Heading2Char">
    <w:name w:val="Heading 2 Char"/>
    <w:basedOn w:val="DefaultParagraphFont"/>
    <w:link w:val="Heading2"/>
    <w:uiPriority w:val="9"/>
    <w:rsid w:val="008E59FB"/>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semiHidden/>
    <w:unhideWhenUsed/>
    <w:rsid w:val="008E59FB"/>
    <w:pPr>
      <w:spacing w:before="100" w:beforeAutospacing="1" w:after="100" w:afterAutospacing="1"/>
    </w:pPr>
    <w:rPr>
      <w:rFonts w:ascii="Times New Roman" w:eastAsia="Times New Roman" w:hAnsi="Times New Roman" w:cs="Times New Roman"/>
      <w:lang w:val="en-GB" w:eastAsia="en-GB"/>
    </w:rPr>
  </w:style>
  <w:style w:type="character" w:customStyle="1" w:styleId="highlight">
    <w:name w:val="highlight"/>
    <w:basedOn w:val="DefaultParagraphFont"/>
    <w:rsid w:val="009B556B"/>
  </w:style>
  <w:style w:type="character" w:customStyle="1" w:styleId="UnresolvedMention1">
    <w:name w:val="Unresolved Mention1"/>
    <w:basedOn w:val="DefaultParagraphFont"/>
    <w:uiPriority w:val="99"/>
    <w:semiHidden/>
    <w:unhideWhenUsed/>
    <w:rsid w:val="008D449F"/>
    <w:rPr>
      <w:color w:val="605E5C"/>
      <w:shd w:val="clear" w:color="auto" w:fill="E1DFDD"/>
    </w:rPr>
  </w:style>
  <w:style w:type="character" w:customStyle="1" w:styleId="def">
    <w:name w:val="def"/>
    <w:basedOn w:val="DefaultParagraphFont"/>
    <w:rsid w:val="00E24E51"/>
  </w:style>
  <w:style w:type="character" w:customStyle="1" w:styleId="10">
    <w:name w:val="未处理的提及1"/>
    <w:basedOn w:val="DefaultParagraphFont"/>
    <w:uiPriority w:val="99"/>
    <w:semiHidden/>
    <w:unhideWhenUsed/>
    <w:rsid w:val="0034391B"/>
    <w:rPr>
      <w:color w:val="605E5C"/>
      <w:shd w:val="clear" w:color="auto" w:fill="E1DFDD"/>
    </w:rPr>
  </w:style>
  <w:style w:type="character" w:styleId="LineNumber">
    <w:name w:val="line number"/>
    <w:basedOn w:val="DefaultParagraphFont"/>
    <w:uiPriority w:val="99"/>
    <w:semiHidden/>
    <w:unhideWhenUsed/>
    <w:rsid w:val="00116A19"/>
  </w:style>
  <w:style w:type="paragraph" w:styleId="Header">
    <w:name w:val="header"/>
    <w:basedOn w:val="Normal"/>
    <w:link w:val="HeaderChar"/>
    <w:uiPriority w:val="99"/>
    <w:unhideWhenUsed/>
    <w:rsid w:val="0086380B"/>
    <w:pPr>
      <w:tabs>
        <w:tab w:val="center" w:pos="4819"/>
        <w:tab w:val="right" w:pos="9638"/>
      </w:tabs>
    </w:pPr>
  </w:style>
  <w:style w:type="character" w:customStyle="1" w:styleId="HeaderChar">
    <w:name w:val="Header Char"/>
    <w:basedOn w:val="DefaultParagraphFont"/>
    <w:link w:val="Header"/>
    <w:uiPriority w:val="99"/>
    <w:rsid w:val="0086380B"/>
    <w:rPr>
      <w:rFonts w:ascii="SimSun" w:hAnsi="SimSun" w:cs="SimSun"/>
      <w:sz w:val="24"/>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21373">
      <w:bodyDiv w:val="1"/>
      <w:marLeft w:val="0"/>
      <w:marRight w:val="0"/>
      <w:marTop w:val="0"/>
      <w:marBottom w:val="0"/>
      <w:divBdr>
        <w:top w:val="none" w:sz="0" w:space="0" w:color="auto"/>
        <w:left w:val="none" w:sz="0" w:space="0" w:color="auto"/>
        <w:bottom w:val="none" w:sz="0" w:space="0" w:color="auto"/>
        <w:right w:val="none" w:sz="0" w:space="0" w:color="auto"/>
      </w:divBdr>
    </w:div>
    <w:div w:id="156190612">
      <w:bodyDiv w:val="1"/>
      <w:marLeft w:val="0"/>
      <w:marRight w:val="0"/>
      <w:marTop w:val="0"/>
      <w:marBottom w:val="0"/>
      <w:divBdr>
        <w:top w:val="none" w:sz="0" w:space="0" w:color="auto"/>
        <w:left w:val="none" w:sz="0" w:space="0" w:color="auto"/>
        <w:bottom w:val="none" w:sz="0" w:space="0" w:color="auto"/>
        <w:right w:val="none" w:sz="0" w:space="0" w:color="auto"/>
      </w:divBdr>
    </w:div>
    <w:div w:id="181432788">
      <w:bodyDiv w:val="1"/>
      <w:marLeft w:val="0"/>
      <w:marRight w:val="0"/>
      <w:marTop w:val="0"/>
      <w:marBottom w:val="0"/>
      <w:divBdr>
        <w:top w:val="none" w:sz="0" w:space="0" w:color="auto"/>
        <w:left w:val="none" w:sz="0" w:space="0" w:color="auto"/>
        <w:bottom w:val="none" w:sz="0" w:space="0" w:color="auto"/>
        <w:right w:val="none" w:sz="0" w:space="0" w:color="auto"/>
      </w:divBdr>
    </w:div>
    <w:div w:id="381709204">
      <w:bodyDiv w:val="1"/>
      <w:marLeft w:val="0"/>
      <w:marRight w:val="0"/>
      <w:marTop w:val="0"/>
      <w:marBottom w:val="0"/>
      <w:divBdr>
        <w:top w:val="none" w:sz="0" w:space="0" w:color="auto"/>
        <w:left w:val="none" w:sz="0" w:space="0" w:color="auto"/>
        <w:bottom w:val="none" w:sz="0" w:space="0" w:color="auto"/>
        <w:right w:val="none" w:sz="0" w:space="0" w:color="auto"/>
      </w:divBdr>
    </w:div>
    <w:div w:id="399063742">
      <w:bodyDiv w:val="1"/>
      <w:marLeft w:val="0"/>
      <w:marRight w:val="0"/>
      <w:marTop w:val="0"/>
      <w:marBottom w:val="0"/>
      <w:divBdr>
        <w:top w:val="none" w:sz="0" w:space="0" w:color="auto"/>
        <w:left w:val="none" w:sz="0" w:space="0" w:color="auto"/>
        <w:bottom w:val="none" w:sz="0" w:space="0" w:color="auto"/>
        <w:right w:val="none" w:sz="0" w:space="0" w:color="auto"/>
      </w:divBdr>
    </w:div>
    <w:div w:id="431514209">
      <w:bodyDiv w:val="1"/>
      <w:marLeft w:val="0"/>
      <w:marRight w:val="0"/>
      <w:marTop w:val="0"/>
      <w:marBottom w:val="0"/>
      <w:divBdr>
        <w:top w:val="none" w:sz="0" w:space="0" w:color="auto"/>
        <w:left w:val="none" w:sz="0" w:space="0" w:color="auto"/>
        <w:bottom w:val="none" w:sz="0" w:space="0" w:color="auto"/>
        <w:right w:val="none" w:sz="0" w:space="0" w:color="auto"/>
      </w:divBdr>
    </w:div>
    <w:div w:id="475143978">
      <w:bodyDiv w:val="1"/>
      <w:marLeft w:val="0"/>
      <w:marRight w:val="0"/>
      <w:marTop w:val="0"/>
      <w:marBottom w:val="0"/>
      <w:divBdr>
        <w:top w:val="none" w:sz="0" w:space="0" w:color="auto"/>
        <w:left w:val="none" w:sz="0" w:space="0" w:color="auto"/>
        <w:bottom w:val="none" w:sz="0" w:space="0" w:color="auto"/>
        <w:right w:val="none" w:sz="0" w:space="0" w:color="auto"/>
      </w:divBdr>
    </w:div>
    <w:div w:id="510680106">
      <w:bodyDiv w:val="1"/>
      <w:marLeft w:val="0"/>
      <w:marRight w:val="0"/>
      <w:marTop w:val="0"/>
      <w:marBottom w:val="0"/>
      <w:divBdr>
        <w:top w:val="none" w:sz="0" w:space="0" w:color="auto"/>
        <w:left w:val="none" w:sz="0" w:space="0" w:color="auto"/>
        <w:bottom w:val="none" w:sz="0" w:space="0" w:color="auto"/>
        <w:right w:val="none" w:sz="0" w:space="0" w:color="auto"/>
      </w:divBdr>
    </w:div>
    <w:div w:id="522984963">
      <w:bodyDiv w:val="1"/>
      <w:marLeft w:val="0"/>
      <w:marRight w:val="0"/>
      <w:marTop w:val="0"/>
      <w:marBottom w:val="0"/>
      <w:divBdr>
        <w:top w:val="none" w:sz="0" w:space="0" w:color="auto"/>
        <w:left w:val="none" w:sz="0" w:space="0" w:color="auto"/>
        <w:bottom w:val="none" w:sz="0" w:space="0" w:color="auto"/>
        <w:right w:val="none" w:sz="0" w:space="0" w:color="auto"/>
      </w:divBdr>
    </w:div>
    <w:div w:id="530193458">
      <w:bodyDiv w:val="1"/>
      <w:marLeft w:val="0"/>
      <w:marRight w:val="0"/>
      <w:marTop w:val="0"/>
      <w:marBottom w:val="0"/>
      <w:divBdr>
        <w:top w:val="none" w:sz="0" w:space="0" w:color="auto"/>
        <w:left w:val="none" w:sz="0" w:space="0" w:color="auto"/>
        <w:bottom w:val="none" w:sz="0" w:space="0" w:color="auto"/>
        <w:right w:val="none" w:sz="0" w:space="0" w:color="auto"/>
      </w:divBdr>
    </w:div>
    <w:div w:id="553780595">
      <w:bodyDiv w:val="1"/>
      <w:marLeft w:val="0"/>
      <w:marRight w:val="0"/>
      <w:marTop w:val="0"/>
      <w:marBottom w:val="0"/>
      <w:divBdr>
        <w:top w:val="none" w:sz="0" w:space="0" w:color="auto"/>
        <w:left w:val="none" w:sz="0" w:space="0" w:color="auto"/>
        <w:bottom w:val="none" w:sz="0" w:space="0" w:color="auto"/>
        <w:right w:val="none" w:sz="0" w:space="0" w:color="auto"/>
      </w:divBdr>
    </w:div>
    <w:div w:id="613947559">
      <w:bodyDiv w:val="1"/>
      <w:marLeft w:val="0"/>
      <w:marRight w:val="0"/>
      <w:marTop w:val="0"/>
      <w:marBottom w:val="0"/>
      <w:divBdr>
        <w:top w:val="none" w:sz="0" w:space="0" w:color="auto"/>
        <w:left w:val="none" w:sz="0" w:space="0" w:color="auto"/>
        <w:bottom w:val="none" w:sz="0" w:space="0" w:color="auto"/>
        <w:right w:val="none" w:sz="0" w:space="0" w:color="auto"/>
      </w:divBdr>
    </w:div>
    <w:div w:id="693313021">
      <w:bodyDiv w:val="1"/>
      <w:marLeft w:val="0"/>
      <w:marRight w:val="0"/>
      <w:marTop w:val="0"/>
      <w:marBottom w:val="0"/>
      <w:divBdr>
        <w:top w:val="none" w:sz="0" w:space="0" w:color="auto"/>
        <w:left w:val="none" w:sz="0" w:space="0" w:color="auto"/>
        <w:bottom w:val="none" w:sz="0" w:space="0" w:color="auto"/>
        <w:right w:val="none" w:sz="0" w:space="0" w:color="auto"/>
      </w:divBdr>
    </w:div>
    <w:div w:id="837695764">
      <w:bodyDiv w:val="1"/>
      <w:marLeft w:val="0"/>
      <w:marRight w:val="0"/>
      <w:marTop w:val="0"/>
      <w:marBottom w:val="0"/>
      <w:divBdr>
        <w:top w:val="none" w:sz="0" w:space="0" w:color="auto"/>
        <w:left w:val="none" w:sz="0" w:space="0" w:color="auto"/>
        <w:bottom w:val="none" w:sz="0" w:space="0" w:color="auto"/>
        <w:right w:val="none" w:sz="0" w:space="0" w:color="auto"/>
      </w:divBdr>
    </w:div>
    <w:div w:id="862281625">
      <w:bodyDiv w:val="1"/>
      <w:marLeft w:val="0"/>
      <w:marRight w:val="0"/>
      <w:marTop w:val="0"/>
      <w:marBottom w:val="0"/>
      <w:divBdr>
        <w:top w:val="none" w:sz="0" w:space="0" w:color="auto"/>
        <w:left w:val="none" w:sz="0" w:space="0" w:color="auto"/>
        <w:bottom w:val="none" w:sz="0" w:space="0" w:color="auto"/>
        <w:right w:val="none" w:sz="0" w:space="0" w:color="auto"/>
      </w:divBdr>
    </w:div>
    <w:div w:id="890729793">
      <w:bodyDiv w:val="1"/>
      <w:marLeft w:val="0"/>
      <w:marRight w:val="0"/>
      <w:marTop w:val="0"/>
      <w:marBottom w:val="0"/>
      <w:divBdr>
        <w:top w:val="none" w:sz="0" w:space="0" w:color="auto"/>
        <w:left w:val="none" w:sz="0" w:space="0" w:color="auto"/>
        <w:bottom w:val="none" w:sz="0" w:space="0" w:color="auto"/>
        <w:right w:val="none" w:sz="0" w:space="0" w:color="auto"/>
      </w:divBdr>
    </w:div>
    <w:div w:id="1037974071">
      <w:bodyDiv w:val="1"/>
      <w:marLeft w:val="0"/>
      <w:marRight w:val="0"/>
      <w:marTop w:val="0"/>
      <w:marBottom w:val="0"/>
      <w:divBdr>
        <w:top w:val="none" w:sz="0" w:space="0" w:color="auto"/>
        <w:left w:val="none" w:sz="0" w:space="0" w:color="auto"/>
        <w:bottom w:val="none" w:sz="0" w:space="0" w:color="auto"/>
        <w:right w:val="none" w:sz="0" w:space="0" w:color="auto"/>
      </w:divBdr>
    </w:div>
    <w:div w:id="1121848554">
      <w:bodyDiv w:val="1"/>
      <w:marLeft w:val="0"/>
      <w:marRight w:val="0"/>
      <w:marTop w:val="0"/>
      <w:marBottom w:val="0"/>
      <w:divBdr>
        <w:top w:val="none" w:sz="0" w:space="0" w:color="auto"/>
        <w:left w:val="none" w:sz="0" w:space="0" w:color="auto"/>
        <w:bottom w:val="none" w:sz="0" w:space="0" w:color="auto"/>
        <w:right w:val="none" w:sz="0" w:space="0" w:color="auto"/>
      </w:divBdr>
    </w:div>
    <w:div w:id="1213465506">
      <w:bodyDiv w:val="1"/>
      <w:marLeft w:val="0"/>
      <w:marRight w:val="0"/>
      <w:marTop w:val="0"/>
      <w:marBottom w:val="0"/>
      <w:divBdr>
        <w:top w:val="none" w:sz="0" w:space="0" w:color="auto"/>
        <w:left w:val="none" w:sz="0" w:space="0" w:color="auto"/>
        <w:bottom w:val="none" w:sz="0" w:space="0" w:color="auto"/>
        <w:right w:val="none" w:sz="0" w:space="0" w:color="auto"/>
      </w:divBdr>
    </w:div>
    <w:div w:id="1263758233">
      <w:bodyDiv w:val="1"/>
      <w:marLeft w:val="0"/>
      <w:marRight w:val="0"/>
      <w:marTop w:val="0"/>
      <w:marBottom w:val="0"/>
      <w:divBdr>
        <w:top w:val="none" w:sz="0" w:space="0" w:color="auto"/>
        <w:left w:val="none" w:sz="0" w:space="0" w:color="auto"/>
        <w:bottom w:val="none" w:sz="0" w:space="0" w:color="auto"/>
        <w:right w:val="none" w:sz="0" w:space="0" w:color="auto"/>
      </w:divBdr>
    </w:div>
    <w:div w:id="1276214879">
      <w:bodyDiv w:val="1"/>
      <w:marLeft w:val="0"/>
      <w:marRight w:val="0"/>
      <w:marTop w:val="0"/>
      <w:marBottom w:val="0"/>
      <w:divBdr>
        <w:top w:val="none" w:sz="0" w:space="0" w:color="auto"/>
        <w:left w:val="none" w:sz="0" w:space="0" w:color="auto"/>
        <w:bottom w:val="none" w:sz="0" w:space="0" w:color="auto"/>
        <w:right w:val="none" w:sz="0" w:space="0" w:color="auto"/>
      </w:divBdr>
    </w:div>
    <w:div w:id="1306349285">
      <w:bodyDiv w:val="1"/>
      <w:marLeft w:val="0"/>
      <w:marRight w:val="0"/>
      <w:marTop w:val="0"/>
      <w:marBottom w:val="0"/>
      <w:divBdr>
        <w:top w:val="none" w:sz="0" w:space="0" w:color="auto"/>
        <w:left w:val="none" w:sz="0" w:space="0" w:color="auto"/>
        <w:bottom w:val="none" w:sz="0" w:space="0" w:color="auto"/>
        <w:right w:val="none" w:sz="0" w:space="0" w:color="auto"/>
      </w:divBdr>
    </w:div>
    <w:div w:id="1338577442">
      <w:bodyDiv w:val="1"/>
      <w:marLeft w:val="0"/>
      <w:marRight w:val="0"/>
      <w:marTop w:val="0"/>
      <w:marBottom w:val="0"/>
      <w:divBdr>
        <w:top w:val="none" w:sz="0" w:space="0" w:color="auto"/>
        <w:left w:val="none" w:sz="0" w:space="0" w:color="auto"/>
        <w:bottom w:val="none" w:sz="0" w:space="0" w:color="auto"/>
        <w:right w:val="none" w:sz="0" w:space="0" w:color="auto"/>
      </w:divBdr>
    </w:div>
    <w:div w:id="1437943499">
      <w:bodyDiv w:val="1"/>
      <w:marLeft w:val="0"/>
      <w:marRight w:val="0"/>
      <w:marTop w:val="0"/>
      <w:marBottom w:val="0"/>
      <w:divBdr>
        <w:top w:val="none" w:sz="0" w:space="0" w:color="auto"/>
        <w:left w:val="none" w:sz="0" w:space="0" w:color="auto"/>
        <w:bottom w:val="none" w:sz="0" w:space="0" w:color="auto"/>
        <w:right w:val="none" w:sz="0" w:space="0" w:color="auto"/>
      </w:divBdr>
    </w:div>
    <w:div w:id="1627159970">
      <w:bodyDiv w:val="1"/>
      <w:marLeft w:val="0"/>
      <w:marRight w:val="0"/>
      <w:marTop w:val="0"/>
      <w:marBottom w:val="0"/>
      <w:divBdr>
        <w:top w:val="none" w:sz="0" w:space="0" w:color="auto"/>
        <w:left w:val="none" w:sz="0" w:space="0" w:color="auto"/>
        <w:bottom w:val="none" w:sz="0" w:space="0" w:color="auto"/>
        <w:right w:val="none" w:sz="0" w:space="0" w:color="auto"/>
      </w:divBdr>
    </w:div>
    <w:div w:id="1860075317">
      <w:bodyDiv w:val="1"/>
      <w:marLeft w:val="0"/>
      <w:marRight w:val="0"/>
      <w:marTop w:val="0"/>
      <w:marBottom w:val="0"/>
      <w:divBdr>
        <w:top w:val="none" w:sz="0" w:space="0" w:color="auto"/>
        <w:left w:val="none" w:sz="0" w:space="0" w:color="auto"/>
        <w:bottom w:val="none" w:sz="0" w:space="0" w:color="auto"/>
        <w:right w:val="none" w:sz="0" w:space="0" w:color="auto"/>
      </w:divBdr>
      <w:divsChild>
        <w:div w:id="2063676165">
          <w:marLeft w:val="0"/>
          <w:marRight w:val="0"/>
          <w:marTop w:val="34"/>
          <w:marBottom w:val="34"/>
          <w:divBdr>
            <w:top w:val="none" w:sz="0" w:space="0" w:color="auto"/>
            <w:left w:val="none" w:sz="0" w:space="0" w:color="auto"/>
            <w:bottom w:val="none" w:sz="0" w:space="0" w:color="auto"/>
            <w:right w:val="none" w:sz="0" w:space="0" w:color="auto"/>
          </w:divBdr>
        </w:div>
      </w:divsChild>
    </w:div>
    <w:div w:id="1992563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F35A27-A29B-4536-AF62-D90CF1548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60266</Words>
  <Characters>343520</Characters>
  <Application>Microsoft Office Word</Application>
  <DocSecurity>0</DocSecurity>
  <Lines>2862</Lines>
  <Paragraphs>805</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Uni. Heidelberg</Company>
  <LinksUpToDate>false</LinksUpToDate>
  <CharactersWithSpaces>402981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Manuel Gentiluomo</dc:creator>
  <cp:lastModifiedBy>Manuel Gentiluomo</cp:lastModifiedBy>
  <cp:revision>2</cp:revision>
  <cp:lastPrinted>2019-11-27T11:45:00Z</cp:lastPrinted>
  <dcterms:created xsi:type="dcterms:W3CDTF">2025-05-29T08:33:00Z</dcterms:created>
  <dcterms:modified xsi:type="dcterms:W3CDTF">2025-05-29T08:33:00Z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http://www.zotero.org/styles/international-journal-of-cancer</vt:lpwstr>
  </property>
  <property fmtid="{D5CDD505-2E9C-101B-9397-08002B2CF9AE}" pid="3" name="Mendeley Recent Style Name 0_1">
    <vt:lpwstr>International Journal of Cancer</vt:lpwstr>
  </property>
  <property fmtid="{D5CDD505-2E9C-101B-9397-08002B2CF9AE}" pid="4" name="Mendeley Recent Style Id 1_1">
    <vt:lpwstr>https://csl.mendeley.com/styles/485975121/international-journal-of-cancer</vt:lpwstr>
  </property>
  <property fmtid="{D5CDD505-2E9C-101B-9397-08002B2CF9AE}" pid="5" name="Mendeley Recent Style Name 1_1">
    <vt:lpwstr>International Journal of Cancer - Manuel Gentiluomo, PhD Student</vt:lpwstr>
  </property>
  <property fmtid="{D5CDD505-2E9C-101B-9397-08002B2CF9AE}" pid="6" name="Mendeley Recent Style Id 2_1">
    <vt:lpwstr>http://www.zotero.org/styles/journal-of-medical-genetics</vt:lpwstr>
  </property>
  <property fmtid="{D5CDD505-2E9C-101B-9397-08002B2CF9AE}" pid="7" name="Mendeley Recent Style Name 2_1">
    <vt:lpwstr>Journal of Medical Genetics</vt:lpwstr>
  </property>
  <property fmtid="{D5CDD505-2E9C-101B-9397-08002B2CF9AE}" pid="8" name="Mendeley Recent Style Id 3_1">
    <vt:lpwstr>http://csl.mendeley.com/styles/485975121/journal-of-medical-genetics</vt:lpwstr>
  </property>
  <property fmtid="{D5CDD505-2E9C-101B-9397-08002B2CF9AE}" pid="9" name="Mendeley Recent Style Name 3_1">
    <vt:lpwstr>Journal of Medical Genetics - Manuel Gentiluomo, PhD Student</vt:lpwstr>
  </property>
  <property fmtid="{D5CDD505-2E9C-101B-9397-08002B2CF9AE}" pid="10" name="Mendeley Recent Style Id 4_1">
    <vt:lpwstr>https://csl.mendeley.com/styles/485975121/journal-of-medical-genetics</vt:lpwstr>
  </property>
  <property fmtid="{D5CDD505-2E9C-101B-9397-08002B2CF9AE}" pid="11" name="Mendeley Recent Style Name 4_1">
    <vt:lpwstr>Journal of Medical Genetics - Manuel Gentiluomo, PhD Student</vt:lpwstr>
  </property>
  <property fmtid="{D5CDD505-2E9C-101B-9397-08002B2CF9AE}" pid="12" name="Mendeley Recent Style Id 5_1">
    <vt:lpwstr>http://www.zotero.org/styles/modern-language-association</vt:lpwstr>
  </property>
  <property fmtid="{D5CDD505-2E9C-101B-9397-08002B2CF9AE}" pid="13" name="Mendeley Recent Style Name 5_1">
    <vt:lpwstr>Modern Language Association 8th edition</vt:lpwstr>
  </property>
  <property fmtid="{D5CDD505-2E9C-101B-9397-08002B2CF9AE}" pid="14" name="Mendeley Recent Style Id 6_1">
    <vt:lpwstr>http://csl.mendeley.com/styles/485975121/mutagenesis</vt:lpwstr>
  </property>
  <property fmtid="{D5CDD505-2E9C-101B-9397-08002B2CF9AE}" pid="15" name="Mendeley Recent Style Name 6_1">
    <vt:lpwstr>Mutagenesis - Manuel Gentiluomo, PhD Student</vt:lpwstr>
  </property>
  <property fmtid="{D5CDD505-2E9C-101B-9397-08002B2CF9AE}" pid="16" name="Mendeley Recent Style Id 7_1">
    <vt:lpwstr>http://www.zotero.org/styles/nature</vt:lpwstr>
  </property>
  <property fmtid="{D5CDD505-2E9C-101B-9397-08002B2CF9AE}" pid="17" name="Mendeley Recent Style Name 7_1">
    <vt:lpwstr>Nature</vt:lpwstr>
  </property>
  <property fmtid="{D5CDD505-2E9C-101B-9397-08002B2CF9AE}" pid="18" name="Mendeley Recent Style Id 8_1">
    <vt:lpwstr>http://www.zotero.org/styles/nature-publishing-group-vancouver</vt:lpwstr>
  </property>
  <property fmtid="{D5CDD505-2E9C-101B-9397-08002B2CF9AE}" pid="19" name="Mendeley Recent Style Name 8_1">
    <vt:lpwstr>Nature Publishing Group - Vancouver</vt:lpwstr>
  </property>
  <property fmtid="{D5CDD505-2E9C-101B-9397-08002B2CF9AE}" pid="20" name="Mendeley Recent Style Id 9_1">
    <vt:lpwstr>http://csl.mendeley.com/styles/485975121/oxford-university-press-scimed-numeric</vt:lpwstr>
  </property>
  <property fmtid="{D5CDD505-2E9C-101B-9397-08002B2CF9AE}" pid="21" name="Mendeley Recent Style Name 9_1">
    <vt:lpwstr>Oxford University Press SciMed (numeric) - Manuel Gentiluomo, PhD Student</vt:lpwstr>
  </property>
  <property fmtid="{D5CDD505-2E9C-101B-9397-08002B2CF9AE}" pid="22" name="Mendeley Document_1">
    <vt:lpwstr>True</vt:lpwstr>
  </property>
  <property fmtid="{D5CDD505-2E9C-101B-9397-08002B2CF9AE}" pid="23" name="Mendeley Unique User Id_1">
    <vt:lpwstr>5e5b6ba9-461c-3651-987a-a12435231ef1</vt:lpwstr>
  </property>
  <property fmtid="{D5CDD505-2E9C-101B-9397-08002B2CF9AE}" pid="24" name="Mendeley Citation Style_1">
    <vt:lpwstr>http://csl.mendeley.com/styles/485975121/journal-of-medical-genetics</vt:lpwstr>
  </property>
</Properties>
</file>