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590F7B" w14:textId="7F2A585B" w:rsidR="009C2187" w:rsidRDefault="009C2187" w:rsidP="009C2187">
      <w:pPr>
        <w:pStyle w:val="Chapter"/>
      </w:pPr>
      <w:r>
        <w:t>Accepted Unformatted Version of:</w:t>
      </w:r>
    </w:p>
    <w:p w14:paraId="52023B78" w14:textId="1893AF1C" w:rsidR="009C2187" w:rsidRPr="009C2187" w:rsidRDefault="009C2187" w:rsidP="009C2187">
      <w:pPr>
        <w:pStyle w:val="Default"/>
        <w:jc w:val="both"/>
        <w:rPr>
          <w:rFonts w:ascii="Arial" w:hAnsi="Arial" w:cs="Arial"/>
          <w:szCs w:val="24"/>
        </w:rPr>
      </w:pPr>
      <w:r w:rsidRPr="009C2187">
        <w:rPr>
          <w:rFonts w:ascii="Arial" w:hAnsi="Arial" w:cs="Arial"/>
          <w:iCs/>
          <w:szCs w:val="24"/>
        </w:rPr>
        <w:t xml:space="preserve">Knüsel, C.J.,  Milella, M., Betz, B., Dori, I., Garofalo, E., Glencross, B., Haddow, S.D., Ledger, M.L., Anastasiou, E., Mitchell, P.D., Pearson, J., Pilloud, M.A., Ruff, C.B., Sadvari, J.W., Tibbetts, B., Larsen, C.S., </w:t>
      </w:r>
      <w:r w:rsidRPr="009C2187">
        <w:rPr>
          <w:rFonts w:ascii="Arial" w:hAnsi="Arial" w:cs="Arial"/>
          <w:bCs/>
          <w:szCs w:val="24"/>
        </w:rPr>
        <w:t xml:space="preserve">Bioarchaeology at neolithic Çatalhöyük: Indicators of health, well-being and lifeway in their social context. In: Hodder, I. (ed.) </w:t>
      </w:r>
      <w:r w:rsidRPr="009C2187">
        <w:rPr>
          <w:rFonts w:ascii="Arial" w:hAnsi="Arial" w:cs="Arial"/>
          <w:bCs/>
          <w:i/>
          <w:iCs/>
          <w:szCs w:val="24"/>
        </w:rPr>
        <w:t xml:space="preserve">Peopling the Landscape of Çatalhöyük: Reports from the 2009-2017 Seasons. </w:t>
      </w:r>
      <w:r w:rsidRPr="009C2187">
        <w:rPr>
          <w:rFonts w:ascii="Arial" w:hAnsi="Arial" w:cs="Arial"/>
          <w:bCs/>
          <w:szCs w:val="24"/>
        </w:rPr>
        <w:t>Çatalhöyük Research project Series no.13. British Institute at Ankara</w:t>
      </w:r>
      <w:r>
        <w:rPr>
          <w:rFonts w:ascii="Arial" w:hAnsi="Arial" w:cs="Arial"/>
          <w:bCs/>
          <w:szCs w:val="24"/>
        </w:rPr>
        <w:t>/Oxbow Books: Oxford,</w:t>
      </w:r>
      <w:r w:rsidRPr="009C2187">
        <w:rPr>
          <w:rFonts w:ascii="Arial" w:hAnsi="Arial" w:cs="Arial"/>
          <w:bCs/>
          <w:szCs w:val="24"/>
        </w:rPr>
        <w:t xml:space="preserve"> 2021, pp.315-56.</w:t>
      </w:r>
      <w:r w:rsidRPr="009C2187">
        <w:rPr>
          <w:rFonts w:ascii="Arial" w:hAnsi="Arial" w:cs="Arial"/>
          <w:bCs/>
          <w:szCs w:val="24"/>
        </w:rPr>
        <w:t xml:space="preserve"> </w:t>
      </w:r>
      <w:r w:rsidRPr="009C2187">
        <w:rPr>
          <w:rFonts w:ascii="Arial" w:hAnsi="Arial" w:cs="Arial"/>
          <w:szCs w:val="24"/>
        </w:rPr>
        <w:t>ISBN 978 1 912090 75 4</w:t>
      </w:r>
    </w:p>
    <w:p w14:paraId="39BE3BA0" w14:textId="77777777" w:rsidR="009C2187" w:rsidRDefault="009C2187" w:rsidP="009C2187">
      <w:pPr>
        <w:pStyle w:val="Chapter"/>
      </w:pPr>
    </w:p>
    <w:p w14:paraId="55442C92" w14:textId="77777777" w:rsidR="009C2187" w:rsidRDefault="009C2187" w:rsidP="009C2187">
      <w:pPr>
        <w:pStyle w:val="Chapter"/>
        <w:jc w:val="both"/>
      </w:pPr>
    </w:p>
    <w:p w14:paraId="04D21D9B" w14:textId="01B69A25" w:rsidR="009C2187" w:rsidRPr="007F327D" w:rsidRDefault="009C2187" w:rsidP="009C2187">
      <w:pPr>
        <w:pStyle w:val="Chapter"/>
      </w:pPr>
      <w:r w:rsidRPr="007F327D">
        <w:t>Chapter 16</w:t>
      </w:r>
    </w:p>
    <w:p w14:paraId="0BC6858C" w14:textId="77777777" w:rsidR="009C2187" w:rsidRPr="007F327D" w:rsidRDefault="009C2187" w:rsidP="009C2187">
      <w:pPr>
        <w:pStyle w:val="Title"/>
      </w:pPr>
      <w:r w:rsidRPr="007F327D">
        <w:t xml:space="preserve">Bioarchaeology at Neolithic </w:t>
      </w:r>
      <w:proofErr w:type="spellStart"/>
      <w:r w:rsidRPr="007F327D">
        <w:t>Çatalhöyük</w:t>
      </w:r>
      <w:proofErr w:type="spellEnd"/>
      <w:r w:rsidRPr="007F327D">
        <w:t>: Indicators of Health, Well-being and Lifeway in their Social Context</w:t>
      </w:r>
    </w:p>
    <w:p w14:paraId="59FE1537" w14:textId="77777777" w:rsidR="009C2187" w:rsidRPr="007F327D" w:rsidRDefault="009C2187" w:rsidP="009C2187">
      <w:pPr>
        <w:pStyle w:val="Subtitle"/>
      </w:pPr>
      <w:r w:rsidRPr="007F327D">
        <w:t xml:space="preserve">Christopher J. </w:t>
      </w:r>
      <w:proofErr w:type="spellStart"/>
      <w:r w:rsidRPr="007F327D">
        <w:t>Knüsel</w:t>
      </w:r>
      <w:proofErr w:type="spellEnd"/>
      <w:r w:rsidRPr="007F327D">
        <w:t xml:space="preserve">, Marco </w:t>
      </w:r>
      <w:proofErr w:type="spellStart"/>
      <w:r w:rsidRPr="007F327D">
        <w:t>Milella</w:t>
      </w:r>
      <w:proofErr w:type="spellEnd"/>
      <w:r w:rsidRPr="007F327D">
        <w:t xml:space="preserve">, Barbara Betz, Irene Dori, Evan Garofalo, Bonnie Glencross, Scott D. Haddow, Marissa Ledger, </w:t>
      </w:r>
      <w:proofErr w:type="spellStart"/>
      <w:r w:rsidRPr="007F327D">
        <w:t>Evilena</w:t>
      </w:r>
      <w:proofErr w:type="spellEnd"/>
      <w:r w:rsidRPr="007F327D">
        <w:t xml:space="preserve"> </w:t>
      </w:r>
      <w:proofErr w:type="spellStart"/>
      <w:r w:rsidRPr="007F327D">
        <w:t>Anastasiou</w:t>
      </w:r>
      <w:proofErr w:type="spellEnd"/>
      <w:r w:rsidRPr="007F327D">
        <w:t xml:space="preserve">, Piers Mitchell, Jessica Pearson, Marin A. </w:t>
      </w:r>
      <w:proofErr w:type="spellStart"/>
      <w:r w:rsidRPr="007F327D">
        <w:t>Pilloud</w:t>
      </w:r>
      <w:proofErr w:type="spellEnd"/>
      <w:r w:rsidRPr="007F327D">
        <w:t xml:space="preserve">, Christopher B. Ruff, Joshua W. </w:t>
      </w:r>
      <w:proofErr w:type="spellStart"/>
      <w:r w:rsidRPr="007F327D">
        <w:t>Sadvari</w:t>
      </w:r>
      <w:proofErr w:type="spellEnd"/>
      <w:r w:rsidRPr="007F327D">
        <w:t xml:space="preserve">, Belinda Tibbetts, Clark S. Larsen </w:t>
      </w:r>
    </w:p>
    <w:p w14:paraId="0380B228" w14:textId="77777777" w:rsidR="009C2187" w:rsidRPr="007F327D" w:rsidRDefault="009C2187" w:rsidP="009C2187">
      <w:pPr>
        <w:pStyle w:val="Heading1"/>
      </w:pPr>
      <w:r w:rsidRPr="007F327D">
        <w:t>Introduction: a great transition and its aftermath</w:t>
      </w:r>
    </w:p>
    <w:p w14:paraId="7B3F4D78" w14:textId="77777777" w:rsidR="009C2187" w:rsidRPr="007F327D" w:rsidRDefault="009C2187" w:rsidP="009C2187">
      <w:pPr>
        <w:pStyle w:val="Paragraph"/>
      </w:pPr>
      <w:r w:rsidRPr="007F327D">
        <w:t xml:space="preserve">The transition to farming and its immediate aftermath is frequently associated with a decrease in health, a result of the greater proximity of people to animals, proximity of living quarters to one another and to waste disposal areas, and higher settlement population densities. All these factors, together with a narrower dietary niche, are today interpreted as responsible for the sudden spread of infectious and parasitic diseases among early Holocene agricultural communities (Cohen, </w:t>
      </w:r>
      <w:proofErr w:type="spellStart"/>
      <w:r w:rsidRPr="007F327D">
        <w:t>Armelagos</w:t>
      </w:r>
      <w:proofErr w:type="spellEnd"/>
      <w:r w:rsidRPr="007F327D">
        <w:t xml:space="preserve"> 1984; Larsen 1995; </w:t>
      </w:r>
      <w:proofErr w:type="spellStart"/>
      <w:r w:rsidRPr="007F327D">
        <w:t>Armelagos</w:t>
      </w:r>
      <w:proofErr w:type="spellEnd"/>
      <w:r w:rsidRPr="007F327D">
        <w:t xml:space="preserve"> et al. 2005). Bioarchaeology has significantly contributed to understanding this key moment in the past, a process often referred to as ‘</w:t>
      </w:r>
      <w:proofErr w:type="spellStart"/>
      <w:r w:rsidRPr="007F327D">
        <w:t>neolithisation</w:t>
      </w:r>
      <w:proofErr w:type="spellEnd"/>
      <w:r w:rsidRPr="007F327D">
        <w:t>’, which commenced in the preceding Epi-Palaeolithic period, dating to roughly between 20,000 and 10,000 BC in Anatolia (</w:t>
      </w:r>
      <w:proofErr w:type="spellStart"/>
      <w:r w:rsidRPr="007F327D">
        <w:t>Düring</w:t>
      </w:r>
      <w:proofErr w:type="spellEnd"/>
      <w:r w:rsidRPr="007F327D">
        <w:t xml:space="preserve"> 2011a: 31-32). This process reached its apogee with the emergence of a number of large settlements, termed ‘</w:t>
      </w:r>
      <w:proofErr w:type="spellStart"/>
      <w:r w:rsidRPr="007F327D">
        <w:t>megasites</w:t>
      </w:r>
      <w:proofErr w:type="spellEnd"/>
      <w:r w:rsidRPr="007F327D">
        <w:t>’ (</w:t>
      </w:r>
      <w:proofErr w:type="spellStart"/>
      <w:r w:rsidRPr="007F327D">
        <w:t>Bogaard</w:t>
      </w:r>
      <w:proofErr w:type="spellEnd"/>
      <w:r w:rsidRPr="007F327D">
        <w:t xml:space="preserve">, </w:t>
      </w:r>
      <w:proofErr w:type="spellStart"/>
      <w:r w:rsidRPr="007F327D">
        <w:t>Isaakidou</w:t>
      </w:r>
      <w:proofErr w:type="spellEnd"/>
      <w:r w:rsidRPr="007F327D">
        <w:t xml:space="preserve"> 2010; Der, </w:t>
      </w:r>
      <w:proofErr w:type="spellStart"/>
      <w:r w:rsidRPr="007F327D">
        <w:t>Issavi</w:t>
      </w:r>
      <w:proofErr w:type="spellEnd"/>
      <w:r w:rsidRPr="007F327D">
        <w:t xml:space="preserve"> 2017), throughout the Near East towards the end of the Pre-Pottery Neolithic period (i.e. Late PPNB - 8500-6500 </w:t>
      </w:r>
      <w:proofErr w:type="spellStart"/>
      <w:r w:rsidRPr="007F327D">
        <w:t>cal</w:t>
      </w:r>
      <w:proofErr w:type="spellEnd"/>
      <w:r w:rsidRPr="007F327D">
        <w:t xml:space="preserve"> B.C.) (</w:t>
      </w:r>
      <w:proofErr w:type="spellStart"/>
      <w:r w:rsidRPr="007F327D">
        <w:t>Kuijt</w:t>
      </w:r>
      <w:proofErr w:type="spellEnd"/>
      <w:r w:rsidRPr="007F327D">
        <w:t xml:space="preserve"> 2000b). Features of the Late PPNB include the full domestication of plants and animals and the advent of large multi-room structures. As one of only two </w:t>
      </w:r>
      <w:proofErr w:type="spellStart"/>
      <w:r w:rsidRPr="007F327D">
        <w:t>megasites</w:t>
      </w:r>
      <w:proofErr w:type="spellEnd"/>
      <w:r w:rsidRPr="007F327D">
        <w:t xml:space="preserve"> in Anatolia (the other being </w:t>
      </w:r>
      <w:proofErr w:type="spellStart"/>
      <w:r w:rsidRPr="007F327D">
        <w:t>Aşıklı</w:t>
      </w:r>
      <w:proofErr w:type="spellEnd"/>
      <w:r w:rsidRPr="007F327D">
        <w:t xml:space="preserve"> </w:t>
      </w:r>
      <w:proofErr w:type="spellStart"/>
      <w:r w:rsidRPr="007F327D">
        <w:t>Höyük</w:t>
      </w:r>
      <w:proofErr w:type="spellEnd"/>
      <w:r w:rsidRPr="007F327D">
        <w:t xml:space="preserve">), </w:t>
      </w:r>
      <w:proofErr w:type="spellStart"/>
      <w:r w:rsidRPr="007F327D">
        <w:t>Çatalhöyük</w:t>
      </w:r>
      <w:proofErr w:type="spellEnd"/>
      <w:r w:rsidRPr="007F327D">
        <w:t xml:space="preserve"> provides the opportunity to examine the health and well-being of a very large and well-established sedentary Late Neolithic farming community. Because of its long occupation sequence from 7100 to 5950 BC (Bayliss et al. 2005) and size (13ha, equivalent to roughly 30 football fields), Neolithic </w:t>
      </w:r>
      <w:proofErr w:type="spellStart"/>
      <w:r w:rsidRPr="007F327D">
        <w:t>Çatalhöyük</w:t>
      </w:r>
      <w:proofErr w:type="spellEnd"/>
      <w:r w:rsidRPr="007F327D">
        <w:t xml:space="preserve"> furnishes an ideal candidate for exploring the effects of diachronic changes in population size and its effects on the health, well-being and way of life between of the sexes and for age and social groups through time. Results of previous analyses suggested a diachronic change in infectious disease prevalence, a likely result of increased population density and a related exposure to pathogens (Larsen et al. 2015). Conversely, estimates of growth trajectories for stature and body mass do not seem to deviate from those expected for ‘healthy’ populations (but see below). These contrasting results suggest the need for further analyses of the socio-cultural environmental challenges present at the site through time and their biocultural effects on the inhabitants.</w:t>
      </w:r>
    </w:p>
    <w:p w14:paraId="468BE37D" w14:textId="77777777" w:rsidR="009C2187" w:rsidRPr="007F327D" w:rsidRDefault="009C2187" w:rsidP="009C2187">
      <w:pPr>
        <w:pStyle w:val="Paragraph"/>
      </w:pPr>
      <w:r w:rsidRPr="007F327D">
        <w:lastRenderedPageBreak/>
        <w:t xml:space="preserve">This chapter addresses measures of health (palaeopathology), well-being and lifestyle (way of life) that provide insights into the social context of the Neolithic population sample excavated at </w:t>
      </w:r>
      <w:proofErr w:type="spellStart"/>
      <w:r w:rsidRPr="007F327D">
        <w:t>Çatalhöyük</w:t>
      </w:r>
      <w:proofErr w:type="spellEnd"/>
      <w:r w:rsidRPr="007F327D">
        <w:t xml:space="preserve">. The term ‘well-being’ is defined here as the ability to attain the full genetic potential for growth and development in the face of stress, the non-specific response of the body to physiological demands placed on it (cf. Selye 1936), a measure of individual and population adaptation to social, economic, political, and psychological circumstances. Goodman et al. (1988) defined a group of osteological indicators of stress or ‘stressors’, ‘that which produces stress’ (Selye 1936: 51, 78-79), for the field of biological anthropology, which have been expanded since but without exhausting the list of indicators or the application to population samples in subsequent research to date. Although not all of these indicators of stress could be included in this treatment, the studies described below include those based on changes in the </w:t>
      </w:r>
      <w:proofErr w:type="spellStart"/>
      <w:r w:rsidRPr="007F327D">
        <w:t>palaeodemographic</w:t>
      </w:r>
      <w:proofErr w:type="spellEnd"/>
      <w:r w:rsidRPr="007F327D">
        <w:t xml:space="preserve"> composition of the population sample, especially of the very young. Constituents and quality of the diet and lifestyle are assessed through studies of dental enamel hypoplasia, fluctuating asymmetry, and disease; growth (stature and body mass); violence-related trauma;</w:t>
      </w:r>
      <w:r w:rsidRPr="007F327D" w:rsidDel="00EA126F">
        <w:t xml:space="preserve"> </w:t>
      </w:r>
      <w:r w:rsidRPr="007F327D">
        <w:t xml:space="preserve">long bone cross-sectional geometric properties; and dietary isotopic ratios. Cross-sectional geometric properties are also employed in conjunction with strontium isotopic ratios and patterns of dental non-metric traits to address residential mobility and migration. In addition, parasitic infections are considered from individual grave contexts and human faecal remains. The results of this multi-faceted research programme both confirm and expand previously published insights into the health and way of life of the Neolithic population of </w:t>
      </w:r>
      <w:proofErr w:type="spellStart"/>
      <w:r w:rsidRPr="007F327D">
        <w:t>Çatalhöyük</w:t>
      </w:r>
      <w:proofErr w:type="spellEnd"/>
      <w:r w:rsidRPr="007F327D">
        <w:t xml:space="preserve"> (see Larsen et al. 2015, Hillson et al. 2013; Larsen et al. 2013). </w:t>
      </w:r>
    </w:p>
    <w:p w14:paraId="7FA305A7" w14:textId="77777777" w:rsidR="009C2187" w:rsidRPr="007F327D" w:rsidRDefault="009C2187" w:rsidP="009C2187">
      <w:pPr>
        <w:pStyle w:val="Heading1"/>
      </w:pPr>
      <w:proofErr w:type="spellStart"/>
      <w:r w:rsidRPr="007F327D">
        <w:t>Palaeodemography</w:t>
      </w:r>
      <w:proofErr w:type="spellEnd"/>
      <w:r w:rsidRPr="007F327D">
        <w:t xml:space="preserve"> of </w:t>
      </w:r>
      <w:proofErr w:type="spellStart"/>
      <w:r w:rsidRPr="007F327D">
        <w:t>Çatalhöyük</w:t>
      </w:r>
      <w:proofErr w:type="spellEnd"/>
      <w:r w:rsidRPr="007F327D">
        <w:t xml:space="preserve">: diachronic changes in age-at-death, sex composition and fertility </w:t>
      </w:r>
    </w:p>
    <w:p w14:paraId="2C1CD04E" w14:textId="77777777" w:rsidR="009C2187" w:rsidRPr="007F327D" w:rsidRDefault="009C2187" w:rsidP="009C2187">
      <w:pPr>
        <w:pStyle w:val="Paragraph"/>
      </w:pPr>
      <w:r w:rsidRPr="007F327D">
        <w:t xml:space="preserve">Recovery of substantial numbers of human remains during the 2009-2017 field seasons provides the opportunity to refine and update previous </w:t>
      </w:r>
      <w:proofErr w:type="spellStart"/>
      <w:r w:rsidRPr="007F327D">
        <w:t>palaeodemographic</w:t>
      </w:r>
      <w:proofErr w:type="spellEnd"/>
      <w:r w:rsidRPr="007F327D">
        <w:t xml:space="preserve"> estimates for the East Mound at </w:t>
      </w:r>
      <w:proofErr w:type="spellStart"/>
      <w:r w:rsidRPr="007F327D">
        <w:t>Çatalhöyük</w:t>
      </w:r>
      <w:proofErr w:type="spellEnd"/>
      <w:r w:rsidRPr="007F327D">
        <w:t xml:space="preserve">. In particular, the incorporation of new data from the lower stratigraphic levels provides a more informed discussion of the demographic composition of the </w:t>
      </w:r>
      <w:proofErr w:type="spellStart"/>
      <w:r w:rsidRPr="007F327D">
        <w:t>Çatalhöyük</w:t>
      </w:r>
      <w:proofErr w:type="spellEnd"/>
      <w:r w:rsidRPr="007F327D">
        <w:t xml:space="preserve"> community during the earliest occupation of the site. This, together with a more fine-grained estimation of subadult age-at-death, facilitates a more informed contextualisation of the biological and social patterns observed in this Neolithic setting. Due to the potential for double-counting of secondary/tertiary burials, the present discussion considers only primary inhumations. The analysis of demographic patterns associated with various funerary treatments is provided in the funerary archaeology chapter (Chapter 15).</w:t>
      </w:r>
    </w:p>
    <w:p w14:paraId="687004E5" w14:textId="77777777" w:rsidR="009C2187" w:rsidRPr="007F327D" w:rsidRDefault="009C2187" w:rsidP="009C2187">
      <w:pPr>
        <w:pStyle w:val="Paragraph"/>
      </w:pPr>
      <w:r w:rsidRPr="007F327D">
        <w:t>Sex determination was based on the scoring of cranial, mandibular, and pelvic sexually dimorphic features following standard protocols (</w:t>
      </w:r>
      <w:proofErr w:type="spellStart"/>
      <w:r w:rsidRPr="007F327D">
        <w:t>Buikstra</w:t>
      </w:r>
      <w:proofErr w:type="spellEnd"/>
      <w:r w:rsidRPr="007F327D">
        <w:t xml:space="preserve">, </w:t>
      </w:r>
      <w:proofErr w:type="spellStart"/>
      <w:r w:rsidRPr="007F327D">
        <w:t>Ubelaker</w:t>
      </w:r>
      <w:proofErr w:type="spellEnd"/>
      <w:r w:rsidRPr="007F327D">
        <w:t xml:space="preserve"> 1994). Cranial features included the size of the mastoid process and the robusticity and rugosity of the </w:t>
      </w:r>
      <w:proofErr w:type="spellStart"/>
      <w:r w:rsidRPr="007F327D">
        <w:t>supramastoid</w:t>
      </w:r>
      <w:proofErr w:type="spellEnd"/>
      <w:r w:rsidRPr="007F327D">
        <w:t xml:space="preserve"> crest, temporal line, glabella, supraorbital ridge, superior nuchal line, and external occipital protuberance. Mandibular features were also scored, including the shape of the coronoid process, ascending ramus, gonial angle, and mental eminence, as were features of the </w:t>
      </w:r>
      <w:r w:rsidRPr="007F327D">
        <w:rPr>
          <w:i/>
        </w:rPr>
        <w:t>ossa coxae</w:t>
      </w:r>
      <w:r w:rsidRPr="007F327D">
        <w:t xml:space="preserve">, including the shapes of greater sciatic notch, pubis, ventral arc, sub-pubic concavity, and inferior </w:t>
      </w:r>
      <w:proofErr w:type="spellStart"/>
      <w:r w:rsidRPr="007F327D">
        <w:t>ischio</w:t>
      </w:r>
      <w:proofErr w:type="spellEnd"/>
      <w:r w:rsidRPr="007F327D">
        <w:t>-pubic ramus ridge. Apart from the last three (recorded as present or absent), all dimorphic features were scored on a 5-point ordinal scale (from distinctly female to distinctly male, with the third score corresponding to indeterminate sex). Subadult age-at-death was estimated on the basis of skeletal and dental developmental and eruption milestones (</w:t>
      </w:r>
      <w:proofErr w:type="spellStart"/>
      <w:r w:rsidRPr="007F327D">
        <w:t>Schour</w:t>
      </w:r>
      <w:proofErr w:type="spellEnd"/>
      <w:r w:rsidRPr="007F327D">
        <w:t xml:space="preserve">, </w:t>
      </w:r>
      <w:proofErr w:type="spellStart"/>
      <w:r w:rsidRPr="007F327D">
        <w:t>Massler</w:t>
      </w:r>
      <w:proofErr w:type="spellEnd"/>
      <w:r w:rsidRPr="007F327D">
        <w:t xml:space="preserve"> 1941) and for the youngest individuals, neonates and young infants, the dental development and eruption sequence proposed by </w:t>
      </w:r>
      <w:proofErr w:type="spellStart"/>
      <w:r w:rsidRPr="007F327D">
        <w:t>AlQahtani</w:t>
      </w:r>
      <w:proofErr w:type="spellEnd"/>
      <w:r w:rsidRPr="007F327D">
        <w:t xml:space="preserve"> et al. (2010). Multiple methods were applied to estimate age-at-death from subadult skeletal remains, including the presence and morphology of ossification centres, element and epiphyseal fusion, dimensions of specific skeletal elements, and dental development. Subadult age estimates were divided into the following categories: pre-term (&lt;38 </w:t>
      </w:r>
      <w:proofErr w:type="spellStart"/>
      <w:r w:rsidRPr="007F327D">
        <w:t>weeks</w:t>
      </w:r>
      <w:proofErr w:type="spellEnd"/>
      <w:r w:rsidRPr="007F327D">
        <w:t xml:space="preserve"> gestation); neonate (0-2 months); infant (2 months-3 years); child (3-12 years), and adolescent (12-20 years). Adult age-at-death was estimated on the basis of the morphological changes of the pubic symphysis (Brooks, </w:t>
      </w:r>
      <w:proofErr w:type="spellStart"/>
      <w:r w:rsidRPr="007F327D">
        <w:t>Suchey</w:t>
      </w:r>
      <w:proofErr w:type="spellEnd"/>
      <w:r w:rsidRPr="007F327D">
        <w:t xml:space="preserve"> 1990) and auricular surface of the ilium (Lovejoy et al. 1985). The resulting age estimates were used to divide the sample into three adult age categories: young adults (20-34 years old), middle adults (35-49 years old), and old adults (≥50 years old). Adults for whom skeletal preservation did not allow inclusion in a specific age category were recorded as ‘adults’ (≥20 years old). </w:t>
      </w:r>
    </w:p>
    <w:p w14:paraId="2C78A6C0" w14:textId="77777777" w:rsidR="009C2187" w:rsidRPr="007F327D" w:rsidRDefault="009C2187" w:rsidP="009C2187">
      <w:pPr>
        <w:pStyle w:val="Paragraph"/>
      </w:pPr>
      <w:r w:rsidRPr="007F327D">
        <w:lastRenderedPageBreak/>
        <w:t>Chronologically, the site is divided into stratigraphic levels corresponding to the main excavation areas on the East Mound: North, South, TP and TPC. Because some stratigraphic levels contain very few individuals, groups of levels have been combined into four major occupation periods in order to increase sample sizes (see Chapter 1 for details of site chronology): Early (7100-6700 BC), Middle (6700-6500 BC), Late (6500-6300 BC), and Final (6300-5950 BC). Furthermore, for this chapter, the Late and Final periods were grouped together owing to the extremely small number of primary burials retrieved from the Final period of occupation. The final total sample of 471 individuals was used to address three main research questions:</w:t>
      </w:r>
    </w:p>
    <w:p w14:paraId="2BA1DA42" w14:textId="77777777" w:rsidR="009C2187" w:rsidRPr="00E76A0F" w:rsidRDefault="009C2187" w:rsidP="009C2187">
      <w:pPr>
        <w:ind w:left="720"/>
        <w:rPr>
          <w:rFonts w:ascii="Times New Roman" w:hAnsi="Times New Roman" w:cs="Times New Roman"/>
        </w:rPr>
      </w:pPr>
      <w:r w:rsidRPr="00E76A0F">
        <w:rPr>
          <w:rFonts w:ascii="Times New Roman" w:hAnsi="Times New Roman" w:cs="Times New Roman"/>
        </w:rPr>
        <w:t>1) What is the age composition of each period of the settlement, and how does it vary through time?</w:t>
      </w:r>
    </w:p>
    <w:p w14:paraId="7B3EECE4" w14:textId="77777777" w:rsidR="009C2187" w:rsidRPr="00E76A0F" w:rsidRDefault="009C2187" w:rsidP="009C2187">
      <w:pPr>
        <w:ind w:left="720"/>
        <w:rPr>
          <w:rFonts w:ascii="Times New Roman" w:hAnsi="Times New Roman" w:cs="Times New Roman"/>
        </w:rPr>
      </w:pPr>
      <w:r w:rsidRPr="00E76A0F">
        <w:rPr>
          <w:rFonts w:ascii="Times New Roman" w:hAnsi="Times New Roman" w:cs="Times New Roman"/>
        </w:rPr>
        <w:t xml:space="preserve">2) What is the proportion of males versus females in the population of </w:t>
      </w:r>
      <w:proofErr w:type="spellStart"/>
      <w:r w:rsidRPr="00E76A0F">
        <w:rPr>
          <w:rFonts w:ascii="Times New Roman" w:hAnsi="Times New Roman" w:cs="Times New Roman"/>
        </w:rPr>
        <w:t>Çatalhöyük</w:t>
      </w:r>
      <w:proofErr w:type="spellEnd"/>
      <w:r w:rsidRPr="00E76A0F">
        <w:rPr>
          <w:rFonts w:ascii="Times New Roman" w:hAnsi="Times New Roman" w:cs="Times New Roman"/>
        </w:rPr>
        <w:t>, and was this ratio stable or prone to fluctuations through time?</w:t>
      </w:r>
    </w:p>
    <w:p w14:paraId="3812DBA4" w14:textId="77777777" w:rsidR="009C2187" w:rsidRPr="00E76A0F" w:rsidRDefault="009C2187" w:rsidP="009C2187">
      <w:pPr>
        <w:ind w:left="720"/>
        <w:rPr>
          <w:rFonts w:ascii="Times New Roman" w:hAnsi="Times New Roman" w:cs="Times New Roman"/>
          <w:i/>
        </w:rPr>
      </w:pPr>
      <w:r w:rsidRPr="00E76A0F">
        <w:rPr>
          <w:rFonts w:ascii="Times New Roman" w:hAnsi="Times New Roman" w:cs="Times New Roman"/>
        </w:rPr>
        <w:t>3) What inferences can be made from the above patterns regarding the interaction between the population of the site and their biological and social environment?</w:t>
      </w:r>
      <w:r w:rsidRPr="00E76A0F">
        <w:rPr>
          <w:rFonts w:ascii="Times New Roman" w:hAnsi="Times New Roman" w:cs="Times New Roman"/>
          <w:i/>
        </w:rPr>
        <w:t xml:space="preserve"> </w:t>
      </w:r>
    </w:p>
    <w:p w14:paraId="4681034F" w14:textId="77777777" w:rsidR="009C2187" w:rsidRPr="007F327D" w:rsidRDefault="009C2187" w:rsidP="009C2187">
      <w:pPr>
        <w:pStyle w:val="Heading2"/>
      </w:pPr>
      <w:r w:rsidRPr="007F327D">
        <w:t>Age</w:t>
      </w:r>
    </w:p>
    <w:p w14:paraId="5E68DAA5" w14:textId="77777777" w:rsidR="009C2187" w:rsidRPr="007F327D" w:rsidRDefault="009C2187" w:rsidP="009C2187">
      <w:pPr>
        <w:pStyle w:val="Paragraph"/>
      </w:pPr>
      <w:r w:rsidRPr="007F327D">
        <w:t xml:space="preserve">Figure 16.1 and table 16.1 show the relative frequency of each age category by occupation period. From this, it appears that the frequency most prone to vary through time is that of pre-term individuals (a dramatic decrease after the Early occupation period), and children (whose frequency reaches a peak during the Middle occupation period). It is worth noting that, even if the relative frequency of the three adult age categories appears to be relatively constant, especially for the Middle and Late/Final periods, the relatively large number of individuals not assignable to a specific adult age category is likely to bias the overall picture. Figures 16.2 and 16.3 provide a more detailed picture of the relative proportion of each age category, respectively, for adults and subadults. Table 16.2 illustrates the age distribution of the subadult sample. For adults – even though biased by ‘uncategorised’ adults – the clearest trends are expressed by the middle and old adult categories. Middle adults show a marked increase in frequency from the Early to the Middle period, with no changes after the latter. Conversely, the relative frequency of old adults decreases from the Early to the Middle period, with no changes during the Late/Final periods. Results for subadults are more variable than those for adults. Apart from the adolescents, which tend to present a relatively homogenous frequency through time, the other age categories show marked diachronic variability. This can be summarised by a decrease in pre-term individuals after the Early period, and a peak in the relative frequency of children during the Middle period, and neonates during the Late/Final period. Running an ordered logistic model with age category as an independent variable and occupation period, settlement area, and their interaction as predictors (when testing settlement area only Middle and Late/Final periods were considered) demonstrates that the above changes are statistically independent from the area of the settlement sampled (table 16.3). </w:t>
      </w:r>
    </w:p>
    <w:p w14:paraId="7798C9D3" w14:textId="77777777" w:rsidR="009C2187" w:rsidRPr="007F327D" w:rsidRDefault="009C2187" w:rsidP="009C2187">
      <w:pPr>
        <w:pStyle w:val="Caption"/>
      </w:pPr>
      <w:r w:rsidRPr="007F327D">
        <w:rPr>
          <w:b/>
        </w:rPr>
        <w:t>Figure 16.1</w:t>
      </w:r>
      <w:r w:rsidRPr="007F327D">
        <w:t xml:space="preserve">. Age categories of the </w:t>
      </w:r>
      <w:proofErr w:type="spellStart"/>
      <w:r w:rsidRPr="007F327D">
        <w:t>Çatalhöyük</w:t>
      </w:r>
      <w:proofErr w:type="spellEnd"/>
      <w:r w:rsidRPr="007F327D">
        <w:t xml:space="preserve"> human skeletal sample (only primary and primary disturbed inhumations included). Frequencies refer to the number of individuals in each age category divided by the total sample size for each period of occupation, expressed in percentages. YA= Young adult, MA= Middle adult, OA= Old adult, A= Adult.</w:t>
      </w:r>
    </w:p>
    <w:p w14:paraId="3B839458" w14:textId="77777777" w:rsidR="009C2187" w:rsidRPr="007F327D" w:rsidRDefault="009C2187" w:rsidP="009C2187">
      <w:pPr>
        <w:pStyle w:val="Caption"/>
      </w:pPr>
      <w:r w:rsidRPr="007F327D">
        <w:rPr>
          <w:b/>
        </w:rPr>
        <w:t>Table 16.1</w:t>
      </w:r>
      <w:r w:rsidRPr="007F327D">
        <w:t>. The demographic sample divided by age category (a) and sex (b). Only stratified primary- and primary disturbed individuals included.</w:t>
      </w:r>
    </w:p>
    <w:p w14:paraId="41DED500" w14:textId="77777777" w:rsidR="009C2187" w:rsidRPr="007F327D" w:rsidRDefault="009C2187" w:rsidP="009C2187">
      <w:pPr>
        <w:pStyle w:val="Caption"/>
      </w:pPr>
      <w:r w:rsidRPr="007F327D">
        <w:rPr>
          <w:b/>
        </w:rPr>
        <w:t>Figure 16.2</w:t>
      </w:r>
      <w:r w:rsidRPr="007F327D">
        <w:t>. Age divisions of adults. Frequencies refer to the number of individuals for each age category divided by the total sample size for each occupation period, expressed in percentages. YA= Young adult, MA= Middle adult, OA= Old adult, A= Adult.</w:t>
      </w:r>
    </w:p>
    <w:p w14:paraId="1C9E4375" w14:textId="77777777" w:rsidR="009C2187" w:rsidRPr="007F327D" w:rsidRDefault="009C2187" w:rsidP="009C2187">
      <w:pPr>
        <w:pStyle w:val="Caption"/>
      </w:pPr>
      <w:r w:rsidRPr="007F327D">
        <w:rPr>
          <w:b/>
        </w:rPr>
        <w:t>Figure 16.3</w:t>
      </w:r>
      <w:r w:rsidRPr="007F327D">
        <w:t>. Age divisions of subadults. Frequencies refer to the number of individuals for each age category divided by the total sample size for each occupation period, expressed in percentages.</w:t>
      </w:r>
    </w:p>
    <w:p w14:paraId="7E8EACE7" w14:textId="77777777" w:rsidR="009C2187" w:rsidRPr="007F327D" w:rsidRDefault="009C2187" w:rsidP="009C2187">
      <w:pPr>
        <w:pStyle w:val="Caption"/>
      </w:pPr>
      <w:r w:rsidRPr="007F327D">
        <w:rPr>
          <w:b/>
        </w:rPr>
        <w:t>Table 16.2</w:t>
      </w:r>
      <w:r w:rsidRPr="007F327D">
        <w:t>. Absolute (in brackets) and relative frequencies of subadult age categories. Relative frequencies are calculated based only on the subadult sample.</w:t>
      </w:r>
    </w:p>
    <w:p w14:paraId="428C0C1C" w14:textId="77777777" w:rsidR="009C2187" w:rsidRPr="007F327D" w:rsidRDefault="009C2187" w:rsidP="009C2187">
      <w:pPr>
        <w:pStyle w:val="Caption"/>
      </w:pPr>
    </w:p>
    <w:p w14:paraId="11B9611F" w14:textId="77777777" w:rsidR="009C2187" w:rsidRPr="007F327D" w:rsidRDefault="009C2187" w:rsidP="009C2187">
      <w:pPr>
        <w:pStyle w:val="Caption"/>
      </w:pPr>
      <w:r w:rsidRPr="007F327D">
        <w:rPr>
          <w:b/>
        </w:rPr>
        <w:t>Table 16.3</w:t>
      </w:r>
      <w:r w:rsidRPr="007F327D">
        <w:t>. Ordinal logistic models with age categories as an independent variable, and a) period of occupation, b) occupation period, settlement area, and their interaction as predictors (but considering only Middle and Late-Final periods.</w:t>
      </w:r>
    </w:p>
    <w:p w14:paraId="0FCF98AA" w14:textId="77777777" w:rsidR="009C2187" w:rsidRPr="007F327D" w:rsidRDefault="009C2187" w:rsidP="009C2187">
      <w:pPr>
        <w:pStyle w:val="Paragraph"/>
      </w:pPr>
      <w:r w:rsidRPr="007F327D">
        <w:t xml:space="preserve">Pre-term mortality exhibits a marked decrease between the Early and Middle occupation periods despite evidence for increased population density (fig. 16.3). This decrease suggests that the risk of pre-term spontaneous delivery was reduced through an improvement in maternal physiological condition and/or a diminished impact of extrinsic factors affecting foetal viability. The increase in pre-term mortality during the Late/Final period may reflect delayed, trans-generational, epigenetic insults (see </w:t>
      </w:r>
      <w:proofErr w:type="spellStart"/>
      <w:r w:rsidRPr="007F327D">
        <w:t>Gowland</w:t>
      </w:r>
      <w:proofErr w:type="spellEnd"/>
      <w:r w:rsidRPr="007F327D">
        <w:t xml:space="preserve"> 2015) that affected maternal condition during the Middle period, particularly the subsequent generational effects of subadult female health during development (</w:t>
      </w:r>
      <w:proofErr w:type="spellStart"/>
      <w:r w:rsidRPr="007F327D">
        <w:t>Roseboom</w:t>
      </w:r>
      <w:proofErr w:type="spellEnd"/>
      <w:r w:rsidRPr="007F327D">
        <w:t xml:space="preserve"> et al. 2001; Barker 2004). This is also the case for neonatal mortality during the Late/Final occupation period, but the increase is considerably more marked, rising from 15% to 56% of the total subadult sample. As with pre-term mortality, neonatal mortality decreases between the Early and Middle occupation periods, again supporting an interpretation of a general improvement in maternal condition and foetal viability into the Middle occupation period. This trend appears to have been reversed in the Late/Final period, suggesting diminishing beneficial conditions within the population and, in particular, for reproductive females.</w:t>
      </w:r>
    </w:p>
    <w:p w14:paraId="2A20604A" w14:textId="77777777" w:rsidR="009C2187" w:rsidRPr="007F327D" w:rsidRDefault="009C2187" w:rsidP="009C2187">
      <w:pPr>
        <w:pStyle w:val="Paragraph"/>
      </w:pPr>
      <w:r w:rsidRPr="007F327D">
        <w:t xml:space="preserve">Infant mortality appears relatively constant from the Early into the Middle occupation period but displays a substantial decrease in the Late/Final period. This age category spans a considerable range (two months to three years). Further refinement of the ages at death within this category can be found in table 16.4. The small number of infant deaths during the Early period limits the interpretation of this age category. Higher mortality within the 6-12 month age range could be associated with the introduction of foods at the commencement of weaning, which isotopic analyses suggest started prior to 12 months of age (see ‘Weaning’, below), as well as greater infant mobility and interaction with the environment and exposure to pathogens. This age range is associated with increased mortality risk for those individuals that had survived the first six months of life. A reduction in the number of infant deaths in the Late/Final period, despite a consistent ratio compared with the Middle period, may suggest a cultural response to mitigating infant mortality, but a much larger sample would be required to test this hypothesis. </w:t>
      </w:r>
    </w:p>
    <w:p w14:paraId="371AC901" w14:textId="77777777" w:rsidR="009C2187" w:rsidRPr="007F327D" w:rsidRDefault="009C2187" w:rsidP="009C2187">
      <w:pPr>
        <w:pStyle w:val="Caption"/>
      </w:pPr>
      <w:r w:rsidRPr="007F327D">
        <w:rPr>
          <w:b/>
        </w:rPr>
        <w:t>Table 16.4</w:t>
      </w:r>
      <w:r w:rsidRPr="007F327D">
        <w:t>. Absolute (in brackets) and relative frequencies of individuals in the Infant age category by month-specific ranges.</w:t>
      </w:r>
    </w:p>
    <w:p w14:paraId="199E0834" w14:textId="77777777" w:rsidR="009C2187" w:rsidRPr="007F327D" w:rsidRDefault="009C2187" w:rsidP="009C2187">
      <w:pPr>
        <w:pStyle w:val="Paragraph"/>
      </w:pPr>
      <w:r w:rsidRPr="007F327D">
        <w:t xml:space="preserve">Child mortality effectively doubled from the Early to Middle periods and then decreased by three quarters in the Late/Final period. The peak in child mortality during the Middle period could indicate a negative shift in adult health and well-being towards the Late/Final occupation period. It can reasonably be argued that the health and development of surviving children may also have been compromised during the Middle period. As such, evident peaks in older subadult (child and adolescent) mortality could prove to be useful indicators for general population health and well-being in subsequent periods. </w:t>
      </w:r>
    </w:p>
    <w:p w14:paraId="5EAD6863" w14:textId="77777777" w:rsidR="009C2187" w:rsidRPr="007F327D" w:rsidRDefault="009C2187" w:rsidP="009C2187">
      <w:pPr>
        <w:pStyle w:val="Heading2"/>
      </w:pPr>
      <w:r w:rsidRPr="007F327D">
        <w:t>Sex</w:t>
      </w:r>
    </w:p>
    <w:p w14:paraId="3D8A9254" w14:textId="77777777" w:rsidR="009C2187" w:rsidRPr="007F327D" w:rsidRDefault="009C2187" w:rsidP="009C2187">
      <w:pPr>
        <w:pStyle w:val="Paragraph"/>
      </w:pPr>
      <w:r w:rsidRPr="007F327D">
        <w:t>Figure 16.4 presents the relative frequency of each sex for each occupation period, as well as the diachronic trajectory of the ratio between males and females expressed by the difference between females and males divided by their sum multiplied by 100. These analyses consider all the individuals for whom it was possible to determine sex. Accordingly, the sample includes, in addition to a majority of adults, some adolescents. The most prominent pattern is represented by an inversion of the ratio of females to males from the Early period, with relatively more males, to the Middle period and a marked majority of females. During the Late/Final period, the frequencies of the sexes are more similar, even if females are relatively more numerous. However, when testing them with a logistic model, neither occupation period, nor area of the settlement (North Area versus South Area) demonstrates a significant majority of males or females (table 16.5).</w:t>
      </w:r>
    </w:p>
    <w:p w14:paraId="081C7DBB" w14:textId="77777777" w:rsidR="009C2187" w:rsidRPr="007F327D" w:rsidRDefault="009C2187" w:rsidP="009C2187">
      <w:pPr>
        <w:pStyle w:val="Caption"/>
      </w:pPr>
      <w:r w:rsidRPr="007F327D">
        <w:rPr>
          <w:b/>
        </w:rPr>
        <w:t>Figure 16.4</w:t>
      </w:r>
      <w:r w:rsidRPr="007F327D">
        <w:t>. (a) Relative frequency of each sex by period of occupation; (b) changes in the sex ratio through time. Positive values indicate more females, negative ones more males.</w:t>
      </w:r>
    </w:p>
    <w:p w14:paraId="481020E9" w14:textId="77777777" w:rsidR="009C2187" w:rsidRPr="007F327D" w:rsidRDefault="009C2187" w:rsidP="009C2187">
      <w:pPr>
        <w:pStyle w:val="Caption"/>
      </w:pPr>
      <w:r w:rsidRPr="007F327D">
        <w:rPr>
          <w:b/>
        </w:rPr>
        <w:lastRenderedPageBreak/>
        <w:t>Table 16.5.</w:t>
      </w:r>
      <w:r w:rsidRPr="007F327D">
        <w:t xml:space="preserve"> Logistic models with sex as an independent variable, and (a) occupation period, (b) period of occupation, settlement area, and their interaction as predictors (but considering only Middle and Late-Final periods).</w:t>
      </w:r>
    </w:p>
    <w:p w14:paraId="2DCB6A68" w14:textId="77777777" w:rsidR="009C2187" w:rsidRPr="007F327D" w:rsidRDefault="009C2187" w:rsidP="009C2187">
      <w:pPr>
        <w:pStyle w:val="Heading2"/>
      </w:pPr>
      <w:r w:rsidRPr="007F327D">
        <w:t>Age and sex</w:t>
      </w:r>
    </w:p>
    <w:p w14:paraId="6FBDD080" w14:textId="77777777" w:rsidR="009C2187" w:rsidRPr="007F327D" w:rsidRDefault="009C2187" w:rsidP="009C2187">
      <w:pPr>
        <w:pStyle w:val="Paragraph"/>
      </w:pPr>
      <w:r w:rsidRPr="007F327D">
        <w:t xml:space="preserve">Testing the effect of sex and occupation period on age category by means of an ordinal logistic model indicates a lack of sex-specific age trends through time (table 16.6). This is further illustrated in figure 16.5, which presents the relative frequencies of each age category by sex through time. Note that the few (n=5) adolescents and all generic ‘adults’ (n=21) are not considered due to, respectively, their small number and lack of a precise age category. The overlap of age trajectories between males and females is exemplified by the middle adult (MA) and old adult (OA) age categories. The frequency of the MA tends to increase for both males and females from the Early to the Middle period, with no marked change during the Late/Final period. There is also a clear decrease in frequency of OA for both sexes from the Early to the Middle occupation period. </w:t>
      </w:r>
    </w:p>
    <w:p w14:paraId="5FF4AB98" w14:textId="77777777" w:rsidR="009C2187" w:rsidRPr="007F327D" w:rsidRDefault="009C2187" w:rsidP="009C2187">
      <w:pPr>
        <w:pStyle w:val="Caption"/>
      </w:pPr>
      <w:r w:rsidRPr="007F327D">
        <w:rPr>
          <w:b/>
        </w:rPr>
        <w:t>Table 16.6.</w:t>
      </w:r>
      <w:r w:rsidRPr="007F327D">
        <w:t xml:space="preserve"> Ordered logistic model with age category as the independent variable, and occupation period, sex, and their interaction as predictors.</w:t>
      </w:r>
    </w:p>
    <w:p w14:paraId="4867D20A" w14:textId="77777777" w:rsidR="009C2187" w:rsidRPr="007F327D" w:rsidRDefault="009C2187" w:rsidP="009C2187">
      <w:pPr>
        <w:pStyle w:val="Caption"/>
      </w:pPr>
      <w:r w:rsidRPr="007F327D">
        <w:rPr>
          <w:b/>
        </w:rPr>
        <w:t>Figure 16.5</w:t>
      </w:r>
      <w:r w:rsidRPr="007F327D">
        <w:t xml:space="preserve">. Age categories of the </w:t>
      </w:r>
      <w:proofErr w:type="spellStart"/>
      <w:r w:rsidRPr="007F327D">
        <w:t>Çatalhöyük</w:t>
      </w:r>
      <w:proofErr w:type="spellEnd"/>
      <w:r w:rsidRPr="007F327D">
        <w:t xml:space="preserve"> human skeletal sample partitioned by sex. Frequencies refer to the number of individuals for each age category divided by the sample size of each sex for a specific occupation period, expressed in percentages.</w:t>
      </w:r>
    </w:p>
    <w:p w14:paraId="51F1B215" w14:textId="77777777" w:rsidR="009C2187" w:rsidRPr="007F327D" w:rsidRDefault="009C2187" w:rsidP="009C2187">
      <w:pPr>
        <w:pStyle w:val="Heading2"/>
        <w:rPr>
          <w:sz w:val="24"/>
          <w:szCs w:val="24"/>
        </w:rPr>
      </w:pPr>
      <w:r w:rsidRPr="007F327D">
        <w:t>Juvenility index: population change in temporal perspective</w:t>
      </w:r>
    </w:p>
    <w:p w14:paraId="4049B169" w14:textId="77777777" w:rsidR="009C2187" w:rsidRPr="007F327D" w:rsidRDefault="009C2187" w:rsidP="009C2187">
      <w:pPr>
        <w:pStyle w:val="Paragraph"/>
      </w:pPr>
      <w:r w:rsidRPr="007F327D">
        <w:t xml:space="preserve">Previous estimates of the ratio between juveniles and adults at </w:t>
      </w:r>
      <w:proofErr w:type="spellStart"/>
      <w:r w:rsidRPr="007F327D">
        <w:t>Çatalhöyük</w:t>
      </w:r>
      <w:proofErr w:type="spellEnd"/>
      <w:r w:rsidRPr="007F327D">
        <w:t xml:space="preserve"> have been used as a proxy for fertility rates in this population and found to reflect a diachronic change consistent with population growth driven by an increase in fertility from the Early to the Middle occupation periods, followed by a decrease (Larsen et al. 2015). Re-calculation of the juvenility index - the ratio between individuals aged between 3 and 19 years and the total of individuals above 3 years of age produces results that are similar to those of Larsen and colleagues (2015) for the total sample. The index follows a precise diachronic trend (Early = 9/29 [.31], Middle = 96/218 [.44], Late/Final = 20/77 [.26]). The changes represent a growth in population in the Middle period relative to the Early period— growth driven by an increase in fertility. The reduction in the ratio in the Late/Final period is consistent with a decline in population represented by other variables, including but not limited to marked reduction in number of houses and house density in the Late/Final period (Hodder 2013c).</w:t>
      </w:r>
    </w:p>
    <w:p w14:paraId="6627E48E" w14:textId="77777777" w:rsidR="009C2187" w:rsidRPr="007F327D" w:rsidRDefault="009C2187" w:rsidP="009C2187">
      <w:pPr>
        <w:pStyle w:val="Heading2"/>
      </w:pPr>
      <w:r w:rsidRPr="007F327D">
        <w:t>Wrapping it together: age, sex, time and demographic changes</w:t>
      </w:r>
    </w:p>
    <w:p w14:paraId="23780C81" w14:textId="77777777" w:rsidR="009C2187" w:rsidRPr="007F327D" w:rsidRDefault="009C2187" w:rsidP="009C2187">
      <w:pPr>
        <w:pStyle w:val="Paragraph"/>
      </w:pPr>
      <w:r w:rsidRPr="007F327D">
        <w:t xml:space="preserve">As already mentioned for </w:t>
      </w:r>
      <w:proofErr w:type="spellStart"/>
      <w:r w:rsidRPr="007F327D">
        <w:t>Çatalhöyük</w:t>
      </w:r>
      <w:proofErr w:type="spellEnd"/>
      <w:r w:rsidRPr="007F327D">
        <w:t xml:space="preserve">, in particular, and the Neolithic, in general, the transition from foraging to farming with the adoption of agriculture had several interwoven effects on the biology of past human populations (Larsen 1995, 2006; </w:t>
      </w:r>
      <w:proofErr w:type="spellStart"/>
      <w:r w:rsidRPr="007F327D">
        <w:t>Bocquet</w:t>
      </w:r>
      <w:proofErr w:type="spellEnd"/>
      <w:r w:rsidRPr="007F327D">
        <w:t>-Appel 2008; Larsen et al. 2015). The increasing availability of carbohydrates fostered a dramatic positive shift in fertility and birth rates, leading to large demographic changes (</w:t>
      </w:r>
      <w:proofErr w:type="spellStart"/>
      <w:r w:rsidRPr="007F327D">
        <w:t>Bocquet</w:t>
      </w:r>
      <w:proofErr w:type="spellEnd"/>
      <w:r w:rsidRPr="007F327D">
        <w:t xml:space="preserve">-Appel 2002, 2008; </w:t>
      </w:r>
      <w:proofErr w:type="spellStart"/>
      <w:r w:rsidRPr="007F327D">
        <w:t>Bocquet</w:t>
      </w:r>
      <w:proofErr w:type="spellEnd"/>
      <w:r w:rsidRPr="007F327D">
        <w:t>-Appel 2011). These changes were coupled with an increase in infant mortality, one of the negative effects of a crowded environment in close proximity to animals and waste disposal areas (</w:t>
      </w:r>
      <w:proofErr w:type="spellStart"/>
      <w:r w:rsidRPr="007F327D">
        <w:t>Bocquet</w:t>
      </w:r>
      <w:proofErr w:type="spellEnd"/>
      <w:r w:rsidRPr="007F327D">
        <w:t xml:space="preserve">-Appel 2008). The data from </w:t>
      </w:r>
      <w:proofErr w:type="spellStart"/>
      <w:r w:rsidRPr="007F327D">
        <w:t>Çatalhöyük</w:t>
      </w:r>
      <w:proofErr w:type="spellEnd"/>
      <w:r w:rsidRPr="007F327D">
        <w:t xml:space="preserve"> expand the discussion about the biological correlates of the Neolithic way of life by providing a glimpse into the demographic changes through time characterising a specific Late Neolithic population. </w:t>
      </w:r>
    </w:p>
    <w:p w14:paraId="4F848070" w14:textId="77777777" w:rsidR="009C2187" w:rsidRPr="007F327D" w:rsidRDefault="009C2187" w:rsidP="009C2187">
      <w:pPr>
        <w:pStyle w:val="Paragraph"/>
      </w:pPr>
      <w:r w:rsidRPr="007F327D">
        <w:t xml:space="preserve">An important caveat in the interpretation of the demographic patterns at </w:t>
      </w:r>
      <w:proofErr w:type="spellStart"/>
      <w:r w:rsidRPr="007F327D">
        <w:t>Çatalhöyük</w:t>
      </w:r>
      <w:proofErr w:type="spellEnd"/>
      <w:r w:rsidRPr="007F327D">
        <w:t xml:space="preserve"> (especially of subadults) is that only a relatively small proportion of the East Mound at the site has been excavated. The unexcavated areas could well contain specific burial zones with different treatments of the burial population compared to those that have already been analysed. In general, these findings indicate that the population of </w:t>
      </w:r>
      <w:proofErr w:type="spellStart"/>
      <w:r w:rsidRPr="007F327D">
        <w:t>Çatalhöyük</w:t>
      </w:r>
      <w:proofErr w:type="spellEnd"/>
      <w:r w:rsidRPr="007F327D">
        <w:t xml:space="preserve"> underwent profound demographic change throughout more than a millennium of settlement occupation. In particular, the age composition of the population tended to vary through time with the more marked changes during the Middle period representing increased birth rates and fertility (fig. 16.6). During this time, the frequency of pre-term individuals drops suddenly and frequencies of infants and fertility reach a peak, whereas old adults are less frequent. All these </w:t>
      </w:r>
      <w:r w:rsidRPr="007F327D">
        <w:lastRenderedPageBreak/>
        <w:t xml:space="preserve">trends depict a scenario consistent with previous reconstructions envisioning fertility as the driving force underlying an increase of population size at the site (Larsen et al. 2015; </w:t>
      </w:r>
      <w:proofErr w:type="spellStart"/>
      <w:r w:rsidRPr="007F327D">
        <w:t>Milella</w:t>
      </w:r>
      <w:proofErr w:type="spellEnd"/>
      <w:r w:rsidRPr="007F327D">
        <w:t xml:space="preserve"> et al. 2018). Similarly, even if differences in the relative proportion of sexes through time fail to reach statistical significance, the inversion of the ratio between the frequencies of males and females during the Middle period, when females become (and remain) the more numerous sex, may suggest a concomitant role of immigration of women (i.e. in the context of patrilocal social systems) on the fertility estimates at the site (cf. </w:t>
      </w:r>
      <w:proofErr w:type="spellStart"/>
      <w:r w:rsidRPr="007F327D">
        <w:t>Knipper</w:t>
      </w:r>
      <w:proofErr w:type="spellEnd"/>
      <w:r w:rsidRPr="007F327D">
        <w:t xml:space="preserve"> et al. 2017). The lack of significance of these changes may suggest that, even if this hypothesis is correct, female immigration was probably not so pronounced, relatively homogenous through time, and, possibly, counterbalanced by outward mobility of part of the female population of </w:t>
      </w:r>
      <w:proofErr w:type="spellStart"/>
      <w:r w:rsidRPr="007F327D">
        <w:t>Çatalhöyük</w:t>
      </w:r>
      <w:proofErr w:type="spellEnd"/>
      <w:r w:rsidRPr="007F327D">
        <w:t>.</w:t>
      </w:r>
    </w:p>
    <w:p w14:paraId="29401EC8" w14:textId="77777777" w:rsidR="009C2187" w:rsidRPr="007F327D" w:rsidRDefault="009C2187" w:rsidP="009C2187">
      <w:pPr>
        <w:pStyle w:val="Caption"/>
      </w:pPr>
      <w:r w:rsidRPr="007F327D">
        <w:rPr>
          <w:b/>
        </w:rPr>
        <w:t>Figure 16.6</w:t>
      </w:r>
      <w:r w:rsidRPr="007F327D">
        <w:t xml:space="preserve">. Mortality quotients by age category for the youngest members of the </w:t>
      </w:r>
      <w:proofErr w:type="spellStart"/>
      <w:r w:rsidRPr="007F327D">
        <w:t>Çatalhöyük</w:t>
      </w:r>
      <w:proofErr w:type="spellEnd"/>
      <w:r w:rsidRPr="007F327D">
        <w:t xml:space="preserve"> community (grey dotted line) and expected values for non-epidemic populations (black continuous line, from Ledermann 1969) with life expectancies at birth of 20 and 35 years. Note that age categories do not overlap completely: 1: 1-4 years old (Ledermann), 1-3 years old (</w:t>
      </w:r>
      <w:proofErr w:type="spellStart"/>
      <w:r w:rsidRPr="007F327D">
        <w:t>Çatalhöyük</w:t>
      </w:r>
      <w:proofErr w:type="spellEnd"/>
      <w:r w:rsidRPr="007F327D">
        <w:t>); 2: 5-9 (Ledermann), &gt;3-12 (</w:t>
      </w:r>
      <w:proofErr w:type="spellStart"/>
      <w:r w:rsidRPr="007F327D">
        <w:t>Çatalhöyük</w:t>
      </w:r>
      <w:proofErr w:type="spellEnd"/>
      <w:r w:rsidRPr="007F327D">
        <w:t>); 3: 10-14 (Ledermann), &gt;12-19 (</w:t>
      </w:r>
      <w:proofErr w:type="spellStart"/>
      <w:r w:rsidRPr="007F327D">
        <w:t>Çatalhöyük</w:t>
      </w:r>
      <w:proofErr w:type="spellEnd"/>
      <w:r w:rsidRPr="007F327D">
        <w:t>); 4: 15-19 (Ledermann).</w:t>
      </w:r>
    </w:p>
    <w:p w14:paraId="1BE9AD2F" w14:textId="77777777" w:rsidR="009C2187" w:rsidRPr="007F327D" w:rsidRDefault="009C2187" w:rsidP="009C2187">
      <w:pPr>
        <w:pStyle w:val="Paragraph"/>
      </w:pPr>
      <w:r w:rsidRPr="007F327D">
        <w:t>The specific demographic profile characterising the Middle period may also be indicative of the type of social and environmental challenges facing the population under study. In particular, the peak in neonates in the Late/Final period points to relatively high mortality before two months of age. Considering the stability of fertility estimates across occupation periods, this result suggests that living conditions during the late occupation of the settlement were probably not markedly improved, even in the context of a decrease in population size and density.</w:t>
      </w:r>
    </w:p>
    <w:p w14:paraId="6EA5A556" w14:textId="77777777" w:rsidR="009C2187" w:rsidRPr="007F327D" w:rsidRDefault="009C2187" w:rsidP="009C2187">
      <w:pPr>
        <w:pStyle w:val="Heading3"/>
      </w:pPr>
      <w:r w:rsidRPr="007F327D">
        <w:t>Subadults</w:t>
      </w:r>
    </w:p>
    <w:p w14:paraId="63C4B619" w14:textId="77777777" w:rsidR="009C2187" w:rsidRPr="007F327D" w:rsidRDefault="009C2187" w:rsidP="009C2187">
      <w:pPr>
        <w:pStyle w:val="Paragraph"/>
      </w:pPr>
      <w:r w:rsidRPr="007F327D">
        <w:t xml:space="preserve">Subadult mortality at </w:t>
      </w:r>
      <w:proofErr w:type="spellStart"/>
      <w:r w:rsidRPr="007F327D">
        <w:t>Çatalhöyük</w:t>
      </w:r>
      <w:proofErr w:type="spellEnd"/>
      <w:r w:rsidRPr="007F327D">
        <w:t xml:space="preserve"> appears to support an interpretation of growing stability in resource availability among the members of the living population and the relatively successful management of population health from the Early period into the Middle period of occupation, although the rise in childhood mortality suggests the presence of independent variables specific to this age category (fig. 16.6). There is evidence for the general improvement of maternal health and well-being into the Middle period, with a strong decline in the Late/Final period reflected in the increase of pre-term and neonatal mortality coupled with declining fertility. The potential for socio-cultural buffering against extrinsic factors affecting foetal viability and reducing pre-term and neonatal mortality is also supported by the mortality profile of the Middle period. There is evidence across the occupation periods for a socio-cultural transition around the age of six months that increased the mortality risk of individuals who had survived birth and early infancy (cf. Chávez et al. 2000; Christian et al. 2015).</w:t>
      </w:r>
    </w:p>
    <w:p w14:paraId="0C8ABF9E" w14:textId="77777777" w:rsidR="009C2187" w:rsidRPr="007F327D" w:rsidRDefault="009C2187" w:rsidP="009C2187">
      <w:pPr>
        <w:pStyle w:val="Paragraph"/>
      </w:pPr>
      <w:r w:rsidRPr="007F327D">
        <w:t>Shifts in health and well-being of the adult population may also have influenced later subadult mortality profiles. However, it is almost certainly the case that the peak in child mortality during the Middle period is a precursor to a negative shift in adult health and well-being towards the Late/Final occupation period. The mortality profiles presented here provide evidence for the generational effects of subadult health and well-being on subsequent generations, as well as the impacts of health and environmental stress on subadults, including factors leading to either early death or survival to adulthood.</w:t>
      </w:r>
    </w:p>
    <w:p w14:paraId="41E5BE68" w14:textId="77777777" w:rsidR="009C2187" w:rsidRPr="007F327D" w:rsidRDefault="009C2187" w:rsidP="009C2187">
      <w:pPr>
        <w:pStyle w:val="Paragraph"/>
      </w:pPr>
      <w:r w:rsidRPr="007F327D">
        <w:t xml:space="preserve">Finally, the relative proportions of age categories provide the opportunity to test for the presence of epidemic episodes during the Late/Final period at the East Mound, possibly responsible for the abandonment of that part of the site. Comparing the age composition of skeletal samples from plague burial sites with those expected from non-epidemic contexts, </w:t>
      </w:r>
      <w:proofErr w:type="spellStart"/>
      <w:r w:rsidRPr="007F327D">
        <w:t>Castex</w:t>
      </w:r>
      <w:proofErr w:type="spellEnd"/>
      <w:r w:rsidRPr="007F327D">
        <w:t xml:space="preserve"> and </w:t>
      </w:r>
      <w:proofErr w:type="spellStart"/>
      <w:r w:rsidRPr="007F327D">
        <w:t>Kacki</w:t>
      </w:r>
      <w:proofErr w:type="spellEnd"/>
      <w:r w:rsidRPr="007F327D">
        <w:t xml:space="preserve"> (2016) highlight in the former a marked under-representation of very young infants (up to 4 years old) and a high number of individuals aged between 5 and 14 years old. Mortality quotients at </w:t>
      </w:r>
      <w:proofErr w:type="spellStart"/>
      <w:r w:rsidRPr="007F327D">
        <w:t>Çatalhöyük</w:t>
      </w:r>
      <w:proofErr w:type="spellEnd"/>
      <w:r w:rsidRPr="007F327D">
        <w:t xml:space="preserve"> do not show this type of shift, overall fitting in the range expected for non-epidemic contexts (fig. 16.6). This result militates against the presence of major epidemic outbreaks during the life of the settlement, and excludes a sudden, anomalous mortality shift at the end of the occupation of the East Mound. </w:t>
      </w:r>
    </w:p>
    <w:p w14:paraId="25C6637D" w14:textId="77777777" w:rsidR="009C2187" w:rsidRPr="007F327D" w:rsidRDefault="009C2187" w:rsidP="009C2187">
      <w:pPr>
        <w:pStyle w:val="Heading1"/>
      </w:pPr>
      <w:r w:rsidRPr="007F327D">
        <w:t>Growth: stature and body mass</w:t>
      </w:r>
    </w:p>
    <w:p w14:paraId="46E385BB" w14:textId="77777777" w:rsidR="009C2187" w:rsidRPr="007F327D" w:rsidRDefault="009C2187" w:rsidP="009C2187">
      <w:pPr>
        <w:pStyle w:val="Paragraph"/>
      </w:pPr>
      <w:r w:rsidRPr="007F327D">
        <w:t xml:space="preserve">Environment and health conditions greatly influence the process of growth that results in the attainment of stature and body mass </w:t>
      </w:r>
      <w:r w:rsidRPr="007F327D">
        <w:fldChar w:fldCharType="begin" w:fldLock="1"/>
      </w:r>
      <w:r w:rsidRPr="007F327D">
        <w:instrText>ADDIN CSL_CITATION {"citationItems":[{"id":"ITEM-1","itemData":{"author":[{"dropping-particle":"","family":"Bogin","given":"B","non-dropping-particle":"","parse-names":false,"suffix":""}],"edition":"2","id":"ITEM-1","issued":{"date-parts":[["1999"]]},"publisher":"Cambridge University Press","title":"Patterns of Human Growth","type":"book"},"uris":["http://www.mendeley.com/documents/?uuid=2a5cdd3d-e8dd-447e-9285-9f3782513066"]}],"mendeley":{"formattedCitation":"(Bogin, 1999)","manualFormatting":"(Bogin 1999)","plainTextFormattedCitation":"(Bogin, 1999)","previouslyFormattedCitation":"(Bogin, 1999)"},"properties":{"noteIndex":0},"schema":"https://github.com/citation-style-language/schema/raw/master/csl-citation.json"}</w:instrText>
      </w:r>
      <w:r w:rsidRPr="007F327D">
        <w:fldChar w:fldCharType="separate"/>
      </w:r>
      <w:r w:rsidRPr="007F327D">
        <w:t>(</w:t>
      </w:r>
      <w:proofErr w:type="spellStart"/>
      <w:r w:rsidRPr="007F327D">
        <w:t>Bogin</w:t>
      </w:r>
      <w:proofErr w:type="spellEnd"/>
      <w:r w:rsidRPr="007F327D">
        <w:t xml:space="preserve"> 1999)</w:t>
      </w:r>
      <w:r w:rsidRPr="007F327D">
        <w:fldChar w:fldCharType="end"/>
      </w:r>
      <w:r w:rsidRPr="007F327D">
        <w:t xml:space="preserve">. Given socio-economic changes occurring during the </w:t>
      </w:r>
      <w:r w:rsidRPr="007F327D">
        <w:lastRenderedPageBreak/>
        <w:t xml:space="preserve">occupation of </w:t>
      </w:r>
      <w:proofErr w:type="spellStart"/>
      <w:r w:rsidRPr="007F327D">
        <w:t>Çatalhöyük</w:t>
      </w:r>
      <w:proofErr w:type="spellEnd"/>
      <w:r w:rsidRPr="007F327D">
        <w:t xml:space="preserve">, this section explores the temporal changes in body size of infants and children recovered from the site. Stature and body mass were estimated for a sample excavated since 1993 associated with dental remains that also met infra-cranial preservation criteria required for cross-sectional geometric analyses (table 16.7) (see below). To provide a context for these results, </w:t>
      </w:r>
      <w:proofErr w:type="spellStart"/>
      <w:r w:rsidRPr="007F327D">
        <w:t>Çatalhöyük</w:t>
      </w:r>
      <w:proofErr w:type="spellEnd"/>
      <w:r w:rsidRPr="007F327D">
        <w:t xml:space="preserve"> growth profiles are compared to growth profiles from two relatively skeletally healthy (i.e. lacking a high prevalence of bone lesions) populations: the Denver Growth Study, a longitudinal mid-twentieth century US middle-class sample </w:t>
      </w:r>
      <w:r w:rsidRPr="007F327D">
        <w:fldChar w:fldCharType="begin" w:fldLock="1"/>
      </w:r>
      <w:r w:rsidRPr="007F327D">
        <w:instrText>ADDIN CSL_CITATION {"citationItems":[{"id":"ITEM-1","itemData":{"author":[{"dropping-particle":"","family":"McCammon","given":"RW","non-dropping-particle":"","parse-names":false,"suffix":""}],"id":"ITEM-1","issued":{"date-parts":[["1970"]]},"publisher":"Charles C. Thomas","publisher-place":"Springfield","title":"Growth and Development","type":"book"},"uris":["http://www.mendeley.com/documents/?uuid=b533149e-ac53-4df1-87dd-9b3177f983aa"]}],"mendeley":{"formattedCitation":"(McCammon, 1970)","plainTextFormattedCitation":"(McCammon, 1970)","previouslyFormattedCitation":"(McCammon, 1970)"},"properties":{"noteIndex":0},"schema":"https://github.com/citation-style-language/schema/raw/master/csl-citation.json"}</w:instrText>
      </w:r>
      <w:r w:rsidRPr="007F327D">
        <w:fldChar w:fldCharType="separate"/>
      </w:r>
      <w:r w:rsidRPr="007F327D">
        <w:t>(McCammon 1970)</w:t>
      </w:r>
      <w:r w:rsidRPr="007F327D">
        <w:fldChar w:fldCharType="end"/>
      </w:r>
      <w:r w:rsidRPr="007F327D">
        <w:t xml:space="preserve"> and a sample of Arikara from the Sully sites, a proto-historic indigenous North American cemetery group from South Dakota </w:t>
      </w:r>
      <w:r w:rsidRPr="007F327D">
        <w:fldChar w:fldCharType="begin" w:fldLock="1"/>
      </w:r>
      <w:r w:rsidRPr="007F327D">
        <w:instrText>ADDIN CSL_CITATION {"citationItems":[{"id":"ITEM-1","itemData":{"author":[{"dropping-particle":"","family":"Jantz","given":"RL","non-dropping-particle":"","parse-names":false,"suffix":""},{"dropping-particle":"","family":"Owsley","given":"DW","non-dropping-particle":"","parse-names":false,"suffix":""}],"container-title":"American Journal of Physical Anthropology","id":"ITEM-1","issued":{"date-parts":[["1984"]]},"page":"13-20","title":"Long bone growth variation among Arikara skeletal populations","type":"article-journal","volume":"63"},"uris":["http://www.mendeley.com/documents/?uuid=69bf7be9-552c-4bf3-8ee6-60f485cead6f"]}],"mendeley":{"formattedCitation":"(Jantz and Owsley, 1984)","plainTextFormattedCitation":"(Jantz and Owsley, 1984)","previouslyFormattedCitation":"(Jantz and Owsley, 1984)"},"properties":{"noteIndex":0},"schema":"https://github.com/citation-style-language/schema/raw/master/csl-citation.json"}</w:instrText>
      </w:r>
      <w:r w:rsidRPr="007F327D">
        <w:fldChar w:fldCharType="separate"/>
      </w:r>
      <w:r w:rsidRPr="007F327D">
        <w:t>(Jantz, Owsley 1984)</w:t>
      </w:r>
      <w:r w:rsidRPr="007F327D">
        <w:fldChar w:fldCharType="end"/>
      </w:r>
      <w:r w:rsidRPr="007F327D">
        <w:t xml:space="preserve">. Table 16.8 provides descriptive statistics for these samples. Dental age was assigned to </w:t>
      </w:r>
      <w:proofErr w:type="spellStart"/>
      <w:r w:rsidRPr="007F327D">
        <w:t>Çatalhöyük</w:t>
      </w:r>
      <w:proofErr w:type="spellEnd"/>
      <w:r w:rsidRPr="007F327D">
        <w:t xml:space="preserve"> and Arikara individuals based on tooth length regression equations and dental development </w:t>
      </w:r>
      <w:r w:rsidRPr="007F327D">
        <w:fldChar w:fldCharType="begin" w:fldLock="1"/>
      </w:r>
      <w:r w:rsidRPr="007F327D">
        <w:instrText>ADDIN CSL_CITATION {"citationItems":[{"id":"ITEM-1","itemData":{"author":[{"dropping-particle":"","family":"Smith","given":"BH","non-dropping-particle":"","parse-names":false,"suffix":""}],"container-title":"Advances in Dental Anthropology","editor":[{"dropping-particle":"","family":"Kelley","given":"MA","non-dropping-particle":"","parse-names":false,"suffix":""},{"dropping-particle":"","family":"Larsen","given":"CS","non-dropping-particle":"","parse-names":false,"suffix":""}],"id":"ITEM-1","issued":{"date-parts":[["1991"]]},"page":"143-168","publisher":"Wiley-Liss","title":"Standards of human tooth formation and dental age assessment","type":"chapter"},"uris":["http://www.mendeley.com/documents/?uuid=904e0404-b014-4b33-a682-8b0565e05c32"]},{"id":"ITEM-2","itemData":{"DOI":"10.1002/oa.1390040107","ISSN":"1047-482X","author":[{"dropping-particle":"","family":"Liversidge","given":"H M","non-dropping-particle":"","parse-names":false,"suffix":""}],"container-title":"International Journal of Osteoarchaeology","id":"ITEM-2","issue":"1","issued":{"date-parts":[["1994","3"]]},"page":"37-45","title":"Accuracy of age estimation from developing teeth of a population of known age (0-5.4 years)","type":"article-journal","volume":"4"},"uris":["http://www.mendeley.com/documents/?uuid=1ba01de6-d45a-4b14-8d7c-e77aa192d74b"]},{"id":"ITEM-3","itemData":{"author":[{"dropping-particle":"","family":"Liversidge","given":"HM","non-dropping-particle":"","parse-names":false,"suffix":""}],"container-title":"Annals of Human Biology","id":"ITEM-3","issued":{"date-parts":[["2008"]]},"page":"294-321","title":"Timing of human mandibular third molar formation","type":"article-journal","volume":"35"},"uris":["http://www.mendeley.com/documents/?uuid=ffe57835-17ef-4987-8d51-d1bad7e39999"]},{"id":"ITEM-4","itemData":{"DOI":"10.1002/ajpa.10318","ISSN":"0002-9483","PMID":"14730650","abstract":"The aim of this study was to document variation of deciduous tooth formation and eruption. The material comprises 121 individuals of known or estimated age (using tooth length) from Spitalfields in London, and radiographs of 61 healthy living children aged 2-5 years. Other skeletal material from two medieval Scottish archaeological sites (Whithorn, N=74; Newark Bay, N=59) was also examined. Stages of crown and root formation as well as eruption (alveolar, midway, and occlusal levels) were assessed for each developing maxillary and mandibular tooth from radiographs or direct vision. Age of attainment for individual stages was calculated by probit analysis, and these data were also adapted for use in estimating age. The timing of crown completion was similar to previously reported studies, but apex completion times were later. Analysis of data relative to the first and second molars at the two stages D (crown complete) and F (root length &gt; or =crown height) allowed comparison with the Scottish material. No significant differences were observed between population groups for tooth formation or eruption. These data fill several gaps in the literature, and will be useful in assessing maturity and predicting age during early childhood.","author":[{"dropping-particle":"","family":"Liversidge","given":"HM","non-dropping-particle":"","parse-names":false,"suffix":""},{"dropping-particle":"","family":"Molleson","given":"T","non-dropping-particle":"","parse-names":false,"suffix":""}],"container-title":"American Journal of Physical Anthropology","id":"ITEM-4","issue":"2","issued":{"date-parts":[["2004","2"]]},"page":"172-80","title":"Variation in crown and root formation and eruption of human deciduous teeth.","type":"article-journal","volume":"123"},"uris":["http://www.mendeley.com/documents/?uuid=5646325e-8e43-41da-9160-91155e9e221a"]},{"id":"ITEM-5","itemData":{"DOI":"10.1002/ajpa.21258","ISSN":"1096-8644","PMID":"20310064","abstract":"The aim of this study was to develop a comprehensive evidence-based atlas to estimate age using both tooth development and alveolar eruption for human individuals between 28 weeks in utero and 23 years. This was a cross-sectional, retrospective study of archived material with the sample aged 2 years and older having a uniform age and sex distribution. Developing teeth from 72 prenatal and 104 postnatal skeletal remains of known age-at-death were examined from collections held at the Royal College of Surgeons of England and the Natural History Museum, London, UK (M 91, F 72, unknown sex 13). Data were also collected from dental radiographs of living individuals (M 264, F 264). Median stage for tooth development and eruption for all age categories was used to construct the atlas. Tooth development was determined according to Moorrees et al. (J Dent Res 42 (1963a) 490-502; Am J Phys Anthropol 21 (1963b) 205-213) and eruption was assessed relative to the alveolar bone level. Intraexaminer reproducibility calculated using Kappa on 150 teeth was 0.90 for 15 skeletal remains of age &lt;2 years, and 0.81 from 605 teeth (50 radiographs). Age categories were monthly in the last trimester, 2 weeks perinatally, 3-month intervals during the first year, and at every year thereafter. Results show that tooth formation is least variable in infancy and most variable after the age of 16 years for the development of the third molar.","author":[{"dropping-particle":"","family":"AlQahtani","given":"S J","non-dropping-particle":"","parse-names":false,"suffix":""},{"dropping-particle":"","family":"Hector","given":"M P","non-dropping-particle":"","parse-names":false,"suffix":""},{"dropping-particle":"","family":"Liversidge","given":"HM","non-dropping-particle":"","parse-names":false,"suffix":""}],"container-title":"American Journal of Physical Anthropology","id":"ITEM-5","issue":"3","issued":{"date-parts":[["2010","7"]]},"page":"481-90","title":"Brief communication: The London atlas of human tooth development and eruption.","type":"article-journal","volume":"142"},"uris":["http://www.mendeley.com/documents/?uuid=d17a87b3-532f-49a6-b90d-049b9773390d"]}],"mendeley":{"formattedCitation":"(Smith, 1991; Liversidge, 1994, 2008; Liversidge and Molleson, 2004; AlQahtani, Hector and Liversidge, 2010)","manualFormatting":"(Smith 1991; Liversidge 1994, 2008; Liversidge and Molleson 2004; AlQahtani et al. 2010)","plainTextFormattedCitation":"(Smith, 1991; Liversidge, 1994, 2008; Liversidge and Molleson, 2004; AlQahtani, Hector and Liversidge, 2010)","previouslyFormattedCitation":"(Smith, 1991; Liversidge, 1994, 2008; Liversidge and Molleson, 2004; AlQahtani et al., 2010)"},"properties":{"noteIndex":0},"schema":"https://github.com/citation-style-language/schema/raw/master/csl-citation.json"}</w:instrText>
      </w:r>
      <w:r w:rsidRPr="007F327D">
        <w:fldChar w:fldCharType="separate"/>
      </w:r>
      <w:r w:rsidRPr="007F327D">
        <w:t xml:space="preserve">(Smith 1991; Liversidge 1994, 2008; Liversidge and </w:t>
      </w:r>
      <w:proofErr w:type="spellStart"/>
      <w:r w:rsidRPr="007F327D">
        <w:t>Molleson</w:t>
      </w:r>
      <w:proofErr w:type="spellEnd"/>
      <w:r w:rsidRPr="007F327D">
        <w:t xml:space="preserve"> 2004; </w:t>
      </w:r>
      <w:proofErr w:type="spellStart"/>
      <w:r w:rsidRPr="007F327D">
        <w:t>AlQahtani</w:t>
      </w:r>
      <w:proofErr w:type="spellEnd"/>
      <w:r w:rsidRPr="007F327D">
        <w:t xml:space="preserve"> et al. 2010)</w:t>
      </w:r>
      <w:r w:rsidRPr="007F327D">
        <w:fldChar w:fldCharType="end"/>
      </w:r>
      <w:r w:rsidRPr="007F327D">
        <w:t xml:space="preserve">. Stature estimations for ages at death ≥0.5 years were calculated from femoral length and body mass (ages at death ≥1 year) from distal femoral metaphyseal breadth or femoral head </w:t>
      </w:r>
      <w:proofErr w:type="spellStart"/>
      <w:r w:rsidRPr="007F327D">
        <w:t>supero</w:t>
      </w:r>
      <w:proofErr w:type="spellEnd"/>
      <w:r w:rsidRPr="007F327D">
        <w:t xml:space="preserve">-inferior breadth using age-specific equations </w:t>
      </w:r>
      <w:r w:rsidRPr="007F327D">
        <w:fldChar w:fldCharType="begin" w:fldLock="1"/>
      </w:r>
      <w:r w:rsidRPr="007F327D">
        <w:instrText>ADDIN CSL_CITATION {"citationItems":[{"id":"ITEM-1","itemData":{"DOI":"10.1002/ajpa","author":[{"dropping-particle":"","family":"Ruff","given":"CB","non-dropping-particle":"","parse-names":false,"suffix":""}],"container-title":"American Journal of Physical Anthropology","id":"ITEM-1","issued":{"date-parts":[["2007"]]},"page":"698-716","title":"Body Size Prediction From Juvenile Skeletal Remains","type":"article-journal","volume":"133"},"uris":["http://www.mendeley.com/documents/?uuid=f30ce1b8-fb29-413d-8a59-734afbfabcbd"]}],"mendeley":{"formattedCitation":"(Ruff, 2007)","manualFormatting":"(Ruff 2007)","plainTextFormattedCitation":"(Ruff, 2007)","previouslyFormattedCitation":"(Ruff, 2007)"},"properties":{"noteIndex":0},"schema":"https://github.com/citation-style-language/schema/raw/master/csl-citation.json"}</w:instrText>
      </w:r>
      <w:r w:rsidRPr="007F327D">
        <w:fldChar w:fldCharType="separate"/>
      </w:r>
      <w:r w:rsidRPr="007F327D">
        <w:t>(Ruff 2007)</w:t>
      </w:r>
      <w:r w:rsidRPr="007F327D">
        <w:fldChar w:fldCharType="end"/>
      </w:r>
      <w:r w:rsidRPr="007F327D">
        <w:t xml:space="preserve">. Mean adult values for stature (Ruff et al. 2012) and body mass (Ruff et al. 2018) indicate an ‘end point’ for growth. Residuals were calculated from polynomial regressions fit through the pooled </w:t>
      </w:r>
      <w:proofErr w:type="spellStart"/>
      <w:r w:rsidRPr="007F327D">
        <w:t>Çatalhöyük</w:t>
      </w:r>
      <w:proofErr w:type="spellEnd"/>
      <w:r w:rsidRPr="007F327D">
        <w:t xml:space="preserve"> sample to compare growth among occupation periods. Body size residuals for each Neolithic occupation period: Early, Middle, and Late (where the Final period is collapsed into Late) were compared using Kruskal-Wallis ANOVA tests with Bonferroni adjusted post-hoc multiple comparison test of mean ranks between groups. </w:t>
      </w:r>
    </w:p>
    <w:p w14:paraId="218E302D" w14:textId="77777777" w:rsidR="009C2187" w:rsidRPr="007F327D" w:rsidRDefault="009C2187" w:rsidP="009C2187">
      <w:pPr>
        <w:pStyle w:val="Caption"/>
        <w:rPr>
          <w:rFonts w:cs="Times New Roman"/>
        </w:rPr>
      </w:pPr>
      <w:r w:rsidRPr="007F327D">
        <w:rPr>
          <w:rFonts w:cs="Times New Roman"/>
          <w:b/>
        </w:rPr>
        <w:t>Table 16.7</w:t>
      </w:r>
      <w:r w:rsidRPr="007F327D">
        <w:rPr>
          <w:rFonts w:cs="Times New Roman"/>
        </w:rPr>
        <w:t xml:space="preserve">. </w:t>
      </w:r>
      <w:r w:rsidRPr="007F327D">
        <w:t>Adult and subadult pooled cross-section sample by element</w:t>
      </w:r>
      <w:r w:rsidRPr="007F327D">
        <w:rPr>
          <w:rFonts w:cs="Times New Roman"/>
        </w:rPr>
        <w:t xml:space="preserve">. </w:t>
      </w:r>
    </w:p>
    <w:p w14:paraId="66DAEEA2" w14:textId="77777777" w:rsidR="009C2187" w:rsidRPr="007F327D" w:rsidRDefault="009C2187" w:rsidP="009C2187">
      <w:pPr>
        <w:pStyle w:val="Caption"/>
      </w:pPr>
      <w:r w:rsidRPr="007F327D">
        <w:rPr>
          <w:b/>
        </w:rPr>
        <w:t>Table 16.8.</w:t>
      </w:r>
      <w:r w:rsidRPr="007F327D">
        <w:t xml:space="preserve"> Growth profile for </w:t>
      </w:r>
      <w:proofErr w:type="spellStart"/>
      <w:r w:rsidRPr="007F327D">
        <w:t>Çatalhöyük</w:t>
      </w:r>
      <w:proofErr w:type="spellEnd"/>
      <w:r w:rsidRPr="007F327D">
        <w:t xml:space="preserve"> by dental age, categorised by temporal period. Yearly means from the Denver Growth Study (McCammon 1970; means derived from Ruff, unpublished data). Mean adult male and female values are plotted at 23 years of age (a) for stature (</w:t>
      </w:r>
      <w:proofErr w:type="spellStart"/>
      <w:r w:rsidRPr="007F327D">
        <w:t>Çatalhöyük</w:t>
      </w:r>
      <w:proofErr w:type="spellEnd"/>
      <w:r w:rsidRPr="007F327D">
        <w:t xml:space="preserve"> stature (cm)= =61.4925+8.8439*x-0.2063*x^2; Arikara stature (cm)= 54.044+9.7884*x-0.2197*x^2; Denver stature (cm)= 63.9238+9.8858*x-0.2192*x^2); (b) for (log) body mass (kg) (</w:t>
      </w:r>
      <w:proofErr w:type="spellStart"/>
      <w:r w:rsidRPr="007F327D">
        <w:t>Çatalhöyük</w:t>
      </w:r>
      <w:proofErr w:type="spellEnd"/>
      <w:r w:rsidRPr="007F327D">
        <w:t xml:space="preserve"> (log) body mass = 1.8917+0.2038*x-0.0063*x^2+6.905E-5*x^3; Arikara (log) body mass=1.8334+0.1825*x-0.002*x^2-6.9381E-5*x^3; Denver (log) body mass =2.1337+0.1442*x+0.0004*x^2-0.0001*x^3).</w:t>
      </w:r>
    </w:p>
    <w:p w14:paraId="7801B735" w14:textId="77777777" w:rsidR="009C2187" w:rsidRPr="007F327D" w:rsidRDefault="009C2187" w:rsidP="009C2187">
      <w:pPr>
        <w:pStyle w:val="Paragraph"/>
      </w:pPr>
      <w:r w:rsidRPr="007F327D">
        <w:t xml:space="preserve">Figure 16.7a presents stature growth profiles from the </w:t>
      </w:r>
      <w:proofErr w:type="spellStart"/>
      <w:r w:rsidRPr="007F327D">
        <w:t>Çatalhöyük</w:t>
      </w:r>
      <w:proofErr w:type="spellEnd"/>
      <w:r w:rsidRPr="007F327D">
        <w:t xml:space="preserve">, Arikara, and Denver samples, each fit with sample specific second order polynomial regressions. While the Denver growth profile demonstrates a greater mean stature throughout the growth process, all profiles overlap considerably prior to 6 years of age. Arikara and </w:t>
      </w:r>
      <w:proofErr w:type="spellStart"/>
      <w:r w:rsidRPr="007F327D">
        <w:t>Çatalhöyük</w:t>
      </w:r>
      <w:proofErr w:type="spellEnd"/>
      <w:r w:rsidRPr="007F327D">
        <w:t xml:space="preserve"> stature profiles are similar into adulthood and individuals from these groups are shorter than those of the Denver sample. Body size differences that appear during later childhood and adolescence may imply emerging genetic body size differences rather than health disturbances </w:t>
      </w:r>
      <w:r w:rsidRPr="007F327D">
        <w:fldChar w:fldCharType="begin" w:fldLock="1"/>
      </w:r>
      <w:r w:rsidRPr="007F327D">
        <w:instrText>ADDIN CSL_CITATION {"citationItems":[{"id":"ITEM-1","itemData":{"DOI":"10.1002/ajpa.1330440310","ISSN":"0002-9483","PMID":"937524","abstract":"The effects of hereditary and environmental factors upon the growth in stature of children living in Guatemala City has been studied. Heights at yearly examinations were fitted, by individual, to a double logistic curve in samples of Guatemalan and European children attending a private school in Guatemala City. These two samples differed genetically yet shared the same environment. Their growth was compared, by a multivariate analysis of the parameterized curves, to that of children from the Berkeley Growth Study, genetically similar to the European sample, yet living in different environments. The European children in Guatemala grew, before adolescence, more similar to Guatemalan and differed significantly from the Berkeley sample children. However, the amount of growth during the adolescent years experienced by the European children was similar to that of the Berkeley sample and differed from their Guatemalan counterparts.","author":[{"dropping-particle":"","family":"Johnston","given":"FE","non-dropping-particle":"","parse-names":false,"suffix":""},{"dropping-particle":"","family":"Wainer","given":"H","non-dropping-particle":"","parse-names":false,"suffix":""},{"dropping-particle":"","family":"Thissen","given":"D","non-dropping-particle":"","parse-names":false,"suffix":""},{"dropping-particle":"","family":"MacVean","given":"R","non-dropping-particle":"","parse-names":false,"suffix":""}],"container-title":"American Journal of Physical Anthropology","id":"ITEM-1","issue":"3","issued":{"date-parts":[["1976","5"]]},"page":"469-75","title":"Hereditary and environmental determinants of growth in height in a longitudinal sample of children and youth of Guatemalan and European ancestry.","type":"article-journal","volume":"44"},"uris":["http://www.mendeley.com/documents/?uuid=6579011d-134d-4c90-a4b6-d332e5e6a1c5"]},{"id":"ITEM-2","itemData":{"DOI":"10.1002/ajpa.1330520308","ISSN":"0002-9483","PMID":"7386605","abstract":"The growth in height of 1,202 Quechua and Mestizo children aged 6 to 19 years of the province of Lamas in the Peruvian Eastern Lowlands was studied. As shown by evaluations of ABO, Rh systems, and skin reflectance measurements, the Quechuas are genetically different from the Mestizos. The heights of Quechuas and Mestizos were matched for nutritional status based on measurements of subcutaneous fat and body muscle. The study indicates that: 1) during childhood, Quechuas and Mestizos matched for the same nutritional status attain similar heights; 2) during adolescence (or after the age of 11 years), the Mestizos are significantly taller than the Quechuas of the same nutritional status; 3) during childhood, the relative difference in height between Quechuas and Mestizos matched for the same nutritional status is less than the difference between Quechuas (or Mestizos) of the same genetic composition characterized by good and poor nutritional status. These findings suggest that the influence of environmental factors, such as nutrition, have a greater influence in producing differences in body size during childhood than during adolescence. Conversely, the present findings support the hypothesis that the influence of genetic factors on body size are greater during adolescence than during childhood. However, comparison of adolescent samples of similar genetic composition (whether they be Quechuas or Mestizos), characterized by good and poor nutritional status, reveal large differences in height, suggesting that under conditions of malnutrition, the genetic control of growth is diminished.","author":[{"dropping-particle":"","family":"Frisancho","given":"AR","non-dropping-particle":"","parse-names":false,"suffix":""},{"dropping-particle":"","family":"Guire","given":"K","non-dropping-particle":"","parse-names":false,"suffix":""},{"dropping-particle":"","family":"Babler","given":"W","non-dropping-particle":"","parse-names":false,"suffix":""},{"dropping-particle":"","family":"Borkan","given":"G","non-dropping-particle":"","parse-names":false,"suffix":""},{"dropping-particle":"","family":"Way","given":"A","non-dropping-particle":"","parse-names":false,"suffix":""}],"container-title":"American Journal of Physical Anthropology","id":"ITEM-2","issue":"3","issued":{"date-parts":[["1980","3"]]},"page":"367-375","title":"Nutritional influence on childhood development and genetic control of adolescent growth of Quechuas and Mestizos from the Peruvian lowlands.","type":"article-journal","volume":"52"},"uris":["http://www.mendeley.com/documents/?uuid=7e7f5dbf-8610-41ba-8513-84a0488ed0ef"]},{"id":"ITEM-3","itemData":{"author":[{"dropping-particle":"","family":"Bogin","given":"B","non-dropping-particle":"","parse-names":false,"suffix":""}],"edition":"2","id":"ITEM-3","issued":{"date-parts":[["1999"]]},"publisher":"Cambridge University Press","title":"Patterns of Human Growth","type":"book"},"uris":["http://www.mendeley.com/documents/?uuid=2a5cdd3d-e8dd-447e-9285-9f3782513066"]},{"id":"ITEM-4","itemData":{"author":[{"dropping-particle":"","family":"WHO","given":"","non-dropping-particle":"","parse-names":false,"suffix":""}],"id":"ITEM-4","issued":{"date-parts":[["1999"]]},"publisher":"WHO","publisher-place":"Geneva","title":"Infant and young child nutrition: the WHO multicentre growth reference study","type":"book"},"uris":["http://www.mendeley.com/documents/?uuid=e3403ae2-7433-4512-ad48-fc2b4b96263a"]}],"mendeley":{"formattedCitation":"(Johnston &lt;i&gt;et al.&lt;/i&gt;, 1976; Frisancho &lt;i&gt;et al.&lt;/i&gt;, 1980; Bogin, 1999; WHO, 1999)","manualFormatting":"(Johnston et al. 1976; Frisancho et al. 1980; Bogin 1999; WHO 1999)","plainTextFormattedCitation":"(Johnston et al., 1976; Frisancho et al., 1980; Bogin, 1999; WHO, 1999)","previouslyFormattedCitation":"(Johnston et al., 1976; Frisancho et al., 1980; Bogin, 1999; WHO, 1999)"},"properties":{"noteIndex":0},"schema":"https://github.com/citation-style-language/schema/raw/master/csl-citation.json"}</w:instrText>
      </w:r>
      <w:r w:rsidRPr="007F327D">
        <w:fldChar w:fldCharType="separate"/>
      </w:r>
      <w:r w:rsidRPr="007F327D">
        <w:t xml:space="preserve">(Johnston et al. 1976; </w:t>
      </w:r>
      <w:proofErr w:type="spellStart"/>
      <w:r w:rsidRPr="007F327D">
        <w:t>Frisancho</w:t>
      </w:r>
      <w:proofErr w:type="spellEnd"/>
      <w:r w:rsidRPr="007F327D">
        <w:t xml:space="preserve"> et al. 1980; </w:t>
      </w:r>
      <w:proofErr w:type="spellStart"/>
      <w:r w:rsidRPr="007F327D">
        <w:t>Bogin</w:t>
      </w:r>
      <w:proofErr w:type="spellEnd"/>
      <w:r w:rsidRPr="007F327D">
        <w:t xml:space="preserve"> 1999; WHO 1999)</w:t>
      </w:r>
      <w:r w:rsidRPr="007F327D">
        <w:fldChar w:fldCharType="end"/>
      </w:r>
      <w:r w:rsidRPr="007F327D">
        <w:t>, but could also indicate that the later stages of pubertal maturation were delayed, perhaps due to environmental stress (</w:t>
      </w:r>
      <w:proofErr w:type="spellStart"/>
      <w:r w:rsidRPr="007F327D">
        <w:t>Shapland</w:t>
      </w:r>
      <w:proofErr w:type="spellEnd"/>
      <w:r w:rsidRPr="007F327D">
        <w:t xml:space="preserve">, Lewis 2013). Temporal comparisons within the </w:t>
      </w:r>
      <w:proofErr w:type="spellStart"/>
      <w:r w:rsidRPr="007F327D">
        <w:t>Çatalhöyük</w:t>
      </w:r>
      <w:proofErr w:type="spellEnd"/>
      <w:r w:rsidRPr="007F327D">
        <w:t xml:space="preserve"> sample indicate there is no significant difference in stature residuals.</w:t>
      </w:r>
    </w:p>
    <w:p w14:paraId="74DE5DD8" w14:textId="77777777" w:rsidR="009C2187" w:rsidRPr="007F327D" w:rsidRDefault="009C2187" w:rsidP="009C2187">
      <w:pPr>
        <w:pStyle w:val="Caption"/>
      </w:pPr>
      <w:r w:rsidRPr="007F327D">
        <w:rPr>
          <w:b/>
        </w:rPr>
        <w:t>Figure 16.7</w:t>
      </w:r>
      <w:r w:rsidRPr="007F327D">
        <w:t xml:space="preserve">. Growth profiles by (a) stature and (b) body mass for </w:t>
      </w:r>
      <w:proofErr w:type="spellStart"/>
      <w:r w:rsidRPr="007F327D">
        <w:t>Çatalhöyük</w:t>
      </w:r>
      <w:proofErr w:type="spellEnd"/>
      <w:r w:rsidRPr="007F327D">
        <w:t xml:space="preserve"> by dental age, categorised by temporal period and compared with the Denver Growth Study and Arikara samples. Yearly means from the Denver Growth Study (McCammon 1970; means derived from Ruff, unpublished data). Mean adult male and female values are plotted at 23 years of age (a) for stature (</w:t>
      </w:r>
      <w:proofErr w:type="spellStart"/>
      <w:r w:rsidRPr="007F327D">
        <w:t>Çatalhöyük</w:t>
      </w:r>
      <w:proofErr w:type="spellEnd"/>
      <w:r w:rsidRPr="007F327D">
        <w:t xml:space="preserve"> stature (cm)= =61.4925+8.8439*x-0.2063*X</w:t>
      </w:r>
      <w:r w:rsidRPr="007F327D">
        <w:rPr>
          <w:vertAlign w:val="superscript"/>
        </w:rPr>
        <w:t>2</w:t>
      </w:r>
      <w:r w:rsidRPr="007F327D">
        <w:t>; Arikara stature (cm)= 54.044+9.7884*x-0.2197*X</w:t>
      </w:r>
      <w:r w:rsidRPr="007F327D">
        <w:rPr>
          <w:vertAlign w:val="superscript"/>
        </w:rPr>
        <w:t>2</w:t>
      </w:r>
      <w:r w:rsidRPr="007F327D">
        <w:t>; Denver stature (cm)= 63.9238+9.8858*x-0.2192*X</w:t>
      </w:r>
      <w:r w:rsidRPr="007F327D">
        <w:rPr>
          <w:vertAlign w:val="superscript"/>
        </w:rPr>
        <w:t>2</w:t>
      </w:r>
      <w:r w:rsidRPr="007F327D">
        <w:t>) and (b) for (log) body mass (kg) (</w:t>
      </w:r>
      <w:proofErr w:type="spellStart"/>
      <w:r w:rsidRPr="007F327D">
        <w:t>Çatalhöyük</w:t>
      </w:r>
      <w:proofErr w:type="spellEnd"/>
      <w:r w:rsidRPr="007F327D">
        <w:t xml:space="preserve"> (log) body mass = 1.8917+0.2038*x-0.0063*X</w:t>
      </w:r>
      <w:r w:rsidRPr="007F327D">
        <w:rPr>
          <w:vertAlign w:val="superscript"/>
        </w:rPr>
        <w:t>2</w:t>
      </w:r>
      <w:r w:rsidRPr="007F327D">
        <w:t>+6.905E-5*X</w:t>
      </w:r>
      <w:r w:rsidRPr="007F327D">
        <w:rPr>
          <w:vertAlign w:val="superscript"/>
        </w:rPr>
        <w:t>3</w:t>
      </w:r>
      <w:r w:rsidRPr="007F327D">
        <w:t>; Arikara (log) body mass=1.8334+0.1825*x-0.002*X</w:t>
      </w:r>
      <w:r w:rsidRPr="007F327D">
        <w:rPr>
          <w:vertAlign w:val="superscript"/>
        </w:rPr>
        <w:t>2</w:t>
      </w:r>
      <w:r w:rsidRPr="007F327D">
        <w:t>-6.9381E-5*X</w:t>
      </w:r>
      <w:r w:rsidRPr="007F327D">
        <w:rPr>
          <w:vertAlign w:val="superscript"/>
        </w:rPr>
        <w:t>3</w:t>
      </w:r>
      <w:r w:rsidRPr="007F327D">
        <w:t>; Denver (log) body mass =2.1337+0.1442*x+0.0004*x^2-0.0001*X</w:t>
      </w:r>
      <w:r w:rsidRPr="007F327D">
        <w:rPr>
          <w:vertAlign w:val="superscript"/>
        </w:rPr>
        <w:t>3</w:t>
      </w:r>
      <w:r w:rsidRPr="007F327D">
        <w:t>).</w:t>
      </w:r>
    </w:p>
    <w:p w14:paraId="11C30F66" w14:textId="77777777" w:rsidR="009C2187" w:rsidRPr="007F327D" w:rsidRDefault="009C2187" w:rsidP="009C2187">
      <w:pPr>
        <w:pStyle w:val="Paragraph"/>
      </w:pPr>
      <w:r w:rsidRPr="007F327D">
        <w:t xml:space="preserve">Growth in body mass is shown in fig. 16.7b with third order polynomial regressions fit to each sample. As also found with stature, body mass overlaps extensively in earlier childhood in the three samples, but the growth curves diverge in adolescence. It is notable that the majority of the </w:t>
      </w:r>
      <w:proofErr w:type="spellStart"/>
      <w:r w:rsidRPr="007F327D">
        <w:t>Çatalhöyük</w:t>
      </w:r>
      <w:proofErr w:type="spellEnd"/>
      <w:r w:rsidRPr="007F327D">
        <w:t xml:space="preserve"> individuals aged 13 to 21 years of age were assigned female sex (F: n=10; M: n=3; U: n=5), which is driving the divergence in mean body size estimates for that age range. While adolescent </w:t>
      </w:r>
      <w:proofErr w:type="spellStart"/>
      <w:r w:rsidRPr="007F327D">
        <w:t>Çatalhöyük</w:t>
      </w:r>
      <w:proofErr w:type="spellEnd"/>
      <w:r w:rsidRPr="007F327D">
        <w:t xml:space="preserve"> body mass estimates are lower than those of the Arikara and Denver samples, comparisons between Arikara and </w:t>
      </w:r>
      <w:proofErr w:type="spellStart"/>
      <w:r w:rsidRPr="007F327D">
        <w:t>Çatalhöyük</w:t>
      </w:r>
      <w:proofErr w:type="spellEnd"/>
      <w:r w:rsidRPr="007F327D">
        <w:t xml:space="preserve"> adult body mass estimates do not differ statistically. Temporal differences in body mass residuals are not significantly different between periods. </w:t>
      </w:r>
    </w:p>
    <w:p w14:paraId="03326D23" w14:textId="77777777" w:rsidR="009C2187" w:rsidRPr="007F327D" w:rsidRDefault="009C2187" w:rsidP="009C2187">
      <w:pPr>
        <w:pStyle w:val="Paragraph"/>
      </w:pPr>
      <w:r w:rsidRPr="007F327D">
        <w:t xml:space="preserve">It is thought that growth during infancy and early childhood is more sensitive to environmental and nutritional disruption than growth occurring in adolescence when genetic effects are increasingly </w:t>
      </w:r>
      <w:r w:rsidRPr="007F327D">
        <w:lastRenderedPageBreak/>
        <w:t xml:space="preserve">influential </w:t>
      </w:r>
      <w:r w:rsidRPr="007F327D">
        <w:fldChar w:fldCharType="begin" w:fldLock="1"/>
      </w:r>
      <w:r w:rsidRPr="007F327D">
        <w:instrText>ADDIN CSL_CITATION {"citationItems":[{"id":"ITEM-1","itemData":{"author":[{"dropping-particle":"","family":"Habicht","given":"JP","non-dropping-particle":"","parse-names":false,"suffix":""},{"dropping-particle":"","family":"Martorell","given":"R","non-dropping-particle":"","parse-names":false,"suffix":""},{"dropping-particle":"","family":"Yarbrough","given":"C","non-dropping-particle":"","parse-names":false,"suffix":""},{"dropping-particle":"","family":"Malina","given":"RM","non-dropping-particle":"","parse-names":false,"suffix":""},{"dropping-particle":"","family":"Klein","given":"RE","non-dropping-particle":"","parse-names":false,"suffix":""}],"container-title":"Lancet","id":"ITEM-1","issued":{"date-parts":[["1974"]]},"page":"611-614","title":"Height and weight standards for preschool children. How relevant are ethnic differences in growth potential?","type":"article-journal","volume":"1"},"uris":["http://www.mendeley.com/documents/?uuid=ad82bd1f-b538-4609-953d-fcec8dc0b1a8"]},{"id":"ITEM-2","itemData":{"DOI":"10.1002/ajpa.1330440310","ISSN":"0002-9483","PMID":"937524","abstract":"The effects of hereditary and environmental factors upon the growth in stature of children living in Guatemala City has been studied. Heights at yearly examinations were fitted, by individual, to a double logistic curve in samples of Guatemalan and European children attending a private school in Guatemala City. These two samples differed genetically yet shared the same environment. Their growth was compared, by a multivariate analysis of the parameterized curves, to that of children from the Berkeley Growth Study, genetically similar to the European sample, yet living in different environments. The European children in Guatemala grew, before adolescence, more similar to Guatemalan and differed significantly from the Berkeley sample children. However, the amount of growth during the adolescent years experienced by the European children was similar to that of the Berkeley sample and differed from their Guatemalan counterparts.","author":[{"dropping-particle":"","family":"Johnston","given":"FE","non-dropping-particle":"","parse-names":false,"suffix":""},{"dropping-particle":"","family":"Wainer","given":"H","non-dropping-particle":"","parse-names":false,"suffix":""},{"dropping-particle":"","family":"Thissen","given":"D","non-dropping-particle":"","parse-names":false,"suffix":""},{"dropping-particle":"","family":"MacVean","given":"R","non-dropping-particle":"","parse-names":false,"suffix":""}],"container-title":"American Journal of Physical Anthropology","id":"ITEM-2","issue":"3","issued":{"date-parts":[["1976","5"]]},"page":"469-75","title":"Hereditary and environmental determinants of growth in height in a longitudinal sample of children and youth of Guatemalan and European ancestry.","type":"article-journal","volume":"44"},"uris":["http://www.mendeley.com/documents/?uuid=6579011d-134d-4c90-a4b6-d332e5e6a1c5"]},{"id":"ITEM-3","itemData":{"author":[{"dropping-particle":"","family":"Bogin","given":"B","non-dropping-particle":"","parse-names":false,"suffix":""}],"edition":"2","id":"ITEM-3","issued":{"date-parts":[["1999"]]},"publisher":"Cambridge University Press","title":"Patterns of Human Growth","type":"book"},"uris":["http://www.mendeley.com/documents/?uuid=2a5cdd3d-e8dd-447e-9285-9f3782513066"]},{"id":"ITEM-4","itemData":{"author":[{"dropping-particle":"","family":"WHO","given":"","non-dropping-particle":"","parse-names":false,"suffix":""}],"id":"ITEM-4","issued":{"date-parts":[["1999"]]},"publisher":"WHO","publisher-place":"Geneva","title":"Infant and young child nutrition: the WHO multicentre growth reference study","type":"book"},"uris":["http://www.mendeley.com/documents/?uuid=e3403ae2-7433-4512-ad48-fc2b4b96263a"]},{"id":"ITEM-5","itemData":{"DOI":"10.1002/ajpa.1330520308","ISSN":"0002-9483","PMID":"7386605","abstract":"The growth in height of 1,202 Quechua and Mestizo children aged 6 to 19 years of the province of Lamas in the Peruvian Eastern Lowlands was studied. As shown by evaluations of ABO, Rh systems, and skin reflectance measurements, the Quechuas are genetically different from the Mestizos. The heights of Quechuas and Mestizos were matched for nutritional status based on measurements of subcutaneous fat and body muscle. The study indicates that: 1) during childhood, Quechuas and Mestizos matched for the same nutritional status attain similar heights; 2) during adolescence (or after the age of 11 years), the Mestizos are significantly taller than the Quechuas of the same nutritional status; 3) during childhood, the relative difference in height between Quechuas and Mestizos matched for the same nutritional status is less than the difference between Quechuas (or Mestizos) of the same genetic composition characterized by good and poor nutritional status. These findings suggest that the influence of environmental factors, such as nutrition, have a greater influence in producing differences in body size during childhood than during adolescence. Conversely, the present findings support the hypothesis that the influence of genetic factors on body size are greater during adolescence than during childhood. However, comparison of adolescent samples of similar genetic composition (whether they be Quechuas or Mestizos), characterized by good and poor nutritional status, reveal large differences in height, suggesting that under conditions of malnutrition, the genetic control of growth is diminished.","author":[{"dropping-particle":"","family":"Frisancho","given":"AR","non-dropping-particle":"","parse-names":false,"suffix":""},{"dropping-particle":"","family":"Guire","given":"K","non-dropping-particle":"","parse-names":false,"suffix":""},{"dropping-particle":"","family":"Babler","given":"W","non-dropping-particle":"","parse-names":false,"suffix":""},{"dropping-particle":"","family":"Borkan","given":"G","non-dropping-particle":"","parse-names":false,"suffix":""},{"dropping-particle":"","family":"Way","given":"A","non-dropping-particle":"","parse-names":false,"suffix":""}],"container-title":"American Journal of Physical Anthropology","id":"ITEM-5","issue":"3","issued":{"date-parts":[["1980","3"]]},"page":"367-375","title":"Nutritional influence on childhood development and genetic control of adolescent growth of Quechuas and Mestizos from the Peruvian lowlands.","type":"article-journal","volume":"52"},"uris":["http://www.mendeley.com/documents/?uuid=7e7f5dbf-8610-41ba-8513-84a0488ed0ef"]}],"mendeley":{"formattedCitation":"(Habicht &lt;i&gt;et al.&lt;/i&gt;, 1974; Johnston &lt;i&gt;et al.&lt;/i&gt;, 1976; Frisancho &lt;i&gt;et al.&lt;/i&gt;, 1980; Bogin, 1999; WHO, 1999)","manualFormatting":"(Habicht et al. 1974; Johnston et al. 1976; Frisancho et al. 1980; Bogin 1999; WHO 1999)","plainTextFormattedCitation":"(Habicht et al., 1974; Johnston et al., 1976; Frisancho et al., 1980; Bogin, 1999; WHO, 1999)","previouslyFormattedCitation":"(Habicht et al., 1974; Johnston et al., 1976; Frisancho et al., 1980; Bogin, 1999; WHO, 1999)"},"properties":{"noteIndex":0},"schema":"https://github.com/citation-style-language/schema/raw/master/csl-citation.json"}</w:instrText>
      </w:r>
      <w:r w:rsidRPr="007F327D">
        <w:fldChar w:fldCharType="separate"/>
      </w:r>
      <w:r w:rsidRPr="007F327D">
        <w:t>(</w:t>
      </w:r>
      <w:proofErr w:type="spellStart"/>
      <w:r w:rsidRPr="007F327D">
        <w:t>Habicht</w:t>
      </w:r>
      <w:proofErr w:type="spellEnd"/>
      <w:r w:rsidRPr="007F327D">
        <w:t xml:space="preserve"> et al. 1974; Johnston et al. 1976; </w:t>
      </w:r>
      <w:proofErr w:type="spellStart"/>
      <w:r w:rsidRPr="007F327D">
        <w:t>Frisancho</w:t>
      </w:r>
      <w:proofErr w:type="spellEnd"/>
      <w:r w:rsidRPr="007F327D">
        <w:t xml:space="preserve"> et al. 1980; </w:t>
      </w:r>
      <w:proofErr w:type="spellStart"/>
      <w:r w:rsidRPr="007F327D">
        <w:t>Bogin</w:t>
      </w:r>
      <w:proofErr w:type="spellEnd"/>
      <w:r w:rsidRPr="007F327D">
        <w:t xml:space="preserve"> 1999; WHO 1999)</w:t>
      </w:r>
      <w:r w:rsidRPr="007F327D">
        <w:fldChar w:fldCharType="end"/>
      </w:r>
      <w:r w:rsidRPr="007F327D">
        <w:t xml:space="preserve">. Taken together, while body size differences are present among adolescents and adults, the growth profiles for all three samples are quite similar during early growth years, suggesting a pre- and post-natal environment where conditions (nutritional, metabolic, infectious, etc.) do not appear to have impaired the growth process. Similarly, the ontogenetic series complements adult body size analyses that do not identify secular trends at any time in the occupation of the settlement. </w:t>
      </w:r>
    </w:p>
    <w:p w14:paraId="40918A38" w14:textId="77777777" w:rsidR="009C2187" w:rsidRPr="007F327D" w:rsidRDefault="009C2187" w:rsidP="009C2187">
      <w:pPr>
        <w:pStyle w:val="Heading1"/>
      </w:pPr>
      <w:r w:rsidRPr="007F327D">
        <w:t xml:space="preserve">Dental bioarchaeology </w:t>
      </w:r>
    </w:p>
    <w:p w14:paraId="2A704A28" w14:textId="16DBA73D" w:rsidR="009C2187" w:rsidRPr="007F327D" w:rsidRDefault="009C2187" w:rsidP="009C2187">
      <w:pPr>
        <w:pStyle w:val="Paragraph"/>
      </w:pPr>
      <w:r w:rsidRPr="007F327D">
        <w:t xml:space="preserve">The study of teeth is seminal in bioarchaeology due to the amount of information they can provide, and because they are the skeletal elements that preserve best. Contrary to the rest of the skeleton, teeth do not undergo remodelling throughout life; their characteristics are set during development. Alterations in their structures are thus permanent and provide insight into disturbances occurring during growth, insults that reflect on the well-being of infants and children (cf. El-Najjar et al. 1978; Goodman, Rose 1990; Skinner, Goodman 1992; Hillson 2014: 41), as well as health status of the oral cavity, the deciduous and permanent dentitions, diet and culturally-mediated dental modifications of past populations (cf. Molnar 1971, 1972; Smith 1984). The sections below consider insights into population health and well-being of the Neolithic inhabitants of </w:t>
      </w:r>
      <w:proofErr w:type="spellStart"/>
      <w:r w:rsidRPr="007F327D">
        <w:t>Çatalhöyük</w:t>
      </w:r>
      <w:proofErr w:type="spellEnd"/>
      <w:r w:rsidRPr="007F327D">
        <w:t xml:space="preserve"> through considerations of dental fluctuating asymmetry, linear enamel hypoplasia (LEH), and diet from the perspective of dental disease (caries) and isotopic analyses.</w:t>
      </w:r>
      <w:r w:rsidRPr="007F327D">
        <w:t xml:space="preserve"> </w:t>
      </w:r>
    </w:p>
    <w:p w14:paraId="30D9B9C6" w14:textId="77777777" w:rsidR="009C2187" w:rsidRPr="007F327D" w:rsidRDefault="009C2187" w:rsidP="009C2187">
      <w:pPr>
        <w:pStyle w:val="Heading2"/>
      </w:pPr>
      <w:r w:rsidRPr="007F327D">
        <w:t xml:space="preserve">Dental fluctuating asymmetry </w:t>
      </w:r>
    </w:p>
    <w:p w14:paraId="2BB8A138" w14:textId="77777777" w:rsidR="009C2187" w:rsidRPr="007F327D" w:rsidRDefault="009C2187" w:rsidP="009C2187">
      <w:pPr>
        <w:pStyle w:val="Paragraph"/>
      </w:pPr>
      <w:r w:rsidRPr="007F327D">
        <w:t xml:space="preserve">One means by which to test the effect of stress on the human body and its structures is through random deviations from symmetry in bilateral traits, a phenomenon referred to as ‘fluctuating asymmetry’ (Van </w:t>
      </w:r>
      <w:proofErr w:type="spellStart"/>
      <w:r w:rsidRPr="007F327D">
        <w:t>Valen</w:t>
      </w:r>
      <w:proofErr w:type="spellEnd"/>
      <w:r w:rsidRPr="007F327D">
        <w:t xml:space="preserve"> 1962; Klingenberg 2003). Several studies have adopted fluctuating asymmetry of dental, craniofacial, and skeletal structures as a tool for exploring patterns of developmental stress in living and archaeological populations (</w:t>
      </w:r>
      <w:proofErr w:type="spellStart"/>
      <w:r w:rsidRPr="007F327D">
        <w:t>Perzigian</w:t>
      </w:r>
      <w:proofErr w:type="spellEnd"/>
      <w:r w:rsidRPr="007F327D">
        <w:t xml:space="preserve"> 1977; Doyle, Johnston 1977; Costa 1986; </w:t>
      </w:r>
      <w:proofErr w:type="spellStart"/>
      <w:r w:rsidRPr="007F327D">
        <w:t>Kieser</w:t>
      </w:r>
      <w:proofErr w:type="spellEnd"/>
      <w:r w:rsidRPr="007F327D">
        <w:t xml:space="preserve"> et al. 1986; Albert, Greene 1999; Hoover et al. 2005; DeLeon 2007; Hoover, Matsumura 2008; </w:t>
      </w:r>
      <w:proofErr w:type="spellStart"/>
      <w:r w:rsidRPr="007F327D">
        <w:t>Kujanova</w:t>
      </w:r>
      <w:proofErr w:type="spellEnd"/>
      <w:r w:rsidRPr="007F327D">
        <w:t xml:space="preserve"> et al. 2008; Barrett et al. 2012; </w:t>
      </w:r>
      <w:proofErr w:type="spellStart"/>
      <w:r w:rsidRPr="007F327D">
        <w:t>Gawlikowska-Srokaet</w:t>
      </w:r>
      <w:proofErr w:type="spellEnd"/>
      <w:r w:rsidRPr="007F327D">
        <w:t xml:space="preserve"> al. 2013, 2017). Here, the results of the analysis of dental fluctuating asymmetry (henceforth DFA) at Neolithic </w:t>
      </w:r>
      <w:proofErr w:type="spellStart"/>
      <w:r w:rsidRPr="007F327D">
        <w:t>Çatalhöyük</w:t>
      </w:r>
      <w:proofErr w:type="spellEnd"/>
      <w:r w:rsidRPr="007F327D">
        <w:t xml:space="preserve"> (</w:t>
      </w:r>
      <w:proofErr w:type="spellStart"/>
      <w:r w:rsidRPr="007F327D">
        <w:t>Milella</w:t>
      </w:r>
      <w:proofErr w:type="spellEnd"/>
      <w:r w:rsidRPr="007F327D">
        <w:t xml:space="preserve"> et al. 2018) are presented</w:t>
      </w:r>
      <w:r w:rsidRPr="007F327D">
        <w:fldChar w:fldCharType="begin">
          <w:fldData xml:space="preserve">PEVuZE5vdGU+PENpdGUgRXhjbHVkZUF1dGg9IjEiIEV4Y2x1ZGVZZWFyPSIxIj48QXV0aG9yPk1p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</w:fldData>
        </w:fldChar>
      </w:r>
      <w:r w:rsidRPr="007F327D">
        <w:instrText xml:space="preserve"> ADDIN EN.CITE </w:instrText>
      </w:r>
      <w:r w:rsidRPr="007F327D">
        <w:fldChar w:fldCharType="begin">
          <w:fldData xml:space="preserve">PEVuZE5vdGU+PENpdGUgRXhjbHVkZUF1dGg9IjEiIEV4Y2x1ZGVZZWFyPSIxIj48QXV0aG9yPk1p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</w:fldData>
        </w:fldChar>
      </w:r>
      <w:r w:rsidRPr="007F327D">
        <w:instrText xml:space="preserve"> ADDIN EN.CITE.DATA </w:instrText>
      </w:r>
      <w:r w:rsidRPr="007F327D">
        <w:fldChar w:fldCharType="end"/>
      </w:r>
      <w:r w:rsidRPr="007F327D">
        <w:fldChar w:fldCharType="end"/>
      </w:r>
      <w:r w:rsidRPr="007F327D">
        <w:t xml:space="preserve"> and discussed.</w:t>
      </w:r>
    </w:p>
    <w:p w14:paraId="650DB556" w14:textId="77777777" w:rsidR="009C2187" w:rsidRPr="007F327D" w:rsidRDefault="009C2187" w:rsidP="009C2187">
      <w:pPr>
        <w:pStyle w:val="Heading3"/>
      </w:pPr>
      <w:r w:rsidRPr="007F327D">
        <w:t>Materials and methods</w:t>
      </w:r>
    </w:p>
    <w:p w14:paraId="59F295D5" w14:textId="77777777" w:rsidR="009C2187" w:rsidRPr="007F327D" w:rsidRDefault="009C2187" w:rsidP="009C2187">
      <w:pPr>
        <w:pStyle w:val="Paragraph"/>
      </w:pPr>
      <w:r w:rsidRPr="007F327D">
        <w:t xml:space="preserve">Analyses of DFA were performed on a sample of 259 individuals representing all occupation periods at </w:t>
      </w:r>
      <w:proofErr w:type="spellStart"/>
      <w:r w:rsidRPr="007F327D">
        <w:t>Çatalhöyük</w:t>
      </w:r>
      <w:proofErr w:type="spellEnd"/>
      <w:r w:rsidRPr="007F327D">
        <w:t xml:space="preserve">, including both sexes and all age categories (table 16.9). Bucco-lingual (BL) and </w:t>
      </w:r>
      <w:proofErr w:type="spellStart"/>
      <w:r w:rsidRPr="007F327D">
        <w:t>mesio</w:t>
      </w:r>
      <w:proofErr w:type="spellEnd"/>
      <w:r w:rsidRPr="007F327D">
        <w:t xml:space="preserve">-distal (MD) diameters of the permanent canines (C), first molars (M1), and second molars (M2) of both maxillae and mandibulae were measured twice. The presence of significant DFA was tested for each measurement by means of a two-way mixed-model analysis of variance (ANOVA) with individuals as the random factor and sides as fixed to assess the relative amount of variance due to DFA versus measurement error (ME). DFA for each trait was quantified by means of the index </w:t>
      </w:r>
      <m:oMath>
        <m:d>
          <m:dPr>
            <m:begChr m:val="|"/>
            <m:endChr m:val="|"/>
            <m:ctrlPr>
              <w:rPr>
                <w:rFonts w:ascii="Cambria Math" w:hAnsi="Cambria Math"/>
                <w:i/>
              </w:rPr>
            </m:ctrlPr>
          </m:dPr>
          <m:e>
            <m:r>
              <w:rPr>
                <w:rFonts w:ascii="Cambria Math" w:hAnsi="Cambria Math"/>
              </w:rPr>
              <m:t>(R-L)</m:t>
            </m:r>
          </m:e>
        </m:d>
      </m:oMath>
      <w:r w:rsidRPr="007F327D">
        <w:t xml:space="preserve"> (Palmer, Strobeck 2003) for each individual. Differences in DFA between periods, age groups, and sexes were t</w:t>
      </w:r>
      <w:proofErr w:type="spellStart"/>
      <w:r w:rsidRPr="007F327D">
        <w:t>hen</w:t>
      </w:r>
      <w:proofErr w:type="spellEnd"/>
      <w:r w:rsidRPr="007F327D">
        <w:t xml:space="preserve"> tested by means of </w:t>
      </w:r>
      <w:proofErr w:type="spellStart"/>
      <w:r w:rsidRPr="007F327D">
        <w:t>Kruskall</w:t>
      </w:r>
      <w:proofErr w:type="spellEnd"/>
      <w:r w:rsidRPr="007F327D">
        <w:t xml:space="preserve">-Wallis and Kendall Tau correlation tests. The Late and Final occupation periods were combined in a single chronological period due to the extremely small sample size of the Final period group. </w:t>
      </w:r>
    </w:p>
    <w:p w14:paraId="4A6AF44E" w14:textId="77777777" w:rsidR="009C2187" w:rsidRPr="007F327D" w:rsidRDefault="009C2187" w:rsidP="009C2187">
      <w:pPr>
        <w:pStyle w:val="Caption"/>
      </w:pPr>
      <w:r w:rsidRPr="007F327D">
        <w:rPr>
          <w:b/>
        </w:rPr>
        <w:t>Table 16.9</w:t>
      </w:r>
      <w:r w:rsidRPr="007F327D">
        <w:t xml:space="preserve">. Sample size for fluctuating asymmetry by sex, age, and period of occupation. y = years; M = males; F = females; I = indeterminate sex. </w:t>
      </w:r>
    </w:p>
    <w:p w14:paraId="042B2BB5" w14:textId="77777777" w:rsidR="009C2187" w:rsidRPr="007F327D" w:rsidRDefault="009C2187" w:rsidP="009C2187">
      <w:pPr>
        <w:pStyle w:val="Heading3"/>
      </w:pPr>
      <w:r w:rsidRPr="007F327D">
        <w:t>Results</w:t>
      </w:r>
    </w:p>
    <w:p w14:paraId="07386A4B" w14:textId="77777777" w:rsidR="009C2187" w:rsidRPr="007F327D" w:rsidRDefault="009C2187" w:rsidP="009C2187">
      <w:pPr>
        <w:pStyle w:val="Paragraph"/>
      </w:pPr>
      <w:r w:rsidRPr="007F327D">
        <w:t xml:space="preserve">Five of the measurements, the </w:t>
      </w:r>
      <w:proofErr w:type="spellStart"/>
      <w:r w:rsidRPr="007F327D">
        <w:t>mesio</w:t>
      </w:r>
      <w:proofErr w:type="spellEnd"/>
      <w:r w:rsidRPr="007F327D">
        <w:t xml:space="preserve">-distal and </w:t>
      </w:r>
      <w:proofErr w:type="spellStart"/>
      <w:r w:rsidRPr="007F327D">
        <w:t>bucco</w:t>
      </w:r>
      <w:proofErr w:type="spellEnd"/>
      <w:r w:rsidRPr="007F327D">
        <w:t xml:space="preserve">-lingual diameters of the upper second molar (UM2MD and UM2BL, respectively), the </w:t>
      </w:r>
      <w:proofErr w:type="spellStart"/>
      <w:r w:rsidRPr="007F327D">
        <w:t>mesio</w:t>
      </w:r>
      <w:proofErr w:type="spellEnd"/>
      <w:r w:rsidRPr="007F327D">
        <w:t xml:space="preserve">-distal diameter of the lower first molar (LM1MD) and lower canine (LCMD), and the </w:t>
      </w:r>
      <w:proofErr w:type="spellStart"/>
      <w:r w:rsidRPr="007F327D">
        <w:t>bucco</w:t>
      </w:r>
      <w:proofErr w:type="spellEnd"/>
      <w:r w:rsidRPr="007F327D">
        <w:t xml:space="preserve">-lingual diameter of the lower second molar (LM2BL) showed significant fluctuations in asymmetry and were thus targeted for analysis. The comparison between occupation periods indicates a general decrease in asymmetry with time (fig. 16.8a), although this result is significant only for females for LM2BL (fig. 16.8b). When comparing asymmetry between subadults (&lt; 20 years old) and adults (≥ 20 years old) subadults show greater </w:t>
      </w:r>
      <w:r w:rsidRPr="007F327D">
        <w:lastRenderedPageBreak/>
        <w:t>asymmetry in three out of five measurements (LM2BL, LM1MD, and LCMD). Conversely, no significant difference was found between sexes.</w:t>
      </w:r>
    </w:p>
    <w:p w14:paraId="1A5260D1" w14:textId="77777777" w:rsidR="009C2187" w:rsidRPr="007F327D" w:rsidRDefault="009C2187" w:rsidP="009C2187">
      <w:pPr>
        <w:pStyle w:val="Caption"/>
        <w:rPr>
          <w:rFonts w:cs="Times New Roman"/>
        </w:rPr>
      </w:pPr>
      <w:r w:rsidRPr="007F327D">
        <w:rPr>
          <w:b/>
        </w:rPr>
        <w:t>Figure 16.8.</w:t>
      </w:r>
      <w:r w:rsidRPr="007F327D">
        <w:t xml:space="preserve"> Patterns of dental fluctuating asymmetry through the occupation periods at </w:t>
      </w:r>
      <w:proofErr w:type="spellStart"/>
      <w:r w:rsidRPr="007F327D">
        <w:t>Çatalhöyük</w:t>
      </w:r>
      <w:proofErr w:type="spellEnd"/>
      <w:r w:rsidRPr="007F327D">
        <w:t xml:space="preserve">: (a) correlation between DFA and occupation periods, combined sexes. Note that four out of the five measurements show a negative (but not significant) correlation, indicating decreasing asymmetry through time; (b) a box-plot of DFA of </w:t>
      </w:r>
      <w:proofErr w:type="spellStart"/>
      <w:r w:rsidRPr="007F327D">
        <w:t>bucco</w:t>
      </w:r>
      <w:proofErr w:type="spellEnd"/>
      <w:r w:rsidRPr="007F327D">
        <w:t>-lingual diameter of the lower second molar in females through time. In this case, the decrease in asymmetry is significant.</w:t>
      </w:r>
    </w:p>
    <w:p w14:paraId="6558F3C9" w14:textId="77777777" w:rsidR="009C2187" w:rsidRPr="007F327D" w:rsidRDefault="009C2187" w:rsidP="009C2187">
      <w:pPr>
        <w:pStyle w:val="Heading3"/>
      </w:pPr>
      <w:r w:rsidRPr="007F327D">
        <w:t>Discussion</w:t>
      </w:r>
    </w:p>
    <w:p w14:paraId="208D5943" w14:textId="77777777" w:rsidR="009C2187" w:rsidRPr="007F327D" w:rsidRDefault="009C2187" w:rsidP="009C2187">
      <w:pPr>
        <w:pStyle w:val="Paragraph"/>
      </w:pPr>
      <w:r w:rsidRPr="007F327D">
        <w:t xml:space="preserve">The results of these analyses indicate a subtle decrease of asymmetry with time, a trend consistent with the expected decrease in population density from the Middle period resulting in lower environmental stress. Note, however, that in only one case this pattern is significant, in females for LM2BL. Three main factors may be responsible for the observed patterns: </w:t>
      </w:r>
    </w:p>
    <w:p w14:paraId="69A620C0" w14:textId="77777777" w:rsidR="009C2187" w:rsidRPr="007F327D" w:rsidRDefault="009C2187" w:rsidP="009C2187">
      <w:pPr>
        <w:pStyle w:val="Paragraph"/>
      </w:pPr>
      <w:r w:rsidRPr="007F327D">
        <w:t>1) Contrasting developmental stability between different tooth classes (</w:t>
      </w:r>
      <w:proofErr w:type="spellStart"/>
      <w:r w:rsidRPr="007F327D">
        <w:t>Bailit</w:t>
      </w:r>
      <w:proofErr w:type="spellEnd"/>
      <w:r w:rsidRPr="007F327D">
        <w:t xml:space="preserve"> et al. 1970; </w:t>
      </w:r>
      <w:proofErr w:type="spellStart"/>
      <w:r w:rsidRPr="007F327D">
        <w:t>Garn</w:t>
      </w:r>
      <w:proofErr w:type="spellEnd"/>
      <w:r w:rsidRPr="007F327D">
        <w:t xml:space="preserve"> et al. 1966, 1967; </w:t>
      </w:r>
      <w:proofErr w:type="spellStart"/>
      <w:r w:rsidRPr="007F327D">
        <w:t>Sofaer</w:t>
      </w:r>
      <w:proofErr w:type="spellEnd"/>
      <w:r w:rsidRPr="007F327D">
        <w:t xml:space="preserve"> et al. 1971; </w:t>
      </w:r>
      <w:proofErr w:type="spellStart"/>
      <w:r w:rsidRPr="007F327D">
        <w:t>Garn</w:t>
      </w:r>
      <w:proofErr w:type="spellEnd"/>
      <w:r w:rsidRPr="007F327D">
        <w:t xml:space="preserve">, Bailey 1977; </w:t>
      </w:r>
      <w:proofErr w:type="spellStart"/>
      <w:r w:rsidRPr="007F327D">
        <w:t>Perzigian</w:t>
      </w:r>
      <w:proofErr w:type="spellEnd"/>
      <w:r w:rsidRPr="007F327D">
        <w:t xml:space="preserve"> 1977; Harris, </w:t>
      </w:r>
      <w:proofErr w:type="spellStart"/>
      <w:r w:rsidRPr="007F327D">
        <w:t>Nweeia</w:t>
      </w:r>
      <w:proofErr w:type="spellEnd"/>
      <w:r w:rsidRPr="007F327D">
        <w:t xml:space="preserve"> 1980; Hershkovitz et al. 1993; </w:t>
      </w:r>
      <w:proofErr w:type="spellStart"/>
      <w:r w:rsidRPr="007F327D">
        <w:t>Guatelli</w:t>
      </w:r>
      <w:proofErr w:type="spellEnd"/>
      <w:r w:rsidRPr="007F327D">
        <w:rPr>
          <w:rFonts w:cs="American Typewriter"/>
        </w:rPr>
        <w:t>‐</w:t>
      </w:r>
      <w:r w:rsidRPr="007F327D">
        <w:t>Steinberg et al. 2006).</w:t>
      </w:r>
    </w:p>
    <w:p w14:paraId="2543558C" w14:textId="77777777" w:rsidR="009C2187" w:rsidRPr="007F327D" w:rsidRDefault="009C2187" w:rsidP="009C2187">
      <w:pPr>
        <w:pStyle w:val="Paragraph"/>
      </w:pPr>
      <w:r w:rsidRPr="007F327D">
        <w:t xml:space="preserve">2) The presence of a moderate amount of environmental stress throughout the entire occupation of the site, </w:t>
      </w:r>
      <w:r w:rsidRPr="007F327D">
        <w:rPr>
          <w:i/>
        </w:rPr>
        <w:t>even</w:t>
      </w:r>
      <w:r w:rsidRPr="007F327D">
        <w:t xml:space="preserve"> in a situation of decreased population density, though mitigated perhaps by a shared diet between the sexes. This would explain the lack of differences between sexes. It is indeed possible that the exposure to relatively high developmental stress would have obscured sex differences in immuno-competence and fragility. </w:t>
      </w:r>
    </w:p>
    <w:p w14:paraId="23358FA3" w14:textId="77777777" w:rsidR="009C2187" w:rsidRPr="007F327D" w:rsidRDefault="009C2187" w:rsidP="009C2187">
      <w:pPr>
        <w:pStyle w:val="Paragraph"/>
        <w:rPr>
          <w:color w:val="FF0000"/>
        </w:rPr>
      </w:pPr>
      <w:r w:rsidRPr="007F327D">
        <w:t xml:space="preserve">3) A non-linear relationship between population size and population density. The extent of occupation of </w:t>
      </w:r>
      <w:proofErr w:type="spellStart"/>
      <w:r w:rsidRPr="007F327D">
        <w:t>Çatalhöyük</w:t>
      </w:r>
      <w:proofErr w:type="spellEnd"/>
      <w:r w:rsidRPr="007F327D">
        <w:t xml:space="preserve"> probably varied during the 1,000 years plus of occupation (cf. </w:t>
      </w:r>
      <w:proofErr w:type="spellStart"/>
      <w:r w:rsidRPr="007F327D">
        <w:t>Cessford</w:t>
      </w:r>
      <w:proofErr w:type="spellEnd"/>
      <w:r w:rsidRPr="007F327D">
        <w:t xml:space="preserve"> 2005). Occupied areas of larger and smaller size would have led to population density variation, given a specific population size. </w:t>
      </w:r>
    </w:p>
    <w:p w14:paraId="58D42765" w14:textId="77777777" w:rsidR="009C2187" w:rsidRPr="007F327D" w:rsidRDefault="009C2187" w:rsidP="009C2187">
      <w:pPr>
        <w:pStyle w:val="Paragraph"/>
      </w:pPr>
      <w:r w:rsidRPr="007F327D">
        <w:t xml:space="preserve">The difference in asymmetry between adults and subadults suggests an inverse correlation between the amount of developmental stress and age at death. In other words, greater asymmetry is significantly associated with premature mortality. This pattern not only supports an interpretation of dental FA as a marker of developmental stress, but is also in agreement with the age distribution and relative prevalence of periostosis at </w:t>
      </w:r>
      <w:proofErr w:type="spellStart"/>
      <w:r w:rsidRPr="007F327D">
        <w:t>Çatalhöyük</w:t>
      </w:r>
      <w:proofErr w:type="spellEnd"/>
      <w:r w:rsidRPr="007F327D">
        <w:t>, and is in line with the postulated weakened immuno-competence of juveniles in this population (Larsen et al. 2015).</w:t>
      </w:r>
    </w:p>
    <w:p w14:paraId="5DF83CF5" w14:textId="77777777" w:rsidR="009C2187" w:rsidRPr="007F327D" w:rsidRDefault="009C2187" w:rsidP="009C2187">
      <w:pPr>
        <w:pStyle w:val="Heading2"/>
      </w:pPr>
      <w:r w:rsidRPr="007F327D">
        <w:t>Linear enamel hypoplastic (LEH) defects</w:t>
      </w:r>
    </w:p>
    <w:p w14:paraId="17477918" w14:textId="77777777" w:rsidR="009C2187" w:rsidRPr="007F327D" w:rsidRDefault="009C2187" w:rsidP="009C2187">
      <w:pPr>
        <w:pStyle w:val="Paragraph"/>
      </w:pPr>
      <w:r w:rsidRPr="007F327D">
        <w:t xml:space="preserve">Another means of assessing well-being from the dentition comes in the form of linear enamel hypoplasia (LEH). These are developmental defects visible on tooth crown surfaces as lines of decreased enamel thickness caused by a disruption of enamel secretion during crown formation </w:t>
      </w:r>
      <w:r w:rsidRPr="007F327D">
        <w:fldChar w:fldCharType="begin"/>
      </w:r>
      <w:r w:rsidRPr="007F327D">
        <w:instrText xml:space="preserve"> ADDIN EN.CITE &lt;EndNote&gt;&lt;Cite&gt;&lt;Author&gt;Goodman&lt;/Author&gt;&lt;Year&gt;1984&lt;/Year&gt;&lt;RecNum&gt;516&lt;/RecNum&gt;&lt;DisplayText&gt;(Goodman et al. 1984)&lt;/DisplayText&gt;&lt;record&gt;&lt;rec-number&gt;516&lt;/rec-number&gt;&lt;foreign-keys&gt;&lt;key app="EN" db-id="s0vx5xpsgx9efle0evmvxa5rs0fzd9ppeewr" timestamp="1424635797"&gt;516&lt;/key&gt;&lt;/foreign-keys&gt;&lt;ref-type name="Book Section"&gt;5&lt;/ref-type&gt;&lt;contributors&gt;&lt;authors&gt;&lt;author&gt;Goodman, Alan H.&lt;/author&gt;&lt;author&gt;Martin, Debra L.&lt;/author&gt;&lt;author&gt;Armelagos, George J.&lt;/author&gt;&lt;/authors&gt;&lt;secondary-authors&gt;&lt;author&gt;Cohen, Mark N.&lt;/author&gt;&lt;author&gt;Armelagos, George J.&lt;/author&gt;&lt;/secondary-authors&gt;&lt;/contributors&gt;&lt;titles&gt;&lt;title&gt;Indications of Stress from Bone and Teeth&lt;/title&gt;&lt;secondary-title&gt;Paleopathology at the origins of agriculture&lt;/secondary-title&gt;&lt;/titles&gt;&lt;pages&gt;13-49&lt;/pages&gt;&lt;section&gt;2&lt;/section&gt;&lt;dates&gt;&lt;year&gt;1984&lt;/year&gt;&lt;/dates&gt;&lt;pub-location&gt;New York&lt;/pub-location&gt;&lt;publisher&gt;Academic Press&lt;/publisher&gt;&lt;urls&gt;&lt;/urls&gt;&lt;/record&gt;&lt;/Cite&gt;&lt;/EndNote&gt;</w:instrText>
      </w:r>
      <w:r w:rsidRPr="007F327D">
        <w:fldChar w:fldCharType="separate"/>
      </w:r>
      <w:r w:rsidRPr="007F327D">
        <w:t>(Goodman et al. 1984)</w:t>
      </w:r>
      <w:r w:rsidRPr="007F327D">
        <w:fldChar w:fldCharType="end"/>
      </w:r>
      <w:r w:rsidRPr="007F327D">
        <w:t xml:space="preserve">. Because enamel does not remodel after crown formation, these defects provide an enduring record of physiological stress experienced by an individual during tooth crown development, which spans infancy and childhood </w:t>
      </w:r>
      <w:r w:rsidRPr="007F327D">
        <w:fldChar w:fldCharType="begin"/>
      </w:r>
      <w:r w:rsidRPr="007F327D">
        <w:instrText xml:space="preserve"> ADDIN EN.CITE &lt;EndNote&gt;&lt;Cite&gt;&lt;Author&gt;Klaus&lt;/Author&gt;&lt;Year&gt;2009&lt;/Year&gt;&lt;RecNum&gt;515&lt;/RecNum&gt;&lt;DisplayText&gt;(Klaus and Tam 2009)&lt;/DisplayText&gt;&lt;record&gt;&lt;rec-number&gt;515&lt;/rec-number&gt;&lt;foreign-keys&gt;&lt;key app="EN" db-id="s0vx5xpsgx9efle0evmvxa5rs0fzd9ppeewr" timestamp="1424635144"&gt;515&lt;/key&gt;&lt;/foreign-keys&gt;&lt;ref-type name="Journal Article"&gt;17&lt;/ref-type&gt;&lt;contributors&gt;&lt;authors&gt;&lt;author&gt;Klaus, Haagen D.&lt;/author&gt;&lt;author&gt;Tam, Manuel E.&lt;/author&gt;&lt;/authors&gt;&lt;/contributors&gt;&lt;titles&gt;&lt;title&gt;Contact in the Andes: Bioarchaeology of systemic stress in colonial M&amp;amp;oacute;rrope, Peru&lt;/title&gt;&lt;secondary-title&gt;American Journal of Physical Anthropology&lt;/secondary-title&gt;&lt;/titles&gt;&lt;periodical&gt;&lt;full-title&gt;American Journal of Physical Anthropology&lt;/full-title&gt;&lt;abbr-1&gt;Am. J. Phys. Anthropol.&lt;/abbr-1&gt;&lt;/periodical&gt;&lt;pages&gt;356-368&lt;/pages&gt;&lt;volume&gt;138&lt;/volume&gt;&lt;number&gt;3&lt;/number&gt;&lt;keywords&gt;&lt;keyword&gt;hypoplasia&lt;/keyword&gt;&lt;keyword&gt;anemia&lt;/keyword&gt;&lt;keyword&gt;growth&lt;/keyword&gt;&lt;keyword&gt;infection&lt;/keyword&gt;&lt;keyword&gt;fertility&lt;/keyword&gt;&lt;/keywords&gt;&lt;dates&gt;&lt;year&gt;2009&lt;/year&gt;&lt;/dates&gt;&lt;isbn&gt;0002-9483&lt;/isbn&gt;&lt;urls&gt;&lt;related-urls&gt;&lt;url&gt;http://journals.ohiolink.edu/ejc/article.cgi?issn=00029483&amp;amp;issue=v138i0003&amp;amp;article=356_citabossicmp&lt;/url&gt;&lt;/related-urls&gt;&lt;/urls&gt;&lt;electronic-resource-num&gt;10.1002/ajpa.20944&lt;/electronic-resource-num&gt;&lt;/record&gt;&lt;/Cite&gt;&lt;/EndNote&gt;</w:instrText>
      </w:r>
      <w:r w:rsidRPr="007F327D">
        <w:fldChar w:fldCharType="separate"/>
      </w:r>
      <w:r w:rsidRPr="007F327D">
        <w:t>(cf. Klaus, Tam 2009)</w:t>
      </w:r>
      <w:r w:rsidRPr="007F327D">
        <w:fldChar w:fldCharType="end"/>
      </w:r>
      <w:r w:rsidRPr="007F327D">
        <w:t xml:space="preserve">. These defects result from systemic metabolic insults, such as stress episodes caused by high fevers, infectious agents, malnutrition, weaning and hormonal changes </w:t>
      </w:r>
      <w:r w:rsidRPr="007F327D">
        <w:rPr>
          <w:highlight w:val="red"/>
        </w:rPr>
        <w:fldChar w:fldCharType="begin">
          <w:fldData xml:space="preserve">PEVuZE5vdGU+PENpdGU+PEF1dGhvcj5Hb29kbWFuPC9BdXRob3I+PFllYXI+MTk4MDwvWWVhcj48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</w:fldData>
        </w:fldChar>
      </w:r>
      <w:r w:rsidRPr="007F327D">
        <w:instrText xml:space="preserve"> ADDIN EN.CITE </w:instrText>
      </w:r>
      <w:r w:rsidRPr="007F327D">
        <w:fldChar w:fldCharType="begin">
          <w:fldData xml:space="preserve">PEVuZE5vdGU+PENpdGU+PEF1dGhvcj5Hb29kbWFuPC9BdXRob3I+PFllYXI+MTk4MDwvWWVhcj48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</w:fldData>
        </w:fldChar>
      </w:r>
      <w:r w:rsidRPr="007F327D">
        <w:instrText xml:space="preserve"> ADDIN EN.CITE.DATA </w:instrText>
      </w:r>
      <w:r w:rsidRPr="007F327D">
        <w:fldChar w:fldCharType="end"/>
      </w:r>
      <w:r w:rsidRPr="007F327D">
        <w:rPr>
          <w:highlight w:val="red"/>
        </w:rPr>
      </w:r>
      <w:r w:rsidRPr="007F327D">
        <w:rPr>
          <w:highlight w:val="red"/>
        </w:rPr>
        <w:fldChar w:fldCharType="separate"/>
      </w:r>
      <w:r w:rsidRPr="007F327D">
        <w:t xml:space="preserve">(Goodman et al. 1980; Goodman, </w:t>
      </w:r>
      <w:proofErr w:type="spellStart"/>
      <w:r w:rsidRPr="007F327D">
        <w:t>Armelagos</w:t>
      </w:r>
      <w:proofErr w:type="spellEnd"/>
      <w:r w:rsidRPr="007F327D">
        <w:t xml:space="preserve"> 1985a, b; </w:t>
      </w:r>
      <w:proofErr w:type="spellStart"/>
      <w:r w:rsidRPr="007F327D">
        <w:t>Dobney</w:t>
      </w:r>
      <w:proofErr w:type="spellEnd"/>
      <w:r w:rsidRPr="007F327D">
        <w:t xml:space="preserve">, Goodman 1991; </w:t>
      </w:r>
      <w:proofErr w:type="spellStart"/>
      <w:r w:rsidRPr="007F327D">
        <w:t>Guatelli</w:t>
      </w:r>
      <w:proofErr w:type="spellEnd"/>
      <w:r w:rsidRPr="007F327D">
        <w:t>-Steinberg 2001; Goodman, Martin 2002)</w:t>
      </w:r>
      <w:r w:rsidRPr="007F327D">
        <w:rPr>
          <w:highlight w:val="red"/>
        </w:rPr>
        <w:fldChar w:fldCharType="end"/>
      </w:r>
      <w:r w:rsidRPr="007F327D">
        <w:t>.</w:t>
      </w:r>
    </w:p>
    <w:p w14:paraId="2BFD4B63" w14:textId="77777777" w:rsidR="009C2187" w:rsidRPr="007F327D" w:rsidRDefault="009C2187" w:rsidP="009C2187">
      <w:pPr>
        <w:pStyle w:val="Paragraph"/>
      </w:pPr>
      <w:r w:rsidRPr="007F327D">
        <w:t xml:space="preserve">LEH defects were present on permanent mandibular canine teeth of 122 of 123 (99%) individuals studied from Neolithic </w:t>
      </w:r>
      <w:proofErr w:type="spellStart"/>
      <w:r w:rsidRPr="007F327D">
        <w:t>Çatalhöyük</w:t>
      </w:r>
      <w:proofErr w:type="spellEnd"/>
      <w:r w:rsidRPr="007F327D">
        <w:t>. These data were collected from fully developed canine tooth crowns with Smith (1984) dental wear scores of five or lower using a 10x hand lens. Defects were only counted if they could be matched on at least two canines per individual (</w:t>
      </w:r>
      <w:r w:rsidRPr="007F327D">
        <w:fldChar w:fldCharType="begin">
          <w:fldData xml:space="preserve">PEVuZE5vdGU+PENpdGU+PEF1dGhvcj5TdGVja2VsPC9BdXRob3I+PFllYXI+MjAwNjwvWWVhcj48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==
</w:fldData>
        </w:fldChar>
      </w:r>
      <w:r w:rsidRPr="007F327D">
        <w:instrText xml:space="preserve"> ADDIN EN.CITE </w:instrText>
      </w:r>
      <w:r w:rsidRPr="007F327D">
        <w:fldChar w:fldCharType="begin">
          <w:fldData xml:space="preserve">PEVuZE5vdGU+PENpdGU+PEF1dGhvcj5TdGVja2VsPC9BdXRob3I+PFllYXI+MjAwNjwvWWVhcj48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==
</w:fldData>
        </w:fldChar>
      </w:r>
      <w:r w:rsidRPr="007F327D">
        <w:instrText xml:space="preserve"> ADDIN EN.CITE.DATA </w:instrText>
      </w:r>
      <w:r w:rsidRPr="007F327D">
        <w:fldChar w:fldCharType="end"/>
      </w:r>
      <w:r w:rsidRPr="007F327D">
        <w:fldChar w:fldCharType="separate"/>
      </w:r>
      <w:r w:rsidRPr="007F327D">
        <w:t xml:space="preserve">Smith 1984; Goodman, Rose 1990; </w:t>
      </w:r>
      <w:proofErr w:type="spellStart"/>
      <w:r w:rsidRPr="007F327D">
        <w:t>Buikstra</w:t>
      </w:r>
      <w:proofErr w:type="spellEnd"/>
      <w:r w:rsidRPr="007F327D">
        <w:t xml:space="preserve">, </w:t>
      </w:r>
      <w:proofErr w:type="spellStart"/>
      <w:r w:rsidRPr="007F327D">
        <w:t>Ubelaker</w:t>
      </w:r>
      <w:proofErr w:type="spellEnd"/>
      <w:r w:rsidRPr="007F327D">
        <w:t xml:space="preserve"> 1994; Steckel et al. 2006)</w:t>
      </w:r>
      <w:r w:rsidRPr="007F327D">
        <w:fldChar w:fldCharType="end"/>
      </w:r>
      <w:r w:rsidRPr="007F327D">
        <w:t xml:space="preserve">. These results are consistent with those of a previous study that found 100% LEH prevalence in a sample of maxillary and mandibular central and lateral incisors from 54 individuals from Neolithic </w:t>
      </w:r>
      <w:proofErr w:type="spellStart"/>
      <w:r w:rsidRPr="007F327D">
        <w:t>Çatalhöyük</w:t>
      </w:r>
      <w:proofErr w:type="spellEnd"/>
      <w:r w:rsidRPr="007F327D">
        <w:t xml:space="preserve"> </w:t>
      </w:r>
      <w:r w:rsidRPr="007F327D">
        <w:fldChar w:fldCharType="begin"/>
      </w:r>
      <w:r w:rsidRPr="007F327D">
        <w:instrText xml:space="preserve"> ADDIN EN.CITE &lt;EndNote&gt;&lt;Cite&gt;&lt;Author&gt;Bocaege&lt;/Author&gt;&lt;Year&gt;2015&lt;/Year&gt;&lt;RecNum&gt;1312&lt;/RecNum&gt;&lt;DisplayText&gt;(Bocaege 2015)&lt;/DisplayText&gt;&lt;record&gt;&lt;rec-number&gt;1312&lt;/rec-number&gt;&lt;foreign-keys&gt;&lt;key app="EN" db-id="s0vx5xpsgx9efle0evmvxa5rs0fzd9ppeewr" timestamp="1533412923"&gt;1312&lt;/key&gt;&lt;/foreign-keys&gt;&lt;ref-type name="Thesis"&gt;32&lt;/ref-type&gt;&lt;contributors&gt;&lt;authors&gt;&lt;author&gt;Bocaege, Emmy&lt;/author&gt;&lt;/authors&gt;&lt;/contributors&gt;&lt;titles&gt;&lt;title&gt;Childhood growth in the Neolithic: a detailed case study of Çatalhöyük&lt;/title&gt;&lt;secondary-title&gt;Institute of Archaeology&lt;/secondary-title&gt;&lt;/titles&gt;&lt;volume&gt;Ph.D.&lt;/volume&gt;&lt;dates&gt;&lt;year&gt;2015&lt;/year&gt;&lt;/dates&gt;&lt;publisher&gt;University College London&lt;/publisher&gt;&lt;work-type&gt;Dissertation&lt;/work-type&gt;&lt;urls&gt;&lt;/urls&gt;&lt;/record&gt;&lt;/Cite&gt;&lt;/EndNote&gt;</w:instrText>
      </w:r>
      <w:r w:rsidRPr="007F327D">
        <w:fldChar w:fldCharType="separate"/>
      </w:r>
      <w:r w:rsidRPr="007F327D">
        <w:t>(</w:t>
      </w:r>
      <w:proofErr w:type="spellStart"/>
      <w:r w:rsidRPr="007F327D">
        <w:t>Bocaege</w:t>
      </w:r>
      <w:proofErr w:type="spellEnd"/>
      <w:r w:rsidRPr="007F327D">
        <w:t xml:space="preserve"> 2015)</w:t>
      </w:r>
      <w:r w:rsidRPr="007F327D">
        <w:fldChar w:fldCharType="end"/>
      </w:r>
      <w:r w:rsidRPr="007F327D">
        <w:t xml:space="preserve">. </w:t>
      </w:r>
    </w:p>
    <w:p w14:paraId="2F41DB40" w14:textId="77777777" w:rsidR="009C2187" w:rsidRPr="007F327D" w:rsidRDefault="009C2187" w:rsidP="009C2187">
      <w:pPr>
        <w:pStyle w:val="Paragraph"/>
      </w:pPr>
      <w:r w:rsidRPr="007F327D">
        <w:t xml:space="preserve">Comparisons between occupation periods illustrate that LEH defect prevalence was high throughout the Neolithic occupation of the site (fig. 16.9). In the Early period (n=11), 100% of individuals had at least one enamel defect on their mandibular canines, and 10 individuals (90.9%) had </w:t>
      </w:r>
      <w:r w:rsidRPr="007F327D">
        <w:lastRenderedPageBreak/>
        <w:t xml:space="preserve">two or more defects. In the Middle period (n=77), 98.7% of individuals had at least one enamel defect on their mandibular canines, and 72 individuals (93.5%) had two or more defects. In the Late and Final periods (n=22), 100% of individuals had two or more defects on their mandibular canines. While there are no statistically significant differences between LEH prevalence during different occupation periods, it is interesting to note that during the Early and Middle periods there are at least a few individuals who experienced only one stress episode leading to the formation of an enamel defect, whereas in the Late period all individuals experienced multiple defect-causing stress episodes. </w:t>
      </w:r>
    </w:p>
    <w:p w14:paraId="0C84E844" w14:textId="77777777" w:rsidR="009C2187" w:rsidRPr="007F327D" w:rsidRDefault="009C2187" w:rsidP="009C2187">
      <w:pPr>
        <w:pStyle w:val="Caption"/>
      </w:pPr>
      <w:r w:rsidRPr="007F327D">
        <w:rPr>
          <w:b/>
        </w:rPr>
        <w:t xml:space="preserve">Figure 16.9. </w:t>
      </w:r>
      <w:r w:rsidRPr="007F327D">
        <w:t xml:space="preserve">Prevalence of linear enamel hypoplasia (LEH) defects per individual on permanent mandibular canine teeth within the Early, Middle, and Late occupation periods at Neolithic </w:t>
      </w:r>
      <w:proofErr w:type="spellStart"/>
      <w:r w:rsidRPr="007F327D">
        <w:t>Çatalhöyük</w:t>
      </w:r>
      <w:proofErr w:type="spellEnd"/>
      <w:r w:rsidRPr="007F327D">
        <w:t>.</w:t>
      </w:r>
    </w:p>
    <w:p w14:paraId="61CF2D27" w14:textId="77777777" w:rsidR="009C2187" w:rsidRPr="007F327D" w:rsidRDefault="009C2187" w:rsidP="009C2187">
      <w:pPr>
        <w:pStyle w:val="Paragraph"/>
      </w:pPr>
      <w:r w:rsidRPr="007F327D">
        <w:t xml:space="preserve">This record of physiological stress is consistent with expectations for a community living a relatively sedentary way of life in a setting characterised by high population size and density (Cohen, </w:t>
      </w:r>
      <w:proofErr w:type="spellStart"/>
      <w:r w:rsidRPr="007F327D">
        <w:t>Armelagos</w:t>
      </w:r>
      <w:proofErr w:type="spellEnd"/>
      <w:r w:rsidRPr="007F327D">
        <w:t xml:space="preserve"> 1984; Goodman et al. 1988; </w:t>
      </w:r>
      <w:proofErr w:type="spellStart"/>
      <w:r w:rsidRPr="007F327D">
        <w:t>Armelagos</w:t>
      </w:r>
      <w:proofErr w:type="spellEnd"/>
      <w:r w:rsidRPr="007F327D">
        <w:t xml:space="preserve">, Goodman 1991; Larsen 2015). Such living conditions are often associated with dependence on domesticated plants and animals and tend to expose community members to insults to well-being relating to diet, sanitation, pathogen exposure, and other factors that promote stress in general (Larsen 1995; </w:t>
      </w:r>
      <w:proofErr w:type="spellStart"/>
      <w:r w:rsidRPr="007F327D">
        <w:t>Armelagos</w:t>
      </w:r>
      <w:proofErr w:type="spellEnd"/>
      <w:r w:rsidRPr="007F327D">
        <w:t xml:space="preserve"> et al. 2005; Bouquet-Appel 2008). Research employing more fine-grained enamel microstructure analyses of LEH defect timing and duration is on-going and should lead to additional insights into the distribution of risk of experiencing physiological stress episodes during childhood within the Neolithic population at </w:t>
      </w:r>
      <w:proofErr w:type="spellStart"/>
      <w:r w:rsidRPr="007F327D">
        <w:t>Çatalhöyük</w:t>
      </w:r>
      <w:proofErr w:type="spellEnd"/>
      <w:r w:rsidRPr="007F327D">
        <w:t xml:space="preserve">. While these developmental assessments of well-being from disrupted growth provide insight into the life experiences in the very youngest members of the </w:t>
      </w:r>
      <w:proofErr w:type="spellStart"/>
      <w:r w:rsidRPr="007F327D">
        <w:t>Çatalhöyük</w:t>
      </w:r>
      <w:proofErr w:type="spellEnd"/>
      <w:r w:rsidRPr="007F327D">
        <w:t xml:space="preserve"> community palaeopathological analyses of oral health from the study of adult dentition lend insights into the exposure to pathogens in later life based on dietary constituents. </w:t>
      </w:r>
    </w:p>
    <w:p w14:paraId="640410B3" w14:textId="77777777" w:rsidR="009C2187" w:rsidRPr="007F327D" w:rsidRDefault="009C2187" w:rsidP="009C2187">
      <w:pPr>
        <w:pStyle w:val="Heading2"/>
      </w:pPr>
      <w:r w:rsidRPr="007F327D">
        <w:t xml:space="preserve">Oral health: dental caries at Neolithic </w:t>
      </w:r>
      <w:proofErr w:type="spellStart"/>
      <w:r w:rsidRPr="007F327D">
        <w:t>Çatalhöyük</w:t>
      </w:r>
      <w:proofErr w:type="spellEnd"/>
      <w:r w:rsidRPr="007F327D">
        <w:t xml:space="preserve"> </w:t>
      </w:r>
    </w:p>
    <w:p w14:paraId="0B019393" w14:textId="77777777" w:rsidR="009C2187" w:rsidRPr="007F327D" w:rsidRDefault="009C2187" w:rsidP="009C2187">
      <w:pPr>
        <w:pStyle w:val="Paragraph"/>
      </w:pPr>
      <w:r w:rsidRPr="007F327D">
        <w:t>Tooth decay or caries, an oral infectious disease, involves focal demineralisation of the dental hard tissues- enamel, dentine and cementum- by acids produced by bacterial fermentation of dietary carbohydrates, sugars and starches (</w:t>
      </w:r>
      <w:proofErr w:type="spellStart"/>
      <w:r w:rsidRPr="007F327D">
        <w:t>Aas</w:t>
      </w:r>
      <w:proofErr w:type="spellEnd"/>
      <w:r w:rsidRPr="007F327D">
        <w:t xml:space="preserve"> et al. 2008; Larsen 2018). The demineralisation of dental tissues ranges from small opacities in the enamel to cavities that expose the underlying dentine and pulp that may eventually destroy the crown and the root of the tooth. This infectious disease is commonly associated with low pH (acidic) saliva, poor oral hygiene, genetic and hormonal factors, crown morphology, extent of wear, and age-related increase in prevalence (cf. Rowe 1982; Powell, 1985; Hara, Zero 2010). There is a close relationship</w:t>
      </w:r>
      <w:r w:rsidRPr="007F327D" w:rsidDel="00EF1EC3">
        <w:t xml:space="preserve"> </w:t>
      </w:r>
      <w:r w:rsidRPr="007F327D">
        <w:t>between the prevalence of carious lesions and the types of food consumed, their carbohydrate content, and food-preparation techniques. Analyses of caries can therefore provide insights into environmental stressors and the diet of past populations that shed light on diachronic, sex, and age-related patterns in lifestyle.</w:t>
      </w:r>
    </w:p>
    <w:p w14:paraId="56871B22" w14:textId="77777777" w:rsidR="009C2187" w:rsidRPr="007F327D" w:rsidRDefault="009C2187" w:rsidP="009C2187">
      <w:pPr>
        <w:pStyle w:val="Paragraph"/>
        <w:rPr>
          <w:color w:val="000000"/>
          <w:shd w:val="clear" w:color="auto" w:fill="FFFFFF"/>
        </w:rPr>
      </w:pPr>
      <w:r w:rsidRPr="007F327D">
        <w:t>This study analysed prevalence of carious lesions in the permanent dentition of a large sample of individuals (N=137), taking into account sex, age-at-death, and occupational period (tables 16.10 and 16.11).</w:t>
      </w:r>
      <w:r w:rsidRPr="007F327D">
        <w:rPr>
          <w:color w:val="000000"/>
          <w:shd w:val="clear" w:color="auto" w:fill="FFFFFF"/>
        </w:rPr>
        <w:t xml:space="preserve"> Given that demographic pressure/crowded conditions are considered to correlate with decreased health and well-being, an increase in </w:t>
      </w:r>
      <w:proofErr w:type="spellStart"/>
      <w:r w:rsidRPr="007F327D">
        <w:rPr>
          <w:color w:val="000000"/>
          <w:shd w:val="clear" w:color="auto" w:fill="FFFFFF"/>
        </w:rPr>
        <w:t>dento</w:t>
      </w:r>
      <w:proofErr w:type="spellEnd"/>
      <w:r w:rsidRPr="007F327D">
        <w:rPr>
          <w:color w:val="000000"/>
          <w:shd w:val="clear" w:color="auto" w:fill="FFFFFF"/>
        </w:rPr>
        <w:t xml:space="preserve">-alveolar pathologies and sex-related differences during the period of greatest site complexity and population density is expected during the Middle occupation period (6610-6250 </w:t>
      </w:r>
      <w:proofErr w:type="spellStart"/>
      <w:r w:rsidRPr="007F327D">
        <w:rPr>
          <w:color w:val="000000"/>
          <w:shd w:val="clear" w:color="auto" w:fill="FFFFFF"/>
        </w:rPr>
        <w:t>cal</w:t>
      </w:r>
      <w:proofErr w:type="spellEnd"/>
      <w:r w:rsidRPr="007F327D">
        <w:rPr>
          <w:color w:val="000000"/>
          <w:shd w:val="clear" w:color="auto" w:fill="FFFFFF"/>
        </w:rPr>
        <w:t xml:space="preserve"> BC) (cf. </w:t>
      </w:r>
      <w:proofErr w:type="spellStart"/>
      <w:r w:rsidRPr="007F327D">
        <w:rPr>
          <w:color w:val="000000"/>
          <w:shd w:val="clear" w:color="auto" w:fill="FFFFFF"/>
        </w:rPr>
        <w:t>Cessford</w:t>
      </w:r>
      <w:proofErr w:type="spellEnd"/>
      <w:r w:rsidRPr="007F327D">
        <w:rPr>
          <w:color w:val="000000"/>
          <w:shd w:val="clear" w:color="auto" w:fill="FFFFFF"/>
        </w:rPr>
        <w:t xml:space="preserve"> 2005) (Larsen et al. 2015; </w:t>
      </w:r>
      <w:proofErr w:type="spellStart"/>
      <w:r w:rsidRPr="007F327D">
        <w:rPr>
          <w:color w:val="000000"/>
          <w:shd w:val="clear" w:color="auto" w:fill="FFFFFF"/>
        </w:rPr>
        <w:t>Milella</w:t>
      </w:r>
      <w:proofErr w:type="spellEnd"/>
      <w:r w:rsidRPr="007F327D">
        <w:rPr>
          <w:color w:val="000000"/>
          <w:shd w:val="clear" w:color="auto" w:fill="FFFFFF"/>
        </w:rPr>
        <w:t xml:space="preserve"> et al. 2018).</w:t>
      </w:r>
    </w:p>
    <w:p w14:paraId="1828D20D" w14:textId="77777777" w:rsidR="009C2187" w:rsidRPr="007F327D" w:rsidRDefault="009C2187" w:rsidP="009C2187">
      <w:pPr>
        <w:pStyle w:val="Caption"/>
      </w:pPr>
      <w:r w:rsidRPr="007F327D">
        <w:rPr>
          <w:rFonts w:eastAsiaTheme="minorEastAsia"/>
          <w:b/>
        </w:rPr>
        <w:t>Table 16.10</w:t>
      </w:r>
      <w:r w:rsidRPr="007F327D">
        <w:t>.</w:t>
      </w:r>
      <w:r w:rsidRPr="007F327D">
        <w:rPr>
          <w:rFonts w:eastAsiaTheme="minorEastAsia"/>
        </w:rPr>
        <w:t xml:space="preserve"> </w:t>
      </w:r>
      <w:r w:rsidRPr="007F327D">
        <w:rPr>
          <w:lang w:eastAsia="fr-FR"/>
        </w:rPr>
        <w:t>Frequencies of lesion types (from 1 to 5), between the sexes and period (by tooth); N = total teeth affected by caries; n = carious lesions divided by tooth category.</w:t>
      </w:r>
    </w:p>
    <w:p w14:paraId="710F095F" w14:textId="77777777" w:rsidR="009C2187" w:rsidRPr="007F327D" w:rsidRDefault="009C2187" w:rsidP="009C2187">
      <w:pPr>
        <w:pStyle w:val="Caption"/>
      </w:pPr>
      <w:r w:rsidRPr="007F327D">
        <w:rPr>
          <w:b/>
        </w:rPr>
        <w:t>Table 16.11.</w:t>
      </w:r>
      <w:r w:rsidRPr="007F327D">
        <w:t xml:space="preserve"> </w:t>
      </w:r>
      <w:r w:rsidRPr="007F327D">
        <w:rPr>
          <w:lang w:eastAsia="fr-FR"/>
        </w:rPr>
        <w:t>Frequencies of presence/absence of caries by individual and by tooth in both sexes and in individuals of indeterminate sex. The sample is divided by age groups and period; n = individual/tooth with caries; N = individual/tooth analysed.</w:t>
      </w:r>
      <w:r w:rsidRPr="007F327D">
        <w:t xml:space="preserve"> </w:t>
      </w:r>
      <w:r w:rsidRPr="007F327D">
        <w:rPr>
          <w:lang w:eastAsia="fr-FR"/>
        </w:rPr>
        <w:t>Significant p values are highlighted in bold.</w:t>
      </w:r>
    </w:p>
    <w:p w14:paraId="68E77ABE" w14:textId="77777777" w:rsidR="009C2187" w:rsidRPr="007F327D" w:rsidRDefault="009C2187" w:rsidP="009C2187">
      <w:pPr>
        <w:pStyle w:val="Paragraph"/>
      </w:pPr>
      <w:r w:rsidRPr="007F327D">
        <w:t xml:space="preserve">Crown and root carious lesions were assessed macroscopically following Hillson (2001). For the purposes of this study, five scores were used to describe the nature of the lesions: 1) lesions penetrating only the enamel of the crown; 2) lesions penetrating the enamel and the dentine; 3) lesions reaching the pulp chamber; 4) lesions on the root surface; and 5) gross caries comprised of large cavities, in which it is impossible to determine the site of origin, and multiple lesions on the same tooth. </w:t>
      </w:r>
      <w:r w:rsidRPr="007F327D">
        <w:lastRenderedPageBreak/>
        <w:t>Observations were scored both by individual and affected tooth. Scores for upper and lower teeth and left and right sides were combined.</w:t>
      </w:r>
    </w:p>
    <w:p w14:paraId="135CC755" w14:textId="77777777" w:rsidR="009C2187" w:rsidRPr="007F327D" w:rsidRDefault="009C2187" w:rsidP="009C2187">
      <w:pPr>
        <w:pStyle w:val="Paragraph"/>
      </w:pPr>
      <w:r w:rsidRPr="007F327D">
        <w:t xml:space="preserve">Table 16.11 compares the presence/absence frequencies of caries in individuals and by tooth in males, females and those of indeterminate sex by age group and period. Overall, some 50.0% of individuals have at least one tooth affected by caries, for a total of almost 8.0% of teeth with lesions. It is apparent that the disease is strongly age-related, with a significant increase in the older age category (p-value: &lt;0.001). When considering subsamples by sex and pooling age categories, there is no statistically significant difference between males and females in the individual prevalence of caries (F = 65.5%, M = 75.0%; p-value: 0.20) or by tooth (F = 11.8%, M = 10.2%; p-value: 0.20). Conversely, within some age groups, a difference between sexes can be observed. In particular, mature adult males have a slightly higher frequency of caries per individual when compared to females in the same age category (F = 74.2%, M = 93.1%; p-value: 0.05). The reverse of this pattern is observed in the ‘older adult’ age category, where females have more affected teeth in comparison with those of males of the same age-at-death (F = 24.9%, M = 16.6%, p-value: 0.009). However, this result may be biased by errors in the age-at-death estimation for individuals who have reached skeletal maturity. Table 16.12 also reports the results by period: no consistent differences between periods could be observed for individuals or for teeth. Only during the Middle period is there a slightly higher frequency of caries per tooth in females compared to males (F = 12.9, M = 10.1; p-value: 0.05). </w:t>
      </w:r>
    </w:p>
    <w:p w14:paraId="6957C877" w14:textId="77777777" w:rsidR="009C2187" w:rsidRPr="007F327D" w:rsidRDefault="009C2187" w:rsidP="009C2187">
      <w:pPr>
        <w:pStyle w:val="Paragraph"/>
      </w:pPr>
      <w:r w:rsidRPr="007F327D">
        <w:t>Table 16.10 shows the frequencies by lesion type (from 1 to 5) in incisors, canines, premolars and molars between the sexes and by period (see also figs 16.10a and 16.10b). In all occupation periods and in both sexes, molars are the most often affected teeth, followed by premolars. In females, there is less difference between premolars and molars for the root surface (4) and gross lesions (5) in comparison with males. Table 16.12 reports the differences in lesion types between males and females by individual and affected tooth by occupation period. In none of these categories are there consistent differences, and there is a no clear trend in lesion types.</w:t>
      </w:r>
    </w:p>
    <w:p w14:paraId="67B26D19" w14:textId="77777777" w:rsidR="009C2187" w:rsidRPr="007F327D" w:rsidRDefault="009C2187" w:rsidP="009C2187">
      <w:pPr>
        <w:pStyle w:val="Caption"/>
      </w:pPr>
      <w:r w:rsidRPr="007F327D">
        <w:rPr>
          <w:b/>
        </w:rPr>
        <w:t>Figure 16.10.</w:t>
      </w:r>
      <w:r w:rsidRPr="007F327D">
        <w:t xml:space="preserve"> Frequencies of the severity of carious lesions scored from 1 to 5 in incisors (I), canines (C), premolars (P) and molars (M) between the sexes [(a): females, (b): males] over the course of site occupation. Upper and lower teeth and left and right sides are combined.</w:t>
      </w:r>
    </w:p>
    <w:p w14:paraId="43103930" w14:textId="77777777" w:rsidR="009C2187" w:rsidRPr="007F327D" w:rsidRDefault="009C2187" w:rsidP="009C2187">
      <w:pPr>
        <w:pStyle w:val="Caption"/>
      </w:pPr>
      <w:r w:rsidRPr="007F327D">
        <w:rPr>
          <w:rFonts w:eastAsiaTheme="minorEastAsia"/>
          <w:b/>
        </w:rPr>
        <w:t>Table 16.12</w:t>
      </w:r>
      <w:r w:rsidRPr="007F327D">
        <w:rPr>
          <w:rFonts w:eastAsiaTheme="minorEastAsia"/>
        </w:rPr>
        <w:t xml:space="preserve">. </w:t>
      </w:r>
      <w:r w:rsidRPr="007F327D">
        <w:rPr>
          <w:lang w:eastAsia="fr-FR"/>
        </w:rPr>
        <w:t>Differences in lesion types between sexes and by period. All analyses are by individuals and affected teeth; n = individual/tooth with root caries (4) and gross caries/multiple caries (5); N = total individual/tooth with caries; significant p values are highlighted in bold.</w:t>
      </w:r>
    </w:p>
    <w:p w14:paraId="606ECFDC" w14:textId="77777777" w:rsidR="009C2187" w:rsidRPr="007F327D" w:rsidRDefault="009C2187" w:rsidP="009C2187">
      <w:pPr>
        <w:pStyle w:val="Paragraph"/>
      </w:pPr>
      <w:r w:rsidRPr="009C2187">
        <w:t xml:space="preserve">The results of this study show that the prevalence of carious lesions by individual and by tooth significantly increases with age at death. This is expected due to the fact that caries is a degenerative infectious disease and increments in their number reflect the greater exposure time to cariogenic factors between adults and younger individuals. In the pooled Neolithic sample, the pattern of caries frequencies appears similar between the sexes, which may suggest a similar diet in adult men and women. However, it is interesting to note that females have a greater prevalence of dental caries than males in the Middle period, which is the period of peak site complexity and presumably greater demographic pressure and population crowding. This result could hint at subtle sex-based differences in diet, health and well-being and, in general, access to resources, which are not expressed in other biological and cultural indicators of social differentiation, such as that based on stable isotope analysis (Pearson 2013; Pearson, </w:t>
      </w:r>
      <w:proofErr w:type="spellStart"/>
      <w:r w:rsidRPr="009C2187">
        <w:t>Meskell</w:t>
      </w:r>
      <w:proofErr w:type="spellEnd"/>
      <w:r w:rsidRPr="009C2187">
        <w:t xml:space="preserve"> 2014; Larsen et al. 2015). This result highlights the usefulness of different analytical approaches and types of data when discussing the complex and subtly nuanced biological correlates of social distinction in past populations.</w:t>
      </w:r>
    </w:p>
    <w:p w14:paraId="16291A91" w14:textId="5C0E4B6D" w:rsidR="009C2187" w:rsidRPr="007F327D" w:rsidRDefault="009C2187" w:rsidP="009C2187">
      <w:pPr>
        <w:pStyle w:val="Heading1"/>
      </w:pPr>
      <w:r w:rsidRPr="007F327D">
        <w:t>Stable isotope analysis</w:t>
      </w:r>
    </w:p>
    <w:p w14:paraId="41ECF8E1" w14:textId="77777777" w:rsidR="009C2187" w:rsidRPr="007F327D" w:rsidRDefault="009C2187" w:rsidP="009C2187">
      <w:pPr>
        <w:pStyle w:val="Heading2"/>
      </w:pPr>
      <w:r w:rsidRPr="007F327D">
        <w:t>Summary of previous stable isotope work</w:t>
      </w:r>
    </w:p>
    <w:p w14:paraId="3B149F2A" w14:textId="77777777" w:rsidR="009C2187" w:rsidRPr="007F327D" w:rsidRDefault="009C2187" w:rsidP="009C2187">
      <w:pPr>
        <w:pStyle w:val="Paragraph"/>
      </w:pPr>
      <w:r w:rsidRPr="007F327D">
        <w:t xml:space="preserve">Previous work on human diet of those interred at </w:t>
      </w:r>
      <w:proofErr w:type="spellStart"/>
      <w:r w:rsidRPr="007F327D">
        <w:t>Çatalhöyük</w:t>
      </w:r>
      <w:proofErr w:type="spellEnd"/>
      <w:r w:rsidRPr="007F327D">
        <w:t xml:space="preserve"> has shown that it was based on C</w:t>
      </w:r>
      <w:r w:rsidRPr="007F327D">
        <w:rPr>
          <w:vertAlign w:val="subscript"/>
        </w:rPr>
        <w:t>3</w:t>
      </w:r>
      <w:r w:rsidRPr="007F327D">
        <w:t xml:space="preserve"> plants, despite C</w:t>
      </w:r>
      <w:r w:rsidRPr="007F327D">
        <w:rPr>
          <w:vertAlign w:val="subscript"/>
        </w:rPr>
        <w:t>4</w:t>
      </w:r>
      <w:r w:rsidRPr="007F327D">
        <w:t xml:space="preserve"> plants being present in the diet of both wild and domestic animals. Social differences in diet were limited, with men and women having diets that were identical isotopically (Pearson 2013). Later work subsequently showed that age-at-death was more important for determining </w:t>
      </w:r>
      <w:r w:rsidRPr="007F327D">
        <w:lastRenderedPageBreak/>
        <w:t xml:space="preserve">not just diet (Pearson, </w:t>
      </w:r>
      <w:proofErr w:type="spellStart"/>
      <w:r w:rsidRPr="007F327D">
        <w:t>Meskell</w:t>
      </w:r>
      <w:proofErr w:type="spellEnd"/>
      <w:r w:rsidRPr="007F327D">
        <w:t xml:space="preserve"> 2013; Pearson et al. 2015b), but was used in the representation of the figurine corpus and related to numbers of grave goods as well (Nakamura, </w:t>
      </w:r>
      <w:proofErr w:type="spellStart"/>
      <w:r w:rsidRPr="007F327D">
        <w:t>Meskell</w:t>
      </w:r>
      <w:proofErr w:type="spellEnd"/>
      <w:r w:rsidRPr="007F327D">
        <w:t xml:space="preserve"> 2009, 2013a, b). Attempts were made to use these isotope data to understand the nature of the use of houses, whether or not they served as kinship units insofar as diets being similar among those interred within them. However, where middens could be associated with confidence to a particular house, the faunal remains there showed little relationship with the values of the individuals buried in the associated house, perhaps suggesting a missing dietary element, such as aquatic species. Additional data are now available from these resources to determine how important they may have been. </w:t>
      </w:r>
    </w:p>
    <w:p w14:paraId="212AD66A" w14:textId="77777777" w:rsidR="009C2187" w:rsidRPr="007F327D" w:rsidRDefault="009C2187" w:rsidP="009C2187">
      <w:pPr>
        <w:pStyle w:val="Paragraph"/>
      </w:pPr>
      <w:r w:rsidRPr="007F327D">
        <w:t>Within the houses themselves, individuals frequently had different diets to one another, with at least some of the differences likely being the result of age-related food sharing. In order to provide a clearer picture of the variation between individuals buried within different houses, the complete dataset of stable carbon and nitrogen isotope values from human bone collagen is discussed below, and has been augmented with strontium isotope analysis to establish whether some variation in diet might be the result of outsiders arriving at the site as adults.</w:t>
      </w:r>
    </w:p>
    <w:p w14:paraId="03707747" w14:textId="77777777" w:rsidR="009C2187" w:rsidRPr="007F327D" w:rsidRDefault="009C2187" w:rsidP="009C2187">
      <w:pPr>
        <w:pStyle w:val="Heading2"/>
      </w:pPr>
      <w:r w:rsidRPr="007F327D">
        <w:t>Current work</w:t>
      </w:r>
    </w:p>
    <w:p w14:paraId="0C9C9F4F" w14:textId="77777777" w:rsidR="009C2187" w:rsidRPr="007F327D" w:rsidRDefault="009C2187" w:rsidP="009C2187">
      <w:pPr>
        <w:pStyle w:val="Paragraph"/>
      </w:pPr>
      <w:r w:rsidRPr="007F327D">
        <w:t>The complete dataset of humans and animals is discussed in full by Pearson (Chapter 11), and adds a further 494 animal remains providing an overall total of 987 faunal specimen measurements used to reconstruct the human diet discussed here. A further 155 humans are also discussed below, including another 75 individuals to corroborate previous evidence of weaning practices, employing a larger dataset. The new faunal dataset has shown that the faunal remains at the site are incredibly variable isotopically. This is partly the result of fluctuating C</w:t>
      </w:r>
      <w:r w:rsidRPr="007F327D">
        <w:rPr>
          <w:vertAlign w:val="subscript"/>
        </w:rPr>
        <w:t>4</w:t>
      </w:r>
      <w:r w:rsidRPr="007F327D">
        <w:t xml:space="preserve"> plant contribution to the diet of both domesticates (cattle, sheep and goat) and wild species (</w:t>
      </w:r>
      <w:proofErr w:type="spellStart"/>
      <w:r w:rsidRPr="007F327D">
        <w:t>aurochsen</w:t>
      </w:r>
      <w:proofErr w:type="spellEnd"/>
      <w:r w:rsidRPr="007F327D">
        <w:t>, equids and birds), most notably in the earlier and later periods, with a hiatus in the Middle period. This suggests either some environmental fluctuation had occurred, or that the inhabitants varied their use of the landscape for hunting and herding activities. The question of what individual inhabitants ate, especially the nature of the importance of cattle/aurochs meat, has been a central question considering the symbolic importance of these animals in the elaboration of houses. The now substantial datasets of carbon and nitrogen isotopic data for the most important meat-bearing animals indicate that these species are virtually indistinguishable from one another, preventing any assessment of how important cattle/aurochs meat was to the community. Analysis of the human remains show population mean values of δ</w:t>
      </w:r>
      <w:r w:rsidRPr="007F327D">
        <w:rPr>
          <w:vertAlign w:val="superscript"/>
        </w:rPr>
        <w:t>13</w:t>
      </w:r>
      <w:r w:rsidRPr="007F327D">
        <w:t>C -18.8‰ and δ</w:t>
      </w:r>
      <w:r w:rsidRPr="007F327D">
        <w:rPr>
          <w:vertAlign w:val="superscript"/>
        </w:rPr>
        <w:t>15</w:t>
      </w:r>
      <w:r w:rsidRPr="007F327D">
        <w:t>N 12.3‰. Using the trophic level shifts of 4‰ for nitrogen isotope values and 1‰ for carbon isotope values (see Chapter 11), the mean diet would be around δ</w:t>
      </w:r>
      <w:r w:rsidRPr="007F327D">
        <w:rPr>
          <w:vertAlign w:val="superscript"/>
        </w:rPr>
        <w:t>13</w:t>
      </w:r>
      <w:r w:rsidRPr="007F327D">
        <w:t>C -19.8‰ and δ</w:t>
      </w:r>
      <w:r w:rsidRPr="007F327D">
        <w:rPr>
          <w:vertAlign w:val="superscript"/>
        </w:rPr>
        <w:t>15</w:t>
      </w:r>
      <w:r w:rsidRPr="007F327D">
        <w:t xml:space="preserve">N 8.3‰. Since both sheep and cattle have higher carbon and nitrogen isotope values, this indicates that foods with lower values, such as plants, would have made up a significant part of the diet. Fish are currently ruled out as having made a major contribution as the data from two measurements (an amalgamation of multiple- in the 100s- of specimens which were combined to obtain enough collagen) indicate that this food group was substantially lower (by 3‰ in carbon) than would be expected if this resource had been consumed, but aquatic and terrestrial birds such as ducks, geese and bustards likely made a small contribution. </w:t>
      </w:r>
    </w:p>
    <w:p w14:paraId="6F985C3C" w14:textId="77777777" w:rsidR="009C2187" w:rsidRPr="007F327D" w:rsidRDefault="009C2187" w:rsidP="009C2187">
      <w:pPr>
        <w:pStyle w:val="Paragraph"/>
      </w:pPr>
      <w:r w:rsidRPr="007F327D">
        <w:t xml:space="preserve">Comparing the new isotope data across age and sex categories indicates more specific use of food to reinforce age-related social structure than previously reported in Pearson and </w:t>
      </w:r>
      <w:proofErr w:type="spellStart"/>
      <w:r w:rsidRPr="007F327D">
        <w:t>Meskell</w:t>
      </w:r>
      <w:proofErr w:type="spellEnd"/>
      <w:r w:rsidRPr="007F327D">
        <w:t xml:space="preserve"> (2013) and Pearson et al. (2015b). Young and older women had different diets, as did young women compared to older men (p=0.004), which suggests age as the main driver, with some evidence that sex-based differentiation played a linked but more minor role. The key dietary difference was the species rather than volume of meat consumed. The nitrogen isotope values for young women and older men were similar, but the carbon isotope values were significantly lower for women (-19.3‰ in women versus -18.6‰ in men) suggesting they consumed a greater proportion of isotopically lower foods such as equids, </w:t>
      </w:r>
      <w:proofErr w:type="spellStart"/>
      <w:r w:rsidRPr="007F327D">
        <w:t>suids</w:t>
      </w:r>
      <w:proofErr w:type="spellEnd"/>
      <w:r w:rsidRPr="007F327D">
        <w:t xml:space="preserve">, birds, in addition to plant foods with relatively higher nitrogen isotope values, whereas the older men consumed foods most similar to the rest of the population since their overall values resemble the site mean. Secondary burial was also considered from measurement of 29 isolated crania, some with articulating mandibles, the mean values differed from the overall population values by 0.1‰ for carbon and 0.4‰ in nitrogen, suggesting the diets of individuals afforded this practice had similar diets to those that were not. </w:t>
      </w:r>
    </w:p>
    <w:p w14:paraId="43174F06" w14:textId="77777777" w:rsidR="009C2187" w:rsidRPr="007F327D" w:rsidRDefault="009C2187" w:rsidP="009C2187">
      <w:pPr>
        <w:pStyle w:val="Heading3"/>
      </w:pPr>
      <w:r w:rsidRPr="007F327D">
        <w:lastRenderedPageBreak/>
        <w:t>Variation in human diet according to occupational phase and buildings</w:t>
      </w:r>
    </w:p>
    <w:p w14:paraId="703F824D" w14:textId="77777777" w:rsidR="009C2187" w:rsidRPr="007F327D" w:rsidRDefault="009C2187" w:rsidP="009C2187">
      <w:pPr>
        <w:pStyle w:val="Paragraph"/>
        <w:rPr>
          <w:color w:val="000000"/>
        </w:rPr>
      </w:pPr>
      <w:r w:rsidRPr="007F327D">
        <w:t>There is some variation in human diet over time that can be attributed to either small-scale environmental change, or to changes in how the landscape was used for food acquisition. There is a switch in diet in terms of the relative proportions of C</w:t>
      </w:r>
      <w:r w:rsidRPr="007F327D">
        <w:rPr>
          <w:vertAlign w:val="subscript"/>
        </w:rPr>
        <w:t>4</w:t>
      </w:r>
      <w:r w:rsidRPr="007F327D">
        <w:t xml:space="preserve"> plants in the diets of animals in the earlier and later periods, compared to the Middle period, which is accompanied by a downwards shift in nitrogen isotope values. This downwards shift is also apparent in the human nitrogen isotope values, and is likely an environmental response, rather than a change in diet, or the reflection in human tissues of animal responses to environmental change (since the change is also observed in wild animals such as boar). </w:t>
      </w:r>
      <w:r w:rsidRPr="007F327D">
        <w:rPr>
          <w:color w:val="000000"/>
        </w:rPr>
        <w:t>When the adult male versus female carbon and nitrogen isotope data are plotted over time, the carbon isotope values show a possible hiatus in values during the Middle and Late periods (fig. 16.11), the Final period is difficult to interpret as only one male and one female represent this period. The nitrogen isotope values (fig. 16.12) show generally increasing nitrogen isotope values over time, with a small hiatus in the Middle period in males. These data are difficult to interpret as they may relate to a number of scenarios: increasing amounts of meat in the diet over time, increasing dependence on manured as opposed to wild plants, increasing aridity in the local environment, increasing aridity in grazing areas used by herders for sheep and cattle or generally increasing stress. Again, the Final period should be viewed with caution with only one male and one female represented.</w:t>
      </w:r>
    </w:p>
    <w:p w14:paraId="4F76BE1B" w14:textId="77777777" w:rsidR="009C2187" w:rsidRPr="007F327D" w:rsidRDefault="009C2187" w:rsidP="009C2187">
      <w:pPr>
        <w:pStyle w:val="Caption"/>
      </w:pPr>
      <w:r w:rsidRPr="007F327D">
        <w:rPr>
          <w:b/>
        </w:rPr>
        <w:t xml:space="preserve">Figure 16.11. </w:t>
      </w:r>
      <w:r w:rsidRPr="007F327D">
        <w:t xml:space="preserve">Carbon isotope values for males versus females plotted across the broad occupational periods (open diamonds: females; filled squares: males). </w:t>
      </w:r>
    </w:p>
    <w:p w14:paraId="1967EEA6" w14:textId="77777777" w:rsidR="009C2187" w:rsidRPr="007F327D" w:rsidRDefault="009C2187" w:rsidP="009C2187">
      <w:pPr>
        <w:pStyle w:val="Caption"/>
        <w:rPr>
          <w:b/>
        </w:rPr>
      </w:pPr>
      <w:r w:rsidRPr="007F327D">
        <w:rPr>
          <w:b/>
        </w:rPr>
        <w:t xml:space="preserve">Figure 16.12. </w:t>
      </w:r>
      <w:r w:rsidRPr="007F327D">
        <w:t>Nitrogen isotope values for males versus females</w:t>
      </w:r>
      <w:r w:rsidRPr="007F327D">
        <w:rPr>
          <w:b/>
        </w:rPr>
        <w:t xml:space="preserve"> </w:t>
      </w:r>
      <w:r w:rsidRPr="007F327D">
        <w:t>plotted across the broad occupational periods open diamonds: females; filled squares: males).</w:t>
      </w:r>
      <w:r w:rsidRPr="007F327D">
        <w:rPr>
          <w:b/>
        </w:rPr>
        <w:t xml:space="preserve"> </w:t>
      </w:r>
    </w:p>
    <w:p w14:paraId="433B0BCE" w14:textId="77777777" w:rsidR="009C2187" w:rsidRPr="007F327D" w:rsidRDefault="009C2187" w:rsidP="009C2187">
      <w:pPr>
        <w:pStyle w:val="Paragraph"/>
      </w:pPr>
      <w:r w:rsidRPr="007F327D">
        <w:t xml:space="preserve">In terms of building-specific diets some buildings show evidence that food was shared, but more often it seems the diets were different. However, the overall question was if stable isotope values were more similar within houses than between houses. If so, this would suggest evidence of house-based diets. PERMANOVA and PERMDISP tests were used to examine this issue (see Chapter 11 for more details). When comparing houses with at least four adults of mixed ages buried beneath them PERMANOVA, which examines the permutation of values within a house, was significant (p=0.001) but PERMDISP, a measure of dispersal, was not. When the effects of chronological change and the relative contribution of C4 plants are also taken into consideration, only the Middle (p=0.033) and Late (p=0.013) periods reach significance suggesting that house-based diets became more predominant through time. </w:t>
      </w:r>
    </w:p>
    <w:p w14:paraId="4B40ABD6" w14:textId="77777777" w:rsidR="009C2187" w:rsidRPr="007F327D" w:rsidRDefault="009C2187" w:rsidP="009C2187">
      <w:pPr>
        <w:pStyle w:val="Heading3"/>
      </w:pPr>
      <w:r w:rsidRPr="007F327D">
        <w:t xml:space="preserve">Weaning </w:t>
      </w:r>
    </w:p>
    <w:p w14:paraId="0B0D0DF5" w14:textId="77777777" w:rsidR="009C2187" w:rsidRPr="007F327D" w:rsidRDefault="009C2187" w:rsidP="009C2187">
      <w:pPr>
        <w:pStyle w:val="Paragraph"/>
      </w:pPr>
      <w:r w:rsidRPr="007F327D">
        <w:rPr>
          <w:rStyle w:val="Heading2Char"/>
          <w:rFonts w:asciiTheme="minorHAnsi" w:hAnsiTheme="minorHAnsi"/>
          <w:bCs w:val="0"/>
          <w:spacing w:val="0"/>
          <w:sz w:val="22"/>
          <w:szCs w:val="20"/>
        </w:rPr>
        <w:t>Previous interpretations of weaning strategies stated that the first onset of weaning began</w:t>
      </w:r>
      <w:r w:rsidRPr="007F327D">
        <w:t xml:space="preserve"> around 18 months of age, and was complete by 3 years, giving an overall weaning duration of 18 months based solely on nitrogen isotope data (Pearson 2013). Adding a further 75 individuals shows that this may have been an incorrect assessment, based on a small sample size. The new expanded dataset instead suggests weaning started before 12 months of age (indicated by both isotopes), and continued (as total breastfeeding) until three years of age. This is based, however, on a small-sample dataset at the crucial transitions between exclusive breastfeeding (where breast milk is the only substance consumed) and total breastfeeding (where both breast milk and weaning foods are consumed) (see Pearson 2018 for a review). </w:t>
      </w:r>
    </w:p>
    <w:p w14:paraId="0EDD21FC" w14:textId="77777777" w:rsidR="009C2187" w:rsidRPr="007F327D" w:rsidRDefault="009C2187" w:rsidP="009C2187">
      <w:pPr>
        <w:pStyle w:val="Heading3"/>
      </w:pPr>
      <w:r w:rsidRPr="007F327D">
        <w:t xml:space="preserve">Strontium isotope evidence of mobility </w:t>
      </w:r>
    </w:p>
    <w:p w14:paraId="546D79F1" w14:textId="77777777" w:rsidR="009C2187" w:rsidRPr="007F327D" w:rsidRDefault="009C2187" w:rsidP="009C2187">
      <w:pPr>
        <w:pStyle w:val="Paragraph"/>
      </w:pPr>
      <w:r w:rsidRPr="007F327D">
        <w:t xml:space="preserve">Understanding the origins of the population at </w:t>
      </w:r>
      <w:proofErr w:type="spellStart"/>
      <w:r w:rsidRPr="007F327D">
        <w:t>Çatalhöyük</w:t>
      </w:r>
      <w:proofErr w:type="spellEnd"/>
      <w:r w:rsidRPr="007F327D">
        <w:t xml:space="preserve"> and how many outsiders might have come to the site is based on the analysis of 80 adults. These were divided more or less equally into male/male? (n=23) and female/female? (n=33), with a further 24 of unknown sex, in order to address questions concerning whether the community practiced partner-exchange kinship according to patrilocal, matrilocal or some other social mechanism. Further details on the materials and methods, including the baseline data for determining local and outsider values, can be found in Chapter 11.</w:t>
      </w:r>
    </w:p>
    <w:p w14:paraId="06EBF1A3" w14:textId="77777777" w:rsidR="009C2187" w:rsidRPr="007F327D" w:rsidRDefault="009C2187" w:rsidP="009C2187">
      <w:pPr>
        <w:pStyle w:val="Paragraph"/>
      </w:pPr>
      <w:r w:rsidRPr="007F327D">
        <w:t xml:space="preserve">The </w:t>
      </w:r>
      <w:r w:rsidRPr="007F327D">
        <w:rPr>
          <w:vertAlign w:val="superscript"/>
        </w:rPr>
        <w:t>87</w:t>
      </w:r>
      <w:r w:rsidRPr="007F327D">
        <w:t>Sr/</w:t>
      </w:r>
      <w:r w:rsidRPr="007F327D">
        <w:rPr>
          <w:vertAlign w:val="superscript"/>
        </w:rPr>
        <w:t>86</w:t>
      </w:r>
      <w:r w:rsidRPr="007F327D">
        <w:t xml:space="preserve">Sr data reveal that most individuals buried at the site spent the majority of their childhood on the Konya Plain; only eight individuals spent any time at all away from the site at this time in their lives. One individual, skeleton (14753), an adult female from the Middle period, may have </w:t>
      </w:r>
      <w:r w:rsidRPr="007F327D">
        <w:lastRenderedPageBreak/>
        <w:t xml:space="preserve">spent her childhood on the limestone terraces, and seven individuals spent part of their childhood in a more geologically-radiogenic zone, towards the Taurus Mountains, or spent some time travelling between the Konya Plain and these more radiogenic zones, rather than originating from elsewhere. These individuals, both males and females covering the full range of adult ages, had no specific grave goods and were not buried in specific houses. All individuals were buried in primary or primary disturbed inhumations, except for one individual found in a secondary burial context, skeleton (20830), a probable adult female. One important observation is that these outsiders did not occur in one period or house, but strikingly only occurred once in each of the following buildings and spaces in both areas of the site: Buildings 12, 53, 65, 75, 92, 96 and Space 620 (see also Chapter 11: table 11.6). For the major occupation periods in which these activities occurred, in the North Area these burials took place in Levels North G and North H (Middle and Late periods), and similarly, in the South Area, they occurred from Levels South M-South Q, which broadly correlates with the whole of the Middle period of occupation and the beginning of the Late period of occupation. </w:t>
      </w:r>
    </w:p>
    <w:p w14:paraId="24A1C0F3" w14:textId="7011203A" w:rsidR="009C2187" w:rsidRPr="007F327D" w:rsidRDefault="009C2187" w:rsidP="009C2187">
      <w:pPr>
        <w:pStyle w:val="Heading1"/>
      </w:pPr>
      <w:r w:rsidRPr="007F327D">
        <w:t xml:space="preserve">Dental variation at </w:t>
      </w:r>
      <w:proofErr w:type="spellStart"/>
      <w:r w:rsidRPr="007F327D">
        <w:t>Çatalhöyü</w:t>
      </w:r>
      <w:r>
        <w:t>k</w:t>
      </w:r>
      <w:proofErr w:type="spellEnd"/>
    </w:p>
    <w:p w14:paraId="6C73EFBC" w14:textId="77777777" w:rsidR="009C2187" w:rsidRPr="007F327D" w:rsidRDefault="009C2187" w:rsidP="009C2187">
      <w:pPr>
        <w:pStyle w:val="Paragraph"/>
      </w:pPr>
      <w:r w:rsidRPr="007F327D">
        <w:t xml:space="preserve">Strontium isotope analyses form a powerful complement to dental morphological and dental metrical analyses that have the potential to inform hypotheses on mobility, social structure, residence patterns, and biological relationships between individuals and populations. These phenotypic data complement and augment </w:t>
      </w:r>
      <w:proofErr w:type="spellStart"/>
      <w:r w:rsidRPr="007F327D">
        <w:t>palaeogenomic</w:t>
      </w:r>
      <w:proofErr w:type="spellEnd"/>
      <w:r w:rsidRPr="007F327D">
        <w:t xml:space="preserve"> findings, such as from ancient DNA (</w:t>
      </w:r>
      <w:proofErr w:type="spellStart"/>
      <w:r w:rsidRPr="007F327D">
        <w:t>aDNA</w:t>
      </w:r>
      <w:proofErr w:type="spellEnd"/>
      <w:r w:rsidRPr="007F327D">
        <w:t>), which may be difficult to accurately capture and require the destruction of human remains that may not always be permissible (</w:t>
      </w:r>
      <w:proofErr w:type="spellStart"/>
      <w:r w:rsidRPr="007F327D">
        <w:t>Pilloud</w:t>
      </w:r>
      <w:proofErr w:type="spellEnd"/>
      <w:r w:rsidRPr="007F327D">
        <w:t xml:space="preserve"> et al. 2016b). Dental data, on the other hand, can be collected on a large sample rather quickly and do not require the destruction of human remains. In addition to preserving well, </w:t>
      </w:r>
      <w:r w:rsidRPr="007F327D">
        <w:rPr>
          <w:rFonts w:eastAsia="Times New Roman"/>
        </w:rPr>
        <w:t>extensive work documents the strong heritability of such traits</w:t>
      </w:r>
      <w:r w:rsidRPr="007F327D">
        <w:t xml:space="preserve"> (cf. Hughes et al. 2000; Townsend et al. 2009; Townsend et al. 2012; </w:t>
      </w:r>
      <w:proofErr w:type="spellStart"/>
      <w:r w:rsidRPr="007F327D">
        <w:t>Pilloud</w:t>
      </w:r>
      <w:proofErr w:type="spellEnd"/>
      <w:r w:rsidRPr="007F327D">
        <w:t xml:space="preserve"> et al. 2016). Moreover, there has been work relating dental variation to genetic variation in prehistoric and living populations (cf. </w:t>
      </w:r>
      <w:proofErr w:type="spellStart"/>
      <w:r w:rsidRPr="007F327D">
        <w:t>Sofaer</w:t>
      </w:r>
      <w:proofErr w:type="spellEnd"/>
      <w:r w:rsidRPr="007F327D">
        <w:t xml:space="preserve"> et al. 1972; Brewer-</w:t>
      </w:r>
      <w:proofErr w:type="spellStart"/>
      <w:r w:rsidRPr="007F327D">
        <w:t>Carias</w:t>
      </w:r>
      <w:proofErr w:type="spellEnd"/>
      <w:r w:rsidRPr="007F327D">
        <w:t xml:space="preserve"> et al. 1976; Hubbard et al. 2015) and at the individual level (Shinoda et al. 1998; Adachi et al. 2003; </w:t>
      </w:r>
      <w:proofErr w:type="spellStart"/>
      <w:r w:rsidRPr="007F327D">
        <w:t>Corruccini</w:t>
      </w:r>
      <w:proofErr w:type="spellEnd"/>
      <w:r w:rsidRPr="007F327D">
        <w:t xml:space="preserve"> et al. 2002; Shimada et al. 2004; </w:t>
      </w:r>
      <w:proofErr w:type="spellStart"/>
      <w:r w:rsidRPr="007F327D">
        <w:t>Stojanowski</w:t>
      </w:r>
      <w:proofErr w:type="spellEnd"/>
      <w:r w:rsidRPr="007F327D">
        <w:t>, Hubbard 2017).</w:t>
      </w:r>
    </w:p>
    <w:p w14:paraId="36C0E7BF" w14:textId="77777777" w:rsidR="009C2187" w:rsidRPr="007F327D" w:rsidRDefault="009C2187" w:rsidP="009C2187">
      <w:pPr>
        <w:pStyle w:val="Paragraph"/>
        <w:rPr>
          <w:rFonts w:eastAsia="Times New Roman"/>
        </w:rPr>
      </w:pPr>
      <w:r w:rsidRPr="007F327D">
        <w:t xml:space="preserve">Variation in the permanent dentition was explored to </w:t>
      </w:r>
      <w:r w:rsidRPr="007F327D">
        <w:rPr>
          <w:rFonts w:eastAsia="Times New Roman"/>
        </w:rPr>
        <w:t>address hypotheses surrounding social structure, post-marital residence practices, and mobility. Dental morphology was recorded following the Arizona State University dental anthropology system</w:t>
      </w:r>
      <w:r w:rsidRPr="007F327D">
        <w:t xml:space="preserve"> </w:t>
      </w:r>
      <w:r w:rsidRPr="007F327D">
        <w:rPr>
          <w:rFonts w:eastAsia="Times New Roman"/>
        </w:rPr>
        <w:t xml:space="preserve">(Turner et al. 1991; Scott, Irish 2017). Dental measurements include maximum </w:t>
      </w:r>
      <w:proofErr w:type="spellStart"/>
      <w:r w:rsidRPr="007F327D">
        <w:rPr>
          <w:rFonts w:eastAsia="Times New Roman"/>
        </w:rPr>
        <w:t>mesio</w:t>
      </w:r>
      <w:proofErr w:type="spellEnd"/>
      <w:r w:rsidRPr="007F327D">
        <w:rPr>
          <w:rFonts w:eastAsia="Times New Roman"/>
        </w:rPr>
        <w:t xml:space="preserve">-distal and </w:t>
      </w:r>
      <w:proofErr w:type="spellStart"/>
      <w:r w:rsidRPr="007F327D">
        <w:rPr>
          <w:rFonts w:eastAsia="Times New Roman"/>
        </w:rPr>
        <w:t>bucco</w:t>
      </w:r>
      <w:proofErr w:type="spellEnd"/>
      <w:r w:rsidRPr="007F327D">
        <w:rPr>
          <w:rFonts w:eastAsia="Times New Roman"/>
        </w:rPr>
        <w:t xml:space="preserve">-lingual dimensions of the crown (Hillson 1996; </w:t>
      </w:r>
      <w:proofErr w:type="spellStart"/>
      <w:r w:rsidRPr="007F327D">
        <w:rPr>
          <w:rFonts w:eastAsia="Times New Roman"/>
        </w:rPr>
        <w:t>Moorrees</w:t>
      </w:r>
      <w:proofErr w:type="spellEnd"/>
      <w:r w:rsidRPr="007F327D">
        <w:rPr>
          <w:rFonts w:eastAsia="Times New Roman"/>
        </w:rPr>
        <w:t xml:space="preserve">, Reed 1964), as well as dimensions of the cervix (Hillson et al. 2005). </w:t>
      </w:r>
    </w:p>
    <w:p w14:paraId="21876C52" w14:textId="77777777" w:rsidR="009C2187" w:rsidRPr="007F327D" w:rsidRDefault="009C2187" w:rsidP="009C2187">
      <w:pPr>
        <w:pStyle w:val="Paragraph"/>
        <w:rPr>
          <w:rFonts w:eastAsia="Times New Roman"/>
        </w:rPr>
      </w:pPr>
      <w:r w:rsidRPr="007F327D">
        <w:rPr>
          <w:rFonts w:eastAsia="Times New Roman"/>
        </w:rPr>
        <w:t xml:space="preserve">Previous work showed that individuals interred together in the houses at </w:t>
      </w:r>
      <w:proofErr w:type="spellStart"/>
      <w:r w:rsidRPr="007F327D">
        <w:rPr>
          <w:rFonts w:eastAsia="Times New Roman"/>
        </w:rPr>
        <w:t>Çatalhöyük</w:t>
      </w:r>
      <w:proofErr w:type="spellEnd"/>
      <w:r w:rsidRPr="007F327D">
        <w:rPr>
          <w:rFonts w:eastAsia="Times New Roman"/>
        </w:rPr>
        <w:t xml:space="preserve"> were not phenotypically similar, likely indicating that they were not close biological relatives. These results indicate that social structure was not based on biological kin relationships influencing place of burial, and instead relied on practical relationships related to the new system of food domestication (</w:t>
      </w:r>
      <w:proofErr w:type="spellStart"/>
      <w:r w:rsidRPr="007F327D">
        <w:rPr>
          <w:rFonts w:eastAsia="Times New Roman"/>
        </w:rPr>
        <w:t>Pilloud</w:t>
      </w:r>
      <w:proofErr w:type="spellEnd"/>
      <w:r w:rsidRPr="007F327D">
        <w:rPr>
          <w:rFonts w:eastAsia="Times New Roman"/>
        </w:rPr>
        <w:t xml:space="preserve">, Larsen 2011). In addition, it seems that post-marital residence practices were patrilocal based on the dental metric differences between males and females (Hillson et al. 2013). Here, that finding is again tested with a slightly larger dataset. In an evaluation of all adult males and females, </w:t>
      </w:r>
      <w:proofErr w:type="spellStart"/>
      <w:r w:rsidRPr="007F327D">
        <w:rPr>
          <w:rFonts w:eastAsia="Times New Roman"/>
        </w:rPr>
        <w:t>Levene’s</w:t>
      </w:r>
      <w:proofErr w:type="spellEnd"/>
      <w:r w:rsidRPr="007F327D">
        <w:rPr>
          <w:rFonts w:eastAsia="Times New Roman"/>
        </w:rPr>
        <w:t xml:space="preserve"> test of equal variances was run on all available dental metrics in SPSS version 24 (SPSS Inc. 2016). In this test, only four measurements were found to have unequal variances between males and females: the </w:t>
      </w:r>
      <w:proofErr w:type="spellStart"/>
      <w:r w:rsidRPr="007F327D">
        <w:rPr>
          <w:rFonts w:eastAsia="Times New Roman"/>
        </w:rPr>
        <w:t>bucco</w:t>
      </w:r>
      <w:proofErr w:type="spellEnd"/>
      <w:r w:rsidRPr="007F327D">
        <w:rPr>
          <w:rFonts w:eastAsia="Times New Roman"/>
        </w:rPr>
        <w:t xml:space="preserve">-lingual cervical dimension of the lower first incisor, the </w:t>
      </w:r>
      <w:proofErr w:type="spellStart"/>
      <w:r w:rsidRPr="007F327D">
        <w:rPr>
          <w:rFonts w:eastAsia="Times New Roman"/>
        </w:rPr>
        <w:t>bucco</w:t>
      </w:r>
      <w:proofErr w:type="spellEnd"/>
      <w:r w:rsidRPr="007F327D">
        <w:rPr>
          <w:rFonts w:eastAsia="Times New Roman"/>
        </w:rPr>
        <w:t xml:space="preserve">-lingual crown dimension of the lower fourth premolar, the </w:t>
      </w:r>
      <w:proofErr w:type="spellStart"/>
      <w:r w:rsidRPr="007F327D">
        <w:rPr>
          <w:rFonts w:eastAsia="Times New Roman"/>
        </w:rPr>
        <w:t>bucco</w:t>
      </w:r>
      <w:proofErr w:type="spellEnd"/>
      <w:r w:rsidRPr="007F327D">
        <w:rPr>
          <w:rFonts w:eastAsia="Times New Roman"/>
        </w:rPr>
        <w:t xml:space="preserve">-lingual crown dimension of the lower second molar, and the </w:t>
      </w:r>
      <w:proofErr w:type="spellStart"/>
      <w:r w:rsidRPr="007F327D">
        <w:rPr>
          <w:rFonts w:eastAsia="Times New Roman"/>
        </w:rPr>
        <w:t>mesio</w:t>
      </w:r>
      <w:proofErr w:type="spellEnd"/>
      <w:r w:rsidRPr="007F327D">
        <w:rPr>
          <w:rFonts w:eastAsia="Times New Roman"/>
        </w:rPr>
        <w:t xml:space="preserve">-distal crown dimension of the lower third molar. The variance for each of these measurements is greater among females, except in the lower first incisor where males have a greater variance (table 16.13). While still based on small sample sizes, and with only a few measurements showing differences between the sexes, there is still greater variance among females, which continues to suggest they were the more biologically diverse and thus more mobile sex. </w:t>
      </w:r>
    </w:p>
    <w:p w14:paraId="635348C6" w14:textId="77777777" w:rsidR="009C2187" w:rsidRPr="007F327D" w:rsidRDefault="009C2187" w:rsidP="009C2187">
      <w:pPr>
        <w:pStyle w:val="Caption"/>
        <w:rPr>
          <w:rFonts w:eastAsiaTheme="minorEastAsia"/>
        </w:rPr>
      </w:pPr>
      <w:r w:rsidRPr="007F327D">
        <w:rPr>
          <w:b/>
        </w:rPr>
        <w:t>Table 16.13</w:t>
      </w:r>
      <w:r w:rsidRPr="007F327D">
        <w:t xml:space="preserve">. Descriptive statistics for measurements found to have different variances between males and females. L= lower, I= incisor, P=premolar, M= molar, BL= </w:t>
      </w:r>
      <w:proofErr w:type="spellStart"/>
      <w:r w:rsidRPr="007F327D">
        <w:t>bucco</w:t>
      </w:r>
      <w:proofErr w:type="spellEnd"/>
      <w:r w:rsidRPr="007F327D">
        <w:t xml:space="preserve">-lingual, MD= </w:t>
      </w:r>
      <w:proofErr w:type="spellStart"/>
      <w:r w:rsidRPr="007F327D">
        <w:t>mesio</w:t>
      </w:r>
      <w:proofErr w:type="spellEnd"/>
      <w:r w:rsidRPr="007F327D">
        <w:t>-distal.</w:t>
      </w:r>
    </w:p>
    <w:p w14:paraId="0D1BBC9C" w14:textId="77777777" w:rsidR="009C2187" w:rsidRPr="007F327D" w:rsidRDefault="009C2187" w:rsidP="009C2187">
      <w:pPr>
        <w:pStyle w:val="Paragraph"/>
        <w:rPr>
          <w:bCs/>
          <w:lang w:eastAsia="tr-TR"/>
        </w:rPr>
      </w:pPr>
      <w:r w:rsidRPr="007F327D">
        <w:t xml:space="preserve">Using dental morphology frequency data for 22 traits, two diversity indices were calculated </w:t>
      </w:r>
      <w:r w:rsidRPr="007F327D">
        <w:rPr>
          <w:bCs/>
        </w:rPr>
        <w:t>using the ‘vegan’ package in the R</w:t>
      </w:r>
      <w:r w:rsidRPr="007F327D">
        <w:t xml:space="preserve"> computing environment </w:t>
      </w:r>
      <w:r w:rsidRPr="007F327D">
        <w:rPr>
          <w:bCs/>
        </w:rPr>
        <w:t xml:space="preserve">(R Core Team 2013) </w:t>
      </w:r>
      <w:r w:rsidRPr="007F327D">
        <w:t xml:space="preserve">to compare </w:t>
      </w:r>
      <w:r w:rsidRPr="007F327D">
        <w:rPr>
          <w:bCs/>
          <w:lang w:eastAsia="tr-TR"/>
        </w:rPr>
        <w:t xml:space="preserve">males and </w:t>
      </w:r>
      <w:r w:rsidRPr="007F327D">
        <w:rPr>
          <w:bCs/>
          <w:lang w:eastAsia="tr-TR"/>
        </w:rPr>
        <w:lastRenderedPageBreak/>
        <w:t xml:space="preserve">females </w:t>
      </w:r>
      <w:r w:rsidRPr="007F327D">
        <w:t xml:space="preserve">at </w:t>
      </w:r>
      <w:proofErr w:type="spellStart"/>
      <w:r w:rsidRPr="007F327D">
        <w:rPr>
          <w:bCs/>
          <w:lang w:eastAsia="tr-TR"/>
        </w:rPr>
        <w:t>Çatalhöyük</w:t>
      </w:r>
      <w:proofErr w:type="spellEnd"/>
      <w:r w:rsidRPr="007F327D">
        <w:rPr>
          <w:bCs/>
          <w:lang w:eastAsia="tr-TR"/>
        </w:rPr>
        <w:t xml:space="preserve"> (table 16.14). </w:t>
      </w:r>
      <w:r w:rsidRPr="007F327D">
        <w:rPr>
          <w:bCs/>
        </w:rPr>
        <w:t xml:space="preserve">The Shannon </w:t>
      </w:r>
      <w:r w:rsidRPr="007F327D">
        <w:rPr>
          <w:bCs/>
          <w:i/>
        </w:rPr>
        <w:t>H</w:t>
      </w:r>
      <w:r w:rsidRPr="007F327D">
        <w:rPr>
          <w:bCs/>
        </w:rPr>
        <w:t xml:space="preserve"> and Simpson indices were calculated; both are measures of entropy, which gives the uncertainty of the variables in a sample</w:t>
      </w:r>
      <w:r w:rsidRPr="007F327D">
        <w:t xml:space="preserve"> </w:t>
      </w:r>
      <w:r w:rsidRPr="007F327D">
        <w:rPr>
          <w:bCs/>
        </w:rPr>
        <w:t>(</w:t>
      </w:r>
      <w:proofErr w:type="spellStart"/>
      <w:r w:rsidRPr="007F327D">
        <w:rPr>
          <w:bCs/>
        </w:rPr>
        <w:t>Jost</w:t>
      </w:r>
      <w:proofErr w:type="spellEnd"/>
      <w:r w:rsidRPr="007F327D">
        <w:rPr>
          <w:bCs/>
        </w:rPr>
        <w:t xml:space="preserve"> 2006). When these variables are high, they indicate increased diversity in the sample dataset. Both the Shannon </w:t>
      </w:r>
      <w:r w:rsidRPr="007F327D">
        <w:rPr>
          <w:bCs/>
          <w:i/>
        </w:rPr>
        <w:t>H</w:t>
      </w:r>
      <w:r w:rsidRPr="007F327D">
        <w:rPr>
          <w:bCs/>
        </w:rPr>
        <w:t xml:space="preserve"> and Simpson indices indicate that females are slightly more diverse than males (table 16.15). </w:t>
      </w:r>
      <w:r w:rsidRPr="007F327D">
        <w:rPr>
          <w:bCs/>
          <w:lang w:eastAsia="tr-TR"/>
        </w:rPr>
        <w:t>The morphological and metric data are in agreement: females appear to have been more biologically diverse, and thus more mobile, again verifying a pattern consistent with patrilocality.</w:t>
      </w:r>
    </w:p>
    <w:p w14:paraId="7C1F56A1" w14:textId="77777777" w:rsidR="009C2187" w:rsidRPr="007F327D" w:rsidRDefault="009C2187" w:rsidP="009C2187">
      <w:pPr>
        <w:pStyle w:val="Caption"/>
      </w:pPr>
      <w:r w:rsidRPr="007F327D">
        <w:rPr>
          <w:b/>
        </w:rPr>
        <w:t>Table 16.14</w:t>
      </w:r>
      <w:r w:rsidRPr="007F327D">
        <w:t xml:space="preserve">. Dental morphological trait frequencies used in diversity analyses. Traits include: shovelling (shovel), interruption groove (int groove), tuberculum </w:t>
      </w:r>
      <w:proofErr w:type="spellStart"/>
      <w:r w:rsidRPr="007F327D">
        <w:t>dentale</w:t>
      </w:r>
      <w:proofErr w:type="spellEnd"/>
      <w:r w:rsidRPr="007F327D">
        <w:t xml:space="preserve"> (tub dent), mesial ridge, distal accessory ridge (DAR), hypocone, metaconule, </w:t>
      </w:r>
      <w:proofErr w:type="spellStart"/>
      <w:r w:rsidRPr="007F327D">
        <w:t>parastyle</w:t>
      </w:r>
      <w:proofErr w:type="spellEnd"/>
      <w:r w:rsidRPr="007F327D">
        <w:t>, enamel extensions (</w:t>
      </w:r>
      <w:proofErr w:type="spellStart"/>
      <w:r w:rsidRPr="007F327D">
        <w:t>en</w:t>
      </w:r>
      <w:proofErr w:type="spellEnd"/>
      <w:r w:rsidRPr="007F327D">
        <w:t xml:space="preserve"> </w:t>
      </w:r>
      <w:proofErr w:type="spellStart"/>
      <w:r w:rsidRPr="007F327D">
        <w:t>ext</w:t>
      </w:r>
      <w:proofErr w:type="spellEnd"/>
      <w:r w:rsidRPr="007F327D">
        <w:t>), peg-shape (peg), congenital absence (</w:t>
      </w:r>
      <w:proofErr w:type="spellStart"/>
      <w:r w:rsidRPr="007F327D">
        <w:t>cong</w:t>
      </w:r>
      <w:proofErr w:type="spellEnd"/>
      <w:r w:rsidRPr="007F327D">
        <w:t xml:space="preserve"> abs), lingual cusp of lower P4 (ling cusp), </w:t>
      </w:r>
      <w:proofErr w:type="spellStart"/>
      <w:r w:rsidRPr="007F327D">
        <w:t>protostylid</w:t>
      </w:r>
      <w:proofErr w:type="spellEnd"/>
      <w:r w:rsidRPr="007F327D">
        <w:t xml:space="preserve"> (</w:t>
      </w:r>
      <w:proofErr w:type="spellStart"/>
      <w:r w:rsidRPr="007F327D">
        <w:t>prtstyld</w:t>
      </w:r>
      <w:proofErr w:type="spellEnd"/>
      <w:r w:rsidRPr="007F327D">
        <w:t>), cusp 5, cusp 6, and cusp 7.</w:t>
      </w:r>
    </w:p>
    <w:p w14:paraId="594B53E6" w14:textId="77777777" w:rsidR="009C2187" w:rsidRPr="007F327D" w:rsidRDefault="009C2187" w:rsidP="009C2187">
      <w:pPr>
        <w:pStyle w:val="Caption"/>
      </w:pPr>
      <w:r w:rsidRPr="007F327D">
        <w:rPr>
          <w:b/>
        </w:rPr>
        <w:t>Table 16.15</w:t>
      </w:r>
      <w:r w:rsidRPr="007F327D">
        <w:t xml:space="preserve">. Shannon and Simpson diversity indices between males and females from </w:t>
      </w:r>
      <w:proofErr w:type="spellStart"/>
      <w:r w:rsidRPr="007F327D">
        <w:t>Çatalhöyük</w:t>
      </w:r>
      <w:proofErr w:type="spellEnd"/>
      <w:r w:rsidRPr="007F327D">
        <w:t xml:space="preserve">. </w:t>
      </w:r>
    </w:p>
    <w:p w14:paraId="39DE90AC" w14:textId="77777777" w:rsidR="009C2187" w:rsidRPr="007F327D" w:rsidRDefault="009C2187" w:rsidP="009C2187">
      <w:pPr>
        <w:pStyle w:val="Paragraph"/>
        <w:rPr>
          <w:rFonts w:eastAsia="Times New Roman"/>
        </w:rPr>
      </w:pPr>
      <w:r w:rsidRPr="007F327D">
        <w:t xml:space="preserve">Measures of mobility were assessed through an analysis of dental metric data from </w:t>
      </w:r>
      <w:proofErr w:type="spellStart"/>
      <w:r w:rsidRPr="007F327D">
        <w:t>Çatalhöyük</w:t>
      </w:r>
      <w:proofErr w:type="spellEnd"/>
      <w:r w:rsidRPr="007F327D">
        <w:t xml:space="preserve">, as well as two other Neolithic Anatolian sites: </w:t>
      </w:r>
      <w:proofErr w:type="spellStart"/>
      <w:r w:rsidRPr="007F327D">
        <w:t>Aşıklı</w:t>
      </w:r>
      <w:proofErr w:type="spellEnd"/>
      <w:r w:rsidRPr="007F327D">
        <w:t xml:space="preserve"> </w:t>
      </w:r>
      <w:proofErr w:type="spellStart"/>
      <w:r w:rsidRPr="007F327D">
        <w:t>Höyük</w:t>
      </w:r>
      <w:proofErr w:type="spellEnd"/>
      <w:r w:rsidRPr="007F327D">
        <w:t xml:space="preserve"> and </w:t>
      </w:r>
      <w:proofErr w:type="spellStart"/>
      <w:r w:rsidRPr="007F327D">
        <w:t>Musular</w:t>
      </w:r>
      <w:proofErr w:type="spellEnd"/>
      <w:r w:rsidRPr="007F327D">
        <w:t>. T</w:t>
      </w:r>
      <w:r w:rsidRPr="007F327D">
        <w:rPr>
          <w:bCs/>
        </w:rPr>
        <w:t xml:space="preserve">he </w:t>
      </w:r>
      <w:proofErr w:type="spellStart"/>
      <w:r w:rsidRPr="007F327D">
        <w:rPr>
          <w:rFonts w:eastAsia="Times New Roman"/>
        </w:rPr>
        <w:t>F</w:t>
      </w:r>
      <w:r w:rsidRPr="007F327D">
        <w:rPr>
          <w:rFonts w:eastAsia="Times New Roman"/>
          <w:vertAlign w:val="subscript"/>
        </w:rPr>
        <w:t>sT</w:t>
      </w:r>
      <w:proofErr w:type="spellEnd"/>
      <w:r w:rsidRPr="007F327D">
        <w:rPr>
          <w:rFonts w:eastAsia="Times New Roman"/>
        </w:rPr>
        <w:t>, a</w:t>
      </w:r>
      <w:r w:rsidRPr="007F327D">
        <w:t xml:space="preserve"> measure of genetic homogeneity (Wright 1951), of these sites </w:t>
      </w:r>
      <w:r w:rsidRPr="007F327D">
        <w:rPr>
          <w:rFonts w:eastAsia="Times New Roman"/>
        </w:rPr>
        <w:t xml:space="preserve">was calculated using </w:t>
      </w:r>
      <w:proofErr w:type="spellStart"/>
      <w:r w:rsidRPr="007F327D">
        <w:rPr>
          <w:rFonts w:eastAsia="Times New Roman"/>
        </w:rPr>
        <w:t>Rmet</w:t>
      </w:r>
      <w:proofErr w:type="spellEnd"/>
      <w:r w:rsidRPr="007F327D">
        <w:rPr>
          <w:rFonts w:eastAsia="Times New Roman"/>
        </w:rPr>
        <w:t xml:space="preserve"> (made available by John </w:t>
      </w:r>
      <w:proofErr w:type="spellStart"/>
      <w:r w:rsidRPr="007F327D">
        <w:rPr>
          <w:rFonts w:eastAsia="Times New Roman"/>
        </w:rPr>
        <w:t>Relethford</w:t>
      </w:r>
      <w:proofErr w:type="spellEnd"/>
      <w:r w:rsidRPr="007F327D">
        <w:rPr>
          <w:rFonts w:eastAsia="Times New Roman"/>
        </w:rPr>
        <w:t xml:space="preserve"> online at http://employees.oneonta.edu/relethjh/programs/) (</w:t>
      </w:r>
      <w:proofErr w:type="spellStart"/>
      <w:r w:rsidRPr="007F327D">
        <w:rPr>
          <w:rFonts w:eastAsia="Times New Roman"/>
        </w:rPr>
        <w:t>Relethford</w:t>
      </w:r>
      <w:proofErr w:type="spellEnd"/>
      <w:r w:rsidRPr="007F327D">
        <w:rPr>
          <w:rFonts w:eastAsia="Times New Roman"/>
        </w:rPr>
        <w:t xml:space="preserve">, </w:t>
      </w:r>
      <w:proofErr w:type="spellStart"/>
      <w:r w:rsidRPr="007F327D">
        <w:rPr>
          <w:rFonts w:eastAsia="Times New Roman"/>
        </w:rPr>
        <w:t>Blangero</w:t>
      </w:r>
      <w:proofErr w:type="spellEnd"/>
      <w:r w:rsidRPr="007F327D">
        <w:rPr>
          <w:rFonts w:eastAsia="Times New Roman"/>
        </w:rPr>
        <w:t xml:space="preserve"> 1990). </w:t>
      </w:r>
      <w:r w:rsidRPr="007F327D">
        <w:t xml:space="preserve">The </w:t>
      </w:r>
      <w:proofErr w:type="spellStart"/>
      <w:r w:rsidRPr="007F327D">
        <w:t>F</w:t>
      </w:r>
      <w:r w:rsidRPr="007F327D">
        <w:rPr>
          <w:vertAlign w:val="subscript"/>
        </w:rPr>
        <w:t>st</w:t>
      </w:r>
      <w:proofErr w:type="spellEnd"/>
      <w:r w:rsidRPr="007F327D">
        <w:t xml:space="preserve"> was found to be </w:t>
      </w:r>
      <w:r w:rsidRPr="007F327D">
        <w:rPr>
          <w:bCs/>
        </w:rPr>
        <w:t>0.0288</w:t>
      </w:r>
      <w:r w:rsidRPr="007F327D">
        <w:t xml:space="preserve"> </w:t>
      </w:r>
      <w:r w:rsidRPr="007F327D">
        <w:rPr>
          <w:bCs/>
        </w:rPr>
        <w:t>(</w:t>
      </w:r>
      <w:proofErr w:type="spellStart"/>
      <w:r w:rsidRPr="007F327D">
        <w:rPr>
          <w:bCs/>
        </w:rPr>
        <w:t>Pilloud</w:t>
      </w:r>
      <w:proofErr w:type="spellEnd"/>
      <w:r w:rsidRPr="007F327D">
        <w:rPr>
          <w:bCs/>
        </w:rPr>
        <w:t xml:space="preserve"> 2013). This low </w:t>
      </w:r>
      <w:proofErr w:type="spellStart"/>
      <w:r w:rsidRPr="007F327D">
        <w:t>F</w:t>
      </w:r>
      <w:r w:rsidRPr="007F327D">
        <w:rPr>
          <w:vertAlign w:val="subscript"/>
        </w:rPr>
        <w:t>st</w:t>
      </w:r>
      <w:proofErr w:type="spellEnd"/>
      <w:r w:rsidRPr="007F327D">
        <w:rPr>
          <w:bCs/>
        </w:rPr>
        <w:t xml:space="preserve"> value implies common ancestry and/or gene flow among groups. Based on the dating of the sites, this result could mean that populations derived from </w:t>
      </w:r>
      <w:proofErr w:type="spellStart"/>
      <w:r w:rsidRPr="007F327D">
        <w:rPr>
          <w:bCs/>
        </w:rPr>
        <w:t>Aşıklı</w:t>
      </w:r>
      <w:proofErr w:type="spellEnd"/>
      <w:r w:rsidRPr="007F327D">
        <w:rPr>
          <w:bCs/>
        </w:rPr>
        <w:t xml:space="preserve"> </w:t>
      </w:r>
      <w:proofErr w:type="spellStart"/>
      <w:r w:rsidRPr="007F327D">
        <w:rPr>
          <w:bCs/>
        </w:rPr>
        <w:t>Höyük</w:t>
      </w:r>
      <w:proofErr w:type="spellEnd"/>
      <w:r w:rsidRPr="007F327D">
        <w:rPr>
          <w:bCs/>
        </w:rPr>
        <w:t xml:space="preserve"> and </w:t>
      </w:r>
      <w:proofErr w:type="spellStart"/>
      <w:r w:rsidRPr="007F327D">
        <w:rPr>
          <w:bCs/>
        </w:rPr>
        <w:t>Musular</w:t>
      </w:r>
      <w:proofErr w:type="spellEnd"/>
      <w:r w:rsidRPr="007F327D">
        <w:rPr>
          <w:bCs/>
        </w:rPr>
        <w:t xml:space="preserve"> contributed to the population of </w:t>
      </w:r>
      <w:proofErr w:type="spellStart"/>
      <w:r w:rsidRPr="007F327D">
        <w:rPr>
          <w:bCs/>
        </w:rPr>
        <w:t>Çatalhöyük</w:t>
      </w:r>
      <w:proofErr w:type="spellEnd"/>
      <w:r w:rsidRPr="007F327D">
        <w:rPr>
          <w:bCs/>
        </w:rPr>
        <w:t xml:space="preserve">, as it has the latest occupation sequence. Furthermore, increased variation in dental data was observed in the </w:t>
      </w:r>
      <w:proofErr w:type="spellStart"/>
      <w:r w:rsidRPr="007F327D">
        <w:rPr>
          <w:bCs/>
        </w:rPr>
        <w:t>Çatalhöyük</w:t>
      </w:r>
      <w:proofErr w:type="spellEnd"/>
      <w:r w:rsidRPr="007F327D">
        <w:rPr>
          <w:bCs/>
        </w:rPr>
        <w:t xml:space="preserve"> population sample at approximately the same time that </w:t>
      </w:r>
      <w:proofErr w:type="spellStart"/>
      <w:r w:rsidRPr="007F327D">
        <w:rPr>
          <w:bCs/>
        </w:rPr>
        <w:t>Musular</w:t>
      </w:r>
      <w:proofErr w:type="spellEnd"/>
      <w:r w:rsidRPr="007F327D">
        <w:rPr>
          <w:bCs/>
        </w:rPr>
        <w:t xml:space="preserve"> was abandoned (ca 6800 BC)</w:t>
      </w:r>
      <w:r w:rsidRPr="007F327D">
        <w:t xml:space="preserve"> </w:t>
      </w:r>
      <w:r w:rsidRPr="007F327D">
        <w:rPr>
          <w:bCs/>
        </w:rPr>
        <w:t>(</w:t>
      </w:r>
      <w:proofErr w:type="spellStart"/>
      <w:r w:rsidRPr="007F327D">
        <w:rPr>
          <w:bCs/>
        </w:rPr>
        <w:t>Pilloud</w:t>
      </w:r>
      <w:proofErr w:type="spellEnd"/>
      <w:r w:rsidRPr="007F327D">
        <w:rPr>
          <w:bCs/>
        </w:rPr>
        <w:t xml:space="preserve"> 2009).</w:t>
      </w:r>
    </w:p>
    <w:p w14:paraId="2A60E277" w14:textId="77777777" w:rsidR="009C2187" w:rsidRPr="007F327D" w:rsidRDefault="009C2187" w:rsidP="009C2187">
      <w:pPr>
        <w:pStyle w:val="Paragraph"/>
        <w:rPr>
          <w:rFonts w:eastAsia="Times New Roman"/>
        </w:rPr>
      </w:pPr>
      <w:r w:rsidRPr="007F327D">
        <w:rPr>
          <w:rFonts w:eastAsia="Times New Roman"/>
        </w:rPr>
        <w:t xml:space="preserve">The results of analyses of these biological data indicate that social structure, as inferred via inclusion for burial within the same house, was likely not based on biological kin at </w:t>
      </w:r>
      <w:proofErr w:type="spellStart"/>
      <w:r w:rsidRPr="007F327D">
        <w:rPr>
          <w:rFonts w:eastAsia="Times New Roman"/>
        </w:rPr>
        <w:t>Çatalhöyük</w:t>
      </w:r>
      <w:proofErr w:type="spellEnd"/>
      <w:r w:rsidRPr="007F327D">
        <w:rPr>
          <w:rFonts w:eastAsia="Times New Roman"/>
        </w:rPr>
        <w:t xml:space="preserve">. Additionally, there appears to have been migration between sites in Neolithic Anatolia, as indicated by similarities in dental metrics between the sample populations from two archaeological sites, </w:t>
      </w:r>
      <w:proofErr w:type="spellStart"/>
      <w:r w:rsidRPr="007F327D">
        <w:t>Aşıklı</w:t>
      </w:r>
      <w:proofErr w:type="spellEnd"/>
      <w:r w:rsidRPr="007F327D">
        <w:t xml:space="preserve"> </w:t>
      </w:r>
      <w:proofErr w:type="spellStart"/>
      <w:r w:rsidRPr="007F327D">
        <w:t>Höyük</w:t>
      </w:r>
      <w:proofErr w:type="spellEnd"/>
      <w:r w:rsidRPr="007F327D">
        <w:t xml:space="preserve"> and </w:t>
      </w:r>
      <w:proofErr w:type="spellStart"/>
      <w:r w:rsidRPr="007F327D">
        <w:t>Musular</w:t>
      </w:r>
      <w:proofErr w:type="spellEnd"/>
      <w:r w:rsidRPr="007F327D">
        <w:t>,</w:t>
      </w:r>
      <w:r w:rsidRPr="007F327D">
        <w:rPr>
          <w:rFonts w:eastAsia="Times New Roman"/>
        </w:rPr>
        <w:t xml:space="preserve"> and that from </w:t>
      </w:r>
      <w:proofErr w:type="spellStart"/>
      <w:r w:rsidRPr="007F327D">
        <w:rPr>
          <w:rFonts w:eastAsia="Times New Roman"/>
        </w:rPr>
        <w:t>Çatalhöyük</w:t>
      </w:r>
      <w:proofErr w:type="spellEnd"/>
      <w:r w:rsidRPr="007F327D">
        <w:rPr>
          <w:rFonts w:eastAsia="Times New Roman"/>
        </w:rPr>
        <w:t xml:space="preserve">. Finally, dental metrical and morphological evidence used to address post-marital residence practices continues to indicate that females are slightly more diverse than males. These dental data are an important line of evidence for understanding how the Neolithic population of </w:t>
      </w:r>
      <w:proofErr w:type="spellStart"/>
      <w:r w:rsidRPr="007F327D">
        <w:rPr>
          <w:rFonts w:eastAsia="Times New Roman"/>
        </w:rPr>
        <w:t>Çatalhöyük</w:t>
      </w:r>
      <w:proofErr w:type="spellEnd"/>
      <w:r w:rsidRPr="007F327D">
        <w:rPr>
          <w:rFonts w:eastAsia="Times New Roman"/>
        </w:rPr>
        <w:t xml:space="preserve"> organised their social groups, and how they moved across the landscape. These data can be further compared to other Neolithic Anatolian sites and with data from </w:t>
      </w:r>
      <w:proofErr w:type="spellStart"/>
      <w:r w:rsidRPr="007F327D">
        <w:rPr>
          <w:rFonts w:eastAsia="Times New Roman"/>
        </w:rPr>
        <w:t>aDNA</w:t>
      </w:r>
      <w:proofErr w:type="spellEnd"/>
      <w:r w:rsidRPr="007F327D">
        <w:rPr>
          <w:rFonts w:eastAsia="Times New Roman"/>
        </w:rPr>
        <w:t xml:space="preserve"> studies that show evidence for two population movements generated from Central Anatolia with connections to southern European and to populations in the Fertile Crescent and Levant in the Late Pre-Pottery Neolithic B (9th to 7th millennia BC) (</w:t>
      </w:r>
      <w:proofErr w:type="spellStart"/>
      <w:r w:rsidRPr="007F327D">
        <w:rPr>
          <w:rFonts w:eastAsia="Times New Roman"/>
        </w:rPr>
        <w:t>Kılınç</w:t>
      </w:r>
      <w:proofErr w:type="spellEnd"/>
      <w:r w:rsidRPr="007F327D">
        <w:rPr>
          <w:rFonts w:eastAsia="Times New Roman"/>
        </w:rPr>
        <w:t xml:space="preserve"> et al. 2016) to better understand the complex process of </w:t>
      </w:r>
      <w:proofErr w:type="spellStart"/>
      <w:r w:rsidRPr="007F327D">
        <w:rPr>
          <w:rFonts w:eastAsia="Times New Roman"/>
        </w:rPr>
        <w:t>neolithisation</w:t>
      </w:r>
      <w:proofErr w:type="spellEnd"/>
      <w:r w:rsidRPr="007F327D">
        <w:rPr>
          <w:rFonts w:eastAsia="Times New Roman"/>
        </w:rPr>
        <w:t xml:space="preserve"> in Anatolia.</w:t>
      </w:r>
    </w:p>
    <w:p w14:paraId="61DCA9BF" w14:textId="77777777" w:rsidR="009C2187" w:rsidRPr="007F327D" w:rsidRDefault="009C2187" w:rsidP="009C2187">
      <w:pPr>
        <w:pStyle w:val="Heading1"/>
        <w:rPr>
          <w:rFonts w:eastAsia="Times New Roman"/>
        </w:rPr>
      </w:pPr>
      <w:r w:rsidRPr="007F327D">
        <w:t xml:space="preserve">Cross-sectional geometry </w:t>
      </w:r>
    </w:p>
    <w:p w14:paraId="6968FF44" w14:textId="77777777" w:rsidR="009C2187" w:rsidRPr="007F327D" w:rsidRDefault="009C2187" w:rsidP="009C2187">
      <w:pPr>
        <w:pStyle w:val="Paragraph"/>
      </w:pPr>
      <w:r w:rsidRPr="007F327D">
        <w:t xml:space="preserve">In addition to dental morphological and metrical analyses, cross-sectional limb bone geometry provides a complementary means to assess mobility in past populations that permitted them to exploit the landscape. Previous studies show that agricultural, herding and resource acquisition practices changed through time at </w:t>
      </w:r>
      <w:proofErr w:type="spellStart"/>
      <w:r w:rsidRPr="007F327D">
        <w:t>Çatalhöyük</w:t>
      </w:r>
      <w:proofErr w:type="spellEnd"/>
      <w:r w:rsidRPr="007F327D">
        <w:t xml:space="preserve"> </w:t>
      </w:r>
      <w:r w:rsidRPr="007F327D">
        <w:fldChar w:fldCharType="begin" w:fldLock="1"/>
      </w:r>
      <w:r w:rsidRPr="007F327D">
        <w:instrText>ADDIN CSL_CITATION {"citationItems":[{"id":"ITEM-1","itemData":{"DOI":"10.1017/S0066154617000072","ISBN":"0066-1546","ISSN":"20480849","abstract":"&lt;p&gt;Intensive archaeobotanical investigations at Çatalhöyük have created a unique opportunity to explore change and continuity in plant use through the ca 1,500-year Neolithic to early Chalcolithic sequence of an early established farming community. The combination of crops and herd animals in the earliest (Aceramic) part of the sequence reflects a distinct and diverse central Anatolian ‘package’ at the end of the eighth millennium cal. BC. Here we report evidence for near continual adjustment of cropping regimes through time at Çatalhöyük, featuring recruitment of minor crops or crop contaminants to become major staples. We use panarchy theory to frame an understanding of Çatalhöyük's long-term sustainability, arguing that its resilience was a function of three key factors: its diverse initial crop spectrum, which acted as an archive for later innovations; its modular social structure, enabling small-scale experimentation and innovation in cropping at the household level; and its agglomerated social morphology, allowing successful developments to be scaled up across the wider community. This case study in long-term sustainability through flexible, changeable cropping strategies is significant not only for understanding so-called boom and bust cycles elsewhere but also for informing wider agro-ecological understanding of sustainable development in central Anatolia and beyond.&lt;/p&gt;","author":[{"dropping-particle":"","family":"Bogaard","given":"Amy","non-dropping-particle":"","parse-names":false,"suffix":""},{"dropping-particle":"","family":"Filipović","given":"Dragana","non-dropping-particle":"","parse-names":false,"suffix":""},{"dropping-particle":"","family":"Fairbairn","given":"Andrew","non-dropping-particle":"","parse-names":false,"suffix":""},{"dropping-particle":"","family":"Green","given":"Laura","non-dropping-particle":"","parse-names":false,"suffix":""},{"dropping-particle":"","family":"Stroud","given":"Elizabeth","non-dropping-particle":"","parse-names":false,"suffix":""},{"dropping-particle":"","family":"Fuller","given":"Dorian","non-dropping-particle":"","parse-names":false,"suffix":""},{"dropping-particle":"","family":"Charles","given":"Michael","non-dropping-particle":"","parse-names":false,"suffix":""}],"container-title":"Anatolian Studies","id":"ITEM-1","issued":{"date-parts":[["2017"]]},"note":"On the East Mound especially, through time they are increasingly selecting drought-resistant barley: &amp;quot;new type&amp;quot;\n\n&amp;quot;New type&amp;quot; barley and kept separated from emmer. \n\nthrough time\nless bitter vetch\nlentil -&amp;gt; pea\nemmer -&amp;gt; &amp;quot;new type&amp;quot;\npg 22: glume (hulled) wheat -&amp;gt; free-threshing wheat:\n1) better yield in response to environmental changes (more drought)\n2) increasing growth of crops that are processed &amp;quot;off-site&amp;quot; (immediately after harvest rather than storing and processign at household as needed throughout the year)\nTherefore: increase interest in wasy processing foods through time (eg decrease in bitter vetch)\nless glume wheats=less labor intensive processing through use of free-thressing wheat or naked barley. \ninterestingly this is the opposite pattern found on west mound.","page":"1-28","title":"Agricultural innovation and resilience in a long-lived early farming community: The 1,500-year sequence at Neolithic to early Chalcolithic Çatalhöyük, central Anatolia","type":"article-journal","volume":"67"},"uris":["http://www.mendeley.com/documents/?uuid=8ad5e902-9de5-4cc3-84be-940861b872bc"]},{"id":"ITEM-2","itemData":{"DOI":"10.1016/j.jas.2017.09.002","ISSN":"10959238","abstract":"Archaeological discussions of early agriculture have often used the Neolithic village of Çatalhöyük in central southern Turkey as a key example of the restricting effect of environment on agricultural production and organization. Central to these discussions is the palaeoenvironmental reconstruction of the landscape surrounding the site. This paper presents an important new dataset from an intensive coring programme undertaken between 2007 and 2013 in the immediate environs of the site, designed to improve significantly the spatial resolution of palaeoenvironmental data. Using sediment analyses including organic content, magnetic susceptibility, particle size, total carbon and nitrogen contents and carbon isotope analysis, coupled with 3D modelling, we are able to present a new reconstruction of the palaeotopography and sedimentary environments of the site. Our findings have major implications for our understanding of Neolithic agricultural production and social practice. We present four phases of environmental development. Phase 1 consists of the final phases of regression of Palaeolake Konya in the later parts of the Pleistocene, dominated by erosion due to wind and water that created an undulating surface of the marl deposited in the palaeolake. Phase 2 occurs in the latest Pleistocene and early Holocene, and indicates increased wetness, probably characteristic of a humid anabranching channel system, in which there are localized pockets of wetter conditions. In Phase 3a, this infilling continues, producing a flatter surface, and there are fewer pockets being occupied by wetter conditions. The fluvial régime shifts from humid to dryland anabranching conditions. The earliest period of occupation of the Neolithic East Mound coincides with this phase. Phase 3b coincides with the shift of occupation to the West Mound in the Chalcolithic, when there is evidence for a very localized wetter area to the southeast of the West Mound, but otherwise a continuation of the dryland anabranching system. Finally, Phase 4 shows a shift to the pre-modern style of fluvial environment, modified by channelization. This reanalysis demonstrates the importance of extensive spatial sampling as part of geoarchaeological investigations. With this new evidence we demonstrate that the landscape was highly variable in time and space with increasingly dry conditions developing from the early Holocene onwards. In contrast to earlier landscape reconstructions that have presented marsh…","author":[{"dropping-particle":"","family":"Ayala","given":"Gianna","non-dropping-particle":"","parse-names":false,"suffix":""},{"dropping-particle":"","family":"Wainwright","given":"John","non-dropping-particle":"","parse-names":false,"suffix":""},{"dropping-particle":"","family":"Walker","given":"Joanna","non-dropping-particle":"","parse-names":false,"suffix":""},{"dropping-particle":"","family":"Hodara","given":"Rachel","non-dropping-particle":"","parse-names":false,"suffix":""},{"dropping-particle":"","family":"Lloyd","given":"Jerry M.","non-dropping-particle":"","parse-names":false,"suffix":""},{"dropping-particle":"","family":"Leng","given":"Melanie","non-dropping-particle":"","parse-names":false,"suffix":""},{"dropping-particle":"","family":"Doherty","given":"Chris","non-dropping-particle":"","parse-names":false,"suffix":""}],"container-title":"Journal of Archaeological Science","id":"ITEM-2","issued":{"date-parts":[["2017"]]},"note":"Re analysis indicates previous conclusions about land use and landscape may have been rudamentary. \nThis analysis changes the conversation that there was a need to travel long distances.\n\nThe site was not likely wetlands. THe topography was litly relatively stable with seasonal dryness during the initial occupation\n\nEarliest occupation of east mound coincides with a shift to dryland anabranching conditions (Phase 3a): mosaic of moth dry and wet conditions. \n\n&amp;quot;anabranching&amp;quot; means meandering and shifting river branches that leave little islands of land\n\nPhase 3b: shift in occupation from the east to west mound: localized wetter area to the southeast of the (west?) mound but continuation of the dryland anabranching system\n\nRead conclusion section for the goodies:\n\nBasically, previous paleoenvironment was assessed incorrectly. NOT dominated by wetland conditions. It was highly variable with evidence of increasing dryland conditions. Mosaic of landscape\n\nthis new information requires a revision to the thought process of land use and agricutural practices.\n\nDid not have to contend with seasonal flooding. Agricultural fields were available withing 12 km of the site. \n\nBotanical and faunal evidence suggest local small scale herding and farming.","page":"30-43","publisher":"Elsevier Ltd","title":"Palaeoenvironmental reconstruction of the alluvial landscape of Neolithic Çatalhöyük, central southern Turkey: The implications for early agriculture and responses to environmental change","type":"article-journal","volume":"87"},"uris":["http://www.mendeley.com/documents/?uuid=b0192f8a-3322-48aa-a3c4-8b1db1799ed2"]},{"id":"ITEM-3","itemData":{"DOI":"10.1073/pnas.1803607115","ISBN":"1091-6490 (Electronic) 0027-8424 (Linking)","ISSN":"0027-8424","PMID":"30104367","abstract":"The 8.2-thousand years B.P. event is evident in multiple proxy records across the globe, showing generally dry and cold conditions for ca. 160 years. Environmental changes around the event are mainly detected using geochemical or palynological analyses of ice cores, lacustrine, marine, and other sediments often distant from human settlements. The Late Neolithic excavated area of the archaeological site of Çatalhöyük East [Team Poznań (TP) area] was occupied for four centuries in the ninth and eighth millennia B.P., thus encompassing the 8.2-thousand years B.P. climatic event. A Bayesian analysis of 56 radiocarbon dates yielded a high-resolution chronological model comprising six building phases, with dates ranging from before 8325-8205 to 7925-7815 calibrated years (cal) B.P. Here, we correlate an onsite paleoclimate record constructed from δ2H values of lipid biomarkers preserved in pottery vessels recovered from these buildings with changes in architectural, archaeozoological, and consumption records from well-documented archaeological contexts. The overall sequence shows major changes in husbandry and consumption practices at ca. 8.2 thousand years B.P., synchronous with variations in the δ2H values of the animal fat residues. Changes in paleoclimate and archaeological records seem connected with the patterns of atmospheric precipitation during the occupation of the TP area predicted by climate modeling. Our multiproxy approach uses records derived directly from documented archaeological contexts. Through this, we provide compelling evidence for the specific impacts of the 8.2-thousand years B.P. climatic event on the economic and domestic activities of pioneer Neolithic farmers, influencing decisions relating to settlement planning and food procurement strategies.","author":[{"dropping-particle":"","family":"Roffet-Salque","given":"Mélanie","non-dropping-particle":"","parse-names":false,"suffix":""},{"dropping-particle":"","family":"Marciniak","given":"Arkadiusz","non-dropping-particle":"","parse-names":false,"suffix":""},{"dropping-particle":"","family":"Valdes","given":"Paul J.","non-dropping-particle":"","parse-names":false,"suffix":""},{"dropping-particle":"","family":"Pawłowska","given":"Kamilla","non-dropping-particle":"","parse-names":false,"suffix":""},{"dropping-particle":"","family":"Pyzel","given":"Joanna","non-dropping-particle":"","parse-names":false,"suffix":""},{"dropping-particle":"","family":"Czerniak","given":"Lech","non-dropping-particle":"","parse-names":false,"suffix":""},{"dropping-particle":"","family":"Krüger","given":"Marta","non-dropping-particle":"","parse-names":false,"suffix":""},{"dropping-particle":"","family":"Roberts","given":"C. Neil","non-dropping-particle":"","parse-names":false,"suffix":""},{"dropping-particle":"","family":"Pitter","given":"Sharmini","non-dropping-particle":"","parse-names":false,"suffix":""},{"dropping-particle":"","family":"Evershed","given":"Richard P.","non-dropping-particle":"","parse-names":false,"suffix":""}],"container-title":"Proceedings of the National Academy of Sciences","id":"ITEM-3","issue":"35","issued":{"date-parts":[["2018"]]},"page":"8705-8709","title":"Evidence for the impact of the 8.2-kyBP climate event on Near Eastern early farmers","type":"article-journal","volume":"115"},"uris":["http://www.mendeley.com/documents/?uuid=4c6a9a7d-e35f-4dc3-9cbf-2c1df496a4f8"]}],"mendeley":{"formattedCitation":"(Ayala &lt;i&gt;et al.&lt;/i&gt;, 2017; Bogaard &lt;i&gt;et al.&lt;/i&gt;, 2017; Roffet-Salque &lt;i&gt;et al.&lt;/i&gt;, 2018)","manualFormatting":"(Ayala et al. 2017; Bogaard et al. 2017; Roffet-Salque et al. 2018)","plainTextFormattedCitation":"(Ayala et al., 2017; Bogaard et al., 2017; Roffet-Salque et al., 2018)","previouslyFormattedCitation":"(Ayala et al., 2017; Bogaard et al., 2017; Roffet-Salque et al., 2018)"},"properties":{"noteIndex":0},"schema":"https://github.com/citation-style-language/schema/raw/master/csl-citation.json"}</w:instrText>
      </w:r>
      <w:r w:rsidRPr="007F327D">
        <w:fldChar w:fldCharType="separate"/>
      </w:r>
      <w:r w:rsidRPr="007F327D">
        <w:t xml:space="preserve">(Ayala et al. 2017; </w:t>
      </w:r>
      <w:proofErr w:type="spellStart"/>
      <w:r w:rsidRPr="007F327D">
        <w:t>Bogaard</w:t>
      </w:r>
      <w:proofErr w:type="spellEnd"/>
      <w:r w:rsidRPr="007F327D">
        <w:t xml:space="preserve"> et al. 2017; </w:t>
      </w:r>
      <w:proofErr w:type="spellStart"/>
      <w:r w:rsidRPr="007F327D">
        <w:t>Roffet-Salque</w:t>
      </w:r>
      <w:proofErr w:type="spellEnd"/>
      <w:r w:rsidRPr="007F327D">
        <w:t xml:space="preserve"> et al. 2018)</w:t>
      </w:r>
      <w:r w:rsidRPr="007F327D">
        <w:fldChar w:fldCharType="end"/>
      </w:r>
      <w:r w:rsidRPr="007F327D">
        <w:t xml:space="preserve">, suggesting greater diversity of landscape use and increasing mobility over the course of the occupation of the site </w:t>
      </w:r>
      <w:r w:rsidRPr="007F327D">
        <w:fldChar w:fldCharType="begin" w:fldLock="1"/>
      </w:r>
      <w:r w:rsidRPr="007F327D">
        <w:instrText>ADDIN CSL_CITATION {"citationItems":[{"id":"ITEM-1","itemData":{"DOI":"10.1007/s10963-015-9084-6","ISBN":"0892-7537","ISSN":"08927537","abstract":"The bioarchaeological record of human remains viewed in the context of ecology, subsistence, and living circumstances provides a fundamental source for documenting and interpreting the impact of plant and animal domestication in the late Pleistocene and early to middle Holocene. For Western Asia, Ç atalhöyük (7100–5950 cal BC) in central Anatolia, presents a comprehensive and contextualized setting for inter-preting living circumstances in this highly dynamic period of human history.","author":[{"dropping-particle":"","family":"Larsen","given":"CS","non-dropping-particle":"","parse-names":false,"suffix":""},{"dropping-particle":"","family":"Hillson","given":"Simon W.","non-dropping-particle":"","parse-names":false,"suffix":""},{"dropping-particle":"","family":"Boz","given":"Başak","non-dropping-particle":"","parse-names":false,"suffix":""},{"dropping-particle":"","family":"Pilloud","given":"Marin A.","non-dropping-particle":"","parse-names":false,"suffix":""},{"dropping-particle":"","family":"Sadvari","given":"Joshua W.","non-dropping-particle":"","parse-names":false,"suffix":""},{"dropping-particle":"","family":"Agarwal","given":"Sabrina C.","non-dropping-particle":"","parse-names":false,"suffix":""},{"dropping-particle":"","family":"Glencross","given":"Bonnie","non-dropping-particle":"","parse-names":false,"suffix":""},{"dropping-particle":"","family":"Beauchesne","given":"Patrick","non-dropping-particle":"","parse-names":false,"suffix":""},{"dropping-particle":"","family":"Pearson","given":"Jessica","non-dropping-particle":"","parse-names":false,"suffix":""},{"dropping-particle":"","family":"Ruff","given":"Christopher B.","non-dropping-particle":"","parse-names":false,"suffix":""},{"dropping-particle":"","family":"Garofalo","given":"Evan M.","non-dropping-particle":"","parse-names":false,"suffix":""},{"dropping-particle":"","family":"Hager","given":"Lori D.","non-dropping-particle":"","parse-names":false,"suffix":""},{"dropping-particle":"","family":"Haddow","given":"Scott D.","non-dropping-particle":"","parse-names":false,"suffix":""},{"dropping-particle":"","family":"Knüsel","given":"Christopher J.","non-dropping-particle":"","parse-names":false,"suffix":""}],"container-title":"Journal of World Prehistory","id":"ITEM-1","issue":"1","issued":{"date-parts":[["2015"]]},"page":"27-68","title":"Bioarchaeology of Neolithic Çatalhöyük: Lives and Lifestyles of an Early Farming Society in Transition","type":"article-journal","volume":"28"},"uris":["http://www.mendeley.com/documents/?uuid=d8f71921-e4bd-4858-b65b-78f11981f439"]}],"mendeley":{"formattedCitation":"(Larsen &lt;i&gt;et al.&lt;/i&gt;, 2015)","manualFormatting":"(Larsen et al. 2015)","plainTextFormattedCitation":"(Larsen et al., 2015)","previouslyFormattedCitation":"(Larsen et al., 2015)"},"properties":{"noteIndex":0},"schema":"https://github.com/citation-style-language/schema/raw/master/csl-citation.json"}</w:instrText>
      </w:r>
      <w:r w:rsidRPr="007F327D">
        <w:fldChar w:fldCharType="separate"/>
      </w:r>
      <w:r w:rsidRPr="007F327D">
        <w:t>(Larsen et al. 2015)</w:t>
      </w:r>
      <w:r w:rsidRPr="007F327D">
        <w:fldChar w:fldCharType="end"/>
      </w:r>
      <w:r w:rsidRPr="007F327D">
        <w:t xml:space="preserve">. Behaviour and mobility can be explored using cross-sectional geometric properties to estimate bone strength, which is dependent on the distribution of cortical bone within the long bone diaphyseal shaft </w:t>
      </w:r>
      <w:r w:rsidRPr="007F327D">
        <w:fldChar w:fldCharType="begin" w:fldLock="1"/>
      </w:r>
      <w:r w:rsidRPr="007F327D">
        <w:instrText>ADDIN CSL_CITATION {"citationItems":[{"id":"ITEM-1","itemData":{"author":[{"dropping-particle":"","family":"Ruff","given":"CB","non-dropping-particle":"","parse-names":false,"suffix":""}],"container-title":"Biological Anthropology of the Human Skeleton","editor":[{"dropping-particle":"","family":"Katzenberg","given":"MA","non-dropping-particle":"","parse-names":false,"suffix":""},{"dropping-particle":"","family":"Saunders","given":"SR","non-dropping-particle":"","parse-names":false,"suffix":""}],"id":"ITEM-1","issued":{"date-parts":[["2008"]]},"page":"183-206","publisher":"Alan R. Liss","title":"Biomechanical analyses of archaeological human skeletons","type":"chapter"},"uris":["http://www.mendeley.com/documents/?uuid=fa2303fb-e87c-4ec8-be92-a67d226b97c2"]}],"mendeley":{"formattedCitation":"(Ruff, 2008)","manualFormatting":"(cf Ruff 2008)","plainTextFormattedCitation":"(Ruff, 2008)","previouslyFormattedCitation":"(Ruff, 2008)"},"properties":{"noteIndex":0},"schema":"https://github.com/citation-style-language/schema/raw/master/csl-citation.json"}</w:instrText>
      </w:r>
      <w:r w:rsidRPr="007F327D">
        <w:fldChar w:fldCharType="separate"/>
      </w:r>
      <w:r w:rsidRPr="007F327D">
        <w:t>(cf. Ruff 2008)</w:t>
      </w:r>
      <w:r w:rsidRPr="007F327D">
        <w:fldChar w:fldCharType="end"/>
      </w:r>
      <w:r w:rsidRPr="007F327D">
        <w:t xml:space="preserve">. Here, cross-sectional geometric analyses were employed to evaluate temporal patterns in growth-related, cross-sectional long bone strength in adults and subadults spanning the Early, Middle and Late Neolithic occupation periods, with the Final period collapsed into Late period due to its small sample size. </w:t>
      </w:r>
    </w:p>
    <w:p w14:paraId="7C15CFB5" w14:textId="77777777" w:rsidR="009C2187" w:rsidRPr="007F327D" w:rsidRDefault="009C2187" w:rsidP="009C2187">
      <w:pPr>
        <w:pStyle w:val="Paragraph"/>
      </w:pPr>
      <w:r w:rsidRPr="007F327D">
        <w:t xml:space="preserve">Cross-sectional geometric sections were reconstructed for adult and subadult femora and humeri (table 16.7 for adult sample provenience). Subadult remains excavated since 1993 were measured. These analyses require preserved periosteal surfaces and sufficient skeletal remains to estimate bone length, body size, and sex. Cross-sectional properties were reconstructed using biplanar radiographs and latex moulds to describe the cortical dimensions and external silhouettes of long bone </w:t>
      </w:r>
      <w:r w:rsidRPr="007F327D">
        <w:lastRenderedPageBreak/>
        <w:t xml:space="preserve">shafts </w:t>
      </w:r>
      <w:r w:rsidRPr="007F327D">
        <w:fldChar w:fldCharType="begin" w:fldLock="1"/>
      </w:r>
      <w:r w:rsidRPr="007F327D">
        <w:instrText>ADDIN CSL_CITATION {"citationItems":[{"id":"ITEM-1","itemData":{"DOI":"10.1016/j.jhevol.2004.07.002","ISSN":"0047-2484","PMID":"15454334","abstract":"Cross-sectional properties (areas, second moments of area) have been used extensively for reconstructing the mechanical loading history of long bone shafts. In the absence of a fortuitous break or available computed tomography (CT) facilities, the endosteal and/or periosteal boundaries of a bone may be approximated using alternative noninvasive methods. The present study tests whether cross-sectional geometric properties of human lower limb bones can be adequately estimated using two such techniques: the ellipse model method (EMM), which uses biplanar radiography alone, and the latex cast method (LCM), which involves molding of the subperiosteal contour in combination with biplanar radiography to estimate the contour of the medullary canal. Results of both methods are compared with \"true\" cross-sectional properties calculated by direct sectioning. The study sample includes matched femora and tibiae of 50 Pecos Pueblo Amerindians. Bone areas and second moments of area were calculated for the midshaft femur and tibia and proximal femoral diaphysis in each individual. Percent differences between methods were derived to evaluate directional (systematic) and absolute (random) error. Multiple regression was also used to investigate the sources of error associated with each method. The results indicate that while the LCM shows generally good correspondence to the true cross-sectional properties, the EMM generally overestimates true parameters. Regression equations are provided to correct this overestimation, and, when applied to another sample, are shown to significantly improve estimates for the femoral midshaft, although corrections are less successful for the other section locations. Our results suggest that the LCM is an adequate substitute for estimating cross-sectional properties when direct sectioning and CT are not feasible. The EMM is a reasonable alternative, although the bias inherent in the method should be corrected if possible, especially when the results of the study are to be compared with data collected using different methods.","author":[{"dropping-particle":"","family":"O'Neill","given":"Matthew C","non-dropping-particle":"","parse-names":false,"suffix":""},{"dropping-particle":"","family":"Ruff","given":"CB","non-dropping-particle":"","parse-names":false,"suffix":""}],"container-title":"Journal of Human Evolution","id":"ITEM-1","issue":"4","issued":{"date-parts":[["2004","10"]]},"page":"221-35","title":"Estimating human long bone cross-sectional geometric properties: a comparison of noninvasive methods.","type":"article-journal","volume":"47"},"uris":["http://www.mendeley.com/documents/?uuid=084885f6-491d-41cf-b39c-36742ffa73cd"]}],"mendeley":{"formattedCitation":"(O’Neill and Ruff, 2004)","manualFormatting":"(O’Neill and Ruff 2004)","plainTextFormattedCitation":"(O’Neill and Ruff, 2004)","previouslyFormattedCitation":"(O’Neill and Ruff, 2004)"},"properties":{"noteIndex":0},"schema":"https://github.com/citation-style-language/schema/raw/master/csl-citation.json"}</w:instrText>
      </w:r>
      <w:r w:rsidRPr="007F327D">
        <w:fldChar w:fldCharType="separate"/>
      </w:r>
      <w:r w:rsidRPr="007F327D">
        <w:t>(O’Neill, Ruff 2004)</w:t>
      </w:r>
      <w:r w:rsidRPr="007F327D">
        <w:fldChar w:fldCharType="end"/>
      </w:r>
      <w:r w:rsidRPr="007F327D">
        <w:t xml:space="preserve">. Cross-sectional properties were reconstructed at femoral mid-shafts (adults at 50% of length and unfused subadults at 45.5% of length) and more distally on the humeral shaft (adults at 35% of length and unfused subadults at 41% of length) </w:t>
      </w:r>
      <w:r w:rsidRPr="007F327D">
        <w:fldChar w:fldCharType="begin" w:fldLock="1"/>
      </w:r>
      <w:r w:rsidRPr="007F327D">
        <w:instrText>ADDIN CSL_CITATION {"citationItems":[{"id":"ITEM-1","itemData":{"DOI":"10.1146/annurev.anthro.31.040402.085407","ISSN":"0084-6570","abstract":"▪ Abstract Evolutionary trends in human body form provide important context for interpreting variation among modern populations. Average body mass in living humans is smaller than it was during most of the Pleistocene, possibly owing to technological improvements during the past 50,000 years that no longer favored large body size. Sexual dimorphism in body size reached modern levels at least 150,000 years ago and probably earlier. Geographic variation in both body size and shape in earlier humans paralleled latitudinal clines observed today. Climatic adaptation is the most likely primary cause for these gradients, overlain in more recent populations by nutritional effects on growth. Thus, to distinguish growth disturbances, it is necessary to partition out the (presumably genetic) long-term differences in body form between populations that have resulted from climatic selection. An example is given from a study of Inupiat children, using a new index of body shape to assess relative body mass.","author":[{"dropping-particle":"","family":"Ruff","given":"CB","non-dropping-particle":"","parse-names":false,"suffix":""}],"container-title":"Annual Review of Anthropology","id":"ITEM-1","issue":"1","issued":{"date-parts":[["2002","10","28"]]},"language":"en","page":"211-232","publisher":"Annual Reviews 4139 El Camino Way, P.O. Box 10139, Palo Alto, CA 94303-0139, USA","title":"Variation in Human Body Size and Shape","type":"article-journal","volume":"31"},"uris":["http://www.mendeley.com/documents/?uuid=00fc1004-96d1-4b69-b2e7-e45926da03d5"]}],"mendeley":{"formattedCitation":"(Ruff, 2002)","manualFormatting":"(Ruff 2002)","plainTextFormattedCitation":"(Ruff, 2002)","previouslyFormattedCitation":"(Ruff, 2002)"},"properties":{"noteIndex":0},"schema":"https://github.com/citation-style-language/schema/raw/master/csl-citation.json"}</w:instrText>
      </w:r>
      <w:r w:rsidRPr="007F327D">
        <w:fldChar w:fldCharType="separate"/>
      </w:r>
      <w:r w:rsidRPr="007F327D">
        <w:t>(Ruff 2002)</w:t>
      </w:r>
      <w:r w:rsidRPr="007F327D">
        <w:fldChar w:fldCharType="end"/>
      </w:r>
      <w:r w:rsidRPr="007F327D">
        <w:t xml:space="preserve">. Strength properties were calculated from the reconstructed cross-sections using an automated programme </w:t>
      </w:r>
      <w:r w:rsidRPr="007F327D">
        <w:fldChar w:fldCharType="begin" w:fldLock="1"/>
      </w:r>
      <w:r w:rsidRPr="007F327D">
        <w:instrText>ADDIN CSL_CITATION {"citationItems":[{"id":"ITEM-1","itemData":{"DOI":"10.1002/ajpa.21299","ISSN":"1096-8644","PMID":"20607698","abstract":"Many recent studies have used long bone cross-sectional geometric properties in various comparative analyses. Methods have been described for reconstructing diaphyseal cross sections from external molds and biplanar radiographs that produce accurate results (within 5% of true values on average). The manual image processing required, however, is both time and labor intensive. A new freely available program developed here for the computational freeware, R, automates much of the process. This study compares cross-sectional properties calculated using the new R program to those from peripheral quantitative CT (pQCT) and the original manual method. We find that the R program works aswell as the original manual image processing for most cross sections eliminates the chance for entry errors at several steps and greatly speeds up data collection.","author":[{"dropping-particle":"","family":"Sylvester","given":"AD","non-dropping-particle":"","parse-names":false,"suffix":""},{"dropping-particle":"","family":"Garofalo","given":"EM","non-dropping-particle":"","parse-names":false,"suffix":""},{"dropping-particle":"","family":"Ruff","given":"CB","non-dropping-particle":"","parse-names":false,"suffix":""}],"container-title":"American Journal of Physical Anthropology","id":"ITEM-1","issue":"4","issued":{"date-parts":[["2010","8"]]},"page":"665-9","title":"Technical note: an R program for automating bone cross section reconstruction.","type":"article-journal","volume":"142"},"uris":["http://www.mendeley.com/documents/?uuid=9a0bc2f2-0e6d-4605-bdd3-7eaa5c0a0da2"]}],"mendeley":{"formattedCitation":"(Sylvester, Garofalo and Ruff, 2010)","manualFormatting":"(Sylvester et al. 2010)","plainTextFormattedCitation":"(Sylvester, Garofalo and Ruff, 2010)","previouslyFormattedCitation":"(Sylvester et al., 2010)"},"properties":{"noteIndex":0},"schema":"https://github.com/citation-style-language/schema/raw/master/csl-citation.json"}</w:instrText>
      </w:r>
      <w:r w:rsidRPr="007F327D">
        <w:fldChar w:fldCharType="separate"/>
      </w:r>
      <w:r w:rsidRPr="007F327D">
        <w:t>(Sylvester et al. 2010)</w:t>
      </w:r>
      <w:r w:rsidRPr="007F327D">
        <w:fldChar w:fldCharType="end"/>
      </w:r>
      <w:r w:rsidRPr="007F327D">
        <w:t xml:space="preserve">. </w:t>
      </w:r>
    </w:p>
    <w:p w14:paraId="6BCE4431" w14:textId="77777777" w:rsidR="009C2187" w:rsidRPr="007F327D" w:rsidRDefault="009C2187" w:rsidP="009C2187">
      <w:pPr>
        <w:pStyle w:val="Paragraph"/>
        <w:rPr>
          <w:rFonts w:eastAsia="Trebuchet MS"/>
        </w:rPr>
      </w:pPr>
      <w:r w:rsidRPr="007F327D">
        <w:t xml:space="preserve">Estimates of bending strength were calculated as section moduli for antero-posterior (AP: </w:t>
      </w:r>
      <w:proofErr w:type="spellStart"/>
      <w:r w:rsidRPr="007F327D">
        <w:t>Z</w:t>
      </w:r>
      <w:r w:rsidRPr="007F327D">
        <w:rPr>
          <w:vertAlign w:val="subscript"/>
        </w:rPr>
        <w:t>x</w:t>
      </w:r>
      <w:proofErr w:type="spellEnd"/>
      <w:r w:rsidRPr="007F327D">
        <w:t xml:space="preserve">) and medio-lateral (ML: </w:t>
      </w:r>
      <w:proofErr w:type="spellStart"/>
      <w:r w:rsidRPr="007F327D">
        <w:t>Z</w:t>
      </w:r>
      <w:r w:rsidRPr="007F327D">
        <w:rPr>
          <w:vertAlign w:val="subscript"/>
        </w:rPr>
        <w:t>y</w:t>
      </w:r>
      <w:proofErr w:type="spellEnd"/>
      <w:r w:rsidRPr="007F327D">
        <w:t xml:space="preserve">) planes. </w:t>
      </w:r>
      <w:r w:rsidRPr="007F327D">
        <w:rPr>
          <w:rFonts w:eastAsia="Trebuchet MS"/>
        </w:rPr>
        <w:t>A ratio of AP (antero-posterior) and ML (medio-lateral) cross-sectional bending strength (</w:t>
      </w:r>
      <w:proofErr w:type="spellStart"/>
      <w:r w:rsidRPr="007F327D">
        <w:rPr>
          <w:rFonts w:eastAsia="Trebuchet MS"/>
        </w:rPr>
        <w:t>Z</w:t>
      </w:r>
      <w:r w:rsidRPr="007F327D">
        <w:rPr>
          <w:rFonts w:eastAsia="Trebuchet MS"/>
          <w:vertAlign w:val="subscript"/>
        </w:rPr>
        <w:t>x</w:t>
      </w:r>
      <w:proofErr w:type="spellEnd"/>
      <w:r w:rsidRPr="007F327D">
        <w:rPr>
          <w:rFonts w:eastAsia="Trebuchet MS"/>
        </w:rPr>
        <w:t>/</w:t>
      </w:r>
      <w:proofErr w:type="spellStart"/>
      <w:r w:rsidRPr="007F327D">
        <w:rPr>
          <w:rFonts w:eastAsia="Trebuchet MS"/>
        </w:rPr>
        <w:t>Z</w:t>
      </w:r>
      <w:r w:rsidRPr="007F327D">
        <w:rPr>
          <w:rFonts w:eastAsia="Trebuchet MS"/>
          <w:vertAlign w:val="subscript"/>
        </w:rPr>
        <w:t>y</w:t>
      </w:r>
      <w:proofErr w:type="spellEnd"/>
      <w:r w:rsidRPr="007F327D">
        <w:rPr>
          <w:rFonts w:eastAsia="Trebuchet MS"/>
        </w:rPr>
        <w:t xml:space="preserve">) is an indication of mobility attributed to mechanical loading that promotes bone deposition along the antero-posterior axis of femora and tibiae </w:t>
      </w:r>
      <w:r w:rsidRPr="007F327D">
        <w:rPr>
          <w:rFonts w:eastAsia="Trebuchet MS"/>
        </w:rPr>
        <w:fldChar w:fldCharType="begin" w:fldLock="1"/>
      </w:r>
      <w:r w:rsidRPr="007F327D">
        <w:rPr>
          <w:rFonts w:eastAsia="Trebuchet MS"/>
        </w:rPr>
        <w:instrText>ADDIN CSL_CITATION {"citationItems":[{"id":"ITEM-1","itemData":{"DOI":"10.1073/pnas.1502932112","ISBN":"0027-8424","ISSN":"0027-8424","abstract":"SignificanceDeclining mobility levels following the Pleistocene had profound effects on human demography, social organization, and health, but the exact timing and pace of this critical change are unknown. Here we examine direct evidence for changing mobility levels from limb bone structural characteristics in a large sample of European skeletons spanning the past 30,000 y. Our results show that mobility first declined during the Neolithic, at the onset of food production, but that the decline was gradual, continuing for several thousand years as agriculture intensified. No change in relative limb strength occurred during the past 2,000 y. Thus, the more gracile modern human skeleton is a result of increased sedentism tied to food production, not subsequent mechanization and industrialization. Increased sedentism during the Holocene has been proposed as a major cause of decreased skeletal robusticity (bone strength relative to body size) in modern humans. When and why declining mobility occurred has profound implications for reconstructing past population history and health, but it has proven difficult to characterize archaeologically. In this study we evaluate temporal trends in relative strength of the upper and lower limb bones in a sample of 1,842 individuals from across Europe extending from the Upper Paleolithic [11,000-33,000 calibrated years (Cal y) B.P.] through the 20th century. A large decline in anteroposterior bending strength of the femur and tibia occurs beginning in the Neolithic ([~]4,000-7,000 Cal y B.P.) and continues through the Iron/Roman period ([~]2,000 Cal y B.P.), with no subsequent directional change. Declines in mediolateral bending strength of the lower limb bones and strength of the humerus are much smaller and less consistent. Together these results strongly implicate declining mobility as the specific behavioral factor underlying these changes. Mobility levels first declined at the onset of food production, but the transition to a more sedentary lifestyle was gradual, extending through later agricultural intensification. This finding only partially supports models that tie increased sedentism to a relatively abrupt Neolithic Demographic Transition in Europe. The lack of subsequent change in relative bone strength indicates that increasing mechanization and urbanization had only relatively small effects on skeletal robusticity, suggesting that moderate changes in activity level are not sufficient stimuli for bone deposition…","author":[{"dropping-particle":"","family":"Ruff","given":"Christopher B.","non-dropping-particle":"","parse-names":false,"suffix":""},{"dropping-particle":"","family":"Holt","given":"Brigitte","non-dropping-particle":"","parse-names":false,"suffix":""},{"dropping-particle":"","family":"Niskanen","given":"Markku","non-dropping-particle":"","parse-names":false,"suffix":""},{"dropping-particle":"","family":"Sladek","given":"Vladimir","non-dropping-particle":"","parse-names":false,"suffix":""},{"dropping-particle":"","family":"Berner","given":"Margit","non-dropping-particle":"","parse-names":false,"suffix":""},{"dropping-particle":"","family":"Garofalo","given":"Evan","non-dropping-particle":"","parse-names":false,"suffix":""},{"dropping-particle":"","family":"Garvin","given":"Heather M.","non-dropping-particle":"","parse-names":false,"suffix":""},{"dropping-particle":"","family":"Hora","given":"Martin","non-dropping-particle":"","parse-names":false,"suffix":""},{"dropping-particle":"","family":"Junno","given":"Juho-Antti","non-dropping-particle":"","parse-names":false,"suffix":""},{"dropping-particle":"","family":"Schuplerova","given":"Eliska","non-dropping-particle":"","parse-names":false,"suffix":""},{"dropping-particle":"","family":"Vilkama","given":"Rosa","non-dropping-particle":"","parse-names":false,"suffix":""},{"dropping-particle":"","family":"Whittey","given":"Erin","non-dropping-particle":"","parse-names":false,"suffix":""}],"container-title":"Proceedings of the National Academy of Sciences","id":"ITEM-1","issue":"23","issued":{"date-parts":[["2015"]]},"page":"201502932","title":"Gradual decline in mobility with the adoption of food production in Europe","type":"article-journal","volume":"112"},"uris":["http://www.mendeley.com/documents/?uuid=d302bd72-1774-4afc-9123-9d0784387897"]}],"mendeley":{"formattedCitation":"(Ruff &lt;i&gt;et al.&lt;/i&gt;, 2015)","manualFormatting":"(Ruff et al. 2015)","plainTextFormattedCitation":"(Ruff et al., 2015)","previouslyFormattedCitation":"(Ruff et al., 2015)"},"properties":{"noteIndex":0},"schema":"https://github.com/citation-style-language/schema/raw/master/csl-citation.json"}</w:instrText>
      </w:r>
      <w:r w:rsidRPr="007F327D">
        <w:rPr>
          <w:rFonts w:eastAsia="Trebuchet MS"/>
        </w:rPr>
        <w:fldChar w:fldCharType="separate"/>
      </w:r>
      <w:r w:rsidRPr="007F327D">
        <w:rPr>
          <w:rFonts w:eastAsia="Trebuchet MS"/>
        </w:rPr>
        <w:t>(Ruff et al. 2015)</w:t>
      </w:r>
      <w:r w:rsidRPr="007F327D">
        <w:rPr>
          <w:rFonts w:eastAsia="Trebuchet MS"/>
        </w:rPr>
        <w:fldChar w:fldCharType="end"/>
      </w:r>
      <w:r w:rsidRPr="007F327D">
        <w:rPr>
          <w:rFonts w:eastAsia="Trebuchet MS"/>
        </w:rPr>
        <w:t xml:space="preserve">. </w:t>
      </w:r>
      <w:r w:rsidRPr="007F327D">
        <w:t>Overall bending strength was estimated with the polar section modulus (</w:t>
      </w:r>
      <w:proofErr w:type="spellStart"/>
      <w:r w:rsidRPr="007F327D">
        <w:t>Z</w:t>
      </w:r>
      <w:r w:rsidRPr="007F327D">
        <w:rPr>
          <w:vertAlign w:val="subscript"/>
        </w:rPr>
        <w:t>p</w:t>
      </w:r>
      <w:proofErr w:type="spellEnd"/>
      <w:r w:rsidRPr="007F327D">
        <w:t>), which reflects torsional and (twice) average bending strength. Estimates were standardised by body mass*bone length for comparisons of section moduli (</w:t>
      </w:r>
      <w:proofErr w:type="spellStart"/>
      <w:r w:rsidRPr="007F327D">
        <w:t>Z</w:t>
      </w:r>
      <w:r w:rsidRPr="007F327D">
        <w:rPr>
          <w:vertAlign w:val="subscript"/>
        </w:rPr>
        <w:t>x</w:t>
      </w:r>
      <w:proofErr w:type="spellEnd"/>
      <w:r w:rsidRPr="007F327D">
        <w:t xml:space="preserve">, </w:t>
      </w:r>
      <w:proofErr w:type="spellStart"/>
      <w:r w:rsidRPr="007F327D">
        <w:t>Z</w:t>
      </w:r>
      <w:r w:rsidRPr="007F327D">
        <w:rPr>
          <w:vertAlign w:val="subscript"/>
        </w:rPr>
        <w:t>y</w:t>
      </w:r>
      <w:proofErr w:type="spellEnd"/>
      <w:r w:rsidRPr="007F327D">
        <w:t xml:space="preserve"> and </w:t>
      </w:r>
      <w:proofErr w:type="spellStart"/>
      <w:r w:rsidRPr="007F327D">
        <w:t>Z</w:t>
      </w:r>
      <w:r w:rsidRPr="007F327D">
        <w:rPr>
          <w:vertAlign w:val="subscript"/>
        </w:rPr>
        <w:t>p</w:t>
      </w:r>
      <w:proofErr w:type="spellEnd"/>
      <w:r w:rsidRPr="007F327D">
        <w:t xml:space="preserve">) </w:t>
      </w:r>
      <w:r w:rsidRPr="007F327D">
        <w:fldChar w:fldCharType="begin" w:fldLock="1"/>
      </w:r>
      <w:r w:rsidRPr="007F327D">
        <w:instrText>ADDIN CSL_CITATION {"citationItems":[{"id":"ITEM-1","itemData":{"DOI":"10.1006/jhev.1999.0322","ISSN":"0047-2484","PMID":"10656779","abstract":"To identify behaviorally significant differences in bone structure it is first necessary to control for the effects of body size and body shape. Here the scaling of cross-sectional geometric properties of long bone diaphyses with different \"size\" measures (bone length, body mass, and the product of bone length and body mass) are compared in two modern human populations with very different body proportions: Pecos Pueblo Amerindians and East Africans. All five major long bones (excluding the fibula) were examined. Mechanical predictions are that cortical area (axial strength) should scale with body mass, while section modulus (bending/torsional strength) should scale with the product of body mass and moment arm length. These predictions are borne out for section moduli, when moment arm length is taken to be proportional to bone length, except in the proximal femoral diaphysis, where moment arm length is proportional to mediolateral body breadth (as would be expected given the predominance of M-L bending loads in this region). Mechanical scaling of long bone bending/torsional strength is similar in the upper and lower limbs despite the fact that the upper limb is not weight-bearing. Results for cortical area are more variable, possibly due to a less direct dependence on mechanical factors. Use of unadjusted bone length alone as a \"size\" measure produces misleading results when body shape varies significantly, as is the case between many modern and fossil hominid samples. In such cases a correction factor for body shape should be incorporated into any \"size\" standardization.","author":[{"dropping-particle":"","family":"Ruff","given":"CB","non-dropping-particle":"","parse-names":false,"suffix":""}],"container-title":"Journal of Human Evolution","id":"ITEM-1","issue":"2","issued":{"date-parts":[["2000","2"]]},"page":"269-90","title":"Body size, body shape, and long bone strength in modern humans.","type":"article-journal","volume":"38"},"uris":["http://www.mendeley.com/documents/?uuid=be6f6e70-e97d-46fa-95ef-05351ac325a1"]}],"mendeley":{"formattedCitation":"(Ruff, 2000)","manualFormatting":"(Ruff 2000)","plainTextFormattedCitation":"(Ruff, 2000)","previouslyFormattedCitation":"(Ruff, 2000)"},"properties":{"noteIndex":0},"schema":"https://github.com/citation-style-language/schema/raw/master/csl-citation.json"}</w:instrText>
      </w:r>
      <w:r w:rsidRPr="007F327D">
        <w:fldChar w:fldCharType="separate"/>
      </w:r>
      <w:r w:rsidRPr="007F327D">
        <w:t>(Ruff 2000)</w:t>
      </w:r>
      <w:r w:rsidRPr="007F327D">
        <w:fldChar w:fldCharType="end"/>
      </w:r>
      <w:r w:rsidRPr="007F327D">
        <w:t xml:space="preserve"> using body mass estimates from femoral head </w:t>
      </w:r>
      <w:proofErr w:type="spellStart"/>
      <w:r w:rsidRPr="007F327D">
        <w:t>supero</w:t>
      </w:r>
      <w:proofErr w:type="spellEnd"/>
      <w:r w:rsidRPr="007F327D">
        <w:t xml:space="preserve">-inferior breadth </w:t>
      </w:r>
      <w:r w:rsidRPr="007F327D">
        <w:fldChar w:fldCharType="begin" w:fldLock="1"/>
      </w:r>
      <w:r w:rsidRPr="007F327D">
        <w:instrText>ADDIN CSL_CITATION {"citationItems":[{"id":"ITEM-1","itemData":{"DOI":"10.1016/j.jhevol.2017.10.014","ISSN":"00472484","abstract":"Previous attempts to estimate body mass in pre-Holocene hominins have relied on prediction equations derived from relatively limited extant samples. Here we derive new equations to predict body mass from femoral head breadth and proximal tibial plateau breadth based on a large and diverse sample of modern humans (avoiding the problems associated with using diaphyseal dimensions and/or cadaveric reference samples). In addition, an adjustment for the relatively small femoral heads of non-Homo taxa is developed based on observed differences in hip to knee joint scaling. Body mass is then estimated for 214 terminal Miocene through Pleistocene hominin specimens. Mean body masses for non-Homo taxa range between 39 and 49 kg (39–45 kg if sex-specific means are averaged), with no consistent temporal trend (6–1.85 Ma). Mean body mass increases in early Homo (2.04–1.77 Ma) to 55–59 kg, and then again dramatically in Homo erectus and later archaic middle Pleistocene Homo, to about 70 kg. The same average body mass is maintained in late Pleistocene archaic Homo and early anatomically modern humans through the early/middle Upper Paleolithic (0.024 Ma), only declining in the late Upper Paleolithic, with regional variation. Sexual dimorphism in body mass is greatest in Australopithecus afarensis (log[male/female] = 1.54), declines in Australopithecus africanus and Paranthropus robustus (log ratio 1.36), and then again in early Homo and middle and late Pleistocene archaic Homo (log ratio 1.20–1.27), although it remains somewhat elevated above that of living and middle/late Pleistocene anatomically modern humans (log ratio about 1.15).","author":[{"dropping-particle":"","family":"Ruff","given":"Christopher B.","non-dropping-particle":"","parse-names":false,"suffix":""},{"dropping-particle":"","family":"Burgess","given":"M. Loring","non-dropping-particle":"","parse-names":false,"suffix":""},{"dropping-particle":"","family":"Squyres","given":"Nicole","non-dropping-particle":"","parse-names":false,"suffix":""},{"dropping-particle":"","family":"Junno","given":"Juho Antti","non-dropping-particle":"","parse-names":false,"suffix":""},{"dropping-particle":"","family":"Trinkaus","given":"Erik","non-dropping-particle":"","parse-names":false,"suffix":""}],"container-title":"Journal of Human Evolution","id":"ITEM-1","issued":{"date-parts":[["2018"]]},"page":"85-111","publisher":"Elsevier Ltd","title":"Lower limb articular scaling and body mass estimation in Pliocene and Pleistocene hominins","type":"article-journal","volume":"115"},"uris":["http://www.mendeley.com/documents/?uuid=bfe037d1-02b0-40f7-97c6-e6252da50055"]}],"mendeley":{"formattedCitation":"(Ruff &lt;i&gt;et al.&lt;/i&gt;, 2018)","manualFormatting":"(Ruff et al. 2018)","plainTextFormattedCitation":"(Ruff et al., 2018)","previouslyFormattedCitation":"(Ruff et al., 2018)"},"properties":{"noteIndex":0},"schema":"https://github.com/citation-style-language/schema/raw/master/csl-citation.json"}</w:instrText>
      </w:r>
      <w:r w:rsidRPr="007F327D">
        <w:fldChar w:fldCharType="separate"/>
      </w:r>
      <w:r w:rsidRPr="007F327D">
        <w:t>(Ruff et al. 2018)</w:t>
      </w:r>
      <w:r w:rsidRPr="007F327D">
        <w:fldChar w:fldCharType="end"/>
      </w:r>
      <w:r w:rsidRPr="007F327D">
        <w:t xml:space="preserve"> and maximum long bone length. Maximum bone lengths were estimated from diaphyseal lengths for unfused elements using published ratios </w:t>
      </w:r>
      <w:r w:rsidRPr="007F327D">
        <w:fldChar w:fldCharType="begin" w:fldLock="1"/>
      </w:r>
      <w:r w:rsidRPr="007F327D">
        <w:instrText>ADDIN CSL_CITATION {"citationItems":[{"id":"ITEM-1","itemData":{"DOI":"10.1002/ajpa","author":[{"dropping-particle":"","family":"Ruff","given":"CB","non-dropping-particle":"","parse-names":false,"suffix":""}],"container-title":"American Journal of Physical Anthropology","id":"ITEM-1","issued":{"date-parts":[["2007"]]},"page":"698-716","title":"Body Size Prediction From Juvenile Skeletal Remains","type":"article-journal","volume":"133"},"uris":["http://www.mendeley.com/documents/?uuid=f30ce1b8-fb29-413d-8a59-734afbfabcbd"]}],"mendeley":{"formattedCitation":"(Ruff, 2007)","manualFormatting":"(Ruff 2007)","plainTextFormattedCitation":"(Ruff, 2007)","previouslyFormattedCitation":"(Ruff, 2007)"},"properties":{"noteIndex":0},"schema":"https://github.com/citation-style-language/schema/raw/master/csl-citation.json"}</w:instrText>
      </w:r>
      <w:r w:rsidRPr="007F327D">
        <w:fldChar w:fldCharType="separate"/>
      </w:r>
      <w:r w:rsidRPr="007F327D">
        <w:t>(Ruff 2007)</w:t>
      </w:r>
      <w:r w:rsidRPr="007F327D">
        <w:fldChar w:fldCharType="end"/>
      </w:r>
      <w:r w:rsidRPr="007F327D">
        <w:t xml:space="preserve">. </w:t>
      </w:r>
      <w:r w:rsidRPr="007F327D">
        <w:rPr>
          <w:rFonts w:eastAsia="Trebuchet MS"/>
        </w:rPr>
        <w:t>Given unequal sample sizes, temporal analyses use non-parametric Kruskal-Wallis ANOVA tests with Bonferroni adjusted post-hoc</w:t>
      </w:r>
      <w:r w:rsidRPr="007F327D">
        <w:rPr>
          <w:color w:val="222222"/>
          <w:shd w:val="clear" w:color="auto" w:fill="FFFFFF"/>
        </w:rPr>
        <w:t xml:space="preserve"> multiple comparison tests of mean ranks between groups.</w:t>
      </w:r>
    </w:p>
    <w:p w14:paraId="631B0C4D" w14:textId="77777777" w:rsidR="009C2187" w:rsidRPr="007F327D" w:rsidRDefault="009C2187" w:rsidP="009C2187">
      <w:pPr>
        <w:pStyle w:val="Heading2"/>
      </w:pPr>
      <w:r w:rsidRPr="007F327D">
        <w:t xml:space="preserve">Temporal trends within </w:t>
      </w:r>
      <w:proofErr w:type="spellStart"/>
      <w:r w:rsidRPr="007F327D">
        <w:t>Çatalhöyük</w:t>
      </w:r>
      <w:proofErr w:type="spellEnd"/>
      <w:r w:rsidRPr="007F327D">
        <w:t xml:space="preserve">: adults </w:t>
      </w:r>
    </w:p>
    <w:p w14:paraId="1FB3D398" w14:textId="77777777" w:rsidR="009C2187" w:rsidRPr="007F327D" w:rsidRDefault="009C2187" w:rsidP="009C2187">
      <w:pPr>
        <w:pStyle w:val="Paragraph"/>
      </w:pPr>
      <w:r w:rsidRPr="007F327D">
        <w:t xml:space="preserve">Throughout the occupation sequence at </w:t>
      </w:r>
      <w:proofErr w:type="spellStart"/>
      <w:r w:rsidRPr="007F327D">
        <w:t>Çatalhöyük</w:t>
      </w:r>
      <w:proofErr w:type="spellEnd"/>
      <w:r w:rsidRPr="007F327D">
        <w:t xml:space="preserve">, adult AP/ML femoral bending strength increases (fig. 16.13; Kruskal-Wallis: </w:t>
      </w:r>
      <w:r w:rsidRPr="007F327D">
        <w:rPr>
          <w:i/>
          <w:iCs/>
        </w:rPr>
        <w:t>p</w:t>
      </w:r>
      <w:r w:rsidRPr="007F327D">
        <w:t xml:space="preserve">=0.0008; pairwise comparisons: Late/Final period </w:t>
      </w:r>
      <w:r w:rsidRPr="007F327D">
        <w:rPr>
          <w:b/>
        </w:rPr>
        <w:t>&gt;</w:t>
      </w:r>
      <w:r w:rsidRPr="007F327D">
        <w:t xml:space="preserve"> Middle period: p&lt;0.02; Late/Final period &gt; Early period: p=0.001). The pattern is statistically significant in females in the Late/Final period compared to the Early period (p=0.007); other pairwise comparisons with sex are non-significant, probably due in part to reduced sample sizes.</w:t>
      </w:r>
    </w:p>
    <w:p w14:paraId="50C93E17" w14:textId="77777777" w:rsidR="009C2187" w:rsidRPr="007F327D" w:rsidRDefault="009C2187" w:rsidP="009C2187">
      <w:pPr>
        <w:pStyle w:val="Caption"/>
        <w:rPr>
          <w:rFonts w:cs="Times New Roman"/>
        </w:rPr>
      </w:pPr>
      <w:r w:rsidRPr="007F327D">
        <w:rPr>
          <w:rFonts w:cs="Times New Roman"/>
          <w:b/>
        </w:rPr>
        <w:t>Figure 16.13</w:t>
      </w:r>
      <w:r w:rsidRPr="007F327D">
        <w:rPr>
          <w:rFonts w:cs="Times New Roman"/>
        </w:rPr>
        <w:t xml:space="preserve">. </w:t>
      </w:r>
      <w:r w:rsidRPr="007F327D">
        <w:t>Boxplot of adult femoral AP / ML bending strength (</w:t>
      </w:r>
      <w:proofErr w:type="spellStart"/>
      <w:r w:rsidRPr="007F327D">
        <w:t>Zx</w:t>
      </w:r>
      <w:proofErr w:type="spellEnd"/>
      <w:r w:rsidRPr="007F327D">
        <w:t xml:space="preserve"> / </w:t>
      </w:r>
      <w:proofErr w:type="spellStart"/>
      <w:r w:rsidRPr="007F327D">
        <w:t>Zy</w:t>
      </w:r>
      <w:proofErr w:type="spellEnd"/>
      <w:r w:rsidRPr="007F327D">
        <w:t>) by temporal period and sex.</w:t>
      </w:r>
    </w:p>
    <w:p w14:paraId="535FEA52" w14:textId="77777777" w:rsidR="009C2187" w:rsidRPr="007F327D" w:rsidRDefault="009C2187" w:rsidP="009C2187">
      <w:pPr>
        <w:pStyle w:val="Paragraph"/>
      </w:pPr>
      <w:r w:rsidRPr="007F327D">
        <w:t>Standardised femoral bending strength (</w:t>
      </w:r>
      <w:proofErr w:type="spellStart"/>
      <w:r w:rsidRPr="007F327D">
        <w:t>Z</w:t>
      </w:r>
      <w:r w:rsidRPr="007F327D">
        <w:rPr>
          <w:vertAlign w:val="subscript"/>
        </w:rPr>
        <w:t>x</w:t>
      </w:r>
      <w:proofErr w:type="spellEnd"/>
      <w:r w:rsidRPr="007F327D">
        <w:t xml:space="preserve">, </w:t>
      </w:r>
      <w:proofErr w:type="spellStart"/>
      <w:r w:rsidRPr="007F327D">
        <w:t>Z</w:t>
      </w:r>
      <w:r w:rsidRPr="007F327D">
        <w:rPr>
          <w:vertAlign w:val="subscript"/>
        </w:rPr>
        <w:t>y</w:t>
      </w:r>
      <w:proofErr w:type="spellEnd"/>
      <w:r w:rsidRPr="007F327D">
        <w:t xml:space="preserve">, and </w:t>
      </w:r>
      <w:proofErr w:type="spellStart"/>
      <w:r w:rsidRPr="007F327D">
        <w:t>Z</w:t>
      </w:r>
      <w:r w:rsidRPr="007F327D">
        <w:rPr>
          <w:vertAlign w:val="subscript"/>
        </w:rPr>
        <w:t>p</w:t>
      </w:r>
      <w:proofErr w:type="spellEnd"/>
      <w:r w:rsidRPr="007F327D">
        <w:t xml:space="preserve">) also increases through time in males (particularly, </w:t>
      </w:r>
      <w:proofErr w:type="spellStart"/>
      <w:r w:rsidRPr="007F327D">
        <w:t>Z</w:t>
      </w:r>
      <w:r w:rsidRPr="007F327D">
        <w:rPr>
          <w:vertAlign w:val="subscript"/>
        </w:rPr>
        <w:t>x</w:t>
      </w:r>
      <w:proofErr w:type="spellEnd"/>
      <w:r w:rsidRPr="007F327D">
        <w:t xml:space="preserve">; Kruskal-Wallis: p&lt;0.04). However, females show a flat or even decreasing temporal trend in body-size standardised properties that is nearly significant for </w:t>
      </w:r>
      <w:proofErr w:type="spellStart"/>
      <w:r w:rsidRPr="007F327D">
        <w:t>Z</w:t>
      </w:r>
      <w:r w:rsidRPr="007F327D">
        <w:rPr>
          <w:vertAlign w:val="subscript"/>
        </w:rPr>
        <w:t>y</w:t>
      </w:r>
      <w:proofErr w:type="spellEnd"/>
      <w:r w:rsidRPr="007F327D">
        <w:t xml:space="preserve"> (Kruskal-Wallis: p=0.054) between the Middle and Late/Final periods. This pattern is demonstrated in overall bone strength (</w:t>
      </w:r>
      <w:proofErr w:type="spellStart"/>
      <w:r w:rsidRPr="007F327D">
        <w:t>Z</w:t>
      </w:r>
      <w:r w:rsidRPr="007F327D">
        <w:rPr>
          <w:vertAlign w:val="subscript"/>
        </w:rPr>
        <w:t>p</w:t>
      </w:r>
      <w:proofErr w:type="spellEnd"/>
      <w:r w:rsidRPr="007F327D">
        <w:t xml:space="preserve">), increasing through time for males from the Middle to Late/Final periods (p&lt;0.05) but not in females (fig. 16.14a). </w:t>
      </w:r>
    </w:p>
    <w:p w14:paraId="21AD3032" w14:textId="77777777" w:rsidR="009C2187" w:rsidRPr="007F327D" w:rsidRDefault="009C2187" w:rsidP="009C2187">
      <w:pPr>
        <w:pStyle w:val="Caption"/>
      </w:pPr>
      <w:r w:rsidRPr="007F327D">
        <w:rPr>
          <w:rFonts w:cs="Times New Roman"/>
          <w:b/>
        </w:rPr>
        <w:t>Figure 16.14</w:t>
      </w:r>
      <w:r w:rsidRPr="007F327D">
        <w:rPr>
          <w:rFonts w:cs="Times New Roman"/>
        </w:rPr>
        <w:t xml:space="preserve">. </w:t>
      </w:r>
      <w:r w:rsidRPr="007F327D">
        <w:t xml:space="preserve">Boxplot of adult (a) femoral and (b) overall bending strength (log standardised </w:t>
      </w:r>
      <w:proofErr w:type="spellStart"/>
      <w:r w:rsidRPr="007F327D">
        <w:t>Zp</w:t>
      </w:r>
      <w:proofErr w:type="spellEnd"/>
      <w:r w:rsidRPr="007F327D">
        <w:t>) by temporal period and sex (Early period male humeri n=0).</w:t>
      </w:r>
    </w:p>
    <w:p w14:paraId="0C1EB0EE" w14:textId="77777777" w:rsidR="009C2187" w:rsidRPr="007F327D" w:rsidRDefault="009C2187" w:rsidP="009C2187">
      <w:pPr>
        <w:pStyle w:val="Paragraph"/>
      </w:pPr>
      <w:r w:rsidRPr="007F327D">
        <w:t xml:space="preserve">Temporal patterns in body-size standardised humeral strength are similar to those of femoral strength but without statistical significance. While Late/Final period male humeral strength increases (standardised </w:t>
      </w:r>
      <w:proofErr w:type="spellStart"/>
      <w:r w:rsidRPr="007F327D">
        <w:t>Z</w:t>
      </w:r>
      <w:r w:rsidRPr="007F327D">
        <w:rPr>
          <w:vertAlign w:val="subscript"/>
        </w:rPr>
        <w:t>x</w:t>
      </w:r>
      <w:proofErr w:type="spellEnd"/>
      <w:r w:rsidRPr="007F327D">
        <w:t xml:space="preserve">, </w:t>
      </w:r>
      <w:proofErr w:type="spellStart"/>
      <w:r w:rsidRPr="007F327D">
        <w:t>Z</w:t>
      </w:r>
      <w:r w:rsidRPr="007F327D">
        <w:rPr>
          <w:vertAlign w:val="subscript"/>
        </w:rPr>
        <w:t>y</w:t>
      </w:r>
      <w:proofErr w:type="spellEnd"/>
      <w:r w:rsidRPr="007F327D">
        <w:t xml:space="preserve">, and </w:t>
      </w:r>
      <w:proofErr w:type="spellStart"/>
      <w:r w:rsidRPr="007F327D">
        <w:t>Z</w:t>
      </w:r>
      <w:r w:rsidRPr="007F327D">
        <w:rPr>
          <w:vertAlign w:val="subscript"/>
        </w:rPr>
        <w:t>p</w:t>
      </w:r>
      <w:proofErr w:type="spellEnd"/>
      <w:r w:rsidRPr="007F327D">
        <w:t>) compared to that of the Middle period, female humeral overall strength (</w:t>
      </w:r>
      <w:proofErr w:type="spellStart"/>
      <w:r w:rsidRPr="007F327D">
        <w:t>Z</w:t>
      </w:r>
      <w:r w:rsidRPr="007F327D">
        <w:rPr>
          <w:vertAlign w:val="subscript"/>
        </w:rPr>
        <w:t>p</w:t>
      </w:r>
      <w:proofErr w:type="spellEnd"/>
      <w:r w:rsidRPr="007F327D">
        <w:t xml:space="preserve">) decreases from the Middle to the Late/Final period (fig. 16.14b). </w:t>
      </w:r>
    </w:p>
    <w:p w14:paraId="107647DF" w14:textId="77777777" w:rsidR="009C2187" w:rsidRPr="007F327D" w:rsidRDefault="009C2187" w:rsidP="009C2187">
      <w:pPr>
        <w:pStyle w:val="Heading2"/>
        <w:rPr>
          <w:b/>
        </w:rPr>
      </w:pPr>
      <w:r w:rsidRPr="007F327D">
        <w:t xml:space="preserve">Broader comparisons: adults </w:t>
      </w:r>
    </w:p>
    <w:p w14:paraId="24AFEC56" w14:textId="77777777" w:rsidR="009C2187" w:rsidRPr="007F327D" w:rsidRDefault="009C2187" w:rsidP="009C2187">
      <w:pPr>
        <w:pStyle w:val="Paragraph"/>
      </w:pPr>
      <w:r w:rsidRPr="007F327D">
        <w:t xml:space="preserve">Figure 16.15a shows </w:t>
      </w:r>
      <w:proofErr w:type="spellStart"/>
      <w:r w:rsidRPr="007F327D">
        <w:t>Çatalhöyük</w:t>
      </w:r>
      <w:proofErr w:type="spellEnd"/>
      <w:r w:rsidRPr="007F327D">
        <w:t xml:space="preserve"> femoral midshaft AP/ML bending strength in a broader temporal context. Following the Upper Palaeolithic strongly AP-oriented femora, there is a sharp decline in AP/ML bending strength in both sexes, but more markedly in males. </w:t>
      </w:r>
      <w:proofErr w:type="spellStart"/>
      <w:r w:rsidRPr="007F327D">
        <w:t>Çatalhöyük</w:t>
      </w:r>
      <w:proofErr w:type="spellEnd"/>
      <w:r w:rsidRPr="007F327D">
        <w:t xml:space="preserve"> values are generally similar to those of the Levantine Pre-Pottery Neolithic </w:t>
      </w:r>
      <w:r w:rsidRPr="007F327D">
        <w:fldChar w:fldCharType="begin" w:fldLock="1"/>
      </w:r>
      <w:r w:rsidRPr="007F327D">
        <w:instrText>ADDIN CSL_CITATION {"citationItems":[{"id":"ITEM-1","itemData":{"author":[{"dropping-particle":"","family":"Hershkovitz","given":"Israel","non-dropping-particle":"","parse-names":false,"suffix":""},{"dropping-particle":"","family":"Gopher","given":"Avi","non-dropping-particle":"","parse-names":false,"suffix":""}],"container-title":"The Neolithic Demographic Transition and its Consequences","editor":[{"dropping-particle":"","family":"Bocquet-Appel","given":"J-P","non-dropping-particle":"","parse-names":false,"suffix":""},{"dropping-particle":"","family":"Bar-Yosef","given":"O","non-dropping-particle":"","parse-names":false,"suffix":""}],"id":"ITEM-1","issued":{"date-parts":[["2008"]]},"page":"441-479","publisher":"Springer","publisher-place":"New York","title":"Dmographic, biological and cultural aspects of the Neolithic revolution: A view from the Souther Levant.","type":"chapter"},"uris":["http://www.mendeley.com/documents/?uuid=69600964-5ef9-48ae-8e73-39bd704c0e5d"]},{"id":"ITEM-2","itemData":{"DOI":"10.1002/ajpa.23003","ISSN":"10968644","abstract":"Objectives: To examine the femoral midshaft morphological characteristics in hunter-gathering Natufian and farming Pre-pottery Neolithic (PPN) populations in the southern Levant and relate these to changes in mobility, physical stress, and diet. Materials and Methods: 32 Natufian, 41 PPNB, and 26 PPNC femora, dating from 14,900 to 8,250 cal BP, were studied. Femoral diaphyseal cross-sectional images were obtained from CT scans. Dedicated software was used to measure cross-sectional breadths, areas, cortical bone thickness, rigidity, and strength. Results: Two general temporal trends in femoral bone architecture were observed: (1) a continuous decline in the relative amount of bone tissue (cortical area/total area) due to expansion of the medullary cavity and (2) an increase in circularity (decrease in anteroposterior/mediolateral ratios) together with an overall decline in bone rigidity and strength, mainly apparent in the later PPNC. The first trend suggests a gradual decline in nutritional quality and health continuing from the Natufian through the late Neolithic. The second trend is interpreted as a result of increased sedentism with the full establishment of agriculture. Discussion: The transition to food production in the southern Levant was accompanied by reduced physical stress and mobility, with the most marked effects occurring toward the end of the PPN with increasing sedentism. Deterioration of nutrition and health also occurred, but more continuously from the beginning of the PPN. Thus, environmental changes associated with the agricultural transition in this region of the world were gradual and prolonged, with direct dietary effects more apparent earlier than reductions in mobility. Am J Phys Anthropol 161:26–36, 2016. © 2016 Wiley Periodicals, Inc. © 2016 Wiley Periodicals, Inc.","author":[{"dropping-particle":"","family":"May","given":"Hila","non-dropping-particle":"","parse-names":false,"suffix":""},{"dropping-particle":"","family":"Ruff","given":"Christopher","non-dropping-particle":"","parse-names":false,"suffix":""}],"container-title":"American Journal of Physical Anthropology","id":"ITEM-2","issue":"1","issued":{"date-parts":[["2016"]]},"page":"26-36","title":"Physical burden and lower limb bone structure at the origin of agriculture in the levant","type":"article-journal","volume":"161"},"uris":["http://www.mendeley.com/documents/?uuid=ffddbd21-efcc-4852-b18b-038e8787b07a"]}],"mendeley":{"formattedCitation":"(Hershkovitz and Gopher, 2008; May and Ruff, 2016)","manualFormatting":"(Hershkovitz and Gopher 2008; May and Ruff 2016)","plainTextFormattedCitation":"(Hershkovitz and Gopher, 2008; May and Ruff, 2016)","previouslyFormattedCitation":"(Hershkovitz and Gopher, 2008; May and Ruff, 2016)"},"properties":{"noteIndex":0},"schema":"https://github.com/citation-style-language/schema/raw/master/csl-citation.json"}</w:instrText>
      </w:r>
      <w:r w:rsidRPr="007F327D">
        <w:fldChar w:fldCharType="separate"/>
      </w:r>
      <w:r w:rsidRPr="007F327D">
        <w:t>(Hershkovitz, Gopher 2008; May, Ruff 2016)</w:t>
      </w:r>
      <w:r w:rsidRPr="007F327D">
        <w:fldChar w:fldCharType="end"/>
      </w:r>
      <w:r w:rsidRPr="007F327D">
        <w:t xml:space="preserve"> while European Early Neolithic </w:t>
      </w:r>
      <w:r w:rsidRPr="007F327D">
        <w:fldChar w:fldCharType="begin" w:fldLock="1"/>
      </w:r>
      <w:r w:rsidRPr="007F327D">
        <w:instrText>ADDIN CSL_CITATION {"citationItems":[{"id":"ITEM-1","itemData":{"editor":[{"dropping-particle":"","family":"Ruff","given":"Christopher B.","non-dropping-particle":"","parse-names":false,"suffix":""}],"id":"ITEM-1","issued":{"date-parts":[["2018"]]},"publisher":"Wiley Blackwell","publisher-place":"Hoboken, NJ, USA","title":"Skeletal variaton and adaptaton in Europeans; Upper Paleolithic to the Twentieth Century","type":"book"},"uris":["http://www.mendeley.com/documents/?uuid=be4ea575-1ec6-4f0a-8901-cf2313d47587"]}],"mendeley":{"formattedCitation":"(Ruff, 2018)","plainTextFormattedCitation":"(Ruff, 2018)","previouslyFormattedCitation":"(Ruff, 2018)"},"properties":{"noteIndex":0},"schema":"https://github.com/citation-style-language/schema/raw/master/csl-citation.json"}</w:instrText>
      </w:r>
      <w:r w:rsidRPr="007F327D">
        <w:fldChar w:fldCharType="separate"/>
      </w:r>
      <w:r w:rsidRPr="007F327D">
        <w:t>(Ruff 2018)</w:t>
      </w:r>
      <w:r w:rsidRPr="007F327D">
        <w:fldChar w:fldCharType="end"/>
      </w:r>
      <w:r w:rsidRPr="007F327D">
        <w:t xml:space="preserve"> values are comparatively lower. After the Upper Palaeolithic, sexual dimorphism diminishes, but AP/ML bending strength remains consistently greater in males. </w:t>
      </w:r>
    </w:p>
    <w:p w14:paraId="0C0A6D2C" w14:textId="77777777" w:rsidR="009C2187" w:rsidRPr="007F327D" w:rsidRDefault="009C2187" w:rsidP="009C2187">
      <w:pPr>
        <w:pStyle w:val="Caption"/>
      </w:pPr>
      <w:r w:rsidRPr="007F327D">
        <w:rPr>
          <w:rFonts w:cs="Times New Roman"/>
          <w:b/>
        </w:rPr>
        <w:t>Figure 16.15</w:t>
      </w:r>
      <w:r w:rsidRPr="007F327D">
        <w:rPr>
          <w:rFonts w:cs="Times New Roman"/>
        </w:rPr>
        <w:t xml:space="preserve">. </w:t>
      </w:r>
      <w:r w:rsidRPr="007F327D">
        <w:t>Mean femoral AP / ML bending strength (</w:t>
      </w:r>
      <w:proofErr w:type="spellStart"/>
      <w:r w:rsidRPr="007F327D">
        <w:t>Zx</w:t>
      </w:r>
      <w:proofErr w:type="spellEnd"/>
      <w:r w:rsidRPr="007F327D">
        <w:t xml:space="preserve"> / </w:t>
      </w:r>
      <w:proofErr w:type="spellStart"/>
      <w:r w:rsidRPr="007F327D">
        <w:t>Zy</w:t>
      </w:r>
      <w:proofErr w:type="spellEnd"/>
      <w:r w:rsidRPr="007F327D">
        <w:t xml:space="preserve">) of comparative European and Mediterranean samples with (a) pooled </w:t>
      </w:r>
      <w:proofErr w:type="spellStart"/>
      <w:r w:rsidRPr="007F327D">
        <w:t>Çatalhöyük</w:t>
      </w:r>
      <w:proofErr w:type="spellEnd"/>
      <w:r w:rsidRPr="007F327D">
        <w:t xml:space="preserve"> and (b) temporally subdivided </w:t>
      </w:r>
      <w:proofErr w:type="spellStart"/>
      <w:r w:rsidRPr="007F327D">
        <w:t>Çatalhöyük</w:t>
      </w:r>
      <w:proofErr w:type="spellEnd"/>
      <w:r w:rsidRPr="007F327D">
        <w:t xml:space="preserve"> adult sample.</w:t>
      </w:r>
    </w:p>
    <w:p w14:paraId="070AE0DE" w14:textId="48A91693" w:rsidR="009C2187" w:rsidRPr="007F327D" w:rsidRDefault="009C2187" w:rsidP="009C2187">
      <w:pPr>
        <w:pStyle w:val="Paragraph"/>
      </w:pPr>
      <w:r w:rsidRPr="007F327D">
        <w:t xml:space="preserve">Subdivision of the </w:t>
      </w:r>
      <w:proofErr w:type="spellStart"/>
      <w:r w:rsidRPr="007F327D">
        <w:t>Çatalhöyük</w:t>
      </w:r>
      <w:proofErr w:type="spellEnd"/>
      <w:r w:rsidRPr="007F327D">
        <w:t xml:space="preserve"> sample population temporally by period (fig. 16.15b) reveals that the Early period values are lowest, indicating more ML-oriented bending strength. The Middle period values increase and are similar to those of near contemporary Levantine Pre-Pottery Neolithic groups, while the </w:t>
      </w:r>
      <w:proofErr w:type="spellStart"/>
      <w:r w:rsidRPr="007F327D">
        <w:t>Çatalhöyük</w:t>
      </w:r>
      <w:proofErr w:type="spellEnd"/>
      <w:r w:rsidRPr="007F327D">
        <w:t xml:space="preserve"> Late period bending strength ratio is higher than that of European </w:t>
      </w:r>
      <w:r w:rsidRPr="007F327D">
        <w:lastRenderedPageBreak/>
        <w:t xml:space="preserve">Mesolithic populations </w:t>
      </w:r>
      <w:r w:rsidRPr="007F327D">
        <w:fldChar w:fldCharType="begin" w:fldLock="1"/>
      </w:r>
      <w:r w:rsidRPr="007F327D">
        <w:instrText>ADDIN CSL_CITATION {"citationItems":[{"id":"ITEM-1","itemData":{"editor":[{"dropping-particle":"","family":"Ruff","given":"Christopher B.","non-dropping-particle":"","parse-names":false,"suffix":""}],"id":"ITEM-1","issued":{"date-parts":[["2018"]]},"publisher":"Wiley Blackwell","publisher-place":"Hoboken, NJ, USA","title":"Skeletal variaton and adaptaton in Europeans; Upper Paleolithic to the Twentieth Century","type":"book"},"uris":["http://www.mendeley.com/documents/?uuid=be4ea575-1ec6-4f0a-8901-cf2313d47587"]}],"mendeley":{"formattedCitation":"(Ruff, 2018)","manualFormatting":"(Ruff 2018)","plainTextFormattedCitation":"(Ruff, 2018)","previouslyFormattedCitation":"(Ruff, 2018)"},"properties":{"noteIndex":0},"schema":"https://github.com/citation-style-language/schema/raw/master/csl-citation.json"}</w:instrText>
      </w:r>
      <w:r w:rsidRPr="007F327D">
        <w:fldChar w:fldCharType="separate"/>
      </w:r>
      <w:r w:rsidRPr="007F327D">
        <w:t>(Ruff 2018)</w:t>
      </w:r>
      <w:r w:rsidRPr="007F327D">
        <w:fldChar w:fldCharType="end"/>
      </w:r>
      <w:r w:rsidRPr="007F327D">
        <w:t xml:space="preserve"> and Natufian femora </w:t>
      </w:r>
      <w:r w:rsidRPr="007F327D">
        <w:fldChar w:fldCharType="begin" w:fldLock="1"/>
      </w:r>
      <w:r w:rsidRPr="007F327D">
        <w:instrText>ADDIN CSL_CITATION {"citationItems":[{"id":"ITEM-1","itemData":{"author":[{"dropping-particle":"","family":"Hershkovitz","given":"Israel","non-dropping-particle":"","parse-names":false,"suffix":""},{"dropping-particle":"","family":"Gopher","given":"Avi","non-dropping-particle":"","parse-names":false,"suffix":""}],"container-title":"The Neolithic Demographic Transition and its Consequences","editor":[{"dropping-particle":"","family":"Bocquet-Appel","given":"J-P","non-dropping-particle":"","parse-names":false,"suffix":""},{"dropping-particle":"","family":"Bar-Yosef","given":"O","non-dropping-particle":"","parse-names":false,"suffix":""}],"id":"ITEM-1","issued":{"date-parts":[["2008"]]},"page":"441-479","publisher":"Springer","publisher-place":"New York","title":"Dmographic, biological and cultural aspects of the Neolithic revolution: A view from the Souther Levant.","type":"chapter"},"uris":["http://www.mendeley.com/documents/?uuid=69600964-5ef9-48ae-8e73-39bd704c0e5d"]}],"mendeley":{"formattedCitation":"(Hershkovitz and Gopher, 2008)","manualFormatting":"(Hershkovitz and Gopher 2008)","plainTextFormattedCitation":"(Hershkovitz and Gopher, 2008)","previouslyFormattedCitation":"(Hershkovitz and Gopher, 2008)"},"properties":{"noteIndex":0},"schema":"https://github.com/citation-style-language/schema/raw/master/csl-citation.json"}</w:instrText>
      </w:r>
      <w:r w:rsidRPr="007F327D">
        <w:fldChar w:fldCharType="separate"/>
      </w:r>
      <w:r w:rsidRPr="007F327D">
        <w:t>(Hershkovitz, Gopher 2008)</w:t>
      </w:r>
      <w:r w:rsidRPr="007F327D">
        <w:fldChar w:fldCharType="end"/>
      </w:r>
      <w:r w:rsidRPr="007F327D">
        <w:t xml:space="preserve">. Considering mobility patterns, the Early period appears relatively sedentary, the Middle period bending strength ratio is as expected for an agricultural sample, and the Late/Final period is more similar to less sedentary European Mesolithic and Natufian samples. Thus, the early inhabitants of </w:t>
      </w:r>
      <w:proofErr w:type="spellStart"/>
      <w:r w:rsidRPr="007F327D">
        <w:t>Çatalhöyük</w:t>
      </w:r>
      <w:proofErr w:type="spellEnd"/>
      <w:r w:rsidRPr="007F327D">
        <w:t xml:space="preserve"> appear to have been a sedentary group compared to broadly contemporaneous food-producing populations that increased in daily travel through time until they were at least as mobile as some pre-agricultural populations. These results </w:t>
      </w:r>
      <w:r w:rsidRPr="007F327D">
        <w:rPr>
          <w:shd w:val="clear" w:color="auto" w:fill="FFFFFF"/>
        </w:rPr>
        <w:t xml:space="preserve">support hypotheses of increasing travel, changes in workload or type of activity, and resource exploitation through time at </w:t>
      </w:r>
      <w:proofErr w:type="spellStart"/>
      <w:r w:rsidRPr="007F327D">
        <w:t>Çatalhöyük</w:t>
      </w:r>
      <w:proofErr w:type="spellEnd"/>
      <w:r w:rsidRPr="007F327D">
        <w:t xml:space="preserve"> </w:t>
      </w:r>
      <w:r w:rsidRPr="007F327D">
        <w:rPr>
          <w:shd w:val="clear" w:color="auto" w:fill="FFFFFF"/>
        </w:rPr>
        <w:t>in an increasingly arid landscape associated with Holocene climate change</w:t>
      </w:r>
      <w:r>
        <w:rPr>
          <w:shd w:val="clear" w:color="auto" w:fill="FFFFFF"/>
        </w:rPr>
        <w:t>.</w:t>
      </w:r>
    </w:p>
    <w:p w14:paraId="47615ABF" w14:textId="77777777" w:rsidR="009C2187" w:rsidRPr="007F327D" w:rsidRDefault="009C2187" w:rsidP="009C2187">
      <w:pPr>
        <w:pStyle w:val="Heading2"/>
      </w:pPr>
      <w:r w:rsidRPr="007F327D">
        <w:t>Subadults: ontogenetic changes</w:t>
      </w:r>
    </w:p>
    <w:p w14:paraId="7CE330C4" w14:textId="77777777" w:rsidR="009C2187" w:rsidRPr="007F327D" w:rsidRDefault="009C2187" w:rsidP="009C2187">
      <w:pPr>
        <w:pStyle w:val="Paragraph"/>
      </w:pPr>
      <w:r w:rsidRPr="007F327D">
        <w:t xml:space="preserve">Children participate in subsistence activities </w:t>
      </w:r>
      <w:r w:rsidRPr="007F327D">
        <w:fldChar w:fldCharType="begin" w:fldLock="1"/>
      </w:r>
      <w:r w:rsidRPr="007F327D">
        <w:instrText>ADDIN CSL_CITATION {"citationItems":[{"id":"ITEM-1","itemData":{"author":[{"dropping-particle":"","family":"Bradley","given":"C","non-dropping-particle":"","parse-names":false,"suffix":""}],"container-title":"Cross-cultural Research","id":"ITEM-1","issued":{"date-parts":[["1993"]]},"page":"70-96","title":"Women's Power, Children's Labor","type":"article-journal","volume":"27"},"uris":["http://www.mendeley.com/documents/?uuid=9fa618cc-9c14-443c-8888-956c77968997"]}],"mendeley":{"formattedCitation":"(Bradley, 1993)","manualFormatting":"(Bradley 1993)","plainTextFormattedCitation":"(Bradley, 1993)","previouslyFormattedCitation":"(Bradley, 1993)"},"properties":{"noteIndex":0},"schema":"https://github.com/citation-style-language/schema/raw/master/csl-citation.json"}</w:instrText>
      </w:r>
      <w:r w:rsidRPr="007F327D">
        <w:fldChar w:fldCharType="separate"/>
      </w:r>
      <w:r w:rsidRPr="007F327D">
        <w:t>(Bradley 1993)</w:t>
      </w:r>
      <w:r w:rsidRPr="007F327D">
        <w:fldChar w:fldCharType="end"/>
      </w:r>
      <w:r w:rsidRPr="007F327D">
        <w:t xml:space="preserve"> – often beginning around 6 years of age. Skeletal evidence of these behaviours offers a broader understanding of behavioural adaptation through time and provides a context for the place of children in societies. The growth profile of femoral AP/ML strength ratio (</w:t>
      </w:r>
      <w:proofErr w:type="spellStart"/>
      <w:r w:rsidRPr="007F327D">
        <w:rPr>
          <w:bCs/>
        </w:rPr>
        <w:t>Z</w:t>
      </w:r>
      <w:r w:rsidRPr="007F327D">
        <w:rPr>
          <w:bCs/>
          <w:vertAlign w:val="subscript"/>
        </w:rPr>
        <w:t>x</w:t>
      </w:r>
      <w:proofErr w:type="spellEnd"/>
      <w:r w:rsidRPr="007F327D">
        <w:rPr>
          <w:bCs/>
        </w:rPr>
        <w:t>/</w:t>
      </w:r>
      <w:proofErr w:type="spellStart"/>
      <w:r w:rsidRPr="007F327D">
        <w:rPr>
          <w:bCs/>
        </w:rPr>
        <w:t>Z</w:t>
      </w:r>
      <w:r w:rsidRPr="007F327D">
        <w:rPr>
          <w:bCs/>
          <w:vertAlign w:val="subscript"/>
        </w:rPr>
        <w:t>y</w:t>
      </w:r>
      <w:proofErr w:type="spellEnd"/>
      <w:r w:rsidRPr="007F327D">
        <w:t xml:space="preserve">) shows bone alignment that is increasingly AP-oriented in response to the developing adult locomotor pattern and body shape </w:t>
      </w:r>
      <w:r w:rsidRPr="007F327D">
        <w:fldChar w:fldCharType="begin" w:fldLock="1"/>
      </w:r>
      <w:r w:rsidRPr="007F327D">
        <w:instrText>ADDIN CSL_CITATION {"citationItems":[{"id":"ITEM-1","itemData":{"DOI":"10.1002/ajpa.21289","ISSN":"1096-8644","PMID":"20310059","abstract":"Femoral shape changes during the course of human growth, transitioning from a subcircular tube to a teardrop-shaped diaphysis with a posterior pilaster. Differences between immature and mature bipedalism and body shape may generate different loads, which, in turn, may influence femoral modeling and remodeling during the course of the human lifespan. This study uses two different approaches to evaluate the hypotheses that differences in gait between young and mature walkers result in differences in ground reaction forces (GRFs) and that the differences in loading regimes between young children and adults will be reflected in the geometric structure of the midshaft femur. The results of this analysis indicate that GRFs differ between young walkers and adults in that normalized mediolateral (ML) forces are significantly higher in younger age groups. In addition, these differences between children and adults in the relative level of ML bending force are reflected in changes in femoral geometry during growth. During the earlier stages of human development, immature femoral diaphyses are heavily reinforced in approximately ML plane. The differences in gait between mature and immature walkers, and hence the differences in femoral shape, are likely partially a product of a minimal bicondylar angle and relatively broad body in young children.","author":[{"dropping-particle":"","family":"Cowgill","given":"Libby W","non-dropping-particle":"","parse-names":false,"suffix":""},{"dropping-particle":"","family":"Warrener","given":"Anna","non-dropping-particle":"","parse-names":false,"suffix":""},{"dropping-particle":"","family":"Pontzer","given":"Herman","non-dropping-particle":"","parse-names":false,"suffix":""},{"dropping-particle":"","family":"Ocobock","given":"Cara","non-dropping-particle":"","parse-names":false,"suffix":""}],"container-title":"American Journal of Physical Anthropology","id":"ITEM-1","issue":"1","issued":{"date-parts":[["2010","9"]]},"page":"52-61","title":"Waddling and toddling: the biomechanical effects of an immature gait.","type":"article-journal","volume":"143"},"uris":["http://www.mendeley.com/documents/?uuid=bbbe9803-71e2-4a18-a916-408a596b8037"]}],"mendeley":{"formattedCitation":"(Cowgill &lt;i&gt;et al.&lt;/i&gt;, 2010)","manualFormatting":"(Cowgill et al. 2010)","plainTextFormattedCitation":"(Cowgill et al., 2010)","previouslyFormattedCitation":"(Cowgill et al., 2010)"},"properties":{"noteIndex":0},"schema":"https://github.com/citation-style-language/schema/raw/master/csl-citation.json"}</w:instrText>
      </w:r>
      <w:r w:rsidRPr="007F327D">
        <w:fldChar w:fldCharType="separate"/>
      </w:r>
      <w:r w:rsidRPr="007F327D">
        <w:t>(cf. Cowgill et al. 2010)</w:t>
      </w:r>
      <w:r w:rsidRPr="007F327D">
        <w:fldChar w:fldCharType="end"/>
      </w:r>
      <w:r w:rsidRPr="007F327D">
        <w:t xml:space="preserve"> (fig. 16.16a). Comparing femoral midshaft ratio residuals among the settlement periods for the entire pooled subadult sample, there is little change through time. However, for subadults ≥6 years old, there is an increase in </w:t>
      </w:r>
      <w:proofErr w:type="spellStart"/>
      <w:r w:rsidRPr="007F327D">
        <w:rPr>
          <w:bCs/>
        </w:rPr>
        <w:t>Z</w:t>
      </w:r>
      <w:r w:rsidRPr="007F327D">
        <w:rPr>
          <w:bCs/>
          <w:vertAlign w:val="subscript"/>
        </w:rPr>
        <w:t>x</w:t>
      </w:r>
      <w:proofErr w:type="spellEnd"/>
      <w:r w:rsidRPr="007F327D">
        <w:rPr>
          <w:bCs/>
        </w:rPr>
        <w:t>/</w:t>
      </w:r>
      <w:proofErr w:type="spellStart"/>
      <w:r w:rsidRPr="007F327D">
        <w:rPr>
          <w:bCs/>
        </w:rPr>
        <w:t>Z</w:t>
      </w:r>
      <w:r w:rsidRPr="007F327D">
        <w:rPr>
          <w:bCs/>
          <w:vertAlign w:val="subscript"/>
        </w:rPr>
        <w:t>y</w:t>
      </w:r>
      <w:proofErr w:type="spellEnd"/>
      <w:r w:rsidRPr="007F327D">
        <w:t xml:space="preserve"> ratios between the Middle and Late/Final periods, albeit non-significant (fig. 16.16b).</w:t>
      </w:r>
    </w:p>
    <w:p w14:paraId="32D2D82C" w14:textId="77777777" w:rsidR="009C2187" w:rsidRPr="007F327D" w:rsidRDefault="009C2187" w:rsidP="009C2187">
      <w:pPr>
        <w:pStyle w:val="Caption"/>
      </w:pPr>
      <w:r w:rsidRPr="007F327D">
        <w:rPr>
          <w:rFonts w:cs="Times New Roman"/>
          <w:b/>
        </w:rPr>
        <w:t xml:space="preserve">Figure 16.16. </w:t>
      </w:r>
      <w:r w:rsidRPr="007F327D">
        <w:t>Bending strength ratio ontogeny (a) Scatterplot of femoral AP / ML bending strength growth by dental age (=0.9495+0.002*x), categorised by period. Adult (male and female) mean values for each period are plotted at 23 years old; (b) femoral AP / ML bending strength residual for subadults ≥6 years old.</w:t>
      </w:r>
    </w:p>
    <w:p w14:paraId="5DBBEB52" w14:textId="77777777" w:rsidR="009C2187" w:rsidRPr="007F327D" w:rsidRDefault="009C2187" w:rsidP="009C2187">
      <w:pPr>
        <w:pStyle w:val="Paragraph"/>
      </w:pPr>
      <w:r w:rsidRPr="007F327D">
        <w:t xml:space="preserve">The percentage of total area in a cross-section composed of compact bone (per cent cortical area, %CA) may reflect metabolic or protein-calorie stress during growth (markedly during early growth), where lower cortical bone may indicate increased bone apposition or absorption at the endosteal surface and poorer health </w:t>
      </w:r>
      <w:r w:rsidRPr="007F327D">
        <w:rPr>
          <w:rFonts w:cstheme="minorHAnsi"/>
        </w:rPr>
        <w:fldChar w:fldCharType="begin" w:fldLock="1"/>
      </w:r>
      <w:r w:rsidRPr="007F327D">
        <w:rPr>
          <w:rFonts w:cstheme="minorHAnsi"/>
        </w:rPr>
        <w:instrText>ADDIN CSL_CITATION {"citationItems":[{"id":"ITEM-1","itemData":{"DOI":"10.1002/ajpa.21076","ISSN":"1096-8644","PMID":"19425094","abstract":"Endochondral growth, appositional growth, and acquisition of cortical bone thickness in the femur are investigated in subadult skeletons (N = 43, dental age range birth to 12 years) from the 19(th)-century AD burial site of St. Martin's churchyard, Birmingham, England. Endochondral growth is monitored using diaphyseal femoral length. Appositional growth is monitored using radiographic midshaft mediolateral width and acquisition of cortical bone using combined mediolateral cortical thickness measured at the midshaft from radiographs. The methodology involves plotting these variables against dental age. Growth is compared in children of differing socioeconomic status. Higher and lower status individuals are identified in the assemblage by their burial in brick vaults in the case of the former and in earth-cut graves in the case of the latter. The relationships between bone dimensions and dental age are described using a polynomial regression procedure, and analysis of regression residuals is used to evaluate differences in bone dimension-for-dental age between the two status groups. Results show that lower socioeconomic status individuals had lower cortical thickness-for-dental age than those of higher status. This was interpreted as likely reflecting poorer nutrition in the children of lower socioeconomic backgrounds. There was no patterning with respect to socioeconomic status in femur diaphyseal length or midshaft width. The results support the idea that, for skeletal populations, growth in cortical thickness may be a more sensitive indicator of adverse conditions in childhood than growth in bone length or width.","author":[{"dropping-particle":"","family":"Mays","given":"SA","non-dropping-particle":"","parse-names":false,"suffix":""},{"dropping-particle":"","family":"Ives","given":"Rachel","non-dropping-particle":"","parse-names":false,"suffix":""},{"dropping-particle":"","family":"Brickley","given":"M","non-dropping-particle":"","parse-names":false,"suffix":""}],"container-title":"American Journal of Physical Anthropology","id":"ITEM-1","issue":"3","issued":{"date-parts":[["2009","11"]]},"page":"410-6","title":"The effects of socioeconomic status on endochondral and appositional bone growth, and acquisition of cortical bone in children from 19th century Birmingham, England.","type":"article-journal","volume":"140"},"uris":["http://www.mendeley.com/documents/?uuid=0c5731fe-6490-4e34-9e04-9b46e98b81e7"]},{"id":"ITEM-2","itemData":{"DOI":"10.1002/ajpa.1330300120","ISBN":"0002-9483 (Print)\\r0002-9483 (Linking)","ISSN":"10968644","PMID":"5780376","abstract":"Subperiosteal and medullary cavity diameters of 91 Guatemalan boys hospitalized with a diagnosis of protein-calorie malnutrition show a slight but significant increase in total width but a marked reduction at the endosteal surface, and in cortical area and percent cortical area, indicative of continuing subperiosteal apposition and a dramatic excess of endosteal resorption.","author":[{"dropping-particle":"","family":"Garn","given":"Stanley M.","non-dropping-particle":"","parse-names":false,"suffix":""},{"dropping-particle":"","family":"Guzmán","given":"Miguel A.","non-dropping-particle":"","parse-names":false,"suffix":""},{"dropping-particle":"","family":"Wagner","given":"Betty","non-dropping-particle":"","parse-names":false,"suffix":""}],"container-title":"American Journal of Physical Anthropology","id":"ITEM-2","issue":"1","issued":{"date-parts":[["1969"]]},"page":"153-155","title":"Subperiosteal gain and endosteal loss in protein‐calorie malnutrition","type":"article-journal","volume":"30"},"uris":["http://www.mendeley.com/documents/?uuid=fe03e171-dbc4-4989-aad1-1b2416f4638b"]},{"id":"ITEM-3","itemData":{"DOI":"10.1002/ajpa.22967","ISBN":"00029483 (ISSN)","ISSN":"10968644","author":[{"dropping-particle":"","family":"Eleazer","given":"Courtney D.","non-dropping-particle":"","parse-names":false,"suffix":""},{"dropping-particle":"","family":"Jankauskas","given":"Rimantas","non-dropping-particle":"","parse-names":false,"suffix":""}],"container-title":"American Journal of Physical Anthropology","id":"ITEM-3","issue":"February","issued":{"date-parts":[["2016"]]},"title":"Mechanical and metabolic interactions in cortical bone development","type":"article-journal","volume":"00"},"uris":["http://www.mendeley.com/documents/?uuid=ed000764-f39a-42d2-ab51-d9247a728890"]}],"mendeley":{"formattedCitation":"(Garn, Guzmán and Wagner, 1969; Mays, Ives and Brickley, 2009; Eleazer and Jankauskas, 2016)","manualFormatting":"(Garn et al. 1969; Mays et al. 2009; Eleazer and Jankauskas 2016)","plainTextFormattedCitation":"(Garn, Guzmán and Wagner, 1969; Mays, Ives and Brickley, 2009; Eleazer and Jankauskas, 2016)","previouslyFormattedCitation":"(Garn et al., 1969; Mays et al., 2009; Eleazer and Jankauskas, 2016)"},"properties":{"noteIndex":0},"schema":"https://github.com/citation-style-language/schema/raw/master/csl-citation.json"}</w:instrText>
      </w:r>
      <w:r w:rsidRPr="007F327D">
        <w:rPr>
          <w:rFonts w:cstheme="minorHAnsi"/>
        </w:rPr>
        <w:fldChar w:fldCharType="separate"/>
      </w:r>
      <w:r w:rsidRPr="007F327D">
        <w:rPr>
          <w:rFonts w:cstheme="minorHAnsi"/>
        </w:rPr>
        <w:t>(</w:t>
      </w:r>
      <w:proofErr w:type="spellStart"/>
      <w:r w:rsidRPr="007F327D">
        <w:rPr>
          <w:rFonts w:cstheme="minorHAnsi"/>
        </w:rPr>
        <w:t>Garn</w:t>
      </w:r>
      <w:proofErr w:type="spellEnd"/>
      <w:r w:rsidRPr="007F327D">
        <w:rPr>
          <w:rFonts w:cstheme="minorHAnsi"/>
        </w:rPr>
        <w:t xml:space="preserve"> et al. 1969; Mays et al. 2009; Eleazer, </w:t>
      </w:r>
      <w:proofErr w:type="spellStart"/>
      <w:r w:rsidRPr="007F327D">
        <w:rPr>
          <w:rFonts w:cstheme="minorHAnsi"/>
        </w:rPr>
        <w:t>Jankauskas</w:t>
      </w:r>
      <w:proofErr w:type="spellEnd"/>
      <w:r w:rsidRPr="007F327D">
        <w:rPr>
          <w:rFonts w:cstheme="minorHAnsi"/>
        </w:rPr>
        <w:t xml:space="preserve"> 2016)</w:t>
      </w:r>
      <w:r w:rsidRPr="007F327D">
        <w:rPr>
          <w:rFonts w:cstheme="minorHAnsi"/>
        </w:rPr>
        <w:fldChar w:fldCharType="end"/>
      </w:r>
      <w:r w:rsidRPr="007F327D">
        <w:rPr>
          <w:rFonts w:cstheme="minorHAnsi"/>
        </w:rPr>
        <w:t>.</w:t>
      </w:r>
      <w:r w:rsidRPr="007F327D">
        <w:t xml:space="preserve"> The %CA profile has a consistent age-related trend for all periods at </w:t>
      </w:r>
      <w:proofErr w:type="spellStart"/>
      <w:r w:rsidRPr="007F327D">
        <w:t>Çatalhöyük</w:t>
      </w:r>
      <w:proofErr w:type="spellEnd"/>
      <w:r w:rsidRPr="007F327D">
        <w:t xml:space="preserve">, including a dip in infancy and early childhood. Although %CA typically declines during these periods of growth, possibly reflecting normal appositional growth processes </w:t>
      </w:r>
      <w:r w:rsidRPr="007F327D">
        <w:fldChar w:fldCharType="begin" w:fldLock="1"/>
      </w:r>
      <w:r w:rsidRPr="007F327D">
        <w:instrText>ADDIN CSL_CITATION {"citationItems":[{"id":"ITEM-1","itemData":{"DOI":"10.1002/ajpa.1330930103","ISSN":"0002-9483","PMID":"8141241","abstract":"The influence of developmental factors on long-bone cross-sectional geometry and articular size in modern humans is investigated using two approaches: (1) an analysis of the effects of increased mechanical loading on long-bone structure when applied during different developmental periods, using data collected for a study of upper limb bone bilateral asymmetry in professional tennis players; and (2) an analysis of the relative timing of age changes in femoral dimensions among juveniles from the Pecos Pueblo Amerindian archaeological sample. Results of these analyses are used to interpret the femoral morphology of three pre-Recent Homo juveniles--the H. erectus KNM-WT 15000 and the archaic H. sapiens La Ferrassie 6 and Teshik-Tash 1--as well as observed differences in postcranial morphology between adult Recent and earlier Homo (Ruff et al., 1993). Our findings indicate the following: (1) There are age-related changes in long-bone diaphyseal envelope sensitivity to increased mechanical loading, with the periosteal envelope more responsive prior to mid-adolescence, and the endosteal envelope more responsive thereafter. The periosteal expansion and endosteal contraction of the diaphysis documented earlier for adult pre-Recent Homo relative to Recent humans (Ruff et al., 1993) is thus consistent with a developmental response to increased mechanical loading applied throughout life. The relatively large medullary cavity in the 11-12-year-old KNM-WT 15000 femur is also consistent with this model. However, the two archaic H. sapiens juveniles show relatively small medullary cavities, possibly indicating a modified developmental pattern in this group. (2) Articulations follow a growth pattern similar to that of long-bone length (and stature), while cross-sectional diaphyseal dimensions (cortical area, second moments of area) show a contrasting growth pattern, with slower initial growth from childhood through mid-adolescence, followed by a \"catch-up\" period that continues through early adulthood. This latter pattern is more similar to the growth curve for body weight, and may in fact partially reflect adaptation of the diaphysis to increased weight bearing. Because of these different growth patterns, articulations appear relatively large, and diaphyseal breadths relatively small during late childhood to mid-adolescence (i.e., about 9-13 years), when compared to adults from the same population. KNM-WT 15000 shows this same proportional difference from adult early H…","author":[{"dropping-particle":"","family":"Ruff","given":"CB","non-dropping-particle":"","parse-names":false,"suffix":""},{"dropping-particle":"","family":"Walker","given":"A","non-dropping-particle":"","parse-names":false,"suffix":""},{"dropping-particle":"","family":"Trinkaus","given":"E","non-dropping-particle":"","parse-names":false,"suffix":""}],"container-title":"American Journal of Physical Anthropology","id":"ITEM-1","issue":"1","issued":{"date-parts":[["1994","1"]]},"page":"35-54","title":"Postcranial robusticity in Homo. III: Ontogeny.","type":"article-journal","volume":"93"},"uris":["http://www.mendeley.com/documents/?uuid=5a36585e-34a8-4e1e-9f9d-7d347435b180"]},{"id":"ITEM-2","itemData":{"author":[{"dropping-particle":"","family":"Frisancho","given":"AR","non-dropping-particle":"","parse-names":false,"suffix":""},{"dropping-particle":"","family":"Garn","given":"SM.","non-dropping-particle":"","parse-names":false,"suffix":""},{"dropping-particle":"","family":"Ascoli","given":"W","non-dropping-particle":"","parse-names":false,"suffix":""}],"container-title":"Human Biology","id":"ITEM-2","issue":"4","issued":{"date-parts":[["1970"]]},"page":"639-664","title":"Subperiosteal and endosteal bone appsotition during adolescence","type":"article-journal","volume":"42"},"uris":["http://www.mendeley.com/documents/?uuid=9a9620ff-f3cf-4b1a-be96-8083dd68ee24"]}],"mendeley":{"formattedCitation":"(Frisancho, Garn and Ascoli, 1970; Ruff, Walker and Trinkaus, 1994)","manualFormatting":"(Frisancho et al. 1970; Ruff et al. 1994)","plainTextFormattedCitation":"(Frisancho, Garn and Ascoli, 1970; Ruff, Walker and Trinkaus, 1994)","previouslyFormattedCitation":"(Frisancho et al., 1970; Ruff et al., 1994)"},"properties":{"noteIndex":0},"schema":"https://github.com/citation-style-language/schema/raw/master/csl-citation.json"}</w:instrText>
      </w:r>
      <w:r w:rsidRPr="007F327D">
        <w:fldChar w:fldCharType="separate"/>
      </w:r>
      <w:r w:rsidRPr="007F327D">
        <w:t>(</w:t>
      </w:r>
      <w:proofErr w:type="spellStart"/>
      <w:r w:rsidRPr="007F327D">
        <w:t>Frisancho</w:t>
      </w:r>
      <w:proofErr w:type="spellEnd"/>
      <w:r w:rsidRPr="007F327D">
        <w:t xml:space="preserve"> et al. 1980; Ruff et al. 1994)</w:t>
      </w:r>
      <w:r w:rsidRPr="007F327D">
        <w:fldChar w:fldCharType="end"/>
      </w:r>
      <w:r w:rsidRPr="007F327D">
        <w:t xml:space="preserve">, it could also suggest nutritional (weaning?) stress </w:t>
      </w:r>
      <w:r w:rsidRPr="007F327D">
        <w:fldChar w:fldCharType="begin" w:fldLock="1"/>
      </w:r>
      <w:r w:rsidRPr="007F327D">
        <w:instrText>ADDIN CSL_CITATION {"citationItems":[{"id":"ITEM-1","itemData":{"DOI":"10.1002/ajpa.1330600409","ISSN":"0002-9483","PMID":"6846518","author":[{"dropping-particle":"","family":"Hummert","given":"JR","non-dropping-particle":"","parse-names":false,"suffix":""},{"dropping-particle":"","family":"Gerven","given":"DP","non-dropping-particle":"van","parse-names":false,"suffix":""}],"container-title":"American Journal of Physical Anthropology","id":"ITEM-1","issue":"4","issued":{"date-parts":[["1983","4"]]},"page":"471-8","title":"Skeletal growth in a medieval population from Sudanese Nubia.","type":"article-journal","volume":"60"},"uris":["http://www.mendeley.com/documents/?uuid=7da84992-b71b-40ca-ac8a-2f4cd4e162f5"]}],"mendeley":{"formattedCitation":"(Hummert and van Gerven, 1983)","manualFormatting":"(Hummert and van Gerven 1983)","plainTextFormattedCitation":"(Hummert and van Gerven, 1983)","previouslyFormattedCitation":"(Hummert and van Gerven, 1983)"},"properties":{"noteIndex":0},"schema":"https://github.com/citation-style-language/schema/raw/master/csl-citation.json"}</w:instrText>
      </w:r>
      <w:r w:rsidRPr="007F327D">
        <w:fldChar w:fldCharType="separate"/>
      </w:r>
      <w:r w:rsidRPr="007F327D">
        <w:t>(</w:t>
      </w:r>
      <w:proofErr w:type="spellStart"/>
      <w:r w:rsidRPr="007F327D">
        <w:t>Hummert</w:t>
      </w:r>
      <w:proofErr w:type="spellEnd"/>
      <w:r w:rsidRPr="007F327D">
        <w:t xml:space="preserve">, van </w:t>
      </w:r>
      <w:proofErr w:type="spellStart"/>
      <w:r w:rsidRPr="007F327D">
        <w:t>Gerven</w:t>
      </w:r>
      <w:proofErr w:type="spellEnd"/>
      <w:r w:rsidRPr="007F327D">
        <w:t xml:space="preserve"> 1983)</w:t>
      </w:r>
      <w:r w:rsidRPr="007F327D">
        <w:fldChar w:fldCharType="end"/>
      </w:r>
      <w:r w:rsidRPr="007F327D">
        <w:t xml:space="preserve"> (fig. 16.17). </w:t>
      </w:r>
    </w:p>
    <w:p w14:paraId="0D3F92BE" w14:textId="77777777" w:rsidR="009C2187" w:rsidRPr="007F327D" w:rsidRDefault="009C2187" w:rsidP="009C2187">
      <w:pPr>
        <w:pStyle w:val="Caption"/>
      </w:pPr>
      <w:r w:rsidRPr="007F327D">
        <w:rPr>
          <w:rFonts w:cs="Times New Roman"/>
          <w:b/>
        </w:rPr>
        <w:t xml:space="preserve">Figure 16.17. </w:t>
      </w:r>
      <w:r w:rsidRPr="007F327D">
        <w:t xml:space="preserve">Femoral per cent cortical area (%CA) ontogeny scatterplot by dental age categorised by period with LOWESS fit (50% stiffness). Adult (male and female) mean values for each period are plotted at 23 years of age at death. </w:t>
      </w:r>
    </w:p>
    <w:p w14:paraId="5AED305B" w14:textId="77777777" w:rsidR="009C2187" w:rsidRPr="007F327D" w:rsidRDefault="009C2187" w:rsidP="009C2187">
      <w:pPr>
        <w:pStyle w:val="Paragraph"/>
      </w:pPr>
      <w:r w:rsidRPr="007F327D">
        <w:t xml:space="preserve">While the relationship between behaviour, mid-shaft geometry, and growth is complex </w:t>
      </w:r>
      <w:r w:rsidRPr="007F327D">
        <w:fldChar w:fldCharType="begin" w:fldLock="1"/>
      </w:r>
      <w:r w:rsidRPr="007F327D">
        <w:instrText>ADDIN CSL_CITATION {"citationItems":[{"id":"ITEM-1","itemData":{"DOI":"10.1002/ajpa.21363","ISSN":"00029483","abstract":"Variation in femoral and tibial diaphyseal shape is used as an indicator of adaptation to patterns of terrestrial mobility. Recent experimentation has implied that lower limb diaphyseal shape may be primarily influenced by lower limb length, and less so by mobility patterns. If valid, this would, at most, render previous interpretations of mobility patterns based on analyses of diaphyseal shape questionable, and, at least, require additional standardization that considers the influence of limb length. Although the consequences could be profound, this implication has yet to be directly tested. Additionally, the influence of body breadth on tibial shape (and to a lesser extent femoral shape) remains uncertain. Tibial and femoral cross-sectional midshaft shape measurements, taken from nine Pleistocene and Holocene skeletal populations, were compared against lower limb length, limb segment length, and bi-iliac breadth. Generally, limb length and limb segment length do not significantly influence femoral or tibial midshaft shape. After controlling for body mass greater bi-iliac breadth is associated with a relative mediolateral strengthening of the femoral midshaft, while the influence of a wider body shape (BIB/length) is associated with a relative M-L strengthening of the tibia and femur of males, and the tibia of females. We conclude that; (1) mechanical interpretations of lower limb diaphyseal shape are most parsimonious due to the lack of evidence for a consistent relationship between segment length and shape; however, (2) further work is required to investigate the influence of bi-iliac breadth on both femoral and tibial midshaft shape.","author":[{"dropping-particle":"","family":"Shaw","given":"Colin N.","non-dropping-particle":"","parse-names":false,"suffix":""},{"dropping-particle":"","family":"Stock","given":"Jay T.","non-dropping-particle":"","parse-names":false,"suffix":""}],"container-title":"American Journal of Physical Anthropology","id":"ITEM-1","issue":"1","issued":{"date-parts":[["2011"]]},"page":"22-29","title":"The influence of body proportions on femoral and tibial midshaft shape in hunter-gatherers","type":"article-journal","volume":"144"},"uris":["http://www.mendeley.com/documents/?uuid=e2d94d2c-9309-4f31-bbbf-b7766cdf9760"]},{"id":"ITEM-2","itemData":{"author":[{"dropping-particle":"","family":"Cowgill","given":"Libby W.","non-dropping-particle":"","parse-names":false,"suffix":""}],"container-title":"Reconstructing Mobility: Environmental, Behavioral, and Morphological Determinants","editor":[{"dropping-particle":"","family":"Carlson","given":"Kristian J","non-dropping-particle":"","parse-names":false,"suffix":""},{"dropping-particle":"","family":"Marchi","given":"Damiano","non-dropping-particle":"","parse-names":false,"suffix":""}],"id":"ITEM-2","issued":{"date-parts":[["2014"]]},"page":"188-194","publisher":"Springer","title":"Femoral Diaphyseal Shape and Mobility: And Ontogenetic Perspective","type":"chapter"},"uris":["http://www.mendeley.com/documents/?uuid=7c213171-7b15-4431-bc30-867c34500720"]}],"mendeley":{"formattedCitation":"(Shaw and Stock, 2011; Cowgill, 2014)","manualFormatting":"(Shaw, Stock 2011; Cowgill 2014)","plainTextFormattedCitation":"(Shaw and Stock, 2011; Cowgill, 2014)","previouslyFormattedCitation":"(Shaw and Stock, 2011; Cowgill, 2014)"},"properties":{"noteIndex":0},"schema":"https://github.com/citation-style-language/schema/raw/master/csl-citation.json"}</w:instrText>
      </w:r>
      <w:r w:rsidRPr="007F327D">
        <w:fldChar w:fldCharType="separate"/>
      </w:r>
      <w:r w:rsidRPr="007F327D">
        <w:t>(Shaw, Stock 2011; Cowgill 2014)</w:t>
      </w:r>
      <w:r w:rsidRPr="007F327D">
        <w:fldChar w:fldCharType="end"/>
      </w:r>
      <w:r w:rsidRPr="007F327D">
        <w:t xml:space="preserve">, these results support the interpretation that, like adults, immature individuals may have travelled greater distances in the Late/Final periods of occupation at </w:t>
      </w:r>
      <w:proofErr w:type="spellStart"/>
      <w:r w:rsidRPr="007F327D">
        <w:t>Çatalhöyük</w:t>
      </w:r>
      <w:proofErr w:type="spellEnd"/>
      <w:r w:rsidRPr="007F327D">
        <w:t xml:space="preserve">. These behaviours are apparent in later childhood (≥6 years old), further supporting an environmental explanation and indicating childhood involvement in subsistence work in conjunction with the adults of the community. This analysis enriches the complex story of behavioural change and juvenile activity at </w:t>
      </w:r>
      <w:proofErr w:type="spellStart"/>
      <w:r w:rsidRPr="007F327D">
        <w:t>Çatalhöyük</w:t>
      </w:r>
      <w:proofErr w:type="spellEnd"/>
      <w:r w:rsidRPr="007F327D">
        <w:t xml:space="preserve"> and in broader cultural contexts. </w:t>
      </w:r>
    </w:p>
    <w:p w14:paraId="5864E8C7" w14:textId="77777777" w:rsidR="009C2187" w:rsidRPr="007F327D" w:rsidRDefault="009C2187" w:rsidP="009C2187">
      <w:pPr>
        <w:pStyle w:val="Heading1"/>
      </w:pPr>
      <w:r w:rsidRPr="007F327D">
        <w:t>Tensions associated with dense living conditions</w:t>
      </w:r>
    </w:p>
    <w:p w14:paraId="3242EC57" w14:textId="77777777" w:rsidR="009C2187" w:rsidRPr="007F327D" w:rsidRDefault="009C2187" w:rsidP="009C2187">
      <w:pPr>
        <w:pStyle w:val="Paragraph"/>
      </w:pPr>
      <w:r w:rsidRPr="007F327D">
        <w:t>The final topics of this chapter summarise results of studies that serve to reveal the social effects of living in a densely populated community. Two of the greatest problems in densely populated agglomerations concern the management of increasing waste and avoidance of conflict leading to violence.</w:t>
      </w:r>
    </w:p>
    <w:p w14:paraId="4C719B79" w14:textId="77777777" w:rsidR="009C2187" w:rsidRPr="007F327D" w:rsidRDefault="009C2187" w:rsidP="009C2187">
      <w:pPr>
        <w:pStyle w:val="Heading2"/>
      </w:pPr>
      <w:r w:rsidRPr="007F327D">
        <w:t xml:space="preserve">Parasitological study of </w:t>
      </w:r>
      <w:proofErr w:type="spellStart"/>
      <w:r w:rsidRPr="007F327D">
        <w:t>Çatalhöyük</w:t>
      </w:r>
      <w:proofErr w:type="spellEnd"/>
      <w:r w:rsidRPr="007F327D">
        <w:t xml:space="preserve"> coprolites and pelvic soil</w:t>
      </w:r>
    </w:p>
    <w:p w14:paraId="3D6650F1" w14:textId="77777777" w:rsidR="009C2187" w:rsidRPr="007F327D" w:rsidRDefault="009C2187" w:rsidP="009C2187">
      <w:pPr>
        <w:pStyle w:val="Paragraph"/>
        <w:rPr>
          <w:i/>
        </w:rPr>
      </w:pPr>
      <w:r w:rsidRPr="007F327D">
        <w:t>Archaeological samples previously found to contain human faecal material (</w:t>
      </w:r>
      <w:proofErr w:type="spellStart"/>
      <w:r w:rsidRPr="007F327D">
        <w:t>Shillito</w:t>
      </w:r>
      <w:proofErr w:type="spellEnd"/>
      <w:r w:rsidRPr="007F327D">
        <w:t xml:space="preserve"> et al. 2011b) were studied to look for evidence of parasite infection within the community. This is one of the earliest sites in Europe or Asia to undergo palaeoparasitological analysis. As an early farming community it permits insight into how parasite transmission may have changed with major changes in community structure, food sources, and population size that coincided with the transition from a mobile </w:t>
      </w:r>
      <w:r w:rsidRPr="007F327D">
        <w:lastRenderedPageBreak/>
        <w:t xml:space="preserve">hunter-gatherer way of life to one of settled farmers. From other Neolithic sites in the Mediterranean region there is evidence for soil-transmitted helminths, including roundworm and whipworm, as well as other faecal-oral parasites such as pinworm, and zoonotic parasites such as </w:t>
      </w:r>
      <w:r w:rsidRPr="007F327D">
        <w:rPr>
          <w:i/>
        </w:rPr>
        <w:t>Taenia spp</w:t>
      </w:r>
      <w:r w:rsidRPr="007F327D">
        <w:t xml:space="preserve">. (tapeworms), </w:t>
      </w:r>
      <w:r w:rsidRPr="007F327D">
        <w:rPr>
          <w:i/>
        </w:rPr>
        <w:t>Fasciola sp.</w:t>
      </w:r>
      <w:r w:rsidRPr="007F327D">
        <w:t xml:space="preserve"> (liver fluke), fish tapeworm (</w:t>
      </w:r>
      <w:r w:rsidRPr="007F327D">
        <w:rPr>
          <w:i/>
        </w:rPr>
        <w:t>Diphyllobothrium spp.)</w:t>
      </w:r>
      <w:r w:rsidRPr="007F327D">
        <w:t xml:space="preserve">, and </w:t>
      </w:r>
      <w:proofErr w:type="spellStart"/>
      <w:r w:rsidRPr="007F327D">
        <w:rPr>
          <w:i/>
        </w:rPr>
        <w:t>Capillaria</w:t>
      </w:r>
      <w:proofErr w:type="spellEnd"/>
      <w:r w:rsidRPr="007F327D">
        <w:rPr>
          <w:i/>
        </w:rPr>
        <w:t xml:space="preserve"> spp</w:t>
      </w:r>
      <w:r w:rsidRPr="007F327D">
        <w:t>. (nematodes) (Harter-</w:t>
      </w:r>
      <w:proofErr w:type="spellStart"/>
      <w:r w:rsidRPr="007F327D">
        <w:t>Lailheugue</w:t>
      </w:r>
      <w:proofErr w:type="spellEnd"/>
      <w:r w:rsidRPr="007F327D">
        <w:t xml:space="preserve"> et al. 2005; </w:t>
      </w:r>
      <w:proofErr w:type="spellStart"/>
      <w:r w:rsidRPr="007F327D">
        <w:t>Maicher</w:t>
      </w:r>
      <w:proofErr w:type="spellEnd"/>
      <w:r w:rsidRPr="007F327D">
        <w:t xml:space="preserve"> et al. 2017). Though skeletal remains from </w:t>
      </w:r>
      <w:proofErr w:type="spellStart"/>
      <w:r w:rsidRPr="007F327D">
        <w:t>Çatalhöyük</w:t>
      </w:r>
      <w:proofErr w:type="spellEnd"/>
      <w:r w:rsidRPr="007F327D">
        <w:t xml:space="preserve"> have been studied to understand health and disease in the community, it is not possible to directly assess many gastrointestinal infections from skeletal remains. For this type of study samples that are likely to contain human faeces may also contain preserved eggs from intestinal worms that infected inhabitants. </w:t>
      </w:r>
    </w:p>
    <w:p w14:paraId="193BFB2E" w14:textId="77777777" w:rsidR="009C2187" w:rsidRPr="007F327D" w:rsidRDefault="009C2187" w:rsidP="009C2187">
      <w:pPr>
        <w:pStyle w:val="Paragraph"/>
      </w:pPr>
      <w:r w:rsidRPr="007F327D">
        <w:t xml:space="preserve">In order to look for evidence of intestinal disease at </w:t>
      </w:r>
      <w:proofErr w:type="spellStart"/>
      <w:r w:rsidRPr="007F327D">
        <w:t>Çatalhöyük</w:t>
      </w:r>
      <w:proofErr w:type="spellEnd"/>
      <w:r w:rsidRPr="007F327D">
        <w:t>, four human coprolites from refuse areas were analysed, and soil was collected from the pelvic areas of six human skeletons (Ledger et al. 2019). The four coprolites came from Sp.329, Level South P, dating to 6410–6150 BC. These coprolites were identified as human according to methods described in Bull et al. (2002). The skeletons sampled were excavated in buildings from the South Area of the site dating between 7100–6300 BC. Subsamples of each coprolite and pelvic soil sample were processed according to published standards (</w:t>
      </w:r>
      <w:proofErr w:type="spellStart"/>
      <w:r w:rsidRPr="007F327D">
        <w:t>Anastasiou</w:t>
      </w:r>
      <w:proofErr w:type="spellEnd"/>
      <w:r w:rsidRPr="007F327D">
        <w:t xml:space="preserve">, Mitchell 2013). Digital light microscopy was used to analyse each subsample to look for the preserved eggs of intestinal helminths. </w:t>
      </w:r>
    </w:p>
    <w:p w14:paraId="2D1FCE15" w14:textId="77777777" w:rsidR="009C2187" w:rsidRPr="007F327D" w:rsidRDefault="009C2187" w:rsidP="009C2187">
      <w:pPr>
        <w:pStyle w:val="Paragraph"/>
      </w:pPr>
      <w:r w:rsidRPr="007F327D">
        <w:t xml:space="preserve">Two of the coprolites contained the eggs of whipworm, </w:t>
      </w:r>
      <w:r w:rsidRPr="007F327D">
        <w:rPr>
          <w:i/>
        </w:rPr>
        <w:t xml:space="preserve">Trichuris </w:t>
      </w:r>
      <w:proofErr w:type="spellStart"/>
      <w:r w:rsidRPr="007F327D">
        <w:rPr>
          <w:i/>
        </w:rPr>
        <w:t>trichiura</w:t>
      </w:r>
      <w:proofErr w:type="spellEnd"/>
      <w:r w:rsidRPr="007F327D">
        <w:t xml:space="preserve">, while the pelvic soil samples were negative (Ledger et al. 2019). Twelve whipworm eggs were recovered in total, at concentrations of four eggs per gram from one coprolite and eight per gram from the other. Whipworm is a soil-transmitted helminth that is transmitted by the faecal-oral route. As such, it is closely linked to sanitation and hygiene practices. The adult worms live in the large intestine where they grow up to 5cm long. The adult worm releases eggs in the faeces of the infected individual and, after a 1 to 2-week period of maturation in the soil, the eggs become infective and upon ingestion can establish an infection in a new host (Garcia 2016). Infection is often acquired through the ingestion of contaminated food or water. Whipworm has been found in many archaeological sites from the Mesolithic period onward and is thought to have evolved in hominin ancestors in Africa (Dark 2004; Mitchell 2013; Bergman, 2018). </w:t>
      </w:r>
    </w:p>
    <w:p w14:paraId="3831C236" w14:textId="77777777" w:rsidR="009C2187" w:rsidRPr="007F327D" w:rsidRDefault="009C2187" w:rsidP="009C2187">
      <w:pPr>
        <w:pStyle w:val="Paragraph"/>
      </w:pPr>
      <w:r w:rsidRPr="007F327D">
        <w:t>The concentration of whipworm eggs in the coprolites is not high at 4–8 eggs/gram. This may indicate that some of the eggs did not survive to be recovered, or that the individuals infected truly had a low number of worms in their intestines. Whipworm infection is typically asymptomatic in individuals with low worm burdens and adequate nutrition. In individuals who have a higher worm burden, particularly children, whipworm can cause stunting of growth, weight loss, anaemia, abdominal pain, and diarrhoea (</w:t>
      </w:r>
      <w:proofErr w:type="spellStart"/>
      <w:r w:rsidRPr="007F327D">
        <w:t>Bethony</w:t>
      </w:r>
      <w:proofErr w:type="spellEnd"/>
      <w:r w:rsidRPr="007F327D">
        <w:t xml:space="preserve"> et al. 2016; Jourdan et al. 2018). However, palaeopathological evidence from the site has suggested that children had adequate nutrition for growth and development (Hillson et al. 2013), and while </w:t>
      </w:r>
      <w:r w:rsidRPr="007F327D">
        <w:rPr>
          <w:i/>
        </w:rPr>
        <w:t>cribra orbitalia</w:t>
      </w:r>
      <w:r w:rsidRPr="007F327D">
        <w:t xml:space="preserve"> has been found, it is hard to link this to parasite infection.</w:t>
      </w:r>
    </w:p>
    <w:p w14:paraId="67F46F80" w14:textId="77777777" w:rsidR="009C2187" w:rsidRPr="007F327D" w:rsidRDefault="009C2187" w:rsidP="009C2187">
      <w:pPr>
        <w:pStyle w:val="Paragraph"/>
      </w:pPr>
      <w:r w:rsidRPr="007F327D">
        <w:t xml:space="preserve">Comparisons of parasite diversity found at other Neolithic sites and later time periods in the Mediterranean reveal that the parasite profile at </w:t>
      </w:r>
      <w:proofErr w:type="spellStart"/>
      <w:r w:rsidRPr="007F327D">
        <w:t>Çatalhöyük</w:t>
      </w:r>
      <w:proofErr w:type="spellEnd"/>
      <w:r w:rsidRPr="007F327D">
        <w:t xml:space="preserve"> is much more similar to that of the Roman and Medieval periods, where parasites transmitted by the faecal-oral route are the dominant taxa found (Mitchell 2015, 2017; Williams et al. 2017; Ledger et al. 2018). It appears that the transition from hunting and gathering to relying on farmed crops and domesticated animals, such as sheep and goats, may have affected the taxa of parasites present in this community. Similarly, a larger and denser population may have contributed to maintaining faecal-oral parasite transmission, as in whipworm. The results of this research demonstrate that the early agglomerated settlement inhabitants of </w:t>
      </w:r>
      <w:proofErr w:type="spellStart"/>
      <w:r w:rsidRPr="007F327D">
        <w:t>Çatalhöyük</w:t>
      </w:r>
      <w:proofErr w:type="spellEnd"/>
      <w:r w:rsidRPr="007F327D">
        <w:t xml:space="preserve"> already suffered from intestinal parasite infection from problems associated with waste disposal, but at this early date infection rates may not have approached the severity associated with some later densely inhabited urban settlements in historic periods. </w:t>
      </w:r>
    </w:p>
    <w:p w14:paraId="27667232" w14:textId="77777777" w:rsidR="009C2187" w:rsidRPr="007F327D" w:rsidRDefault="009C2187" w:rsidP="009C2187">
      <w:pPr>
        <w:pStyle w:val="Heading2"/>
      </w:pPr>
      <w:r w:rsidRPr="007F327D">
        <w:t xml:space="preserve">Cranial injuries at Neolithic </w:t>
      </w:r>
      <w:proofErr w:type="spellStart"/>
      <w:r w:rsidRPr="007F327D">
        <w:t>Çatalhöyük</w:t>
      </w:r>
      <w:proofErr w:type="spellEnd"/>
    </w:p>
    <w:p w14:paraId="2037A2D6" w14:textId="77777777" w:rsidR="009C2187" w:rsidRPr="007F327D" w:rsidRDefault="009C2187" w:rsidP="009C2187">
      <w:pPr>
        <w:pStyle w:val="Paragraph"/>
      </w:pPr>
      <w:r w:rsidRPr="007F327D">
        <w:t xml:space="preserve">Discrete patterns in the location, type, shape, and timing of cranial injuries indicate that different mechanisms are responsible for their occurrence. Social circumstances, such as motives, socio-cultural understandings of the body, perceived threat, socio-political hierarchies, and notions of transgression, as well as economic and material factors also influence their type, number, and location. Cranial injuries are therefore highly socially informative. Cranial trauma can result from interpersonal </w:t>
      </w:r>
      <w:r w:rsidRPr="007F327D">
        <w:lastRenderedPageBreak/>
        <w:t>violence, accident, or be self-inflicted, but evidence for fractures of the face and head are consistent with violent assaults in medico-legal (</w:t>
      </w:r>
      <w:proofErr w:type="spellStart"/>
      <w:r w:rsidRPr="007F327D">
        <w:t>Shermis</w:t>
      </w:r>
      <w:proofErr w:type="spellEnd"/>
      <w:r w:rsidRPr="007F327D">
        <w:t xml:space="preserve"> 1984; Hussain et al. 1994; Brink et al. 1998) and bioarchaeological studies (Walker 1997; Fibiger 2012; Glencross, Boz 2014; </w:t>
      </w:r>
      <w:proofErr w:type="spellStart"/>
      <w:r w:rsidRPr="007F327D">
        <w:t>Knüsel</w:t>
      </w:r>
      <w:proofErr w:type="spellEnd"/>
      <w:r w:rsidRPr="007F327D">
        <w:t xml:space="preserve"> 2014b). While the extent, severity, and impact may vary, violent injuries significantly influence the physical, mental, economic and social well-being of individuals and communities. This section addresses the physical evidence for cranial injury observed at Neolithic </w:t>
      </w:r>
      <w:proofErr w:type="spellStart"/>
      <w:r w:rsidRPr="007F327D">
        <w:t>Çatalhöyük</w:t>
      </w:r>
      <w:proofErr w:type="spellEnd"/>
      <w:r w:rsidRPr="007F327D">
        <w:t>, a site not previously known for evidence of violence. The results of this investigation provide strong evidence for interpersonal violence, with implications for broader insights into social interactions within this Neolithic community.</w:t>
      </w:r>
    </w:p>
    <w:p w14:paraId="116EA7D6" w14:textId="77777777" w:rsidR="009C2187" w:rsidRPr="007F327D" w:rsidRDefault="009C2187" w:rsidP="009C2187">
      <w:pPr>
        <w:pStyle w:val="Paragraph"/>
      </w:pPr>
      <w:r w:rsidRPr="007F327D">
        <w:t>The study sample consists of skeletons from the Neolithic occupation of the East Mound. Most skeletons come from houses located in the North or South Areas of the site, with one notable exception of an individual located in a midden (</w:t>
      </w:r>
      <w:proofErr w:type="spellStart"/>
      <w:r w:rsidRPr="007F327D">
        <w:t>Milella</w:t>
      </w:r>
      <w:proofErr w:type="spellEnd"/>
      <w:r w:rsidRPr="007F327D">
        <w:t xml:space="preserve"> et al. 2016). They represent all major occupation periods from Early through Final. Of these, a total of 147 complete or partial adult crania were preserved well enough for analysis. Although not all excavated crania could be studied in the time allotted, the sample is a random one from across the site. Biological sex and age-at-death were determined where possible using standard methods applied to the entire skeleton. Of the analysed crania sex could be assigned to 125 individuals (N=71 females and 54 males), leaving 22 adult skeletons as of indeterminate sex. Skeletons were allocated to one of seven age cohorts (i.e. neonate ~ birth, infant 0-3 years, child 3-12 years, adolescent 12-20 years, young adult 20-35 years, mature adult 35-50 years, old adult 50+, and adult 20+). Assigned age-at-death for each individual represents the mid-point of that age cohort. Adults with and without injury range in age-at-death from 20 to 50+ years (tables 16.16–16.20). The different ages-at-death assigned to individual skeletons were summed to reflect the length of exposure to potential trauma and used as a denominator in comparisons of prevalence between samples. Cranial injury data were recorded following a medico-legal model (after Hussain et al. 1994) that divides the cranium and mandible into 44 separate zones. Each cranium and mandible from the sample was scored for completeness by zone, and only those portions constituting 75% or more of any given zone were included in the analysis. Cranial injuries, identified through gross examination, were recorded according to location, form (i.e. fracture type, such as blunt force or penetrating trauma), shape, size (mm), and if antemortem or perimortem in nature.</w:t>
      </w:r>
    </w:p>
    <w:p w14:paraId="5D298A24" w14:textId="77777777" w:rsidR="009C2187" w:rsidRPr="007F327D" w:rsidRDefault="009C2187" w:rsidP="009C2187">
      <w:pPr>
        <w:pStyle w:val="Caption"/>
      </w:pPr>
      <w:r w:rsidRPr="007F327D">
        <w:rPr>
          <w:b/>
        </w:rPr>
        <w:t>Table 16.16</w:t>
      </w:r>
      <w:r w:rsidRPr="007F327D">
        <w:t xml:space="preserve">. Summary counts of all individuals and affected individuals by age cohort. </w:t>
      </w:r>
    </w:p>
    <w:p w14:paraId="1DA57945" w14:textId="77777777" w:rsidR="009C2187" w:rsidRPr="007F327D" w:rsidRDefault="009C2187" w:rsidP="009C2187">
      <w:pPr>
        <w:pStyle w:val="Caption"/>
      </w:pPr>
      <w:r w:rsidRPr="007F327D">
        <w:rPr>
          <w:b/>
        </w:rPr>
        <w:t>Table 16.17</w:t>
      </w:r>
      <w:r w:rsidRPr="007F327D">
        <w:t xml:space="preserve">. Summary counts of all females and affected females by age cohort. </w:t>
      </w:r>
    </w:p>
    <w:p w14:paraId="702A1F02" w14:textId="77777777" w:rsidR="009C2187" w:rsidRPr="007F327D" w:rsidRDefault="009C2187" w:rsidP="009C2187">
      <w:pPr>
        <w:pStyle w:val="Caption"/>
      </w:pPr>
      <w:r w:rsidRPr="007F327D">
        <w:rPr>
          <w:b/>
        </w:rPr>
        <w:t>Table 16.18</w:t>
      </w:r>
      <w:r w:rsidRPr="007F327D">
        <w:t>. Summary counts of all males and affected males by age cohort.</w:t>
      </w:r>
    </w:p>
    <w:p w14:paraId="1AF492DB" w14:textId="77777777" w:rsidR="009C2187" w:rsidRPr="007F327D" w:rsidRDefault="009C2187" w:rsidP="009C2187">
      <w:pPr>
        <w:pStyle w:val="Caption"/>
      </w:pPr>
      <w:r w:rsidRPr="007F327D">
        <w:rPr>
          <w:b/>
        </w:rPr>
        <w:t>Table 16.19</w:t>
      </w:r>
      <w:r w:rsidRPr="007F327D">
        <w:t>. Summary counts of affected and unaffected males by age cohort.</w:t>
      </w:r>
    </w:p>
    <w:p w14:paraId="33B28A3D" w14:textId="77777777" w:rsidR="009C2187" w:rsidRPr="007F327D" w:rsidRDefault="009C2187" w:rsidP="009C2187">
      <w:pPr>
        <w:pStyle w:val="Caption"/>
      </w:pPr>
      <w:r w:rsidRPr="007F327D">
        <w:rPr>
          <w:b/>
        </w:rPr>
        <w:t>Table 16.20</w:t>
      </w:r>
      <w:r w:rsidRPr="007F327D">
        <w:t>. Summary count of male lesions and male complete bones by age cohort.</w:t>
      </w:r>
    </w:p>
    <w:p w14:paraId="636E2637" w14:textId="77777777" w:rsidR="009C2187" w:rsidRPr="007F327D" w:rsidRDefault="009C2187" w:rsidP="009C2187">
      <w:pPr>
        <w:pStyle w:val="Paragraph"/>
      </w:pPr>
      <w:r w:rsidRPr="007F327D">
        <w:t xml:space="preserve">The majority of injuries (N=52/54) are healed, with only two helical mandibular fractures in a single individual, skeleton (32608), indicative of perimortem injury. All of the healed injuries show considerable evidence of remodelling. Forty-seven of the healed lesions are depressed fractures described mainly as shallow round, elliptical or ovoid impressions of the external table of the cranial vault (fig. 16.18). Other healed lesions include two penetrating wounds and three diastatic fractures affecting the cranial sutures. Locational patterning of injuries demonstrates a large number of fractures affecting the superior (37%) and posterior (32%) aspects of the cranial vault (fig. 16.19). The number increases dramatically to 91% when considered in relation to the hat-brim line (HBL), a demarcation used in medical and forensic investigations to indicate the location of injuries most likely due to a fall from standing height (below the line) or a blow (above the line) (Kremer et al. 2008). While the vast majority of injuries are located above the HBL, the HBL alone as a criterion to infer cause of cranial injury is insufficient. The absence of evidence of linear fractures suggests, however, that these injuries are unlikely to have occurred due to falls from a height, and when co-occurring with overwhelming evidence for depressed cranial fractures, are recognised as having a higher correlation with interpersonal violence (cf. Lovell 1997; Walker 2001; Schulting 2012). </w:t>
      </w:r>
    </w:p>
    <w:p w14:paraId="13BD06F1" w14:textId="77777777" w:rsidR="009C2187" w:rsidRPr="007F327D" w:rsidRDefault="009C2187" w:rsidP="009C2187">
      <w:pPr>
        <w:pStyle w:val="Caption"/>
        <w:rPr>
          <w:shd w:val="clear" w:color="auto" w:fill="FFFFFF"/>
        </w:rPr>
      </w:pPr>
      <w:r w:rsidRPr="007F327D">
        <w:rPr>
          <w:b/>
          <w:shd w:val="clear" w:color="auto" w:fill="FFFFFF"/>
        </w:rPr>
        <w:t>Figure 16.18</w:t>
      </w:r>
      <w:r w:rsidRPr="007F327D">
        <w:rPr>
          <w:shd w:val="clear" w:color="auto" w:fill="FFFFFF"/>
        </w:rPr>
        <w:t xml:space="preserve">. An example of a depressed cranial fracture resulting from of blunt force trauma (illustration: Katy </w:t>
      </w:r>
      <w:proofErr w:type="spellStart"/>
      <w:r w:rsidRPr="007F327D">
        <w:rPr>
          <w:shd w:val="clear" w:color="auto" w:fill="FFFFFF"/>
        </w:rPr>
        <w:t>Killackey</w:t>
      </w:r>
      <w:proofErr w:type="spellEnd"/>
      <w:r w:rsidRPr="007F327D">
        <w:rPr>
          <w:shd w:val="clear" w:color="auto" w:fill="FFFFFF"/>
        </w:rPr>
        <w:t>).</w:t>
      </w:r>
    </w:p>
    <w:p w14:paraId="55C001CC" w14:textId="77777777" w:rsidR="009C2187" w:rsidRPr="007F327D" w:rsidRDefault="009C2187" w:rsidP="009C2187">
      <w:pPr>
        <w:pStyle w:val="Caption"/>
        <w:rPr>
          <w:color w:val="000000"/>
        </w:rPr>
      </w:pPr>
      <w:r w:rsidRPr="007F327D">
        <w:rPr>
          <w:b/>
          <w:shd w:val="clear" w:color="auto" w:fill="FFFFFF"/>
        </w:rPr>
        <w:lastRenderedPageBreak/>
        <w:t>Figure 16.19</w:t>
      </w:r>
      <w:r w:rsidRPr="007F327D">
        <w:rPr>
          <w:shd w:val="clear" w:color="auto" w:fill="FFFFFF"/>
        </w:rPr>
        <w:t xml:space="preserve">. Composite representation of all affected zones and locations of cranial injuries at Neolithic </w:t>
      </w:r>
      <w:proofErr w:type="spellStart"/>
      <w:r w:rsidRPr="007F327D">
        <w:rPr>
          <w:color w:val="000000"/>
        </w:rPr>
        <w:t>Çatalhöyük</w:t>
      </w:r>
      <w:proofErr w:type="spellEnd"/>
      <w:r w:rsidRPr="007F327D">
        <w:rPr>
          <w:color w:val="000000"/>
        </w:rPr>
        <w:t>.</w:t>
      </w:r>
    </w:p>
    <w:p w14:paraId="4211DC6E" w14:textId="77777777" w:rsidR="009C2187" w:rsidRPr="007F327D" w:rsidRDefault="009C2187" w:rsidP="009C2187">
      <w:pPr>
        <w:pStyle w:val="Paragraph"/>
      </w:pPr>
      <w:r w:rsidRPr="007F327D">
        <w:t xml:space="preserve">The total number of cranial injuries presents a strong case for the presence of interpersonal violence at </w:t>
      </w:r>
      <w:proofErr w:type="spellStart"/>
      <w:r w:rsidRPr="007F327D">
        <w:rPr>
          <w:color w:val="000000"/>
        </w:rPr>
        <w:t>Çatalhöyük</w:t>
      </w:r>
      <w:proofErr w:type="spellEnd"/>
      <w:r w:rsidRPr="007F327D">
        <w:rPr>
          <w:color w:val="000000"/>
        </w:rPr>
        <w:t>.</w:t>
      </w:r>
      <w:r w:rsidRPr="007F327D">
        <w:t xml:space="preserve"> The position of a depressed fracture on the left side of the cranium is a common pattern consistent with violent assault by a right-handed aggressor in a face-to-face encounter (</w:t>
      </w:r>
      <w:proofErr w:type="spellStart"/>
      <w:r w:rsidRPr="007F327D">
        <w:rPr>
          <w:shd w:val="clear" w:color="auto" w:fill="FFFFFF"/>
        </w:rPr>
        <w:t>Aufderheide</w:t>
      </w:r>
      <w:proofErr w:type="spellEnd"/>
      <w:r w:rsidRPr="007F327D">
        <w:rPr>
          <w:shd w:val="clear" w:color="auto" w:fill="FFFFFF"/>
        </w:rPr>
        <w:t>, Rodríguez-Martín 1998: 23; Novak 2000: 99). A</w:t>
      </w:r>
      <w:r w:rsidRPr="007F327D">
        <w:t xml:space="preserve">mongst the examined </w:t>
      </w:r>
      <w:proofErr w:type="spellStart"/>
      <w:r w:rsidRPr="007F327D">
        <w:rPr>
          <w:color w:val="000000"/>
        </w:rPr>
        <w:t>Çatalhöyük</w:t>
      </w:r>
      <w:proofErr w:type="spellEnd"/>
      <w:r w:rsidRPr="007F327D">
        <w:rPr>
          <w:color w:val="000000"/>
        </w:rPr>
        <w:t xml:space="preserve"> crania, a large</w:t>
      </w:r>
      <w:r w:rsidRPr="007F327D">
        <w:t xml:space="preserve"> number, 41% (7/17) of injuries are located on the posterior right side when compared to the 29% found on the posterior left side, perhaps indicating a blow coming from behind the victim. The argument for interpersonal violent confrontation is further strengthened when considered with evidence for multiple cranial injuries as opposed to single injuries, another pattern frequently associated with violent events (</w:t>
      </w:r>
      <w:proofErr w:type="spellStart"/>
      <w:r w:rsidRPr="007F327D">
        <w:t>Kranioti</w:t>
      </w:r>
      <w:proofErr w:type="spellEnd"/>
      <w:r w:rsidRPr="007F327D">
        <w:t xml:space="preserve"> 2015). The </w:t>
      </w:r>
      <w:proofErr w:type="spellStart"/>
      <w:r w:rsidRPr="007F327D">
        <w:rPr>
          <w:color w:val="000000"/>
        </w:rPr>
        <w:t>Çatalhöyük</w:t>
      </w:r>
      <w:proofErr w:type="spellEnd"/>
      <w:r w:rsidRPr="007F327D">
        <w:rPr>
          <w:color w:val="000000"/>
        </w:rPr>
        <w:t xml:space="preserve"> crania provide evidence of 13 individuals showing a total of 34 injuries, with some crania showing anywhere from two to five lesions. It is important to bear in mind, though, that the timing of events leading to fracture is difficult to ascertain when healed, and are just as likely to be from recurrent events as simultaneous events. Penetrating and sharp force injuries and helical fractures of the mandible are also predominately associated with interpersonal violence (</w:t>
      </w:r>
      <w:proofErr w:type="spellStart"/>
      <w:r w:rsidRPr="007F327D">
        <w:rPr>
          <w:color w:val="000000"/>
        </w:rPr>
        <w:t>Kranioti</w:t>
      </w:r>
      <w:proofErr w:type="spellEnd"/>
      <w:r w:rsidRPr="007F327D">
        <w:rPr>
          <w:color w:val="000000"/>
        </w:rPr>
        <w:t xml:space="preserve"> 2015; Morris et al. 2015).</w:t>
      </w:r>
    </w:p>
    <w:p w14:paraId="42424253" w14:textId="77777777" w:rsidR="009C2187" w:rsidRPr="007F327D" w:rsidRDefault="009C2187" w:rsidP="009C2187">
      <w:pPr>
        <w:pStyle w:val="Paragraph"/>
      </w:pPr>
      <w:r w:rsidRPr="007F327D">
        <w:t>In a more detailed exploration of gendered and age-related patterns of cranial injury a difference was found between the young (&gt;15 years to &lt;35 years of age) and old (&gt;35 years of age) male cohorts. The number of cranial injuries in young males is significantly greater than the number in older males with injuries when measured against the sum years of exposure for each cohort (</w:t>
      </w:r>
      <w:r w:rsidRPr="007F327D">
        <w:rPr>
          <w:i/>
        </w:rPr>
        <w:t>Z,</w:t>
      </w:r>
      <w:r w:rsidRPr="007F327D">
        <w:t xml:space="preserve"> </w:t>
      </w:r>
      <w:r w:rsidRPr="007F327D">
        <w:rPr>
          <w:vertAlign w:val="subscript"/>
        </w:rPr>
        <w:t>0.05</w:t>
      </w:r>
      <w:r w:rsidRPr="007F327D">
        <w:t xml:space="preserve">, </w:t>
      </w:r>
      <w:r w:rsidRPr="007F327D">
        <w:rPr>
          <w:vertAlign w:val="subscript"/>
        </w:rPr>
        <w:t>2</w:t>
      </w:r>
      <w:r w:rsidRPr="007F327D">
        <w:t xml:space="preserve"> = 2.633, </w:t>
      </w:r>
      <w:r w:rsidRPr="007F327D">
        <w:rPr>
          <w:i/>
        </w:rPr>
        <w:t xml:space="preserve">p </w:t>
      </w:r>
      <w:r w:rsidRPr="007F327D">
        <w:t xml:space="preserve">= 0.0085, 95% CI [1.34, 7.33]). The odds of cranial injury are three times more likely in young males. This counters expectations of a greater number of injuries in old males based on the reasoning that as individuals live longer, their exposure and the probability of sustaining injury increases. </w:t>
      </w:r>
      <w:r w:rsidRPr="007F327D">
        <w:rPr>
          <w:color w:val="000000"/>
        </w:rPr>
        <w:t>It is interesting to note that while the expected increase in cranial injuries in the old female cohort is evident, there remains a significant difference in the number of cranial injuries in the young male cohort when compared to the old female cohort (</w:t>
      </w:r>
      <w:r w:rsidRPr="007F327D">
        <w:rPr>
          <w:i/>
        </w:rPr>
        <w:t>Z,</w:t>
      </w:r>
      <w:r w:rsidRPr="007F327D">
        <w:t xml:space="preserve"> </w:t>
      </w:r>
      <w:r w:rsidRPr="007F327D">
        <w:rPr>
          <w:vertAlign w:val="subscript"/>
        </w:rPr>
        <w:t>0.05</w:t>
      </w:r>
      <w:r w:rsidRPr="007F327D">
        <w:t xml:space="preserve">, </w:t>
      </w:r>
      <w:r w:rsidRPr="007F327D">
        <w:rPr>
          <w:vertAlign w:val="subscript"/>
        </w:rPr>
        <w:t>2</w:t>
      </w:r>
      <w:r w:rsidRPr="007F327D">
        <w:t xml:space="preserve"> = 2.088, </w:t>
      </w:r>
      <w:r w:rsidRPr="007F327D">
        <w:rPr>
          <w:i/>
        </w:rPr>
        <w:t xml:space="preserve">p </w:t>
      </w:r>
      <w:r w:rsidRPr="007F327D">
        <w:t xml:space="preserve">= 0.0368, 95% CI [1.05, 4.54]). The odds of cranial injury are twice as likely in young males as they are in older females. The result of more cranial injuries in young males could only come about through the young male cohort being more frequently exposed to violence, a finding which accords with more recent experience in medico-legal (Hussain et al. 1994) and bioarchaeological research (see discussion in </w:t>
      </w:r>
      <w:proofErr w:type="spellStart"/>
      <w:r w:rsidRPr="007F327D">
        <w:t>Knüsel</w:t>
      </w:r>
      <w:proofErr w:type="spellEnd"/>
      <w:r w:rsidRPr="007F327D">
        <w:t>, Smith 2014)</w:t>
      </w:r>
      <w:r w:rsidRPr="007F327D">
        <w:rPr>
          <w:color w:val="000000"/>
        </w:rPr>
        <w:t>.</w:t>
      </w:r>
    </w:p>
    <w:p w14:paraId="02F7463E" w14:textId="77777777" w:rsidR="009C2187" w:rsidRPr="007F327D" w:rsidRDefault="009C2187" w:rsidP="009C2187">
      <w:pPr>
        <w:pStyle w:val="Paragraph"/>
      </w:pPr>
      <w:r w:rsidRPr="007F327D">
        <w:t>There are also changing patterns of injury through time during the occupation of the site and differences in the spatial distribution across the site. Initial observations show the number of crania bearing injuries increase some 67% in the Middle period, which coincides with maximum population and density at the site (see above). When prevalence of lesions is compared based on length of exposure it would appear that prevalence is significantly greater in the Early period compared to the Middle period (</w:t>
      </w:r>
      <w:r w:rsidRPr="007F327D">
        <w:rPr>
          <w:i/>
        </w:rPr>
        <w:t>Z,</w:t>
      </w:r>
      <w:r w:rsidRPr="007F327D">
        <w:t xml:space="preserve"> </w:t>
      </w:r>
      <w:r w:rsidRPr="007F327D">
        <w:rPr>
          <w:vertAlign w:val="subscript"/>
        </w:rPr>
        <w:t>0.05</w:t>
      </w:r>
      <w:r w:rsidRPr="007F327D">
        <w:t xml:space="preserve">, </w:t>
      </w:r>
      <w:r w:rsidRPr="007F327D">
        <w:rPr>
          <w:vertAlign w:val="subscript"/>
        </w:rPr>
        <w:t>2</w:t>
      </w:r>
      <w:r w:rsidRPr="007F327D">
        <w:t xml:space="preserve"> = 2.616, </w:t>
      </w:r>
      <w:r w:rsidRPr="007F327D">
        <w:rPr>
          <w:i/>
        </w:rPr>
        <w:t xml:space="preserve">p </w:t>
      </w:r>
      <w:r w:rsidRPr="007F327D">
        <w:t>= 0.00389, 95% CI [1.32, 6.73]), with the odds of fracture in the Early period being three times more likely, with 18 individuals from the Middle period (Levels North F and G) bearing injuries and 51 without injuries, so 18 of 69 individuals with injuries in total. However, this result must be tempered by the observation that the Early period sample contains only three affected individuals from five examined in total. Two exhibit multiple injuries, one cranium having four lesions and a second cranium possessing two lesions that act to inflate prevalence. When prevalence of injury in the Middle period is compared to that of the Late period, the greater number of injuries in the Middle period approaches significance (</w:t>
      </w:r>
      <w:r w:rsidRPr="007F327D">
        <w:rPr>
          <w:i/>
        </w:rPr>
        <w:t>Z,</w:t>
      </w:r>
      <w:r w:rsidRPr="007F327D">
        <w:t xml:space="preserve"> </w:t>
      </w:r>
      <w:r w:rsidRPr="007F327D">
        <w:rPr>
          <w:vertAlign w:val="subscript"/>
        </w:rPr>
        <w:t>0.05</w:t>
      </w:r>
      <w:r w:rsidRPr="007F327D">
        <w:t xml:space="preserve">, </w:t>
      </w:r>
      <w:r w:rsidRPr="007F327D">
        <w:rPr>
          <w:vertAlign w:val="subscript"/>
        </w:rPr>
        <w:t>2</w:t>
      </w:r>
      <w:r w:rsidRPr="007F327D">
        <w:t xml:space="preserve"> = 1.915, </w:t>
      </w:r>
      <w:r w:rsidRPr="007F327D">
        <w:rPr>
          <w:i/>
        </w:rPr>
        <w:t xml:space="preserve">p </w:t>
      </w:r>
      <w:r w:rsidRPr="007F327D">
        <w:t>= 0.0555, 95% CI [0.97, 10.23]), with the odds of injury being three times more likely. Throughout the three periods of occupation, Early, Middle, and Late/Final, the site was divided into North and South Areas, with the North Area being abandoned earlier, ca 6300 BC, than the South Area (Orton et al. 2018). A comparison of cranial injury prevalence between these two areas shows significantly more injuries (</w:t>
      </w:r>
      <w:r w:rsidRPr="007F327D">
        <w:rPr>
          <w:i/>
        </w:rPr>
        <w:t>Z,</w:t>
      </w:r>
      <w:r w:rsidRPr="007F327D">
        <w:t xml:space="preserve"> </w:t>
      </w:r>
      <w:r w:rsidRPr="007F327D">
        <w:rPr>
          <w:vertAlign w:val="subscript"/>
        </w:rPr>
        <w:t>0.05</w:t>
      </w:r>
      <w:r w:rsidRPr="007F327D">
        <w:t xml:space="preserve">, </w:t>
      </w:r>
      <w:r w:rsidRPr="007F327D">
        <w:rPr>
          <w:vertAlign w:val="subscript"/>
        </w:rPr>
        <w:t>2</w:t>
      </w:r>
      <w:r w:rsidRPr="007F327D">
        <w:t xml:space="preserve"> = 2.115, </w:t>
      </w:r>
      <w:r w:rsidRPr="007F327D">
        <w:rPr>
          <w:i/>
        </w:rPr>
        <w:t xml:space="preserve">p </w:t>
      </w:r>
      <w:r w:rsidRPr="007F327D">
        <w:t>= 0.0344, 95% CI [1.04, 3.06]) amongst inhabitants of the South Area, with the odds of cranial injury being almost two times more likely there than in the North Area.</w:t>
      </w:r>
    </w:p>
    <w:p w14:paraId="634E7510" w14:textId="77777777" w:rsidR="009C2187" w:rsidRPr="007F327D" w:rsidRDefault="009C2187" w:rsidP="009C2187">
      <w:pPr>
        <w:pStyle w:val="Heading1"/>
      </w:pPr>
      <w:r w:rsidRPr="007F327D">
        <w:t xml:space="preserve">Discussion </w:t>
      </w:r>
    </w:p>
    <w:p w14:paraId="53EDDE06" w14:textId="77777777" w:rsidR="009C2187" w:rsidRPr="007F327D" w:rsidRDefault="009C2187" w:rsidP="009C2187">
      <w:pPr>
        <w:pStyle w:val="Paragraph"/>
      </w:pPr>
      <w:r w:rsidRPr="007F327D">
        <w:t xml:space="preserve">The two promontories that comprise the East Mound of the Neolithic site of </w:t>
      </w:r>
      <w:proofErr w:type="spellStart"/>
      <w:r w:rsidRPr="007F327D">
        <w:t>Çatalhöyük</w:t>
      </w:r>
      <w:proofErr w:type="spellEnd"/>
      <w:r w:rsidRPr="007F327D">
        <w:t xml:space="preserve">, in addition to being well-known for their internally elaborated and closely-packed houses, are burial grounds. The multiple periods of funerary use include a roughly millennium-long Neolithic sequence, </w:t>
      </w:r>
      <w:r w:rsidRPr="007F327D">
        <w:lastRenderedPageBreak/>
        <w:t xml:space="preserve">but also extensive human burials that date to the Roman/Byzantine period at the site, and to two Islamic phases of occupation, one of medieval date and the other of likely early post-medieval date. The most recent funerary use of the site occurred for the burial of a woman interred in the 1930s, complete with headstone (Haddow et al. 2019 in press). The unequal distribution that characterises the Neolithic periods demands a broadly chronological approach for bioarchaeological studies to achieve samples that are preserved well enough and are numerous enough for meaningful statistical analysis. This means that many analyses comparing sub-groups/sample populations, for example by burial platform or by house, are not possible when taking a population approach- no matter how desirable they may be- due to their small sample sizes. Analyses are thus by level groupings, Early, Middle and Late, with the Final period remains, which are small in number and encountered in only one spatially limited area of the East Mound (in the TP Area of the East Mound) combined with those of the Late period to bolster sample size. </w:t>
      </w:r>
    </w:p>
    <w:p w14:paraId="676B7CA5" w14:textId="77777777" w:rsidR="009C2187" w:rsidRPr="007F327D" w:rsidRDefault="009C2187" w:rsidP="009C2187">
      <w:pPr>
        <w:pStyle w:val="Paragraph"/>
      </w:pPr>
      <w:r w:rsidRPr="007F327D">
        <w:t xml:space="preserve">The framework for the overall interpretations presented in this chapter come from testing previously established methods to reveal the biological effects of social changes in the past. Here, though, the procedures used to arrive at these insights- using the archaeological context to determine analytical samples- is reversed due to a lack of clarity and consensus on what type of social organisation - and changes in it- characterised the over one-millennium-long occupation of </w:t>
      </w:r>
      <w:proofErr w:type="spellStart"/>
      <w:r w:rsidRPr="007F327D">
        <w:t>Çatalhöyük</w:t>
      </w:r>
      <w:proofErr w:type="spellEnd"/>
      <w:r w:rsidRPr="007F327D">
        <w:t xml:space="preserve">. In this endeavour human biology is used as much to inform archaeological contextual insights as the contexts are used to delimit the samples in order to monitor well-being (psycho-social and physiological stress as proposed by Hans Selye, see above), which is influenced by social organisation, broadly defined as the social interactions among individuals in a group/community. </w:t>
      </w:r>
    </w:p>
    <w:p w14:paraId="2199B86F" w14:textId="77777777" w:rsidR="009C2187" w:rsidRPr="007F327D" w:rsidRDefault="009C2187" w:rsidP="009C2187">
      <w:pPr>
        <w:pStyle w:val="Paragraph"/>
      </w:pPr>
      <w:r w:rsidRPr="007F327D">
        <w:t xml:space="preserve">Human groups recognise and accommodate considerable levels of social difference (see Human Development Report 1998) based on innate aspects of personal make-up (social identity), linked to age and sex (cf. </w:t>
      </w:r>
      <w:proofErr w:type="spellStart"/>
      <w:r w:rsidRPr="007F327D">
        <w:t>Gowland</w:t>
      </w:r>
      <w:proofErr w:type="spellEnd"/>
      <w:r w:rsidRPr="007F327D">
        <w:t xml:space="preserve">, Thompson 2013), as well as social distinctions- attributes beyond those that are innate that distinguish an individual from others of a similar age and sex, the two basic structuring principles of human social organisation (cf. Brown 1981). Within and between communities these social distinctions often lead to unequal distribution of resources, information, socio-political stability, and salubrious living conditions that, if maintained, lead to inter-generational (inherited or ascribed) social inequality and sometimes even complete exclusion from access to even the most basic requirements to ensure health (free from disease and disorder) and well-being (free from psycho-social and physiological stress affecting growth and development). Individuals and groups left in these unequal circumstances are lacking in well-being; some community members are exposed to poor health (morbidity) even before birth, from conception, owing to poor maternal health such that they are unable to thrive and succumb (mortality), while others who are born bear the stigmata of having survived these insults in the development of their bodies that are severe enough to affect growth of their bones and teeth. Due to arrested development, these individuals lack the requirements necessary to achieve their full genetic potential for growth and development. Because the very young require stable access to good nutrition and stable living conditions, they and their mothers are especially prone to disruptions and reflect this absence in their biological phenotypes. Put in another way, in the absence of conditions from the bio-cultural environmental that affect growth, growth is a response to bio-geographical factors in recent (Eveleth, Tanner 1990; Schell 1995; </w:t>
      </w:r>
      <w:proofErr w:type="spellStart"/>
      <w:r w:rsidRPr="007F327D">
        <w:t>Bogin</w:t>
      </w:r>
      <w:proofErr w:type="spellEnd"/>
      <w:r w:rsidRPr="007F327D">
        <w:t xml:space="preserve"> 1999; </w:t>
      </w:r>
      <w:proofErr w:type="spellStart"/>
      <w:r w:rsidRPr="007F327D">
        <w:t>Bogin</w:t>
      </w:r>
      <w:proofErr w:type="spellEnd"/>
      <w:r w:rsidRPr="007F327D">
        <w:t xml:space="preserve">, </w:t>
      </w:r>
      <w:proofErr w:type="spellStart"/>
      <w:r w:rsidRPr="007F327D">
        <w:t>Loucky</w:t>
      </w:r>
      <w:proofErr w:type="spellEnd"/>
      <w:r w:rsidRPr="007F327D">
        <w:t xml:space="preserve"> 2007) and past populations (Schweich, </w:t>
      </w:r>
      <w:proofErr w:type="spellStart"/>
      <w:r w:rsidRPr="007F327D">
        <w:t>Knüsel</w:t>
      </w:r>
      <w:proofErr w:type="spellEnd"/>
      <w:r w:rsidRPr="007F327D">
        <w:t xml:space="preserve"> 2003; Steckel 2004). </w:t>
      </w:r>
    </w:p>
    <w:p w14:paraId="214542C8" w14:textId="77777777" w:rsidR="009C2187" w:rsidRPr="007F327D" w:rsidRDefault="009C2187" w:rsidP="009C2187">
      <w:pPr>
        <w:pStyle w:val="Paragraph"/>
      </w:pPr>
      <w:r w:rsidRPr="007F327D">
        <w:t>As documented above from strontium isotopic and dental non-metric trait analysis the population sample seems to be generally from the region of Anatolia, so the bio-geographical effects are likely reduced and those differences that do exist amongst community members are more likely due to bio-cultural effects. Because disruptions of growth and development are non-specific, meaning that they are linked to a variety of causes and, moreover, due to underlying innate bodily homeostatic resilience to such disruptions, these effects, no matter how harsh, affect individuals and groups differently (</w:t>
      </w:r>
      <w:proofErr w:type="spellStart"/>
      <w:r w:rsidRPr="007F327D">
        <w:t>Mummert</w:t>
      </w:r>
      <w:proofErr w:type="spellEnd"/>
      <w:r w:rsidRPr="007F327D">
        <w:t xml:space="preserve"> et al. 2011). This chapter considered the results of studies using multiple indicators to develop an appreciation for the well-being (psycho-social and physiological stress) of community members for the roughly millennium-long occupation of the East Mound at Neolithic </w:t>
      </w:r>
      <w:proofErr w:type="spellStart"/>
      <w:r w:rsidRPr="007F327D">
        <w:t>Çatalhöyük</w:t>
      </w:r>
      <w:proofErr w:type="spellEnd"/>
      <w:r w:rsidRPr="007F327D">
        <w:t xml:space="preserve">. </w:t>
      </w:r>
    </w:p>
    <w:p w14:paraId="791FBEEE" w14:textId="77777777" w:rsidR="009C2187" w:rsidRPr="007F327D" w:rsidRDefault="009C2187" w:rsidP="009C2187">
      <w:pPr>
        <w:pStyle w:val="Paragraph"/>
      </w:pPr>
      <w:r w:rsidRPr="007F327D">
        <w:lastRenderedPageBreak/>
        <w:t xml:space="preserve">Although the adoption of agriculture is today associated with a decline in health and well-being, the picture from a society that had made that transition and adopted living in a proto-urban environment at </w:t>
      </w:r>
      <w:proofErr w:type="spellStart"/>
      <w:r w:rsidRPr="007F327D">
        <w:t>Çatalhöyük</w:t>
      </w:r>
      <w:proofErr w:type="spellEnd"/>
      <w:r w:rsidRPr="007F327D">
        <w:t xml:space="preserve"> provides a mixed view of the consequences of that transition, with some benefits as well as certain deficits. The Middle period (6700-6500 BC) at the site has previously been identified as a time during which the inhabitants experienced considerable change, marked by increased size of the settlement, with a greater numbers and greater elaboration and expansion of houses, as well as burning of buildings in both the North and South Areas of the site. The Middle period has also been associated with a shift in animal diet to a greater reliance on C3 plants, perhaps due to environmental fluctuation or, more likely, changing (and intensified) landscape use. In addition, </w:t>
      </w:r>
      <w:r w:rsidRPr="007F327D">
        <w:rPr>
          <w:rFonts w:eastAsia="Times New Roman"/>
        </w:rPr>
        <w:t xml:space="preserve">Middle period burials display the highest levels of variability in grave inclusions/goods associations and also evince the introduction of new items, such as obsidian mirrors (Chapter 17) that indicate an elaboration of representations of the social identities of the deceased at this time. In order to deposit these items the community required the infrastructure to both obtain the raw materials and to fashion the items before they became unavailable to the living and what was in many cases final deposition in burials, as well as for the construction, maintenance, and elaboration of houses, burial platforms and sub-floor graves. </w:t>
      </w:r>
      <w:r w:rsidRPr="007F327D">
        <w:t xml:space="preserve">The Middle period (6700-6400 BC) seems to be one of fundamental social change, the causes and effects of which draw interest, as much as do the founding and eventual abandonment of the site. These transitions, explored from a bioarchaeological perspective by comparing the Middle period to the preceding Early period and succeeding Late/Final period occupation of the site, are discussed here. </w:t>
      </w:r>
    </w:p>
    <w:p w14:paraId="51ECAD37" w14:textId="77777777" w:rsidR="009C2187" w:rsidRPr="007F327D" w:rsidRDefault="009C2187" w:rsidP="009C2187">
      <w:pPr>
        <w:pStyle w:val="Heading2"/>
      </w:pPr>
      <w:r w:rsidRPr="007F327D">
        <w:t>Demography</w:t>
      </w:r>
    </w:p>
    <w:p w14:paraId="7FBE0173" w14:textId="77777777" w:rsidR="009C2187" w:rsidRPr="007F327D" w:rsidRDefault="009C2187" w:rsidP="009C2187">
      <w:pPr>
        <w:pStyle w:val="Paragraph"/>
      </w:pPr>
      <w:r w:rsidRPr="007F327D">
        <w:t xml:space="preserve">The juvenility index, the ratio between individuals aged between 3 and 19 years of age-at-death and the total of individuals above 3 years of age-at-death, is used as a measure of fertility. This index changed over the course of time, increasing from the Early (9/29 [.31] to the Middle period (96/218 [.44]), but decreasing again in the Late/Final period (20/77 [.26]) prior to the abandonment of the East Mound. This finding confirms previous findings of Larsen and colleagues (2015), but with a considerably larger sample. The Middle period population is larger in comparison to the preceding and succeeding periods, and this increase reflects increased fertility (larger numbers of births) during this period. </w:t>
      </w:r>
    </w:p>
    <w:p w14:paraId="374A9D40" w14:textId="77777777" w:rsidR="009C2187" w:rsidRPr="007F327D" w:rsidRDefault="009C2187" w:rsidP="009C2187">
      <w:pPr>
        <w:pStyle w:val="Paragraph"/>
        <w:rPr>
          <w:color w:val="000000" w:themeColor="text1"/>
        </w:rPr>
      </w:pPr>
      <w:r w:rsidRPr="007F327D">
        <w:rPr>
          <w:color w:val="000000" w:themeColor="text1"/>
        </w:rPr>
        <w:t xml:space="preserve"> </w:t>
      </w:r>
      <w:r w:rsidRPr="007F327D">
        <w:t xml:space="preserve">Both carbon and nitrogen stable isotopes of the now larger complete dataset attest to weaning having started earlier than previously considered, before 12 months of age, but that continued under a total breastfeeding regime, when both breast milk and weaning foods are consumed in combination (see Pearson 2018 for a review), until three years of age. </w:t>
      </w:r>
      <w:r w:rsidRPr="007F327D">
        <w:rPr>
          <w:color w:val="000000" w:themeColor="text1"/>
        </w:rPr>
        <w:t xml:space="preserve">While the relative proportion of cortical area as measured as a percentage in long bones (%CA) produces a consistent age-related trend for all periods at </w:t>
      </w:r>
      <w:proofErr w:type="spellStart"/>
      <w:r w:rsidRPr="007F327D">
        <w:rPr>
          <w:color w:val="000000" w:themeColor="text1"/>
        </w:rPr>
        <w:t>Çatalhöyük</w:t>
      </w:r>
      <w:proofErr w:type="spellEnd"/>
      <w:r w:rsidRPr="007F327D">
        <w:rPr>
          <w:color w:val="000000" w:themeColor="text1"/>
        </w:rPr>
        <w:t xml:space="preserve">, it includes a drop in infancy and early childhood. This reduction could reflect normal appositional growth processes, or it could also be a sign of nutritional stress associated with earlier weaning. Whatever may have been the case for the well-being experienced by the very young, an earlier commencement of the weaning process shortened the period of infertility following birth known as lactational amenorrhea and an earlier return to fertility. This earlier return to fertility </w:t>
      </w:r>
      <w:r w:rsidRPr="007F327D">
        <w:t xml:space="preserve">precipitated reduced birth-spacing. With the time between births thus being shortened, more than a single child could be accommodated by reproductive dyads at the same time, resulting in an increased number of children overall within the population. Moreover, prenatal mortality decreased markedly between the Early and Middle occupation periods despite evidence for increased population density in the Middle period, far more infants were reaching full gestational age. Thus increased fecundity (i.e. more children), coupled with increased fertility (i.e. more conceptions) and a shortened birth-spacing interval, swelled population numbers and increased the density of inhabitants during the Middle period. In this period, middle adults were especially numerous and show a marked increase in the mortality sample from the Early to the Middle period, with no further change afterwards. </w:t>
      </w:r>
    </w:p>
    <w:p w14:paraId="447F7F7C" w14:textId="77777777" w:rsidR="009C2187" w:rsidRPr="007F327D" w:rsidRDefault="009C2187" w:rsidP="009C2187">
      <w:pPr>
        <w:pStyle w:val="Paragraph"/>
      </w:pPr>
      <w:r w:rsidRPr="007F327D">
        <w:t xml:space="preserve">The rise in the number of middle adults, thus those in the prime of life, can be explained largely by the increased births of the Early period, and to a lesser but perceptible extent to community in-migration. Strontium isotope data reveal that most individuals buried at the site spent the majority of their childhoods on the Konya Plain, with only eight individuals of the 230 analysed showing evidence of having originated or having spent appreciable time away from the site. </w:t>
      </w:r>
      <w:r w:rsidRPr="007F327D">
        <w:rPr>
          <w:rFonts w:eastAsia="Times New Roman"/>
        </w:rPr>
        <w:t xml:space="preserve">As indicated by similarities </w:t>
      </w:r>
      <w:r w:rsidRPr="007F327D">
        <w:rPr>
          <w:rFonts w:eastAsia="Times New Roman"/>
        </w:rPr>
        <w:lastRenderedPageBreak/>
        <w:t>in isotopic analysis between sample populations</w:t>
      </w:r>
      <w:r w:rsidRPr="007F327D">
        <w:t xml:space="preserve"> across a series of buildings in the North and South Areas in the whole of the Middle and beginning of the Late/Final periods, these eight individuals, including both males and females, appear to have spent part of their lives in more distant locations or travelled to them and were finally interred at the site</w:t>
      </w:r>
      <w:r w:rsidRPr="007F327D">
        <w:rPr>
          <w:rFonts w:eastAsia="Times New Roman"/>
        </w:rPr>
        <w:t xml:space="preserve">. </w:t>
      </w:r>
    </w:p>
    <w:p w14:paraId="6A4A8CB7" w14:textId="77777777" w:rsidR="009C2187" w:rsidRPr="007F327D" w:rsidRDefault="009C2187" w:rsidP="009C2187">
      <w:pPr>
        <w:pStyle w:val="Paragraph"/>
      </w:pPr>
      <w:r w:rsidRPr="007F327D">
        <w:rPr>
          <w:rFonts w:eastAsia="Times New Roman"/>
        </w:rPr>
        <w:t xml:space="preserve">It seems that females were more likely to move to the site than males as their dental metrical and morphological evidence indicates that they are slightly more diverse genetically than their male counterparts. The </w:t>
      </w:r>
      <w:proofErr w:type="spellStart"/>
      <w:r w:rsidRPr="007F327D">
        <w:t>male:female</w:t>
      </w:r>
      <w:proofErr w:type="spellEnd"/>
      <w:r w:rsidRPr="007F327D">
        <w:t xml:space="preserve"> ratio shows that the origins of females were not only slightly more diverse, but also that their numbers increased from the Early period, where males predominate, to the Middle period with its marked majority of females, which continues in the Late/Final period. Females at </w:t>
      </w:r>
      <w:proofErr w:type="spellStart"/>
      <w:r w:rsidRPr="007F327D">
        <w:t>Çatalhöyük</w:t>
      </w:r>
      <w:proofErr w:type="spellEnd"/>
      <w:r w:rsidRPr="007F327D">
        <w:t xml:space="preserve"> were both more biologically varied (</w:t>
      </w:r>
      <w:proofErr w:type="spellStart"/>
      <w:r w:rsidRPr="007F327D">
        <w:t>Chyleński</w:t>
      </w:r>
      <w:proofErr w:type="spellEnd"/>
      <w:r w:rsidRPr="007F327D">
        <w:t xml:space="preserve"> et al. 2019) and more numerous, but this was always a plurality, rather than a significant majority in any one occupation period, or area of the settlement (North Area versus South Area).</w:t>
      </w:r>
    </w:p>
    <w:p w14:paraId="49052C0F" w14:textId="77777777" w:rsidR="009C2187" w:rsidRPr="007F327D" w:rsidRDefault="009C2187" w:rsidP="009C2187">
      <w:pPr>
        <w:pStyle w:val="Paragraph"/>
      </w:pPr>
      <w:r w:rsidRPr="007F327D">
        <w:t xml:space="preserve">This evidence of provenance suggests that population growth was largely, although not exclusively generated by an increased number of births at the site. It seems that one of the defining features of this community was its capacity to generate offspring in greater numbers and more frequently over several generations, and especially between 6700 and 6400 BC, the Middle period of site occupation. </w:t>
      </w:r>
    </w:p>
    <w:p w14:paraId="667824A6" w14:textId="77777777" w:rsidR="009C2187" w:rsidRPr="007F327D" w:rsidRDefault="009C2187" w:rsidP="009C2187">
      <w:pPr>
        <w:pStyle w:val="Paragraph"/>
        <w:rPr>
          <w:color w:val="000000" w:themeColor="text1"/>
        </w:rPr>
      </w:pPr>
      <w:r w:rsidRPr="007F327D">
        <w:t>Although a proportion of these infants survived the rigours associated with the birth process, childhood mortality doubled from the Early to Middle occupation periods and then decreased by three-quarters in the Late/Final period, a marked increase in the Middle period and equally marked decrease in fertility in the Late/Final period but also of considerable infant mortality. Based on stature prior to six years of age, these children grew at a rate no different from modern middle-class Denver children, but the growth curves diverge during adolescence and adulthood (see figs 16.7a and 16.7b).</w:t>
      </w:r>
      <w:r w:rsidRPr="007F327D">
        <w:rPr>
          <w:color w:val="000000" w:themeColor="text1"/>
        </w:rPr>
        <w:t xml:space="preserve"> </w:t>
      </w:r>
      <w:r w:rsidRPr="007F327D">
        <w:t xml:space="preserve">Later childhood and adolescent growth was not optimum in many of these children after six years of age. The </w:t>
      </w:r>
      <w:proofErr w:type="spellStart"/>
      <w:r w:rsidRPr="007F327D">
        <w:t>Çatalhöyük</w:t>
      </w:r>
      <w:proofErr w:type="spellEnd"/>
      <w:r w:rsidRPr="007F327D">
        <w:t xml:space="preserve"> and Arikara sample populations are both shorter and of lighter body mass than those in the Denver sample. After six years of age, the </w:t>
      </w:r>
      <w:proofErr w:type="spellStart"/>
      <w:r w:rsidRPr="007F327D">
        <w:t>Çatalhöyük</w:t>
      </w:r>
      <w:proofErr w:type="spellEnd"/>
      <w:r w:rsidRPr="007F327D">
        <w:t xml:space="preserve"> children appear to be stunted in their growth for both stature and body mass in comparison to the Denver children, as indeed were the contact-period Arikara from the early protohistoric Sully site (1650-1733, South Dakota) (Owsley 1991), a group dependent on horticulture and living in densely-packed villages comprised of earth lodges accommodating 10 to 15 people each (Johansson, Owsley 2002), a situation reminiscent of that encountered at </w:t>
      </w:r>
      <w:proofErr w:type="spellStart"/>
      <w:r w:rsidRPr="007F327D">
        <w:t>Çatalhöyük</w:t>
      </w:r>
      <w:proofErr w:type="spellEnd"/>
      <w:r w:rsidRPr="007F327D">
        <w:t>. The Arikara of this period were already being affected by displaced neighbouring groups, who were themselves displaced by encroaching Euro-Americans, and the presence of Euro-American traders (Jantz, Owsley 1994), bringing unfamiliar diseases such as smallpox that would decimate their numbers in the late 18th and early 19th centuries (Debo 1970: 103; Johansson, Owsley 2002). Although, as noted above, body size differences appearing during later childhood and adolescence may imply emerging genetic body size differences, rather than health disturbances, this reasoning does not really hold for groups separated by nearly 10,000 years in time, from different hemispheres and thus genetically distantly related, one of which, the Arikara, was under the social disruption of the early part of what would shortly become a full-blown contact situation (Owsley 1991). This would seem to indicate that this stunting is more likely to be due to extrinsic socio-economic factors, perhaps linked to dense living arrangements and stresses associated with settled life, than to some underlying genetic similarity. This type of growth impairment has also been found in other incipient farmers in Central and Southeast Europe, especially affecting females (Macintosh et al. 2016), a subject addressed below.</w:t>
      </w:r>
    </w:p>
    <w:p w14:paraId="2A22CF0B" w14:textId="77777777" w:rsidR="009C2187" w:rsidRPr="007F327D" w:rsidRDefault="009C2187" w:rsidP="009C2187">
      <w:pPr>
        <w:pStyle w:val="Paragraph"/>
      </w:pPr>
      <w:r w:rsidRPr="007F327D">
        <w:t xml:space="preserve">As noted in figure 16.6, however, the mortality profile of the </w:t>
      </w:r>
      <w:proofErr w:type="spellStart"/>
      <w:r w:rsidRPr="007F327D">
        <w:t>Çatalhöyük</w:t>
      </w:r>
      <w:proofErr w:type="spellEnd"/>
      <w:r w:rsidRPr="007F327D">
        <w:t xml:space="preserve"> sample does not seem to indicate that these deaths were due to a disease of mass mortality such as an epidemic. Rather, from the extent and distribution of dental fluctuating asymmetry from across the site, it appears that they were linked to non-specific stressors, as greater dental asymmetry among sub-adults is significantly associated with premature mortality. This pattern not only supports an interpretation of dental fluctuating asymmetry as a faithful marker of developmental stress leading to increased mortality, but also helps to explain the appearance of the mortality profile, in line with the postulated weakened immuno-competence of juveniles in this population (Larsen et al. 2015). Further confirmation of this assessment comes from analysis of the prevalence of linear enamel defects (LEH) in the canine teeth of </w:t>
      </w:r>
      <w:r w:rsidRPr="007F327D">
        <w:lastRenderedPageBreak/>
        <w:t xml:space="preserve">122 of 123 (99%) individuals having at least one defect. While there are no statistically significant differences between LEH prevalence when different occupation periods are compared, this result is due to their uniformly high prevalence throughout the Neolithic occupation of the site from the Early to the Late/Final periods, with percentages ranging from 93.5% to 100% of individuals having two or more defects (fig. 16.9). </w:t>
      </w:r>
    </w:p>
    <w:p w14:paraId="146DB190" w14:textId="77777777" w:rsidR="009C2187" w:rsidRPr="007F327D" w:rsidRDefault="009C2187" w:rsidP="009C2187">
      <w:pPr>
        <w:pStyle w:val="Paragraph"/>
      </w:pPr>
      <w:r w:rsidRPr="007F327D">
        <w:t xml:space="preserve">Cross-sectional analysis of limb bones indicates that immature individuals began to travel greater distances and worked more strenuously in the Middle and more so in the Late/Final periods of occupation at </w:t>
      </w:r>
      <w:proofErr w:type="spellStart"/>
      <w:r w:rsidRPr="007F327D">
        <w:t>Çatalhöyük</w:t>
      </w:r>
      <w:proofErr w:type="spellEnd"/>
      <w:r w:rsidRPr="007F327D">
        <w:t>. That these behaviours emerged in later childhood (≥6 years old) indicates later childhood involvement in subsistence work, in conjunction with the adults of the community. Although there were children that survived this transition to adult activities, many did not and are represented in the higher number of children in the mortality profile. This evidence suggests that children were seen as part of, and active participants in, the workforce and were exposed to increased physiological stress reflected in an increased number of deaths in later childhood.</w:t>
      </w:r>
    </w:p>
    <w:p w14:paraId="4F41AF9D" w14:textId="77777777" w:rsidR="009C2187" w:rsidRPr="007F327D" w:rsidRDefault="009C2187" w:rsidP="009C2187">
      <w:pPr>
        <w:pStyle w:val="Paragraph"/>
      </w:pPr>
      <w:r w:rsidRPr="007F327D">
        <w:t xml:space="preserve">The increased number of middle adult deaths, those in the prime of life and who would have occupied important social positions in the community, and the concurrent peak in childhood mortality during the Middle period seems to indicate that adult well-being as well as that of their children decreased during the Middle period. Although the population as a whole was both more numerous and more diverse in its origins, these indicators of successful adaptation are offset by a greater childhood mortality and increased prime adult deaths and thus decreased longevity in the Middle period. </w:t>
      </w:r>
    </w:p>
    <w:p w14:paraId="25FAECC2" w14:textId="77777777" w:rsidR="009C2187" w:rsidRPr="007F327D" w:rsidRDefault="009C2187" w:rsidP="009C2187">
      <w:pPr>
        <w:pStyle w:val="Heading2"/>
      </w:pPr>
      <w:r w:rsidRPr="007F327D">
        <w:t>Sex differences and distinctions</w:t>
      </w:r>
    </w:p>
    <w:p w14:paraId="26599656" w14:textId="77777777" w:rsidR="009C2187" w:rsidRPr="007F327D" w:rsidRDefault="009C2187" w:rsidP="009C2187">
      <w:pPr>
        <w:pStyle w:val="Paragraph"/>
        <w:rPr>
          <w:color w:val="000000" w:themeColor="text1"/>
        </w:rPr>
      </w:pPr>
      <w:r w:rsidRPr="007F327D">
        <w:t xml:space="preserve">Sex plays an important role in physiological responses to environmental perturbations due to the buffering proffered by the more resilient female immune system (Malina et al. 1985; Stinson 1985). Males are thus more susceptible to physiological disturbance, and especially during developmental years, and more readily express these disruptions in their phenotype. The growth and development of males is thus more sensitive to fluctuations in population well-being; under changing, more demanding conditions, the growth and development of males are more likely to be impaired. </w:t>
      </w:r>
      <w:r w:rsidRPr="007F327D">
        <w:rPr>
          <w:color w:val="000000" w:themeColor="text1"/>
        </w:rPr>
        <w:t>Femoral bending strength, a measure of mobility increases significantly in males through time, but females show a flat or even decreasing temporal trend between the Middle and Late/Final periods. This pattern is demonstrated in overall bone strength for both the humerus and femur that increases through time for males from the Middle to Late/Final periods, but not in females (see fig. 16.13a, b). Males seem to have been experiencing greater physiological demands through time, while those of females were not as great and even reduced over the same period. Perhaps they were not travelling as much or as far as the males, or were not exerting themselves as much as the demonstrably less well-buffered males.</w:t>
      </w:r>
    </w:p>
    <w:p w14:paraId="55E91C23" w14:textId="77777777" w:rsidR="009C2187" w:rsidRPr="007F327D" w:rsidRDefault="009C2187" w:rsidP="009C2187">
      <w:pPr>
        <w:pStyle w:val="Paragraph"/>
      </w:pPr>
      <w:r w:rsidRPr="007F327D">
        <w:t xml:space="preserve">Conversely, if females show physiological changes, this indicates that the stressor responsible is more virulent and/or acute (more fatal, resulting in death, rather than a long-lasting and therefore chronic condition). The birth process is one of these acute conditions. Females of child-bearing age are at increased risk of morbidity (chronic poor health) and mortality (sudden death) due to the hazards associated with child-birth. There are clear examples of this danger at </w:t>
      </w:r>
      <w:proofErr w:type="spellStart"/>
      <w:r w:rsidRPr="007F327D">
        <w:t>Çatalhöyük</w:t>
      </w:r>
      <w:proofErr w:type="spellEnd"/>
      <w:r w:rsidRPr="007F327D">
        <w:t xml:space="preserve"> in the burials of pregnant women. One such is skeleton (13162), the remains of a woman found with those of a foetus (Boz, Hager 2013: 235, fig. 19.32a); although engaged in the pelvis, the pelvic outlet had been reduced by bilateral ischial ramus (pelvic) fractures (pers. obs.). In this state this young woman would have had difficulty in delivering a full-term infant naturally without obstetrical intervention; dying in this tragic, liminal state may be implicated in the later post-mortem removal of her cranium and mandible (Patton, Hager 2014). </w:t>
      </w:r>
    </w:p>
    <w:p w14:paraId="6AE93BB6" w14:textId="77777777" w:rsidR="009C2187" w:rsidRPr="007F327D" w:rsidRDefault="009C2187" w:rsidP="009C2187">
      <w:pPr>
        <w:pStyle w:val="Paragraph"/>
      </w:pPr>
      <w:r w:rsidRPr="007F327D">
        <w:t xml:space="preserve">Given sex-linked characteristics the expectation is that women would out-number men over the life-course as men succumbed over the years in increasing numbers, but that there would be a concomitant increase in mortality among younger women of child-bearing age due to the dangers and sequelae of childbirth. The first of these appears to be borne out. There are more middle adult males dying than there are of similarly aged females, with reduced numbers of old adult males represented in the mortality profiles and more older adult females, except in the Early period, where a disproportionate number of males has already been noted (fig. 16.5). Moreover, based on cumulative dental disease as </w:t>
      </w:r>
      <w:r w:rsidRPr="007F327D">
        <w:lastRenderedPageBreak/>
        <w:t>measured by the number of carious teeth, females appear to have had greater longevity than their male counterparts at the site. The only evidence to suggest deaths due to obstetrical complications is found in individual cases, but cannot be perceived in the proportions of females dying in the young adult category compared to that of males. This highlights the importance of individuals that stand out from the greater whole, both biologically and by their funerary treatment.</w:t>
      </w:r>
    </w:p>
    <w:p w14:paraId="10A49C85" w14:textId="77777777" w:rsidR="009C2187" w:rsidRPr="007F327D" w:rsidRDefault="009C2187" w:rsidP="009C2187">
      <w:pPr>
        <w:pStyle w:val="Paragraph"/>
      </w:pPr>
      <w:r w:rsidRPr="007F327D">
        <w:t>The distribution of carious lesions by individual and by tooth significantly increases with age at death, an expected pattern reflective of longer exposure to cariogenic foods. Coupled with no difference in expression in dental caries between the sexes through time, this suggests a similar diet for adult men and women through the duration of site occupation. This pattern of similarity is interrupted by caries prevalence in Middle period females, however, who have a greater prevalence of dental caries than males during this period of site intensification. There were no consistent differences between periods for individuals or for teeth, so there is no obvious peak of poor dental health, and dental health insults occurred generally in members of the community. Within some age groups, however, there is a difference in prevalence between the sexes. Middle adult males have a slightly higher frequency of caries per individual when compared to females in the same age category. The reverse of this pattern is observed in the older adult age category, where females have more affected teeth in comparison with those of males of the same age-at-death. It thus seems that males were predilected during the prime middle adult years, but in old age there were a greater number of females with poorer dental health after many years of accumulation of such lesions.</w:t>
      </w:r>
    </w:p>
    <w:p w14:paraId="16156745" w14:textId="77777777" w:rsidR="009C2187" w:rsidRPr="007F327D" w:rsidRDefault="009C2187" w:rsidP="009C2187">
      <w:pPr>
        <w:pStyle w:val="Paragraph"/>
      </w:pPr>
      <w:r w:rsidRPr="007F327D">
        <w:t xml:space="preserve">This sex-linked difference may be due to differences in the constituents of diet - the kinds of foods, their preparations, as well as differing dental hygiene regimes- since men and women shared isotopically identical diets. The difference in dental caries experience, however, identifies a cumulative health deficit for women through the life course, and perhaps a drop in well-being due to altered access to certain foods and increased consumption of cariogenic foods that is not reflected in the results of isotope analyses. Younger and older women had different diets, as did young women compared to older men. Sex-related dietary differences based on carbon isotope values show that these were significantly lower for women (-19.3‰ in women versus -18.6‰ in men) and, in turn, this suggests that women consumed a greater proportion of certain species, equids, </w:t>
      </w:r>
      <w:proofErr w:type="spellStart"/>
      <w:r w:rsidRPr="007F327D">
        <w:t>suids</w:t>
      </w:r>
      <w:proofErr w:type="spellEnd"/>
      <w:r w:rsidRPr="007F327D">
        <w:t xml:space="preserve">, and birds, in addition to plant foods with relatively higher nitrogen isotope values, whereas the older men consumed foods most similar to the rest of the population. Young women, it seems, may have consumed a different diet that formed part of their gendered social identity. This dietary difference is not reflected, however, in those individuals who had undergone manipulation of the cephalic extremity (see Haddow, </w:t>
      </w:r>
      <w:proofErr w:type="spellStart"/>
      <w:r w:rsidRPr="007F327D">
        <w:t>Knüsel</w:t>
      </w:r>
      <w:proofErr w:type="spellEnd"/>
      <w:r w:rsidRPr="007F327D">
        <w:t xml:space="preserve"> 2017); their dietary signature resembles that of the overall population (see above). This is not the case, though, for the young adult male (32608) found in B.161, who has values suggesting a completely different diet to the other older males buried there. In general, though, individuals interred in the same buildings often did not have the same diets, but overall statistical analyses suggest that diets within houses were relatively more similar than diets between houses, and there is no correlation with elaboration index for houses, which suggests that, although those buried in any particular house showed more similarity in their diets when compared with those interred in other houses, these were not exclusive differences. There appears to be if no apparent social distinction linked to dietary access differences between burial locations/houses. This difference in this young man stands out because he was not accorded the more commonplace funerary intramural location beneath a platform and possesses the only example of perimortem injuries (those showing no signs of healing) found to date at the site in the form of multiple dental and mandibular fractures (see Haddow et al. 2016). These injuries and his unusual mortuary treatment indicate a social distinctiveness for this individual. </w:t>
      </w:r>
    </w:p>
    <w:p w14:paraId="4E278A72" w14:textId="77777777" w:rsidR="009C2187" w:rsidRPr="007F327D" w:rsidRDefault="009C2187" w:rsidP="009C2187">
      <w:pPr>
        <w:pStyle w:val="Paragraph"/>
      </w:pPr>
      <w:r w:rsidRPr="007F327D">
        <w:t xml:space="preserve">Thus while there are distinctions based on sex and age, especially for diet among young women, this distinction, as with biological relatedness, does not correlate with burial in particular houses. Moreover, when middens could be associated with a particular house, the faunal remains found within them showed little relationship with the individuals buried in the associated house based on isotopic analysis. These associations may thus be more symbolic than subsistence or socio-economic ones, or the events that led to deposition were not based on a particular house. This evidence supports the interpretation that those buried in particular houses do not show any exclusive connection that would support the hypothesised house-based residential groups, a result supported by non-metric dental trait </w:t>
      </w:r>
      <w:r w:rsidRPr="007F327D">
        <w:lastRenderedPageBreak/>
        <w:t xml:space="preserve">analysis that, as noted above, does not identify closely-related biological groups among those buried in the houses (see also </w:t>
      </w:r>
      <w:proofErr w:type="spellStart"/>
      <w:r w:rsidRPr="007F327D">
        <w:t>Pilloud</w:t>
      </w:r>
      <w:proofErr w:type="spellEnd"/>
      <w:r w:rsidRPr="007F327D">
        <w:t>, Larsen 2011).</w:t>
      </w:r>
    </w:p>
    <w:p w14:paraId="5DF72316" w14:textId="77777777" w:rsidR="009C2187" w:rsidRPr="007F327D" w:rsidRDefault="009C2187" w:rsidP="009C2187">
      <w:pPr>
        <w:pStyle w:val="Heading2"/>
      </w:pPr>
      <w:r w:rsidRPr="007F327D">
        <w:t>Violence</w:t>
      </w:r>
    </w:p>
    <w:p w14:paraId="6D09DD81" w14:textId="77777777" w:rsidR="009C2187" w:rsidRPr="007F327D" w:rsidRDefault="009C2187" w:rsidP="009C2187">
      <w:pPr>
        <w:pStyle w:val="Paragraph"/>
      </w:pPr>
      <w:r w:rsidRPr="007F327D">
        <w:t xml:space="preserve">While sex remains a constant throughout the life course, gender is more malleable and can be said to be age-related because it changes for both males and females throughout the life course (Gilchrist 2004; </w:t>
      </w:r>
      <w:proofErr w:type="spellStart"/>
      <w:r w:rsidRPr="007F327D">
        <w:t>Gowland</w:t>
      </w:r>
      <w:proofErr w:type="spellEnd"/>
      <w:r w:rsidRPr="007F327D">
        <w:t xml:space="preserve"> 2006). Trauma has been demonstrated to be especially indicative of gender distinctions (i.e. among men and women in human societies) in human groups because it acts to modulate the circumstances of violent encounters, the type of injuries received, their number and extent (cf. </w:t>
      </w:r>
      <w:proofErr w:type="spellStart"/>
      <w:r w:rsidRPr="007F327D">
        <w:t>Kjellström</w:t>
      </w:r>
      <w:proofErr w:type="spellEnd"/>
      <w:r w:rsidRPr="007F327D">
        <w:t xml:space="preserve"> 2014; Tung 2014; Novak 2017). </w:t>
      </w:r>
    </w:p>
    <w:p w14:paraId="2E8387E3" w14:textId="77777777" w:rsidR="009C2187" w:rsidRPr="007F327D" w:rsidRDefault="009C2187" w:rsidP="009C2187">
      <w:pPr>
        <w:pStyle w:val="Paragraph"/>
      </w:pPr>
      <w:r w:rsidRPr="007F327D">
        <w:t>Signs of interpersonal violence are already evident in the Early period. However, characterisation of the extent of violence in the Early period in relation to the Middle period is yet to be confirmed, given the small sample size for the Early period. When the prevalence of injury of the Middle period is compared to that of the Late period, however, the odds of injury are three times more likely in the Middle period. This correspondence adds further evidence demonstrating the Middle period to have been one of social change that affected human relations in the community. It is suggested that although violent confrontations producing injuries occurred from the time of the founding of the site, they grew in prevalence as community numbers increased, and continued into the Late period of occupation, being two times more common in the South Area when compared with the North Area at this time. During the Late period the South Area accommodated a greater number of inhabitants as the North Area was abandoned; so, as site population shifted from the North Area of the site to the South Area, so did the instances of violence, testimony to the correspondence between density of inhabitation and the occurrence of violence within the community.</w:t>
      </w:r>
    </w:p>
    <w:p w14:paraId="0700EA35" w14:textId="77777777" w:rsidR="009C2187" w:rsidRPr="007F327D" w:rsidRDefault="009C2187" w:rsidP="009C2187">
      <w:pPr>
        <w:pStyle w:val="Paragraph"/>
      </w:pPr>
      <w:r w:rsidRPr="007F327D">
        <w:t xml:space="preserve">As noted at the outset of this discussion violence is engendered, and so it is at Neolithic </w:t>
      </w:r>
      <w:proofErr w:type="spellStart"/>
      <w:r w:rsidRPr="007F327D">
        <w:t>Çatalhöyük</w:t>
      </w:r>
      <w:proofErr w:type="spellEnd"/>
      <w:r w:rsidRPr="007F327D">
        <w:t>. Young males are most often affected and are three times more likely to have sustained cranial trauma than older males and two times more likely than older females, who demonstrate the</w:t>
      </w:r>
      <w:r w:rsidRPr="007F327D">
        <w:rPr>
          <w:color w:val="000000"/>
        </w:rPr>
        <w:t xml:space="preserve"> expected increase in cranial injuries in the old adult female cohort that comes with the expectation of greater numbers </w:t>
      </w:r>
      <w:r w:rsidRPr="007F327D">
        <w:t xml:space="preserve">of injuries being sustained as a consequence of the greater number of accumulated years of life. That this is not the case demonstrates that young males, with fewer accumulated years of life, were more frequently exposed to circumstances that predisposed them to trauma and were the social age group most at risk of sustaining injuries. Wounds, overwhelming depressed fractures from blunt force trauma, are more frequently found above the hat-brim line, a location more often found in victims of assault- that is, inter-personal violence- rather than from accidents. This pattern of males, and especially younger males, being at increased risk of assault violence is a density-dependent one encountered through time in a variety of societies and circumstances (see </w:t>
      </w:r>
      <w:proofErr w:type="spellStart"/>
      <w:r w:rsidRPr="007F327D">
        <w:t>Kjellström</w:t>
      </w:r>
      <w:proofErr w:type="spellEnd"/>
      <w:r w:rsidRPr="007F327D">
        <w:t xml:space="preserve"> 2013; Tung 2013; </w:t>
      </w:r>
      <w:proofErr w:type="spellStart"/>
      <w:r w:rsidRPr="007F327D">
        <w:t>Knüsel</w:t>
      </w:r>
      <w:proofErr w:type="spellEnd"/>
      <w:r w:rsidRPr="007F327D">
        <w:t>, Smith 2013: 668-77; Walker 2001; Brink 1998; Hussain 1994). This association seems to have already been set in place by the 7th millennium in Anatolia. Moreover, that these males died young suggests that their head injuries, even if survived, may have played a part in their earlier ages at death (</w:t>
      </w:r>
      <w:proofErr w:type="spellStart"/>
      <w:r w:rsidRPr="007F327D">
        <w:t>Boldsen</w:t>
      </w:r>
      <w:proofErr w:type="spellEnd"/>
      <w:r w:rsidRPr="007F327D">
        <w:t xml:space="preserve"> et al. 2015) and, whatever the case, reflect an aspect of the lifestyle they assumed. Violence forms a socially distinctive part of young male identity.</w:t>
      </w:r>
    </w:p>
    <w:p w14:paraId="4925A575" w14:textId="77777777" w:rsidR="009C2187" w:rsidRPr="007F327D" w:rsidRDefault="009C2187" w:rsidP="009C2187">
      <w:pPr>
        <w:pStyle w:val="Paragraph"/>
      </w:pPr>
      <w:r w:rsidRPr="007F327D">
        <w:t>The position and concentration of fractures affecting the superior (37%) and posterior (32%) aspects of the cranial vault (fig. 16.18) suggests that these were sustained when the victim was not facing the assailant and that many came from above. This location is consistent with injuries caused by projectiles and, given the ovoid shape of these lesions, thrown stones and/or other similarly shaped objects may be suspected. Some individuals were repeatedly struck, either at the same time or in succession (similar states of healing of lesions cannot distinguish these at this time), which demonstrates that certain individuals had been targeted more than once. The occurrence of these injuries attests to the effects of social stress present within the community, which likely reached a peak during the most densely populated Middle period. That these injuries were not fatal in the majority of cases intimates that the intent may not have been to kill, but rather to punish or control individual behaviour in an attempt to curb or motivate compliance to contemporary precepts. That females also suffered similar injuries but in a lesser frequency suggests that both sexes were meted the same treatment, but females were less often exposed to trauma leaving such evidence on the skeleton.</w:t>
      </w:r>
    </w:p>
    <w:p w14:paraId="444947CE" w14:textId="77777777" w:rsidR="009C2187" w:rsidRPr="007F327D" w:rsidRDefault="009C2187" w:rsidP="009C2187">
      <w:pPr>
        <w:pStyle w:val="Heading2"/>
      </w:pPr>
      <w:r w:rsidRPr="007F327D">
        <w:lastRenderedPageBreak/>
        <w:t xml:space="preserve">Abandonment </w:t>
      </w:r>
    </w:p>
    <w:p w14:paraId="4A547C8E" w14:textId="77777777" w:rsidR="009C2187" w:rsidRPr="007F327D" w:rsidRDefault="009C2187" w:rsidP="009C2187">
      <w:pPr>
        <w:pStyle w:val="Paragraph"/>
        <w:rPr>
          <w:color w:val="000000" w:themeColor="text1"/>
        </w:rPr>
      </w:pPr>
      <w:r w:rsidRPr="007F327D">
        <w:t xml:space="preserve">Prior to the abandonment of the Neolithic East Mound and the establishment of a Chalcolithic settlement on the West Mound there is a peak in the number of neonatal deaths in the Late/Final periods that indicates relatively high mortality before two months of age. Considering the stability of fertility estimates throughout the major occupation periods, this result suggests that living conditions during the Late period of the settlement were probably not improved, even in the context of a decrease in population size and density. There is evidence for the general improvement of maternal health and well-being into the Middle period, with a marked decline in the Late/Final periods reflected in the increase of pre-term and neonatal mortality coupled with declining fertility. This Late/Final population was one in decline, with a drop in fertility, poorer maternal health and a consequent greater number of foetal/infant deaths, thus prior to and around the time of birth. Essentially, this population was no longer realising the success of the preceding periods and appears to have resulted from a decline in population vitality that co-occurs with the gradual abandonment of the East Mound. Perhaps one sign of this period of abandonment is the presence of coprolites in an open refuse area dating to 6410–6150 BC, during the Late/Final periods of the site, perhaps suggesting at this time that inhabited areas had become interspersed with larger open areas and waste ground, but population numbers and proximity to human waste were still sufficient to support orally transmitted intestinal parasite infections. Moreover, by this time, some community members had become less sedentary than their predecessors at the site. Based on changes in femoral bending strength ratios, a measure of mobility, while the Early period inhabitants of the site already resemble a relatively sedentary group </w:t>
      </w:r>
      <w:r w:rsidRPr="007F327D">
        <w:rPr>
          <w:color w:val="000000" w:themeColor="text1"/>
        </w:rPr>
        <w:t>compared to broadly contemporaneous food-producing populations</w:t>
      </w:r>
      <w:r w:rsidRPr="007F327D">
        <w:t xml:space="preserve"> and had developed </w:t>
      </w:r>
      <w:r w:rsidRPr="007F327D">
        <w:rPr>
          <w:color w:val="000000" w:themeColor="text1"/>
        </w:rPr>
        <w:t xml:space="preserve">a pattern associated with intensive agricultural groups by the Middle period, by the Late/Final periods, perhaps in response to increasing aridity, they had become more mobile, similar to less sedentary, pre-agricultural European Mesolithic and Natufian populations, prior to the abandonment of the East Mound. </w:t>
      </w:r>
    </w:p>
    <w:p w14:paraId="263B41CF" w14:textId="77777777" w:rsidR="009C2187" w:rsidRPr="007F327D" w:rsidRDefault="009C2187" w:rsidP="009C2187">
      <w:pPr>
        <w:pStyle w:val="Heading2"/>
      </w:pPr>
      <w:r w:rsidRPr="007F327D">
        <w:rPr>
          <w:rStyle w:val="Heading2Char"/>
          <w:bCs/>
        </w:rPr>
        <w:t>Possible social correlates of developmental stress: dental fluctuating asymmetry, enamel</w:t>
      </w:r>
      <w:r w:rsidRPr="007F327D">
        <w:t xml:space="preserve"> hypoplasia, stature, and mortality</w:t>
      </w:r>
    </w:p>
    <w:p w14:paraId="4A585D18" w14:textId="77777777" w:rsidR="009C2187" w:rsidRPr="007F327D" w:rsidRDefault="009C2187" w:rsidP="009C2187">
      <w:pPr>
        <w:pStyle w:val="Paragraph"/>
      </w:pPr>
      <w:r w:rsidRPr="007F327D">
        <w:t xml:space="preserve">A relevant research question relates to the possible development among the inhabitants of </w:t>
      </w:r>
      <w:proofErr w:type="spellStart"/>
      <w:r w:rsidRPr="007F327D">
        <w:t>Çatalhöyük</w:t>
      </w:r>
      <w:proofErr w:type="spellEnd"/>
      <w:r w:rsidRPr="007F327D">
        <w:t xml:space="preserve"> of some form of social differentiation resulting from unequal access to resources and/or differential well-being. The possible presence (or absence thereof) of social inequality among early Neolithic communities is a classic topic of discussion characterised by diverging opinions and ambiguous results (e.g. </w:t>
      </w:r>
      <w:proofErr w:type="spellStart"/>
      <w:r w:rsidRPr="007F327D">
        <w:t>Düring</w:t>
      </w:r>
      <w:proofErr w:type="spellEnd"/>
      <w:r w:rsidRPr="007F327D">
        <w:t xml:space="preserve"> 2007; </w:t>
      </w:r>
      <w:proofErr w:type="spellStart"/>
      <w:r w:rsidRPr="007F327D">
        <w:t>Rollefson</w:t>
      </w:r>
      <w:proofErr w:type="spellEnd"/>
      <w:r w:rsidRPr="007F327D">
        <w:t xml:space="preserve"> 2002; Hodder, </w:t>
      </w:r>
      <w:proofErr w:type="spellStart"/>
      <w:r w:rsidRPr="007F327D">
        <w:t>Cessford</w:t>
      </w:r>
      <w:proofErr w:type="spellEnd"/>
      <w:r w:rsidRPr="007F327D">
        <w:t xml:space="preserve"> 2004; </w:t>
      </w:r>
      <w:proofErr w:type="spellStart"/>
      <w:r w:rsidRPr="007F327D">
        <w:t>Kuijt</w:t>
      </w:r>
      <w:proofErr w:type="spellEnd"/>
      <w:r w:rsidRPr="007F327D">
        <w:t xml:space="preserve"> 2009; Pearson et al. 2013; Wright 2014). At </w:t>
      </w:r>
      <w:proofErr w:type="spellStart"/>
      <w:r w:rsidRPr="007F327D">
        <w:t>Çatalhöyük</w:t>
      </w:r>
      <w:proofErr w:type="spellEnd"/>
      <w:r w:rsidRPr="007F327D">
        <w:t xml:space="preserve"> the long-term occupation of the site, its large size, and estimated changes in population size and density raise the question of the presence and type of social norms responsible for structuring communal life (see also section above on interpersonal violence). Whereas the appearance of marked vertical social differentiation appears clearly only during the later stages of prehistory, after 6000 BC in Mesopotamia and the rise of regionally differentiated societies with internally differentiated settlements, large-scale pottery, and eventually bronze production as well as larger scale</w:t>
      </w:r>
      <w:r w:rsidRPr="007F327D" w:rsidDel="009D01BE">
        <w:t xml:space="preserve"> </w:t>
      </w:r>
      <w:r w:rsidRPr="007F327D">
        <w:t xml:space="preserve">exchange of materials over greater distances. These phenomena are often equated with the rise of ‘civilisation’ or socially complex and stratified societies associated with the city-states that came to dominate the Middle East in the Bronze Age, after 3000 BC (Nissen 1988; </w:t>
      </w:r>
      <w:proofErr w:type="spellStart"/>
      <w:r w:rsidRPr="007F327D">
        <w:t>Düring</w:t>
      </w:r>
      <w:proofErr w:type="spellEnd"/>
      <w:r w:rsidRPr="007F327D">
        <w:t xml:space="preserve"> 2011a). In these developments have been used as proxies for changes in social organization, relations among those making these transitions, without fully integrating the evidence from human remains in their burial contexts that reflect changes in the nature of social relations. It is, in any case, worth questioning if at least the seeds of these later phenomena were already present during earlier times. While current interpretations of </w:t>
      </w:r>
      <w:proofErr w:type="spellStart"/>
      <w:r w:rsidRPr="007F327D">
        <w:t>Çatalhöyük</w:t>
      </w:r>
      <w:proofErr w:type="spellEnd"/>
      <w:r w:rsidRPr="007F327D">
        <w:t xml:space="preserve"> gravitate toward a basically egalitarian social model (Hodder, </w:t>
      </w:r>
      <w:proofErr w:type="spellStart"/>
      <w:r w:rsidRPr="007F327D">
        <w:t>Cessford</w:t>
      </w:r>
      <w:proofErr w:type="spellEnd"/>
      <w:r w:rsidRPr="007F327D">
        <w:t xml:space="preserve"> 2004; Hodder, Pels 2010), the aim of this section is to revisit this important research question by incorporating new bioarchaeological data, explicitly focusing on possible patterns of developmental stress, and to compare these with levels of architectural complexity at the site. </w:t>
      </w:r>
    </w:p>
    <w:p w14:paraId="3AF832B8" w14:textId="77777777" w:rsidR="009C2187" w:rsidRPr="007F327D" w:rsidRDefault="009C2187" w:rsidP="009C2187">
      <w:pPr>
        <w:pStyle w:val="Paragraph"/>
      </w:pPr>
      <w:r w:rsidRPr="007F327D">
        <w:t xml:space="preserve">Briefly, if at </w:t>
      </w:r>
      <w:proofErr w:type="spellStart"/>
      <w:r w:rsidRPr="007F327D">
        <w:t>Çatalhöyük</w:t>
      </w:r>
      <w:proofErr w:type="spellEnd"/>
      <w:r w:rsidRPr="007F327D">
        <w:t xml:space="preserve"> no social differentiation were present, one might assume a lack of differences in living conditions among the members of the community. Following this reasoning, the null hypothesis would be an absence of correlation between archaeological and biological (skeletal) signatures of “well-being”. </w:t>
      </w:r>
    </w:p>
    <w:p w14:paraId="5EBE7DE1" w14:textId="77777777" w:rsidR="009C2187" w:rsidRPr="007F327D" w:rsidRDefault="009C2187" w:rsidP="009C2187">
      <w:pPr>
        <w:pStyle w:val="Paragraph"/>
      </w:pPr>
      <w:r w:rsidRPr="007F327D">
        <w:lastRenderedPageBreak/>
        <w:t xml:space="preserve">It should be noted that the aim here is not to test the presence at </w:t>
      </w:r>
      <w:proofErr w:type="spellStart"/>
      <w:r w:rsidRPr="007F327D">
        <w:t>Çatalhöyük</w:t>
      </w:r>
      <w:proofErr w:type="spellEnd"/>
      <w:r w:rsidRPr="007F327D">
        <w:t xml:space="preserve"> of an overtly hierarchical social system, a hypothesis that cannot stand the actual archaeological knowledge for the site itself and more generally of the Neolithic Near East. Rather, it is the possible presence of nuanced differences in bioarchaeological patterns which may suggest the beginning of some form of social differentiation in the context of an egalitarian system (see also Wright 2013). </w:t>
      </w:r>
    </w:p>
    <w:p w14:paraId="4CF0140D" w14:textId="77777777" w:rsidR="009C2187" w:rsidRPr="007F327D" w:rsidRDefault="009C2187" w:rsidP="009C2187">
      <w:pPr>
        <w:pStyle w:val="Paragraph"/>
      </w:pPr>
      <w:r w:rsidRPr="007F327D">
        <w:t>In any case, when addressing such questions the choice of variables to be tested is paramount. In terms of bioanthropological data, preference should be given to those features expressing differences in living conditions (i.e. environmental differences) and not excessively influenced by additional factors of no primary relevance to the question at hand. Based on these criteria, the present discussion is based on four variables: dental fluctuating asymmetry (DFA), adult stature, linear enamel hypoplasia (LEH), and differential mortality. For the definition of DFA, please see the earlier section of this chapter, above. LEH is represented by discontinuities in dental enamel apposition (Hillson 1996; Larsen 2015) and can be (cautiously) used as proxy of the relative exposure of an individual to stressful episodes throughout their growth. Overall, the choice of these variables was suggested by their sensitivity to the effects of environmental stressors. Briefly, the higher the prevalence of DFA and LEH, and the shorter the estimated stature, the higher the estimated level of environmental-induced deviation from the genetically-targeted phenotype.</w:t>
      </w:r>
    </w:p>
    <w:p w14:paraId="313E2578" w14:textId="77777777" w:rsidR="009C2187" w:rsidRPr="007F327D" w:rsidRDefault="009C2187" w:rsidP="009C2187">
      <w:pPr>
        <w:pStyle w:val="Paragraph"/>
      </w:pPr>
      <w:r w:rsidRPr="007F327D">
        <w:t xml:space="preserve">With respect to mortality, </w:t>
      </w:r>
      <w:proofErr w:type="spellStart"/>
      <w:r w:rsidRPr="007F327D">
        <w:t>attritional</w:t>
      </w:r>
      <w:proofErr w:type="spellEnd"/>
      <w:r w:rsidRPr="007F327D">
        <w:t xml:space="preserve"> (non-catastrophic) mortality models for stable populations predict higher mortality among younger subadults and older adults (Chamberlain 2009). In order to address this question, the mortality distribution of two ‘intermediate’ age categories: adolescents and young adults were targeted in order to check for potential deviations in age frequencies potentially associated with contrasts in mortality schedules and, by proxy, living conditions. This approach was especially chosen due to the well-known risk of confounding changes in fertility with subadult mortality (Larsen 2015). </w:t>
      </w:r>
    </w:p>
    <w:p w14:paraId="383031E7" w14:textId="77777777" w:rsidR="009C2187" w:rsidRPr="007F327D" w:rsidRDefault="009C2187" w:rsidP="009C2187">
      <w:pPr>
        <w:pStyle w:val="Paragraph"/>
      </w:pPr>
      <w:r w:rsidRPr="007F327D">
        <w:t>With regard to archaeological features, pairwise comparisons between buildings incorporate the disadvantages of reduced sample sizes. An alternative strategy would have been to score each building along a continuous scale according to some proxy of complexity in order to test the possible convergence (or lack thereof) between building complexity and general indicators of well-being among the individuals buried within them. The elaboration index (‘EI’, Hodder, Pels 2010) is such a tool, having the advantage of being an elegant proxy for the relative architectural complexity of a given building. The EI is based on the number of floor segments, basins, benches, installations, pillars and wall paintings in the main room of the building (Hodder, Pels 2010).</w:t>
      </w:r>
    </w:p>
    <w:p w14:paraId="2BF7456F" w14:textId="77777777" w:rsidR="009C2187" w:rsidRPr="007F327D" w:rsidRDefault="009C2187" w:rsidP="009C2187">
      <w:pPr>
        <w:pStyle w:val="Paragraph"/>
      </w:pPr>
      <w:r w:rsidRPr="007F327D">
        <w:t xml:space="preserve">A second approach would be to separate the individuals buried in history houses (houses continually rebuilt in the same place and including large numbers of burials – Hodder, Pels 2010; Hodder 2016) and compare them with the rest of the sample. This approach tests for the presence of specific living conditions among those buried in the buildings, possibly related to the postulated social role of history houses within the community at </w:t>
      </w:r>
      <w:proofErr w:type="spellStart"/>
      <w:r w:rsidRPr="007F327D">
        <w:t>Çatalhöyük</w:t>
      </w:r>
      <w:proofErr w:type="spellEnd"/>
      <w:r w:rsidRPr="007F327D">
        <w:t xml:space="preserve"> (Hodder, Pels 2010; Hodder 2016). The following analyses focus on three main hypotheses, namely: </w:t>
      </w:r>
    </w:p>
    <w:p w14:paraId="482F76FC" w14:textId="77777777" w:rsidR="009C2187" w:rsidRPr="00E76A0F" w:rsidRDefault="009C2187" w:rsidP="009C2187">
      <w:pPr>
        <w:ind w:left="720"/>
        <w:rPr>
          <w:rFonts w:ascii="Times New Roman" w:hAnsi="Times New Roman" w:cs="Times New Roman"/>
        </w:rPr>
      </w:pPr>
      <w:r w:rsidRPr="00E76A0F">
        <w:rPr>
          <w:rFonts w:ascii="Times New Roman" w:hAnsi="Times New Roman" w:cs="Times New Roman"/>
        </w:rPr>
        <w:t xml:space="preserve">H1: if variability in EI reflects social differentiation at the site, then a negative correlation between DFA and EI, and a positive correlation between stature and EI is postulated. </w:t>
      </w:r>
    </w:p>
    <w:p w14:paraId="5FF47C35" w14:textId="77777777" w:rsidR="009C2187" w:rsidRPr="00E76A0F" w:rsidRDefault="009C2187" w:rsidP="009C2187">
      <w:pPr>
        <w:ind w:left="720"/>
        <w:rPr>
          <w:rFonts w:ascii="Times New Roman" w:hAnsi="Times New Roman" w:cs="Times New Roman"/>
        </w:rPr>
      </w:pPr>
      <w:r w:rsidRPr="00E76A0F">
        <w:rPr>
          <w:rFonts w:ascii="Times New Roman" w:hAnsi="Times New Roman" w:cs="Times New Roman"/>
        </w:rPr>
        <w:t xml:space="preserve">H2: if burial in history houses indicates a privileged social standing, then lower DFA and LEH, and increased stature of these individuals compared with the rest of the population of </w:t>
      </w:r>
      <w:proofErr w:type="spellStart"/>
      <w:r w:rsidRPr="00E76A0F">
        <w:rPr>
          <w:rFonts w:ascii="Times New Roman" w:hAnsi="Times New Roman" w:cs="Times New Roman"/>
        </w:rPr>
        <w:t>Çatalhöyük</w:t>
      </w:r>
      <w:proofErr w:type="spellEnd"/>
      <w:r w:rsidRPr="00E76A0F">
        <w:rPr>
          <w:rFonts w:ascii="Times New Roman" w:hAnsi="Times New Roman" w:cs="Times New Roman"/>
        </w:rPr>
        <w:t xml:space="preserve"> is postulated.</w:t>
      </w:r>
    </w:p>
    <w:p w14:paraId="414DF537" w14:textId="77777777" w:rsidR="009C2187" w:rsidRPr="00E76A0F" w:rsidRDefault="009C2187" w:rsidP="009C2187">
      <w:pPr>
        <w:ind w:left="720"/>
        <w:rPr>
          <w:rFonts w:ascii="Times New Roman" w:hAnsi="Times New Roman" w:cs="Times New Roman"/>
        </w:rPr>
      </w:pPr>
      <w:r w:rsidRPr="00E76A0F">
        <w:rPr>
          <w:rFonts w:ascii="Times New Roman" w:hAnsi="Times New Roman" w:cs="Times New Roman"/>
        </w:rPr>
        <w:t>H3: if variability in EI reflects some form of social differentiation at the site, then a relatively higher mortality of adolescents and young adults in buildings characterised by comparatively lower EI scores is postulated.</w:t>
      </w:r>
    </w:p>
    <w:p w14:paraId="66C51166" w14:textId="77777777" w:rsidR="009C2187" w:rsidRPr="007F327D" w:rsidRDefault="009C2187" w:rsidP="009C2187">
      <w:pPr>
        <w:pStyle w:val="Heading3"/>
      </w:pPr>
      <w:r w:rsidRPr="007F327D">
        <w:t>Material and methods:</w:t>
      </w:r>
    </w:p>
    <w:p w14:paraId="31396EC4" w14:textId="77777777" w:rsidR="009C2187" w:rsidRPr="007F327D" w:rsidRDefault="009C2187" w:rsidP="009C2187">
      <w:pPr>
        <w:pStyle w:val="Paragraph"/>
      </w:pPr>
      <w:r w:rsidRPr="007F327D">
        <w:lastRenderedPageBreak/>
        <w:t>Analyses were performed on all stratified individuals for whom data on DFA, LEH, or stature were available, and who were buried in buildings for which the EI was previously calculated (i.e. individuals from contexts not associated with a specific value for the EI were excluded). Given the relatively small number of individuals, separate analyses were performed for each variable considered in the study. For the methodological details about the calculation of DFA and estimation of stature see above in this chapter. With regard to LEH, this was observed on the upper and lower first and second incisors and canines, and scored on a three–stage ordinal scale (from absence [1] to severe hypoplasia [3]). For the sake of simplicity, in this contribution each individual is scored according to the maximum expression of LEH on the upper and lower dentition. In order to minimize the bias of age and sex on the results, analysis of DFA was performed on adults and subadults separately (no differences between sexes were noted – see above), and analyses of statures were performed separately by sex.</w:t>
      </w:r>
    </w:p>
    <w:p w14:paraId="035B2096" w14:textId="77777777" w:rsidR="009C2187" w:rsidRPr="007F327D" w:rsidRDefault="009C2187" w:rsidP="009C2187">
      <w:pPr>
        <w:pStyle w:val="Paragraph"/>
      </w:pPr>
      <w:r w:rsidRPr="007F327D">
        <w:t>The association between DFA, stature, age category frequencies and the EI was tested by means of a Spearman test. The effect of EI on LEH was tested by means of an ordinal logistic model. Furthermore DFA, LEH, and stature estimates were compared between individuals from history houses and non-history houses in order to further check for possible differences in relative exposure to environmental stressors between these two samples (note that given the small number of individuals all individuals from history houses were grouped in a single sample). Specifically, the building sequences considered as part of the ‘history house sample’ are the following: (B.1/B.5), (B.6/B.17/B.24), (B.8/B.21/B.22/B.23), (B.10/B.44/B.56/B.65), (B.20/B.7/B.16/B.18), and (B.59/B.60). DFA and stature medians between history house and non-history house individuals were compared by means of a Wilcoxon test, whereas the possible association between the development of LEH and type of building was tested by means of Chi-squared test. In all tests alpha was set at 0.05.</w:t>
      </w:r>
    </w:p>
    <w:p w14:paraId="59FDC3A0" w14:textId="77777777" w:rsidR="009C2187" w:rsidRPr="007F327D" w:rsidRDefault="009C2187" w:rsidP="009C2187">
      <w:pPr>
        <w:pStyle w:val="Heading3"/>
      </w:pPr>
      <w:r w:rsidRPr="007F327D">
        <w:t>Results:</w:t>
      </w:r>
    </w:p>
    <w:p w14:paraId="7746C69C" w14:textId="77777777" w:rsidR="009C2187" w:rsidRPr="007F327D" w:rsidRDefault="009C2187" w:rsidP="009C2187">
      <w:pPr>
        <w:pStyle w:val="Paragraph"/>
      </w:pPr>
      <w:r w:rsidRPr="007F327D">
        <w:t xml:space="preserve">Analysis of DFA, LEH, and stature estimates highlight a lack of correlation between these variables and EI (table 16.21, figs 16.20 and 16.21). With regard to age distribution, the relative frequency of adolescents and young adults shows no significant correlation with the EI (table 16.21). It is interesting to note, however, the different trajectories of these age categories: both show an increase in relative frequency in parallel with the EI until about EI=20. Adolescent mortality then slightly decreases, whereas young adult mortality tends to stay relatively constant (fig. 16.22). </w:t>
      </w:r>
    </w:p>
    <w:p w14:paraId="713E47AE" w14:textId="77777777" w:rsidR="009C2187" w:rsidRPr="007F327D" w:rsidRDefault="009C2187" w:rsidP="009C2187">
      <w:pPr>
        <w:pStyle w:val="Caption"/>
      </w:pPr>
      <w:r w:rsidRPr="007F327D">
        <w:rPr>
          <w:b/>
        </w:rPr>
        <w:t xml:space="preserve">Table 16.21. </w:t>
      </w:r>
      <w:r w:rsidRPr="007F327D">
        <w:t>Correlation between skeletal and demographic data and elaboration index. a) Results of Spearman test between elaboration index and adult stature, adolescents and young adult frequencies, and fluctuating asymmetry; b) significance of elaboration index (EI) as predictor of linear enamel hypoplasia (LEH). UM2= upper second molar; LM2= lower second molar; LM1= lower first molar; LC=lower canine; MD=</w:t>
      </w:r>
      <w:proofErr w:type="spellStart"/>
      <w:r w:rsidRPr="007F327D">
        <w:t>mesio</w:t>
      </w:r>
      <w:proofErr w:type="spellEnd"/>
      <w:r w:rsidRPr="007F327D">
        <w:t>-distal; BL=</w:t>
      </w:r>
      <w:proofErr w:type="spellStart"/>
      <w:r w:rsidRPr="007F327D">
        <w:t>bucco</w:t>
      </w:r>
      <w:proofErr w:type="spellEnd"/>
      <w:r w:rsidRPr="007F327D">
        <w:t>-lingual.</w:t>
      </w:r>
    </w:p>
    <w:p w14:paraId="7D50C589" w14:textId="77777777" w:rsidR="009C2187" w:rsidRPr="007F327D" w:rsidRDefault="009C2187" w:rsidP="009C2187">
      <w:pPr>
        <w:pStyle w:val="Caption"/>
        <w:rPr>
          <w:shd w:val="clear" w:color="auto" w:fill="FFFFFF"/>
        </w:rPr>
      </w:pPr>
      <w:r w:rsidRPr="007F327D">
        <w:rPr>
          <w:b/>
          <w:shd w:val="clear" w:color="auto" w:fill="FFFFFF"/>
        </w:rPr>
        <w:t>Figure 16.20</w:t>
      </w:r>
      <w:r w:rsidRPr="007F327D">
        <w:rPr>
          <w:shd w:val="clear" w:color="auto" w:fill="FFFFFF"/>
        </w:rPr>
        <w:t>. Linear enamel hypoplasia (LEH) versus elaboration index (EI). For simplicity, individual LEH values are obtained from the maximum scores for the upper and lower dentition.</w:t>
      </w:r>
    </w:p>
    <w:p w14:paraId="1EB70531" w14:textId="77777777" w:rsidR="009C2187" w:rsidRPr="007F327D" w:rsidRDefault="009C2187" w:rsidP="009C2187">
      <w:pPr>
        <w:pStyle w:val="Caption"/>
        <w:rPr>
          <w:shd w:val="clear" w:color="auto" w:fill="FFFFFF"/>
        </w:rPr>
      </w:pPr>
      <w:r w:rsidRPr="007F327D">
        <w:rPr>
          <w:b/>
          <w:shd w:val="clear" w:color="auto" w:fill="FFFFFF"/>
        </w:rPr>
        <w:t>Figure 16.21</w:t>
      </w:r>
      <w:r w:rsidRPr="007F327D">
        <w:rPr>
          <w:shd w:val="clear" w:color="auto" w:fill="FFFFFF"/>
        </w:rPr>
        <w:t>. Adult stature versus elaboration index (EI). In both sexes the negative correlation is not significant (see text).</w:t>
      </w:r>
    </w:p>
    <w:p w14:paraId="6E4EFC58" w14:textId="77777777" w:rsidR="009C2187" w:rsidRPr="007F327D" w:rsidRDefault="009C2187" w:rsidP="009C2187">
      <w:pPr>
        <w:pStyle w:val="Caption"/>
        <w:rPr>
          <w:shd w:val="clear" w:color="auto" w:fill="FFFFFF"/>
        </w:rPr>
      </w:pPr>
      <w:r w:rsidRPr="007F327D">
        <w:rPr>
          <w:b/>
          <w:shd w:val="clear" w:color="auto" w:fill="FFFFFF"/>
        </w:rPr>
        <w:t>Figure 16.22</w:t>
      </w:r>
      <w:r w:rsidRPr="007F327D">
        <w:rPr>
          <w:shd w:val="clear" w:color="auto" w:fill="FFFFFF"/>
        </w:rPr>
        <w:t>. Adolescent and young adult relative frequencies by the extent of EI.</w:t>
      </w:r>
    </w:p>
    <w:p w14:paraId="6733AA1C" w14:textId="77777777" w:rsidR="009C2187" w:rsidRPr="007F327D" w:rsidRDefault="009C2187" w:rsidP="009C2187">
      <w:pPr>
        <w:pStyle w:val="Paragraph"/>
      </w:pPr>
      <w:r w:rsidRPr="007F327D">
        <w:tab/>
        <w:t xml:space="preserve">When comparing individuals from history houses with the rest of the sample, ‘non-history house individuals’ show a significantly higher DFA for the LM2 </w:t>
      </w:r>
      <w:proofErr w:type="spellStart"/>
      <w:r w:rsidRPr="007F327D">
        <w:t>bucco</w:t>
      </w:r>
      <w:proofErr w:type="spellEnd"/>
      <w:r w:rsidRPr="007F327D">
        <w:t>-lingual diameter. No differences were found in LEH frequencies, whereas males from history houses present a significantly reduced stature when compared with the rest of the sample (table 16.22).</w:t>
      </w:r>
    </w:p>
    <w:p w14:paraId="4411F4F9" w14:textId="77777777" w:rsidR="009C2187" w:rsidRPr="007F327D" w:rsidRDefault="009C2187" w:rsidP="009C2187">
      <w:pPr>
        <w:pStyle w:val="Caption"/>
      </w:pPr>
      <w:r w:rsidRPr="007F327D">
        <w:rPr>
          <w:b/>
        </w:rPr>
        <w:t>Table 16.22. </w:t>
      </w:r>
      <w:r w:rsidRPr="007F327D">
        <w:t>Comparison between non-history houses and history houses in a) dental fluctuating asymmetry (DFA) and adult stature, and b) linear enamel hypoplasia (LEH). UM2= upper second molar; LM2= lower second molar; LM1= lower first molar; LC=lower canine; MD=</w:t>
      </w:r>
      <w:proofErr w:type="spellStart"/>
      <w:r w:rsidRPr="007F327D">
        <w:t>mesio</w:t>
      </w:r>
      <w:proofErr w:type="spellEnd"/>
      <w:r w:rsidRPr="007F327D">
        <w:t>-distal; BL=</w:t>
      </w:r>
      <w:proofErr w:type="spellStart"/>
      <w:r w:rsidRPr="007F327D">
        <w:t>bucco</w:t>
      </w:r>
      <w:proofErr w:type="spellEnd"/>
      <w:r w:rsidRPr="007F327D">
        <w:t>-lingual.</w:t>
      </w:r>
    </w:p>
    <w:p w14:paraId="7FEFD782" w14:textId="77777777" w:rsidR="009C2187" w:rsidRPr="007F327D" w:rsidRDefault="009C2187" w:rsidP="009C2187">
      <w:pPr>
        <w:pStyle w:val="Heading3"/>
      </w:pPr>
      <w:r w:rsidRPr="007F327D">
        <w:t>Discussion:</w:t>
      </w:r>
    </w:p>
    <w:p w14:paraId="2F2B9B60" w14:textId="77777777" w:rsidR="009C2187" w:rsidRPr="007F327D" w:rsidRDefault="009C2187" w:rsidP="009C2187">
      <w:pPr>
        <w:pStyle w:val="Paragraph"/>
      </w:pPr>
      <w:r w:rsidRPr="007F327D">
        <w:t xml:space="preserve">Most of the starting hypotheses can be rejected on the basis of these results, which overall show: 1) a lack of correlation between DFA, LEH and stature and building elaboration, 2) an overall lack of differences in these variables between history houses and non-history houses (with the sole exception of a higher DFA of LM2_BL in the latter, and a shorter stature among males from history houses), and 3) no patterning in age profiles between buildings featuring contrasting EI scores. </w:t>
      </w:r>
    </w:p>
    <w:p w14:paraId="36F4832C" w14:textId="77777777" w:rsidR="009C2187" w:rsidRPr="007F327D" w:rsidRDefault="009C2187" w:rsidP="009C2187">
      <w:pPr>
        <w:pStyle w:val="Paragraph"/>
      </w:pPr>
      <w:r w:rsidRPr="007F327D">
        <w:lastRenderedPageBreak/>
        <w:t>It must be stressed that the relatively small number of analysed individuals requires some caution when interpreting these results (especially for stature data). In any case, the overall pattern appears relatively clear: the extent of building elaboration (as well as its inclusion in a history house sequence) is unrelated to the living condition of the individuals buried therein. Interestingly, this result agrees with the results of a similar test based on nitrogen and carbon stable isotopes, which show no differences in diet according to the elaboration of a building (see Chapter 11) and with previous analyses highlighting homogenous diets and similar exposure to cariogenic food in individuals buried in history houses and the rest of the sample (Hillson et al. 2013).</w:t>
      </w:r>
    </w:p>
    <w:p w14:paraId="5D590BE5" w14:textId="77777777" w:rsidR="009C2187" w:rsidRPr="007F327D" w:rsidRDefault="009C2187" w:rsidP="009C2187">
      <w:pPr>
        <w:pStyle w:val="Paragraph"/>
      </w:pPr>
      <w:r w:rsidRPr="007F327D">
        <w:t xml:space="preserve">The lower DFA for LM2_BL, and the shorter stature of males buried in history houses are intriguing, since, among the variables considered in this study, they are the only ones suggesting physiological trends possibly linked to social differences at the site. This result accords with previous research showing increased mobility and greater prevalence of degenerative joint disease in adult males from history houses, and of infections in subadults from the same buildings (Larsen et al. 2015). It seems therefore reasonable to postulate that, although average well-being at the site does not indicate marked social differences, individuals buried in history houses (especially males) were exposed to different environmental stimuli compared with the rest of the population (in terms of stress during growth, and relative mobility and prevalence of degenerative joint disease during adulthood). Given the ambiguity of these patterns, the underlying processes are, at the moment, largely unknown and difficult to disentangle. They strongly suggest, however, that if some form of social differentiation was present in the community at </w:t>
      </w:r>
      <w:proofErr w:type="spellStart"/>
      <w:r w:rsidRPr="007F327D">
        <w:t>Çatalhöyük</w:t>
      </w:r>
      <w:proofErr w:type="spellEnd"/>
      <w:r w:rsidRPr="007F327D">
        <w:t xml:space="preserve">, these differences had complex and variable biological consequences for community members during their lifetimes. An important point to consider, moreover, is that the hypotheses tested here are admittedly (and deliberately) simplistic, since they link social differentiation to differences in building elaboration. Given the likely presence of non-material variables defining social relationships at </w:t>
      </w:r>
      <w:proofErr w:type="spellStart"/>
      <w:r w:rsidRPr="007F327D">
        <w:t>Çatalhöyük</w:t>
      </w:r>
      <w:proofErr w:type="spellEnd"/>
      <w:r w:rsidRPr="007F327D">
        <w:t xml:space="preserve"> (Hodder, </w:t>
      </w:r>
      <w:proofErr w:type="spellStart"/>
      <w:r w:rsidRPr="007F327D">
        <w:t>Cessford</w:t>
      </w:r>
      <w:proofErr w:type="spellEnd"/>
      <w:r w:rsidRPr="007F327D">
        <w:t xml:space="preserve"> 2004; Hodder 2016) this narrows the breadth of the results of this analysis. However, the aim was not an extensive test of the various types of social complexity and differentiation within this community, but, more simply, a test of the presence of differences in environmental stressors of possible social origin. As such, given the simplified scope of this study, the results provide a suitable analytical framework. More refined analyses, including a broader range of archaeological and skeletal features, would permit a more protracted and more detailed discussion in the future. </w:t>
      </w:r>
    </w:p>
    <w:p w14:paraId="3C2A3306" w14:textId="77777777" w:rsidR="009C2187" w:rsidRPr="007F327D" w:rsidRDefault="009C2187" w:rsidP="009C2187">
      <w:pPr>
        <w:pStyle w:val="Heading1"/>
        <w:rPr>
          <w:rFonts w:cstheme="minorBidi"/>
          <w:sz w:val="22"/>
          <w:szCs w:val="20"/>
        </w:rPr>
      </w:pPr>
      <w:r w:rsidRPr="007F327D">
        <w:rPr>
          <w:rFonts w:eastAsia="Times New Roman"/>
        </w:rPr>
        <w:t>Conclusion</w:t>
      </w:r>
    </w:p>
    <w:p w14:paraId="39F4370F" w14:textId="77777777" w:rsidR="009C2187" w:rsidRPr="007F327D" w:rsidRDefault="009C2187" w:rsidP="009C2187">
      <w:pPr>
        <w:pStyle w:val="Paragraph"/>
      </w:pPr>
      <w:r w:rsidRPr="007F327D">
        <w:t xml:space="preserve">In general, these findings indicate that the human population of </w:t>
      </w:r>
      <w:proofErr w:type="spellStart"/>
      <w:r w:rsidRPr="007F327D">
        <w:t>Çatalhöyük</w:t>
      </w:r>
      <w:proofErr w:type="spellEnd"/>
      <w:r w:rsidRPr="007F327D">
        <w:t xml:space="preserve"> underwent profound demographic change throughout the approximately 1,000-year occupation of the Neolithic settlement on the East Mound. In particular, the age composition of the population tended to vary through time, with the more marked changes during the Middle period representing increased birth rates. During this time, the frequency of pre-term individuals drops and frequencies of infants (i.e. fecundity) and thus of fertility reach a peak, whereas old adults are proportionately less numerous. This was a youthful and youth-filled community as it reached its height in population density and elaboration. These trends depict a scenario consistent with previous reconstructions envisioning fertility as the driving force underlying an increase of population size at the site (Larsen et al. 2015; </w:t>
      </w:r>
      <w:proofErr w:type="spellStart"/>
      <w:r w:rsidRPr="007F327D">
        <w:t>Milella</w:t>
      </w:r>
      <w:proofErr w:type="spellEnd"/>
      <w:r w:rsidRPr="007F327D">
        <w:t xml:space="preserve"> et al. 2018). Similarly, even if differences in the relative proportion of sexes through time fail to reach statistical significance, the inverted male/female ratio during the Middle period, when adult females become (and remain) the more numerous sex, may suggest a concomitant role of immigration for producing and maintaining population size. </w:t>
      </w:r>
    </w:p>
    <w:p w14:paraId="68F11808" w14:textId="77777777" w:rsidR="009C2187" w:rsidRPr="007F327D" w:rsidRDefault="009C2187" w:rsidP="009C2187">
      <w:pPr>
        <w:pStyle w:val="Paragraph"/>
        <w:rPr>
          <w:rFonts w:asciiTheme="majorHAnsi" w:hAnsiTheme="majorHAnsi"/>
          <w:sz w:val="24"/>
          <w:szCs w:val="24"/>
        </w:rPr>
      </w:pPr>
      <w:r w:rsidRPr="007F327D">
        <w:t>If the success and good fortune of a community is measured by increased numbers of births contributing to a larger and growing population and to the increased elaborateness of the site made possible by a sizable working population, then by the Late/Final periods, this good fortune had run its course. Still, the earlier success of this large settlement encouraged continued reliance on settled agriculture. Although these phenomena could not be maintained at this site after the early 6</w:t>
      </w:r>
      <w:r w:rsidRPr="007F327D">
        <w:rPr>
          <w:vertAlign w:val="superscript"/>
        </w:rPr>
        <w:t>th</w:t>
      </w:r>
      <w:r w:rsidRPr="007F327D">
        <w:t xml:space="preserve"> millennium BC, with such developments waning by the Late/Final periods. These changes precipitated the eventual end of occupation and the gradual abandonment of the East Mound, with sporadic activity, including burials in a chamber, continuing after this in connection with the shift of the settlement to the West </w:t>
      </w:r>
      <w:r w:rsidRPr="007F327D">
        <w:lastRenderedPageBreak/>
        <w:t xml:space="preserve">Mound across the now dry </w:t>
      </w:r>
      <w:proofErr w:type="spellStart"/>
      <w:r w:rsidRPr="007F327D">
        <w:t>Çarşamba</w:t>
      </w:r>
      <w:proofErr w:type="spellEnd"/>
      <w:r w:rsidRPr="007F327D">
        <w:t xml:space="preserve"> River (Orton et al. 2018). The pattern for this type of success encouraged continued adoption of similar patterns of settled life in the region and elsewhere. These marks of success established earliest in Western Asia likely also played a role in the original founding of this agglomerated community. </w:t>
      </w:r>
    </w:p>
    <w:p w14:paraId="0433E618" w14:textId="77777777" w:rsidR="009C2187" w:rsidRPr="007F327D" w:rsidRDefault="009C2187" w:rsidP="009C2187">
      <w:pPr>
        <w:spacing w:after="0" w:line="480" w:lineRule="auto"/>
        <w:rPr>
          <w:rFonts w:asciiTheme="majorHAnsi" w:hAnsiTheme="majorHAnsi" w:cs="Times New Roman"/>
          <w:sz w:val="24"/>
          <w:szCs w:val="24"/>
        </w:rPr>
      </w:pPr>
    </w:p>
    <w:p w14:paraId="731C5FA0" w14:textId="77777777" w:rsidR="00C736C9" w:rsidRDefault="009C2187"/>
    <w:sectPr w:rsidR="00C736C9" w:rsidSect="0004088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merican Typewriter">
    <w:altName w:val="American Typewriter"/>
    <w:panose1 w:val="02090604020004020304"/>
    <w:charset w:val="4D"/>
    <w:family w:val="roman"/>
    <w:pitch w:val="variable"/>
    <w:sig w:usb0="A000006F" w:usb1="00000019" w:usb2="00000000" w:usb3="00000000" w:csb0="00000111" w:csb1="00000000"/>
  </w:font>
  <w:font w:name="Trebuchet MS">
    <w:altName w:val="Trebuchet MS"/>
    <w:panose1 w:val="020B0603020202020204"/>
    <w:charset w:val="00"/>
    <w:family w:val="swiss"/>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2187"/>
    <w:rsid w:val="00040885"/>
    <w:rsid w:val="00604DED"/>
    <w:rsid w:val="009C2187"/>
    <w:rsid w:val="00C16517"/>
    <w:rsid w:val="00E378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7F13DFE"/>
  <w15:chartTrackingRefBased/>
  <w15:docId w15:val="{52A7F3FD-B00E-9F4B-ACAA-7F6038C13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2187"/>
    <w:pPr>
      <w:spacing w:after="200" w:line="276" w:lineRule="auto"/>
      <w:jc w:val="both"/>
    </w:pPr>
    <w:rPr>
      <w:rFonts w:eastAsiaTheme="minorEastAsia"/>
      <w:sz w:val="22"/>
      <w:szCs w:val="20"/>
    </w:rPr>
  </w:style>
  <w:style w:type="paragraph" w:styleId="Heading1">
    <w:name w:val="heading 1"/>
    <w:basedOn w:val="Normal"/>
    <w:next w:val="Normal"/>
    <w:link w:val="Heading1Char"/>
    <w:autoRedefine/>
    <w:uiPriority w:val="9"/>
    <w:qFormat/>
    <w:rsid w:val="009C2187"/>
    <w:pPr>
      <w:spacing w:before="120" w:after="120" w:line="240" w:lineRule="auto"/>
      <w:jc w:val="left"/>
      <w:outlineLvl w:val="0"/>
    </w:pPr>
    <w:rPr>
      <w:rFonts w:cstheme="minorHAnsi"/>
      <w:b/>
      <w:spacing w:val="5"/>
      <w:sz w:val="28"/>
      <w:szCs w:val="22"/>
    </w:rPr>
  </w:style>
  <w:style w:type="paragraph" w:styleId="Heading2">
    <w:name w:val="heading 2"/>
    <w:basedOn w:val="Normal"/>
    <w:next w:val="Normal"/>
    <w:link w:val="Heading2Char"/>
    <w:autoRedefine/>
    <w:uiPriority w:val="9"/>
    <w:unhideWhenUsed/>
    <w:qFormat/>
    <w:rsid w:val="009C2187"/>
    <w:pPr>
      <w:spacing w:after="120" w:line="240" w:lineRule="auto"/>
      <w:jc w:val="left"/>
      <w:outlineLvl w:val="1"/>
    </w:pPr>
    <w:rPr>
      <w:rFonts w:ascii="Calibri" w:hAnsi="Calibri"/>
      <w:bCs/>
      <w:spacing w:val="5"/>
      <w:sz w:val="28"/>
      <w:szCs w:val="28"/>
    </w:rPr>
  </w:style>
  <w:style w:type="paragraph" w:styleId="Heading3">
    <w:name w:val="heading 3"/>
    <w:basedOn w:val="Normal"/>
    <w:next w:val="Normal"/>
    <w:link w:val="Heading3Char"/>
    <w:autoRedefine/>
    <w:uiPriority w:val="9"/>
    <w:unhideWhenUsed/>
    <w:qFormat/>
    <w:rsid w:val="009C2187"/>
    <w:pPr>
      <w:spacing w:after="0"/>
      <w:jc w:val="left"/>
      <w:outlineLvl w:val="2"/>
    </w:pPr>
    <w:rPr>
      <w:rFonts w:ascii="Calibri" w:hAnsi="Calibri"/>
      <w:bCs/>
      <w:spacing w:val="5"/>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2187"/>
    <w:rPr>
      <w:rFonts w:eastAsiaTheme="minorEastAsia" w:cstheme="minorHAnsi"/>
      <w:b/>
      <w:spacing w:val="5"/>
      <w:sz w:val="28"/>
      <w:szCs w:val="22"/>
    </w:rPr>
  </w:style>
  <w:style w:type="character" w:customStyle="1" w:styleId="Heading2Char">
    <w:name w:val="Heading 2 Char"/>
    <w:basedOn w:val="DefaultParagraphFont"/>
    <w:link w:val="Heading2"/>
    <w:uiPriority w:val="9"/>
    <w:rsid w:val="009C2187"/>
    <w:rPr>
      <w:rFonts w:ascii="Calibri" w:eastAsiaTheme="minorEastAsia" w:hAnsi="Calibri"/>
      <w:bCs/>
      <w:spacing w:val="5"/>
      <w:sz w:val="28"/>
      <w:szCs w:val="28"/>
    </w:rPr>
  </w:style>
  <w:style w:type="character" w:customStyle="1" w:styleId="Heading3Char">
    <w:name w:val="Heading 3 Char"/>
    <w:basedOn w:val="DefaultParagraphFont"/>
    <w:link w:val="Heading3"/>
    <w:uiPriority w:val="9"/>
    <w:rsid w:val="009C2187"/>
    <w:rPr>
      <w:rFonts w:ascii="Calibri" w:eastAsiaTheme="minorEastAsia" w:hAnsi="Calibri"/>
      <w:bCs/>
      <w:spacing w:val="5"/>
    </w:rPr>
  </w:style>
  <w:style w:type="character" w:styleId="CommentReference">
    <w:name w:val="annotation reference"/>
    <w:basedOn w:val="DefaultParagraphFont"/>
    <w:uiPriority w:val="99"/>
    <w:semiHidden/>
    <w:unhideWhenUsed/>
    <w:rsid w:val="009C2187"/>
    <w:rPr>
      <w:sz w:val="16"/>
      <w:szCs w:val="16"/>
    </w:rPr>
  </w:style>
  <w:style w:type="paragraph" w:styleId="CommentText">
    <w:name w:val="annotation text"/>
    <w:basedOn w:val="Normal"/>
    <w:link w:val="CommentTextChar"/>
    <w:uiPriority w:val="99"/>
    <w:unhideWhenUsed/>
    <w:rsid w:val="009C2187"/>
    <w:pPr>
      <w:spacing w:line="240" w:lineRule="auto"/>
    </w:pPr>
  </w:style>
  <w:style w:type="character" w:customStyle="1" w:styleId="CommentTextChar">
    <w:name w:val="Comment Text Char"/>
    <w:basedOn w:val="DefaultParagraphFont"/>
    <w:link w:val="CommentText"/>
    <w:uiPriority w:val="99"/>
    <w:rsid w:val="009C2187"/>
    <w:rPr>
      <w:rFonts w:eastAsiaTheme="minorEastAsia"/>
      <w:sz w:val="22"/>
      <w:szCs w:val="20"/>
    </w:rPr>
  </w:style>
  <w:style w:type="paragraph" w:styleId="Title">
    <w:name w:val="Title"/>
    <w:basedOn w:val="Normal"/>
    <w:next w:val="Normal"/>
    <w:link w:val="TitleChar"/>
    <w:uiPriority w:val="10"/>
    <w:qFormat/>
    <w:rsid w:val="009C2187"/>
    <w:pPr>
      <w:pBdr>
        <w:top w:val="single" w:sz="8" w:space="1" w:color="70AD47" w:themeColor="accent6"/>
      </w:pBdr>
      <w:spacing w:after="120" w:line="240" w:lineRule="auto"/>
      <w:jc w:val="center"/>
    </w:pPr>
    <w:rPr>
      <w:color w:val="262626" w:themeColor="text1" w:themeTint="D9"/>
      <w:sz w:val="52"/>
      <w:szCs w:val="52"/>
    </w:rPr>
  </w:style>
  <w:style w:type="character" w:customStyle="1" w:styleId="TitleChar">
    <w:name w:val="Title Char"/>
    <w:basedOn w:val="DefaultParagraphFont"/>
    <w:link w:val="Title"/>
    <w:uiPriority w:val="10"/>
    <w:rsid w:val="009C2187"/>
    <w:rPr>
      <w:rFonts w:eastAsiaTheme="minorEastAsia"/>
      <w:color w:val="262626" w:themeColor="text1" w:themeTint="D9"/>
      <w:sz w:val="52"/>
      <w:szCs w:val="52"/>
    </w:rPr>
  </w:style>
  <w:style w:type="paragraph" w:styleId="Subtitle">
    <w:name w:val="Subtitle"/>
    <w:basedOn w:val="Normal"/>
    <w:next w:val="Normal"/>
    <w:link w:val="SubtitleChar"/>
    <w:uiPriority w:val="11"/>
    <w:qFormat/>
    <w:rsid w:val="009C2187"/>
    <w:pPr>
      <w:spacing w:after="720" w:line="240" w:lineRule="auto"/>
      <w:jc w:val="center"/>
    </w:pPr>
    <w:rPr>
      <w:rFonts w:asciiTheme="majorHAnsi" w:eastAsiaTheme="majorEastAsia" w:hAnsiTheme="majorHAnsi" w:cstheme="majorBidi"/>
      <w:i/>
    </w:rPr>
  </w:style>
  <w:style w:type="character" w:customStyle="1" w:styleId="SubtitleChar">
    <w:name w:val="Subtitle Char"/>
    <w:basedOn w:val="DefaultParagraphFont"/>
    <w:link w:val="Subtitle"/>
    <w:uiPriority w:val="11"/>
    <w:rsid w:val="009C2187"/>
    <w:rPr>
      <w:rFonts w:asciiTheme="majorHAnsi" w:eastAsiaTheme="majorEastAsia" w:hAnsiTheme="majorHAnsi" w:cstheme="majorBidi"/>
      <w:i/>
      <w:sz w:val="22"/>
      <w:szCs w:val="20"/>
    </w:rPr>
  </w:style>
  <w:style w:type="paragraph" w:customStyle="1" w:styleId="Paragraph">
    <w:name w:val="Paragraph"/>
    <w:basedOn w:val="Normal"/>
    <w:autoRedefine/>
    <w:qFormat/>
    <w:rsid w:val="009C2187"/>
    <w:pPr>
      <w:spacing w:after="120" w:line="240" w:lineRule="auto"/>
      <w:ind w:firstLine="720"/>
    </w:pPr>
    <w:rPr>
      <w:rFonts w:ascii="Times New Roman" w:hAnsi="Times New Roman" w:cs="Times New Roman"/>
      <w:szCs w:val="22"/>
      <w:u w:color="211D1E"/>
    </w:rPr>
  </w:style>
  <w:style w:type="paragraph" w:customStyle="1" w:styleId="Chapter">
    <w:name w:val="Chapter"/>
    <w:basedOn w:val="Normal"/>
    <w:autoRedefine/>
    <w:qFormat/>
    <w:rsid w:val="009C2187"/>
    <w:pPr>
      <w:spacing w:after="120" w:line="240" w:lineRule="auto"/>
      <w:jc w:val="center"/>
    </w:pPr>
    <w:rPr>
      <w:rFonts w:eastAsiaTheme="minorHAnsi"/>
      <w:b/>
      <w:i/>
      <w:sz w:val="28"/>
      <w:szCs w:val="22"/>
    </w:rPr>
  </w:style>
  <w:style w:type="paragraph" w:styleId="Caption">
    <w:name w:val="caption"/>
    <w:basedOn w:val="Normal"/>
    <w:next w:val="Normal"/>
    <w:uiPriority w:val="35"/>
    <w:unhideWhenUsed/>
    <w:qFormat/>
    <w:rsid w:val="009C2187"/>
    <w:pPr>
      <w:spacing w:line="240" w:lineRule="auto"/>
    </w:pPr>
    <w:rPr>
      <w:rFonts w:eastAsiaTheme="minorHAnsi"/>
      <w:i/>
      <w:iCs/>
      <w:sz w:val="18"/>
      <w:szCs w:val="18"/>
    </w:rPr>
  </w:style>
  <w:style w:type="paragraph" w:customStyle="1" w:styleId="Default">
    <w:name w:val="Default"/>
    <w:rsid w:val="009C2187"/>
    <w:pPr>
      <w:widowControl w:val="0"/>
      <w:autoSpaceDE w:val="0"/>
      <w:autoSpaceDN w:val="0"/>
      <w:adjustRightInd w:val="0"/>
      <w:spacing w:line="240" w:lineRule="atLeast"/>
    </w:pPr>
    <w:rPr>
      <w:rFonts w:ascii="Helvetica" w:eastAsia="Times New Roman" w:hAnsi="Helvetica" w:cs="Times New Roman"/>
      <w:noProof/>
      <w:color w:val="000000"/>
      <w:szCs w:val="20"/>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31</Pages>
  <Words>35513</Words>
  <Characters>193197</Characters>
  <Application>Microsoft Office Word</Application>
  <DocSecurity>0</DocSecurity>
  <Lines>3116</Lines>
  <Paragraphs>564</Paragraphs>
  <ScaleCrop>false</ScaleCrop>
  <Company/>
  <LinksUpToDate>false</LinksUpToDate>
  <CharactersWithSpaces>228146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2021-06-13T07:16:00Z</dcterms:created>
  <dcterms:modified xsi:type="dcterms:W3CDTF">2021-06-13T07:23:00Z</dcterms:modified>
</cp:coreProperties>
</file>