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0D2" w:rsidRDefault="007720D2" w:rsidP="00326688">
      <w:pPr>
        <w:jc w:val="center"/>
      </w:pPr>
      <w:bookmarkStart w:id="0" w:name="_GoBack"/>
      <w:bookmarkEnd w:id="0"/>
      <w:r w:rsidRPr="007720D2">
        <w:t>CORTE DI CASSAZIONE, sez.</w:t>
      </w:r>
      <w:r w:rsidR="004179FB">
        <w:t xml:space="preserve"> un.</w:t>
      </w:r>
      <w:r w:rsidRPr="007720D2">
        <w:t xml:space="preserve"> civ., sentenza 21 maggio 2019, n. 13661</w:t>
      </w:r>
    </w:p>
    <w:p w:rsidR="007720D2" w:rsidRDefault="007720D2" w:rsidP="00326688">
      <w:pPr>
        <w:jc w:val="center"/>
      </w:pPr>
      <w:proofErr w:type="spellStart"/>
      <w:r>
        <w:t>Pres</w:t>
      </w:r>
      <w:proofErr w:type="spellEnd"/>
      <w:r>
        <w:t>. Mam</w:t>
      </w:r>
      <w:r w:rsidR="004179FB">
        <w:t>m</w:t>
      </w:r>
      <w:r>
        <w:t xml:space="preserve">one – </w:t>
      </w:r>
      <w:proofErr w:type="spellStart"/>
      <w:r>
        <w:t>Rel</w:t>
      </w:r>
      <w:proofErr w:type="spellEnd"/>
      <w:r>
        <w:t>. Perrino</w:t>
      </w:r>
    </w:p>
    <w:p w:rsidR="007720D2" w:rsidRPr="00326688" w:rsidRDefault="00326688" w:rsidP="00242757">
      <w:pPr>
        <w:jc w:val="both"/>
        <w:rPr>
          <w:rFonts w:cstheme="minorHAnsi"/>
        </w:rPr>
      </w:pPr>
      <w:r w:rsidRPr="00326688">
        <w:rPr>
          <w:rStyle w:val="Enfasicorsivo"/>
          <w:rFonts w:cstheme="minorHAnsi"/>
          <w:color w:val="454545"/>
          <w:shd w:val="clear" w:color="auto" w:fill="FFFFFF"/>
        </w:rPr>
        <w:t>I</w:t>
      </w:r>
      <w:r w:rsidR="007720D2" w:rsidRPr="00326688">
        <w:rPr>
          <w:rStyle w:val="Enfasicorsivo"/>
          <w:rFonts w:cstheme="minorHAnsi"/>
          <w:color w:val="454545"/>
          <w:shd w:val="clear" w:color="auto" w:fill="FFFFFF"/>
        </w:rPr>
        <w:t>n tema di rapporto tra giudizio penale e giudizio civile, i casi di sospensione necessaria previsti dall’art. 75, comma 3, c.p.p., che rispondono a finalità diverse da quella di preservare l’uniformità dei giudicati, e richiedono che la sentenza che definisca il processo penale influente sia destinata a produrre in quello civile il vincolo rispettivamente previsto dagli artt. 651, 651-bis, 652, e 654 c.p.p., vanno interpretati restrittivamente, di modo che la sospensione non si applica qualora il danneggiato proponga azione di danno nei confronti del danneggiante e dell’impresa assicuratrice della responsabilità civile dopo la pronuncia di primo grado nel processo penale nel quale il danneggiante sia imputato.</w:t>
      </w:r>
    </w:p>
    <w:p w:rsidR="007720D2" w:rsidRDefault="007720D2" w:rsidP="00242757">
      <w:pPr>
        <w:jc w:val="both"/>
        <w:rPr>
          <w:b/>
        </w:rPr>
      </w:pPr>
    </w:p>
    <w:p w:rsidR="00BB20A1" w:rsidRDefault="001C2A2B" w:rsidP="00242757">
      <w:pPr>
        <w:jc w:val="both"/>
        <w:rPr>
          <w:b/>
        </w:rPr>
      </w:pPr>
      <w:r>
        <w:rPr>
          <w:b/>
        </w:rPr>
        <w:t>P</w:t>
      </w:r>
      <w:r w:rsidR="00C041FA">
        <w:rPr>
          <w:b/>
        </w:rPr>
        <w:t>rocesso civile risarcitorio</w:t>
      </w:r>
      <w:r>
        <w:rPr>
          <w:b/>
        </w:rPr>
        <w:t xml:space="preserve">, </w:t>
      </w:r>
      <w:r w:rsidR="00C041FA">
        <w:rPr>
          <w:b/>
        </w:rPr>
        <w:t>cumulo soggettivo</w:t>
      </w:r>
      <w:r>
        <w:rPr>
          <w:b/>
        </w:rPr>
        <w:t xml:space="preserve"> e sospensione </w:t>
      </w:r>
      <w:r w:rsidR="00C041FA">
        <w:rPr>
          <w:b/>
        </w:rPr>
        <w:t>ex art. 75/3 c.p.p.</w:t>
      </w:r>
    </w:p>
    <w:p w:rsidR="00F25345" w:rsidRDefault="001D5757" w:rsidP="00242757">
      <w:pPr>
        <w:jc w:val="both"/>
      </w:pPr>
      <w:r>
        <w:t xml:space="preserve">1. </w:t>
      </w:r>
      <w:r w:rsidR="00D9692E">
        <w:t xml:space="preserve">Il </w:t>
      </w:r>
      <w:r w:rsidR="0042325C">
        <w:t xml:space="preserve">pur </w:t>
      </w:r>
      <w:r w:rsidR="00D9692E">
        <w:t>dissodato tema dei rapporti fra pr</w:t>
      </w:r>
      <w:r w:rsidR="00BD5DAD">
        <w:t>ocesso civile e processo penale torna al vaglio del</w:t>
      </w:r>
      <w:r w:rsidR="00DA3E47">
        <w:t xml:space="preserve">le Sezioni </w:t>
      </w:r>
      <w:r w:rsidR="0096198B">
        <w:t>u</w:t>
      </w:r>
      <w:r w:rsidR="00DA3E47">
        <w:t xml:space="preserve">nite allo scopo di sciogliere un dubbio </w:t>
      </w:r>
      <w:r w:rsidR="00494DAE">
        <w:t xml:space="preserve">che si è </w:t>
      </w:r>
      <w:r w:rsidR="00E3615C">
        <w:t>profila</w:t>
      </w:r>
      <w:r w:rsidR="00DA3E47">
        <w:t xml:space="preserve">to </w:t>
      </w:r>
      <w:r w:rsidR="00494DAE">
        <w:t xml:space="preserve">spesso </w:t>
      </w:r>
      <w:r w:rsidR="00DA3E47">
        <w:t>riguardo</w:t>
      </w:r>
      <w:r w:rsidR="00867175">
        <w:t xml:space="preserve"> ai giudizi civili risarcitori: quale sia, a fronte della contemporanea pendenza di un processo penale che vede come imputato una parte </w:t>
      </w:r>
      <w:r w:rsidR="00E3615C">
        <w:t>convenuta n</w:t>
      </w:r>
      <w:r w:rsidR="00867175">
        <w:t>el processo civile, la sorte di quest’ultimo</w:t>
      </w:r>
      <w:r w:rsidR="00FC6A72">
        <w:t xml:space="preserve"> processo</w:t>
      </w:r>
      <w:r w:rsidR="00867175">
        <w:t xml:space="preserve"> </w:t>
      </w:r>
      <w:r w:rsidR="001826D3">
        <w:t>nel</w:t>
      </w:r>
      <w:r w:rsidR="00867175">
        <w:t xml:space="preserve"> caso di cumulo soggettivo. Accade infatti frequentemente che in sede civile l’az</w:t>
      </w:r>
      <w:r w:rsidR="00E13AF0">
        <w:t>ione del danneggiato venga rivol</w:t>
      </w:r>
      <w:r w:rsidR="00867175">
        <w:t>ta non solo verso l’autore del fatto illecito</w:t>
      </w:r>
      <w:r w:rsidR="00FC6A72">
        <w:t>,</w:t>
      </w:r>
      <w:r w:rsidR="00867175">
        <w:t xml:space="preserve"> ma pure verso il </w:t>
      </w:r>
      <w:r w:rsidR="00FC6A72">
        <w:t xml:space="preserve">diverso </w:t>
      </w:r>
      <w:r w:rsidR="00867175">
        <w:t>soggetto che</w:t>
      </w:r>
      <w:r w:rsidR="00FC6A72">
        <w:t xml:space="preserve"> è tenuto a risponderne in base alle leggi civili</w:t>
      </w:r>
      <w:r w:rsidR="0042325C">
        <w:t>, facendogli così as</w:t>
      </w:r>
      <w:r w:rsidR="00201128">
        <w:t>sumere il ruolo di litisconsorte</w:t>
      </w:r>
      <w:r w:rsidR="006A08FB">
        <w:t>. A sua volta il litisconsorzio può presentarsi come facoltativo,</w:t>
      </w:r>
      <w:r w:rsidR="0042325C">
        <w:t xml:space="preserve"> oppure necessario </w:t>
      </w:r>
      <w:r w:rsidR="00796D97">
        <w:t>allorché sia</w:t>
      </w:r>
      <w:r w:rsidR="007D04F3">
        <w:t xml:space="preserve"> la legge a disp</w:t>
      </w:r>
      <w:r w:rsidR="009E1609">
        <w:t>orre in tal senso come nella fattispecie</w:t>
      </w:r>
      <w:r w:rsidR="007D04F3">
        <w:t xml:space="preserve"> </w:t>
      </w:r>
      <w:r w:rsidR="00C514B3">
        <w:t>previst</w:t>
      </w:r>
      <w:r w:rsidR="009E1609">
        <w:t>a</w:t>
      </w:r>
      <w:r w:rsidR="00C514B3">
        <w:t xml:space="preserve"> dall’art. 144, comma 3, cod. ass</w:t>
      </w:r>
      <w:r w:rsidR="009E1609">
        <w:t>ic</w:t>
      </w:r>
      <w:r w:rsidR="00796D97">
        <w:t>urazioni</w:t>
      </w:r>
      <w:r w:rsidR="009E1609">
        <w:t xml:space="preserve"> private</w:t>
      </w:r>
      <w:r w:rsidR="007D04F3">
        <w:t xml:space="preserve">. </w:t>
      </w:r>
      <w:r w:rsidR="0042325C">
        <w:t>I</w:t>
      </w:r>
      <w:r w:rsidR="00FC6A72">
        <w:t xml:space="preserve">l quesito che si </w:t>
      </w:r>
      <w:r w:rsidR="00E13AF0">
        <w:t xml:space="preserve">pone, in casi del genere, attiene all’applicazione della norma dettata dall’art. 75, comma 3, c.p.p. in tema di rapporti tra azione civile e azione penale, </w:t>
      </w:r>
      <w:r w:rsidR="00934622">
        <w:t>ov</w:t>
      </w:r>
      <w:r w:rsidR="002D5F59">
        <w:t>e</w:t>
      </w:r>
      <w:r w:rsidR="00934622">
        <w:t xml:space="preserve"> si</w:t>
      </w:r>
      <w:r w:rsidR="002D5F59">
        <w:t xml:space="preserve"> prevede </w:t>
      </w:r>
      <w:r w:rsidR="00934622">
        <w:t xml:space="preserve">una sospensione necessaria </w:t>
      </w:r>
      <w:r w:rsidR="002D5F59">
        <w:t>quando</w:t>
      </w:r>
      <w:r w:rsidR="00E13AF0">
        <w:t xml:space="preserve"> l’azione civile contro l’imputato sia stata proposta in sede propria dopo la costituzione di parte civile nel processo penale</w:t>
      </w:r>
      <w:r w:rsidR="004179FB">
        <w:t>,</w:t>
      </w:r>
      <w:r w:rsidR="00E13AF0">
        <w:t xml:space="preserve"> o</w:t>
      </w:r>
      <w:r w:rsidR="004179FB">
        <w:t>ppure</w:t>
      </w:r>
      <w:r w:rsidR="00E13AF0">
        <w:t xml:space="preserve"> dopo che in sede penale sia intervenuta sentenza (anche solo di) primo grado.</w:t>
      </w:r>
    </w:p>
    <w:p w:rsidR="002C4B5B" w:rsidRDefault="00063776" w:rsidP="00242757">
      <w:pPr>
        <w:jc w:val="both"/>
      </w:pPr>
      <w:r>
        <w:t>La sentenza che si pubblica</w:t>
      </w:r>
      <w:r>
        <w:rPr>
          <w:rStyle w:val="Rimandonotaapidipagina"/>
        </w:rPr>
        <w:footnoteReference w:id="1"/>
      </w:r>
      <w:r>
        <w:t xml:space="preserve"> </w:t>
      </w:r>
      <w:r w:rsidR="00737B2B">
        <w:t>risponde all’interrogativo</w:t>
      </w:r>
      <w:r w:rsidR="00616C79">
        <w:t>,</w:t>
      </w:r>
      <w:r w:rsidR="00737B2B">
        <w:t xml:space="preserve"> posto dalla </w:t>
      </w:r>
      <w:r w:rsidR="00E3479D">
        <w:t>VI-</w:t>
      </w:r>
      <w:r w:rsidR="00737B2B">
        <w:t>III sezione</w:t>
      </w:r>
      <w:r w:rsidR="00882669">
        <w:rPr>
          <w:rStyle w:val="Rimandonotaapidipagina"/>
        </w:rPr>
        <w:footnoteReference w:id="2"/>
      </w:r>
      <w:r w:rsidR="00737B2B">
        <w:t xml:space="preserve">, circa la necessità </w:t>
      </w:r>
      <w:r w:rsidR="00AD6B51">
        <w:t xml:space="preserve">o meno </w:t>
      </w:r>
      <w:r w:rsidR="00737B2B">
        <w:t>di applicare</w:t>
      </w:r>
      <w:r w:rsidR="00AD6B51">
        <w:t xml:space="preserve"> </w:t>
      </w:r>
      <w:r w:rsidR="002C4B5B">
        <w:t xml:space="preserve">anche in tali casi </w:t>
      </w:r>
      <w:r w:rsidR="00737B2B">
        <w:t>l’art. 75, comma 3, c.p.p.</w:t>
      </w:r>
      <w:r w:rsidR="00EB09B6">
        <w:t>,</w:t>
      </w:r>
      <w:r w:rsidR="00737B2B">
        <w:t xml:space="preserve"> e </w:t>
      </w:r>
      <w:r w:rsidR="00A31FC1">
        <w:t>qualora si dia una</w:t>
      </w:r>
      <w:r w:rsidR="00737B2B">
        <w:t xml:space="preserve"> risposta </w:t>
      </w:r>
      <w:r w:rsidR="00734BFF">
        <w:t>afferma</w:t>
      </w:r>
      <w:r w:rsidR="00737B2B">
        <w:t xml:space="preserve">tiva, se si debba </w:t>
      </w:r>
      <w:r w:rsidR="00045F9D">
        <w:t xml:space="preserve">adottare </w:t>
      </w:r>
      <w:r w:rsidR="00734BFF">
        <w:t>la sospensione per l’intero processo civile</w:t>
      </w:r>
      <w:r w:rsidR="00EB09B6">
        <w:t xml:space="preserve"> -</w:t>
      </w:r>
      <w:r w:rsidR="00734BFF">
        <w:t xml:space="preserve"> perciò </w:t>
      </w:r>
      <w:r w:rsidR="00045F9D">
        <w:t>nei riguardi di tutti i litisconsorti</w:t>
      </w:r>
      <w:r w:rsidR="008E654C">
        <w:t xml:space="preserve"> passivi</w:t>
      </w:r>
      <w:r w:rsidR="00EB09B6">
        <w:t xml:space="preserve"> -</w:t>
      </w:r>
      <w:r w:rsidR="00045F9D">
        <w:t xml:space="preserve"> o soltanto in riferimento all’azione proposta contro il convenuto imputato in sede penale. All’origine dell’interrogativo vi era la circostan</w:t>
      </w:r>
      <w:r w:rsidR="00F67026">
        <w:t>za che i requisiti de</w:t>
      </w:r>
      <w:r w:rsidR="002308FD">
        <w:t>lla disposizione citata</w:t>
      </w:r>
      <w:r w:rsidR="00F67026">
        <w:t>,</w:t>
      </w:r>
      <w:r w:rsidR="002308FD">
        <w:t xml:space="preserve"> </w:t>
      </w:r>
      <w:r w:rsidR="00934622">
        <w:t xml:space="preserve">nel caso </w:t>
      </w:r>
      <w:r w:rsidR="00934622" w:rsidRPr="00934622">
        <w:rPr>
          <w:i/>
        </w:rPr>
        <w:t>a quo</w:t>
      </w:r>
      <w:r w:rsidR="00F67026">
        <w:t>,</w:t>
      </w:r>
      <w:r w:rsidR="00934622">
        <w:t xml:space="preserve"> </w:t>
      </w:r>
      <w:r w:rsidR="002308FD">
        <w:t>sussist</w:t>
      </w:r>
      <w:r w:rsidR="00FB4E34">
        <w:t>evan</w:t>
      </w:r>
      <w:r w:rsidR="00D2263D">
        <w:t>o solo</w:t>
      </w:r>
      <w:r w:rsidR="00FB4E34">
        <w:t xml:space="preserve"> per</w:t>
      </w:r>
      <w:r w:rsidR="000B55F6">
        <w:t xml:space="preserve"> la causa civile fra danneggiati</w:t>
      </w:r>
      <w:r w:rsidR="00FB4E34">
        <w:t xml:space="preserve"> e obbligato principale </w:t>
      </w:r>
      <w:r w:rsidR="00427C10">
        <w:t xml:space="preserve">(il conducente </w:t>
      </w:r>
      <w:r w:rsidR="00D014A2">
        <w:t xml:space="preserve">anche </w:t>
      </w:r>
      <w:r w:rsidR="00427C10">
        <w:t xml:space="preserve">proprietario del veicolo) </w:t>
      </w:r>
      <w:r w:rsidR="002308FD">
        <w:t>ma non ricorrevano per la domanda risarcitoria contro l’</w:t>
      </w:r>
      <w:r w:rsidR="008E654C">
        <w:t xml:space="preserve">altro </w:t>
      </w:r>
      <w:r w:rsidR="002308FD">
        <w:t>litisconsorte</w:t>
      </w:r>
      <w:r w:rsidR="00427C10">
        <w:t xml:space="preserve"> (la compagnia di assicurazione)</w:t>
      </w:r>
      <w:r w:rsidR="0065716B">
        <w:t>.</w:t>
      </w:r>
      <w:r w:rsidR="00D2263D">
        <w:t xml:space="preserve"> Per essere più precisi</w:t>
      </w:r>
      <w:r w:rsidR="00934622">
        <w:t xml:space="preserve">, </w:t>
      </w:r>
      <w:r w:rsidR="00711983">
        <w:t xml:space="preserve">elemento </w:t>
      </w:r>
      <w:r w:rsidR="00890AA7">
        <w:t xml:space="preserve">da considerare </w:t>
      </w:r>
      <w:r w:rsidR="00711983">
        <w:t xml:space="preserve">ai fini della sospensione </w:t>
      </w:r>
      <w:r w:rsidR="00B74FD8">
        <w:t xml:space="preserve">necessaria </w:t>
      </w:r>
      <w:r w:rsidR="00180767">
        <w:t xml:space="preserve">era la sentenza penale di primo grado già pronunciata prima che fosse iniziato il processo civile, mentre era fuori gioco </w:t>
      </w:r>
      <w:r w:rsidR="00F74463">
        <w:t xml:space="preserve">l’altro dei due presupposti, </w:t>
      </w:r>
      <w:r w:rsidR="00180767">
        <w:t xml:space="preserve">in virtù del fatto che </w:t>
      </w:r>
      <w:r w:rsidR="007C59F5">
        <w:t>nel processo penale vi era stata, sì, una costituzione di parte civile ma ad opera di soggetti diversi da quelli che avevano</w:t>
      </w:r>
      <w:r w:rsidR="008E654C">
        <w:t xml:space="preserve"> esercitato l’azione civile in sede propria</w:t>
      </w:r>
      <w:r w:rsidR="008E654C">
        <w:rPr>
          <w:rStyle w:val="Rimandonotaapidipagina"/>
        </w:rPr>
        <w:footnoteReference w:id="3"/>
      </w:r>
      <w:r w:rsidR="008E654C">
        <w:t>.</w:t>
      </w:r>
      <w:r w:rsidR="007C59F5">
        <w:t xml:space="preserve"> </w:t>
      </w:r>
      <w:r w:rsidR="002555E3">
        <w:t xml:space="preserve">La sezione </w:t>
      </w:r>
      <w:r w:rsidR="002555E3">
        <w:lastRenderedPageBreak/>
        <w:t>semplice prende</w:t>
      </w:r>
      <w:r w:rsidR="001361E9">
        <w:t>va</w:t>
      </w:r>
      <w:r w:rsidR="002555E3">
        <w:t xml:space="preserve"> atto della mancata coincidenza di parti nei due processi</w:t>
      </w:r>
      <w:r w:rsidR="00DF3989">
        <w:t>,</w:t>
      </w:r>
      <w:r w:rsidR="001361E9">
        <w:t xml:space="preserve"> ma rit</w:t>
      </w:r>
      <w:r w:rsidR="002555E3">
        <w:t>ene</w:t>
      </w:r>
      <w:r w:rsidR="001361E9">
        <w:t>va</w:t>
      </w:r>
      <w:r w:rsidR="002555E3">
        <w:t xml:space="preserve"> egualmente opportuno sollecitare il chiarimento </w:t>
      </w:r>
      <w:r w:rsidR="00DF3989">
        <w:t>delle Sezioni unite pro</w:t>
      </w:r>
      <w:r w:rsidR="00034B1A">
        <w:t>prio perché, pur essendo restati estranei a</w:t>
      </w:r>
      <w:r w:rsidR="004E57C1">
        <w:t xml:space="preserve">l processo penale </w:t>
      </w:r>
      <w:r w:rsidR="00034B1A">
        <w:t xml:space="preserve">sia il danneggiato che il responsabile civile, la domanda civile era stata </w:t>
      </w:r>
      <w:r w:rsidR="006179BA">
        <w:t xml:space="preserve">comunque </w:t>
      </w:r>
      <w:r w:rsidR="00034B1A">
        <w:t>proposta oltre il termine stabilito nel terzo comma dell’art. 75 c.p.p.</w:t>
      </w:r>
      <w:r w:rsidR="00B74FD8">
        <w:t xml:space="preserve">, ossia </w:t>
      </w:r>
      <w:r w:rsidR="006179BA">
        <w:t>in presenza di un presupposto che avrebbe sicuramente portato alla sospensione se la domanda risarcitoria avesse coinvolto soltanto il conducente imputato.</w:t>
      </w:r>
    </w:p>
    <w:p w:rsidR="00D014A2" w:rsidRDefault="006179BA" w:rsidP="00D014A2">
      <w:pPr>
        <w:jc w:val="both"/>
      </w:pPr>
      <w:r>
        <w:t>C</w:t>
      </w:r>
      <w:r w:rsidR="00171C4C">
        <w:t>ome</w:t>
      </w:r>
      <w:r w:rsidR="0009106D">
        <w:t xml:space="preserve"> espone</w:t>
      </w:r>
      <w:r>
        <w:t>va</w:t>
      </w:r>
      <w:r w:rsidR="00171C4C">
        <w:t xml:space="preserve"> anche</w:t>
      </w:r>
      <w:r>
        <w:t xml:space="preserve"> in altra sua precedente ordinanza interlocutoria</w:t>
      </w:r>
      <w:r>
        <w:rPr>
          <w:rStyle w:val="Rimandonotaapidipagina"/>
        </w:rPr>
        <w:footnoteReference w:id="4"/>
      </w:r>
      <w:r>
        <w:t xml:space="preserve">, la sezione rimettente non reputava condivisibile l’orientamento </w:t>
      </w:r>
      <w:r w:rsidR="002C1BEF">
        <w:t xml:space="preserve">consolidato, </w:t>
      </w:r>
      <w:r w:rsidR="001361E9">
        <w:t xml:space="preserve">secondo il quale la sospensione necessaria non si applica quando il processo civile coinvolge </w:t>
      </w:r>
      <w:r w:rsidR="00E072C4">
        <w:t>più</w:t>
      </w:r>
      <w:r w:rsidR="009A182C">
        <w:t xml:space="preserve"> </w:t>
      </w:r>
      <w:r w:rsidR="00E072C4">
        <w:t>co</w:t>
      </w:r>
      <w:r w:rsidR="009A182C">
        <w:t>obbligati</w:t>
      </w:r>
      <w:r w:rsidR="00D014A2">
        <w:t>, sia</w:t>
      </w:r>
      <w:r w:rsidR="005C661E">
        <w:t xml:space="preserve"> in veste</w:t>
      </w:r>
      <w:r w:rsidR="009A182C">
        <w:t xml:space="preserve"> di litisconsorti facoltativi </w:t>
      </w:r>
      <w:r w:rsidR="00D014A2">
        <w:t>sia in veste di litisconsorti</w:t>
      </w:r>
      <w:r w:rsidR="005C661E">
        <w:t xml:space="preserve"> nece</w:t>
      </w:r>
      <w:r w:rsidR="009A182C">
        <w:t>ssari con il danneggiante imputato</w:t>
      </w:r>
      <w:r w:rsidR="0009106D">
        <w:t>.</w:t>
      </w:r>
      <w:r w:rsidR="00D014A2">
        <w:t xml:space="preserve"> Ad avviso della sezione questa interpretazione restrittiva del cit. art. 75, comma 3, agganciandosi al dato </w:t>
      </w:r>
      <w:r w:rsidR="002A089B">
        <w:t xml:space="preserve">meramente </w:t>
      </w:r>
      <w:r w:rsidR="00D014A2">
        <w:t xml:space="preserve">letterale che richiama </w:t>
      </w:r>
      <w:r w:rsidR="002A089B">
        <w:t xml:space="preserve">solo </w:t>
      </w:r>
      <w:r w:rsidR="00D014A2">
        <w:t xml:space="preserve">l’azione “proposta in sede civile nei confronti dell’imputato”, non soddisfa la </w:t>
      </w:r>
      <w:r w:rsidR="00D014A2" w:rsidRPr="000A5FE9">
        <w:rPr>
          <w:i/>
        </w:rPr>
        <w:t>ratio</w:t>
      </w:r>
      <w:r w:rsidR="00D014A2">
        <w:t xml:space="preserve"> di prevenire un esito potenzialmente difforme circa gli accertamenti di fatto comuni a tutti i litisconsorti, ma soprattutto sacrifica l’interesse del convenuto imputato a valersi dell’eventuale giudicato assolutorio</w:t>
      </w:r>
      <w:r w:rsidR="00B74FD8">
        <w:t xml:space="preserve"> nei confronti dell’attore. Sicché</w:t>
      </w:r>
      <w:r w:rsidR="00D014A2">
        <w:t xml:space="preserve">, mentre la giurisprudenza maggioritaria ritiene che la pluralità soggettiva imponga la prosecuzione </w:t>
      </w:r>
      <w:r w:rsidR="00D014A2" w:rsidRPr="00316314">
        <w:rPr>
          <w:i/>
        </w:rPr>
        <w:t>tout court</w:t>
      </w:r>
      <w:r w:rsidR="00D014A2">
        <w:t xml:space="preserve"> del processo civile, per il fatto che gli esiti del processo penale non sarebbero in ogni </w:t>
      </w:r>
      <w:r w:rsidR="00E70214">
        <w:t>caso opponibili nei riguardi del coobbligato</w:t>
      </w:r>
      <w:r w:rsidR="00D014A2">
        <w:t xml:space="preserve"> </w:t>
      </w:r>
      <w:r w:rsidR="00136193">
        <w:t>quand’anche</w:t>
      </w:r>
      <w:r w:rsidR="00D014A2">
        <w:t xml:space="preserve"> </w:t>
      </w:r>
      <w:r w:rsidR="00E70214">
        <w:t>citato</w:t>
      </w:r>
      <w:r w:rsidR="00D014A2">
        <w:t xml:space="preserve"> in </w:t>
      </w:r>
      <w:r w:rsidR="00DC0F4E">
        <w:t xml:space="preserve">sede penale </w:t>
      </w:r>
      <w:r w:rsidR="00E70214">
        <w:t>come</w:t>
      </w:r>
      <w:r w:rsidR="00D014A2">
        <w:t xml:space="preserve"> responsabile civile, la sezione rimettente sostiene che sarebbe più congru</w:t>
      </w:r>
      <w:r w:rsidR="00CF6017">
        <w:t>o disporre</w:t>
      </w:r>
      <w:r w:rsidR="00D014A2">
        <w:t xml:space="preserve"> </w:t>
      </w:r>
      <w:r w:rsidR="00CF6017">
        <w:t>l</w:t>
      </w:r>
      <w:r w:rsidR="00D014A2">
        <w:t xml:space="preserve">a sospensione </w:t>
      </w:r>
      <w:r w:rsidR="00A74196">
        <w:t>di tutto il processo</w:t>
      </w:r>
      <w:r w:rsidR="00136193">
        <w:t>,</w:t>
      </w:r>
      <w:r w:rsidR="00D014A2">
        <w:t xml:space="preserve"> nel caso di litisconsorzio necessario</w:t>
      </w:r>
      <w:r w:rsidR="00136193">
        <w:t>,</w:t>
      </w:r>
      <w:r w:rsidR="00CF6017">
        <w:t xml:space="preserve"> e una sospensione limitata alla causa contro l’imputato</w:t>
      </w:r>
      <w:r w:rsidR="0006755B">
        <w:t xml:space="preserve">, previa separazione del cumulo, </w:t>
      </w:r>
      <w:r w:rsidR="00CF6017">
        <w:t>nel caso di litisconsorzio facoltativo</w:t>
      </w:r>
      <w:r w:rsidR="00D014A2">
        <w:t>.</w:t>
      </w:r>
    </w:p>
    <w:p w:rsidR="007A3CDB" w:rsidRDefault="00EC45F4" w:rsidP="00D014A2">
      <w:pPr>
        <w:jc w:val="both"/>
      </w:pPr>
      <w:r>
        <w:t>L</w:t>
      </w:r>
      <w:r w:rsidR="00D769B2">
        <w:t>e soluzioni ipotizzate dall’ordinanza di rimessione</w:t>
      </w:r>
      <w:r>
        <w:t xml:space="preserve"> vengono però “sconfessate” dalle Sezioni unite, </w:t>
      </w:r>
      <w:r w:rsidR="00B30EFC">
        <w:t>le quali</w:t>
      </w:r>
      <w:r>
        <w:t xml:space="preserve"> </w:t>
      </w:r>
      <w:r w:rsidR="00117331">
        <w:t>confermano co</w:t>
      </w:r>
      <w:r w:rsidR="00B30EFC">
        <w:t>n questa pronuncia</w:t>
      </w:r>
      <w:r w:rsidR="00BD5FD2">
        <w:t xml:space="preserve"> la lettura più restrittiva</w:t>
      </w:r>
      <w:r w:rsidR="00CE02EB">
        <w:t xml:space="preserve">. </w:t>
      </w:r>
      <w:r w:rsidR="00712BB6">
        <w:t>Dall’articolata motivazione emergono principalmente due linee argomentative</w:t>
      </w:r>
      <w:r w:rsidR="00A2453B">
        <w:t>,</w:t>
      </w:r>
      <w:r w:rsidR="00B30EFC">
        <w:t xml:space="preserve"> che potremmo così riassumere</w:t>
      </w:r>
      <w:r w:rsidR="00712BB6">
        <w:t xml:space="preserve">: da un lato, </w:t>
      </w:r>
      <w:r w:rsidR="00456C0E">
        <w:t>la recessività dei fenomeni sospensivi in genere</w:t>
      </w:r>
      <w:r w:rsidR="009972A8">
        <w:t>,</w:t>
      </w:r>
      <w:r w:rsidR="00456C0E">
        <w:t xml:space="preserve"> con </w:t>
      </w:r>
      <w:r w:rsidR="006B00B9" w:rsidRPr="006B00B9">
        <w:rPr>
          <w:i/>
        </w:rPr>
        <w:t>focus</w:t>
      </w:r>
      <w:r w:rsidR="00456C0E">
        <w:t xml:space="preserve"> </w:t>
      </w:r>
      <w:r w:rsidR="00BD5FD2">
        <w:t xml:space="preserve">sul ruolo dell’art. 75 c.p.p. </w:t>
      </w:r>
      <w:r w:rsidR="009972A8">
        <w:t>n</w:t>
      </w:r>
      <w:r w:rsidR="00BD5FD2">
        <w:t>ei rapporti fra giudizio civile e penale</w:t>
      </w:r>
      <w:r w:rsidR="00A2453B">
        <w:t>;</w:t>
      </w:r>
      <w:r w:rsidR="00CE02EB">
        <w:t xml:space="preserve"> </w:t>
      </w:r>
      <w:r w:rsidR="00712BB6">
        <w:t>dall’altro lato</w:t>
      </w:r>
      <w:r w:rsidR="00117331">
        <w:t>,</w:t>
      </w:r>
      <w:r w:rsidR="00712BB6">
        <w:t xml:space="preserve"> </w:t>
      </w:r>
      <w:r w:rsidR="00456C0E">
        <w:t xml:space="preserve">l’imprescindibilità di finalizzare ogni sospensione </w:t>
      </w:r>
      <w:r w:rsidR="00AA11E5">
        <w:t>necessaria, compresa</w:t>
      </w:r>
      <w:r w:rsidR="00A2453B">
        <w:t xml:space="preserve"> quella </w:t>
      </w:r>
      <w:r w:rsidR="00A2453B" w:rsidRPr="00A2453B">
        <w:rPr>
          <w:i/>
        </w:rPr>
        <w:t>de qua</w:t>
      </w:r>
      <w:r w:rsidR="00AA11E5">
        <w:t>,</w:t>
      </w:r>
      <w:r w:rsidR="00A2453B">
        <w:t xml:space="preserve"> </w:t>
      </w:r>
      <w:r w:rsidR="00F514B9">
        <w:t>a un</w:t>
      </w:r>
      <w:r w:rsidR="00796FEC">
        <w:t>o specifico</w:t>
      </w:r>
      <w:r w:rsidR="00F514B9">
        <w:t xml:space="preserve"> impiego della </w:t>
      </w:r>
      <w:r w:rsidR="00B30EFC">
        <w:t xml:space="preserve">pronuncia </w:t>
      </w:r>
      <w:r w:rsidR="004464EC">
        <w:t>da attendere</w:t>
      </w:r>
      <w:r w:rsidR="00117331">
        <w:t xml:space="preserve">, vale a dire </w:t>
      </w:r>
      <w:r w:rsidR="008E3038">
        <w:t>alla produzione di un</w:t>
      </w:r>
      <w:r w:rsidR="00B30EFC">
        <w:t xml:space="preserve"> vincolo riconducibile all’</w:t>
      </w:r>
      <w:r w:rsidR="00117331">
        <w:t>efficacia di giudicato</w:t>
      </w:r>
      <w:r w:rsidR="004464EC">
        <w:t xml:space="preserve"> pienamente intesa</w:t>
      </w:r>
      <w:r w:rsidR="00117331">
        <w:t>.</w:t>
      </w:r>
      <w:r w:rsidR="00793928">
        <w:t xml:space="preserve"> I due temi si intrecciano perché è palese </w:t>
      </w:r>
      <w:r w:rsidR="00AA11E5">
        <w:t>che un decremento dei casi di sospensione</w:t>
      </w:r>
      <w:r w:rsidR="008E3038">
        <w:t xml:space="preserve"> </w:t>
      </w:r>
      <w:r w:rsidR="00AA11E5">
        <w:t xml:space="preserve">rende anche meno frequente il dispiegarsi </w:t>
      </w:r>
      <w:r w:rsidR="00254460">
        <w:t xml:space="preserve">in concreto </w:t>
      </w:r>
      <w:r w:rsidR="00AA11E5">
        <w:t>dell’efficacia vincolante</w:t>
      </w:r>
      <w:r w:rsidR="00365E38">
        <w:t>, tuttavia non è vero il contrario</w:t>
      </w:r>
      <w:r w:rsidR="00AA11E5">
        <w:t xml:space="preserve"> </w:t>
      </w:r>
      <w:r w:rsidR="00796FEC">
        <w:t>dato</w:t>
      </w:r>
      <w:r w:rsidR="00254460">
        <w:t xml:space="preserve"> che non è indispensabile imporre il coordinamento preventivo ogni qual volta </w:t>
      </w:r>
      <w:r w:rsidR="00327697">
        <w:t xml:space="preserve">sussista </w:t>
      </w:r>
      <w:r w:rsidR="002C604A">
        <w:t>un</w:t>
      </w:r>
      <w:r w:rsidR="00327697">
        <w:t>a</w:t>
      </w:r>
      <w:r w:rsidR="002C604A">
        <w:t xml:space="preserve"> prescrizione di</w:t>
      </w:r>
      <w:r w:rsidR="00254460">
        <w:t xml:space="preserve"> vincolo</w:t>
      </w:r>
      <w:r w:rsidR="00796FEC">
        <w:t>.</w:t>
      </w:r>
      <w:r w:rsidR="004464EC">
        <w:t xml:space="preserve"> Anche per tale motivo</w:t>
      </w:r>
      <w:r w:rsidR="00793928">
        <w:t xml:space="preserve"> la conclusione</w:t>
      </w:r>
      <w:r w:rsidR="004464EC">
        <w:t>,</w:t>
      </w:r>
      <w:r w:rsidR="004F73C2">
        <w:t xml:space="preserve"> </w:t>
      </w:r>
      <w:r w:rsidR="007A3CDB">
        <w:t>apparentemente semplice e lineare</w:t>
      </w:r>
      <w:r w:rsidR="004464EC">
        <w:t>,</w:t>
      </w:r>
      <w:r w:rsidR="007A3CDB">
        <w:t xml:space="preserve"> merita qualche riflessione. </w:t>
      </w:r>
    </w:p>
    <w:p w:rsidR="001D5757" w:rsidRDefault="001D5757" w:rsidP="00D014A2">
      <w:pPr>
        <w:jc w:val="both"/>
      </w:pPr>
    </w:p>
    <w:p w:rsidR="004A1806" w:rsidRPr="00E7771A" w:rsidRDefault="001D5757" w:rsidP="00D014A2">
      <w:pPr>
        <w:jc w:val="both"/>
      </w:pPr>
      <w:r>
        <w:t xml:space="preserve">2. </w:t>
      </w:r>
      <w:r w:rsidR="002C604A">
        <w:t>Come mostra</w:t>
      </w:r>
      <w:r w:rsidR="00D81400">
        <w:t>no gli stessi esempi menzionati dalle Sezioni unite, l</w:t>
      </w:r>
      <w:r w:rsidR="004D1989">
        <w:t xml:space="preserve">a tendenza a ridurre </w:t>
      </w:r>
      <w:r w:rsidR="00E92539">
        <w:t>le ipotesi sospensive</w:t>
      </w:r>
      <w:r w:rsidR="002C604A">
        <w:t>,</w:t>
      </w:r>
      <w:r w:rsidR="00E92539">
        <w:t xml:space="preserve"> </w:t>
      </w:r>
      <w:r w:rsidR="00977B3A">
        <w:t>privilegiando</w:t>
      </w:r>
      <w:r w:rsidR="00E92539">
        <w:t xml:space="preserve"> di conseguenza l’auto</w:t>
      </w:r>
      <w:r w:rsidR="00977B3A">
        <w:t>nomia degli accertamenti</w:t>
      </w:r>
      <w:r w:rsidR="002C604A">
        <w:t>,</w:t>
      </w:r>
      <w:r w:rsidR="00977B3A">
        <w:t xml:space="preserve"> è </w:t>
      </w:r>
      <w:r w:rsidR="00E92539">
        <w:t xml:space="preserve">fenomeno </w:t>
      </w:r>
      <w:r w:rsidR="00977B3A">
        <w:t xml:space="preserve">sempre più accreditato </w:t>
      </w:r>
      <w:r w:rsidR="00D81400">
        <w:t xml:space="preserve">dalla </w:t>
      </w:r>
      <w:r w:rsidR="00E92539">
        <w:t>legislazione recente</w:t>
      </w:r>
      <w:r w:rsidR="002C604A">
        <w:t xml:space="preserve"> e </w:t>
      </w:r>
      <w:r w:rsidR="00FE54DC">
        <w:t xml:space="preserve">con </w:t>
      </w:r>
      <w:r w:rsidR="002C604A">
        <w:t>il suo</w:t>
      </w:r>
      <w:r w:rsidR="00AC3EA4">
        <w:t xml:space="preserve"> ricorrere</w:t>
      </w:r>
      <w:r w:rsidR="00D81400">
        <w:t xml:space="preserve"> </w:t>
      </w:r>
      <w:r w:rsidR="002C604A">
        <w:t xml:space="preserve">testimonia che </w:t>
      </w:r>
      <w:r w:rsidR="003954B0">
        <w:t xml:space="preserve">l’interesse al coordinamento delle pronunce è </w:t>
      </w:r>
      <w:r w:rsidR="0069628A">
        <w:t>attual</w:t>
      </w:r>
      <w:r w:rsidR="00793928">
        <w:t>mente</w:t>
      </w:r>
      <w:r w:rsidR="003954B0">
        <w:t xml:space="preserve"> meno avvertito rispetto al valore della speditezza dei giudizi.</w:t>
      </w:r>
      <w:r w:rsidR="0017506B">
        <w:t xml:space="preserve"> Ad avviso della S.C., espressione di tale tendenza sarebbe già “il ridimensionamento in senso restrittivo della pregiudizialità penale (espunto dallo stesso precedente testo dell’art. 295</w:t>
      </w:r>
      <w:r w:rsidR="005B0808">
        <w:t>)”</w:t>
      </w:r>
      <w:r w:rsidR="0069628A">
        <w:rPr>
          <w:rStyle w:val="Rimandonotaapidipagina"/>
        </w:rPr>
        <w:footnoteReference w:id="5"/>
      </w:r>
      <w:r w:rsidR="00FE54DC">
        <w:t>,</w:t>
      </w:r>
      <w:r w:rsidR="0087676B">
        <w:t xml:space="preserve"> </w:t>
      </w:r>
      <w:r w:rsidR="00103BCA">
        <w:t>co</w:t>
      </w:r>
      <w:r w:rsidR="0087676B">
        <w:t xml:space="preserve">sicché le </w:t>
      </w:r>
      <w:r w:rsidR="004A1806">
        <w:t xml:space="preserve">obiezioni </w:t>
      </w:r>
      <w:r w:rsidR="00016F7E">
        <w:t>attinenti a</w:t>
      </w:r>
      <w:r w:rsidR="004A1806">
        <w:t xml:space="preserve">l mancato </w:t>
      </w:r>
      <w:r w:rsidR="004A1806">
        <w:lastRenderedPageBreak/>
        <w:t xml:space="preserve">coordinamento </w:t>
      </w:r>
      <w:r w:rsidR="0053463F">
        <w:t xml:space="preserve">delle pronunce </w:t>
      </w:r>
      <w:r w:rsidR="00016F7E">
        <w:t>sui</w:t>
      </w:r>
      <w:r w:rsidR="004A1806">
        <w:t xml:space="preserve"> fatti comuni</w:t>
      </w:r>
      <w:r w:rsidR="009D40D2">
        <w:t>, idonei a produrre conseguenze giuridiche in entrambi i settori dell’ordinamento,</w:t>
      </w:r>
      <w:r w:rsidR="004A1806">
        <w:t xml:space="preserve"> </w:t>
      </w:r>
      <w:r w:rsidR="00616C79">
        <w:t>vengono agevolmente respinte</w:t>
      </w:r>
      <w:r w:rsidR="00282A15">
        <w:t>, anche in questa occasione,</w:t>
      </w:r>
      <w:r w:rsidR="00616C79">
        <w:t xml:space="preserve"> facendo leva sull’impianto codicistico </w:t>
      </w:r>
      <w:r w:rsidR="00155C1D">
        <w:t xml:space="preserve">che ha </w:t>
      </w:r>
      <w:r w:rsidR="00741647">
        <w:t>rinunciato ai principi di unità della giurisdizione e di</w:t>
      </w:r>
      <w:r w:rsidR="00155C1D">
        <w:t xml:space="preserve"> preva</w:t>
      </w:r>
      <w:r w:rsidR="000455F8">
        <w:t>lenza della giurisdizione penale</w:t>
      </w:r>
      <w:r w:rsidR="00FE54DC">
        <w:t>. E</w:t>
      </w:r>
      <w:r w:rsidR="000455F8">
        <w:t>ffettivamente</w:t>
      </w:r>
      <w:r w:rsidR="00FE54DC">
        <w:t xml:space="preserve"> era</w:t>
      </w:r>
      <w:r w:rsidR="000455F8">
        <w:t xml:space="preserve"> in nome di quei principi che </w:t>
      </w:r>
      <w:r w:rsidR="00FE54DC">
        <w:t>ne</w:t>
      </w:r>
      <w:r w:rsidR="000455F8">
        <w:t>i codici previgenti</w:t>
      </w:r>
      <w:r w:rsidR="00741647">
        <w:t xml:space="preserve"> l’accertamento di fatti comuni al processo penale </w:t>
      </w:r>
      <w:r w:rsidR="00CE77A4">
        <w:t xml:space="preserve">in corso </w:t>
      </w:r>
      <w:r w:rsidR="0018527F">
        <w:t>veniva inibito</w:t>
      </w:r>
      <w:r w:rsidR="00307027">
        <w:t>,</w:t>
      </w:r>
      <w:r w:rsidR="00741647">
        <w:t xml:space="preserve"> sia in sede civile che amministrativa</w:t>
      </w:r>
      <w:r w:rsidR="00B35184">
        <w:rPr>
          <w:rStyle w:val="Rimandonotaapidipagina"/>
        </w:rPr>
        <w:footnoteReference w:id="6"/>
      </w:r>
      <w:r w:rsidR="00307027">
        <w:t>;</w:t>
      </w:r>
      <w:r w:rsidR="0018527F">
        <w:t xml:space="preserve"> ma </w:t>
      </w:r>
      <w:r w:rsidR="006F2540">
        <w:t>alla luce del</w:t>
      </w:r>
      <w:r w:rsidR="00DD7948">
        <w:t>le disposizioni contenute nel</w:t>
      </w:r>
      <w:r w:rsidR="0046505F">
        <w:t xml:space="preserve"> c.p.p. 1988 e</w:t>
      </w:r>
      <w:r w:rsidR="00AB1EBB">
        <w:t xml:space="preserve"> </w:t>
      </w:r>
      <w:r w:rsidR="0046505F">
        <w:t>ancor</w:t>
      </w:r>
      <w:r w:rsidR="006F2540">
        <w:t xml:space="preserve"> più dopo la modifica dell’art. 295</w:t>
      </w:r>
      <w:r w:rsidR="0018527F">
        <w:t>,</w:t>
      </w:r>
      <w:r w:rsidR="006F2540">
        <w:t xml:space="preserve"> c.p.c. avvenuta con la novella del 1990,</w:t>
      </w:r>
      <w:r w:rsidR="00741647">
        <w:t xml:space="preserve"> </w:t>
      </w:r>
      <w:r w:rsidR="00CC41DC">
        <w:t xml:space="preserve">non è </w:t>
      </w:r>
      <w:r w:rsidR="00103BCA">
        <w:t>agevo</w:t>
      </w:r>
      <w:r w:rsidR="00CC41DC">
        <w:t>le</w:t>
      </w:r>
      <w:r w:rsidR="006F2540">
        <w:t xml:space="preserve"> sostenere che </w:t>
      </w:r>
      <w:r w:rsidR="009D40D2">
        <w:t>d</w:t>
      </w:r>
      <w:r w:rsidR="006F2540">
        <w:t xml:space="preserve">a una semplice connessione per identità di fatti o questioni consegua l’obbligo di sospendere </w:t>
      </w:r>
      <w:r w:rsidR="00382C70">
        <w:t>il processo civile</w:t>
      </w:r>
      <w:r w:rsidR="00307027">
        <w:t xml:space="preserve">. </w:t>
      </w:r>
      <w:r w:rsidR="002424D6">
        <w:t>Anzitutto perché</w:t>
      </w:r>
      <w:r w:rsidR="00141DC3">
        <w:t>,</w:t>
      </w:r>
      <w:r w:rsidR="00382C70">
        <w:t xml:space="preserve"> mancando una norma corrispondente all’art. 3 c.p.p. del 1930</w:t>
      </w:r>
      <w:r w:rsidR="002051BB">
        <w:t xml:space="preserve">, </w:t>
      </w:r>
      <w:r w:rsidR="00BD45AB">
        <w:t xml:space="preserve">non </w:t>
      </w:r>
      <w:r w:rsidR="00641E33">
        <w:t>è più concepibile che la nozione di “pregiudizialità”</w:t>
      </w:r>
      <w:r w:rsidR="00BD45AB">
        <w:t xml:space="preserve"> </w:t>
      </w:r>
      <w:r w:rsidR="00641E33">
        <w:t xml:space="preserve">venga intesa </w:t>
      </w:r>
      <w:r w:rsidR="00BD45AB">
        <w:t>come necessità che su certi fatti si debba pronunciare per prima la giustizia penale</w:t>
      </w:r>
      <w:r w:rsidR="00103BCA">
        <w:t xml:space="preserve">: la cognizione sui fatti </w:t>
      </w:r>
      <w:r w:rsidR="004B6E8F">
        <w:t>costituitivi di reato</w:t>
      </w:r>
      <w:r w:rsidR="00B24C1F">
        <w:t xml:space="preserve"> </w:t>
      </w:r>
      <w:r w:rsidR="004B6E8F">
        <w:t>non è riservata alla giurisdizione penale e può</w:t>
      </w:r>
      <w:r w:rsidR="00B24C1F">
        <w:t xml:space="preserve"> svolge</w:t>
      </w:r>
      <w:r w:rsidR="004B6E8F">
        <w:t>rsi</w:t>
      </w:r>
      <w:r w:rsidR="00B24C1F">
        <w:t xml:space="preserve"> in autonomia nel processo civile</w:t>
      </w:r>
      <w:r w:rsidR="00402FFB">
        <w:t>.</w:t>
      </w:r>
      <w:r w:rsidR="009D40D2">
        <w:t xml:space="preserve"> </w:t>
      </w:r>
      <w:r w:rsidR="00103BCA">
        <w:t>I</w:t>
      </w:r>
      <w:r w:rsidR="00641E33">
        <w:t>n secondo luogo perché</w:t>
      </w:r>
      <w:r w:rsidR="003000EE">
        <w:t xml:space="preserve"> nel sistema vigente</w:t>
      </w:r>
      <w:r w:rsidR="006B3BF0">
        <w:t xml:space="preserve"> </w:t>
      </w:r>
      <w:r w:rsidR="004B6E8F">
        <w:t xml:space="preserve">il termine pregiudizialità, </w:t>
      </w:r>
      <w:r w:rsidR="003F0ADC">
        <w:t xml:space="preserve">avendo </w:t>
      </w:r>
      <w:r w:rsidR="001F3743">
        <w:t>per</w:t>
      </w:r>
      <w:r w:rsidR="00141DC3">
        <w:t>so</w:t>
      </w:r>
      <w:r w:rsidR="001F3743">
        <w:t xml:space="preserve"> </w:t>
      </w:r>
      <w:r w:rsidR="004B6E8F">
        <w:t>l</w:t>
      </w:r>
      <w:r w:rsidR="006B3BF0">
        <w:t>’</w:t>
      </w:r>
      <w:r w:rsidR="00044366">
        <w:t>antic</w:t>
      </w:r>
      <w:r w:rsidR="00F85C56">
        <w:t>a connotazione</w:t>
      </w:r>
      <w:r w:rsidR="006B3BF0">
        <w:t xml:space="preserve"> di </w:t>
      </w:r>
      <w:r w:rsidR="003000EE">
        <w:t>priorità cronologica</w:t>
      </w:r>
      <w:r w:rsidR="00641E33">
        <w:t>,</w:t>
      </w:r>
      <w:r w:rsidR="00AF392D">
        <w:t xml:space="preserve"> può solamente indicare</w:t>
      </w:r>
      <w:r w:rsidR="00BD45AB">
        <w:t xml:space="preserve"> </w:t>
      </w:r>
      <w:r w:rsidR="00AF392D">
        <w:t>un</w:t>
      </w:r>
      <w:r w:rsidR="00BD45AB">
        <w:t>a connessione fra situazioni sostanz</w:t>
      </w:r>
      <w:r w:rsidR="0028020B">
        <w:t>iali compiute</w:t>
      </w:r>
      <w:r w:rsidR="00CA5C21">
        <w:t xml:space="preserve">, pertanto, </w:t>
      </w:r>
      <w:r w:rsidR="00141DC3">
        <w:t xml:space="preserve">guardando ai rapporti con il processo penale, </w:t>
      </w:r>
      <w:r w:rsidR="00CA5C21">
        <w:t xml:space="preserve">quel termine va riservato alle ipotesi in cui – come è stato chiarito – </w:t>
      </w:r>
      <w:r w:rsidR="00CA5C21" w:rsidRPr="00AC0024">
        <w:t>“alla commissione del reato oggetto della imputazione penale una norma ricolleghi un effetto in rapporto al diritto oggetto di giudizio nel processo civile</w:t>
      </w:r>
      <w:r w:rsidR="00CA5C21" w:rsidRPr="00E7771A">
        <w:t>”</w:t>
      </w:r>
      <w:r w:rsidR="00CA5C21" w:rsidRPr="00E7771A">
        <w:rPr>
          <w:rStyle w:val="Rimandonotaapidipagina"/>
        </w:rPr>
        <w:footnoteReference w:id="7"/>
      </w:r>
      <w:r w:rsidR="00141DC3" w:rsidRPr="00E7771A">
        <w:t>.</w:t>
      </w:r>
      <w:r w:rsidR="00E7771A">
        <w:t xml:space="preserve"> In altre parole, l</w:t>
      </w:r>
      <w:r w:rsidR="00AC0024" w:rsidRPr="00E7771A">
        <w:t>a coincidenza d</w:t>
      </w:r>
      <w:r w:rsidR="00E7771A">
        <w:t>e</w:t>
      </w:r>
      <w:r w:rsidR="00AC0024" w:rsidRPr="00E7771A">
        <w:t xml:space="preserve">i fatti non è sufficiente </w:t>
      </w:r>
      <w:r w:rsidR="00E7771A">
        <w:t>a determinare la pregiudizialità, se dall’integrazione dell’illecito penale non dipende l’accoglimento o il rigetto della domanda civile</w:t>
      </w:r>
      <w:r w:rsidR="00E7771A">
        <w:rPr>
          <w:rStyle w:val="Rimandonotaapidipagina"/>
        </w:rPr>
        <w:footnoteReference w:id="8"/>
      </w:r>
      <w:r w:rsidR="00354ADB">
        <w:t>.</w:t>
      </w:r>
      <w:r w:rsidR="00E7771A">
        <w:t xml:space="preserve"> </w:t>
      </w:r>
    </w:p>
    <w:p w:rsidR="001B58D9" w:rsidRDefault="0081387C" w:rsidP="00242757">
      <w:pPr>
        <w:jc w:val="both"/>
      </w:pPr>
      <w:r w:rsidRPr="000B1209">
        <w:t>L’individuazione del nesso dal punto di vista de</w:t>
      </w:r>
      <w:r w:rsidR="00E12164">
        <w:t>i rapporti sostanziali precede e</w:t>
      </w:r>
      <w:r w:rsidRPr="000B1209">
        <w:t xml:space="preserve"> indirizza i rapporti che si </w:t>
      </w:r>
      <w:r w:rsidR="001B58D9">
        <w:t>profilano</w:t>
      </w:r>
      <w:r w:rsidRPr="000B1209">
        <w:t xml:space="preserve"> in campo processuale: questo vale in qualsiasi settore del diritto</w:t>
      </w:r>
      <w:r w:rsidR="00AE70D7" w:rsidRPr="000B1209">
        <w:t xml:space="preserve"> (</w:t>
      </w:r>
      <w:r w:rsidRPr="000B1209">
        <w:t>civile, penale, amministrativo, tributario ecc.</w:t>
      </w:r>
      <w:r w:rsidR="00E12164">
        <w:t>)</w:t>
      </w:r>
      <w:r w:rsidR="00AE70D7" w:rsidRPr="000B1209">
        <w:t xml:space="preserve"> al di là delle conseguenze che scelga di trarne il diritto positivo</w:t>
      </w:r>
      <w:r w:rsidRPr="000B1209">
        <w:t xml:space="preserve"> </w:t>
      </w:r>
      <w:r w:rsidR="00CA629B">
        <w:t>nel</w:t>
      </w:r>
      <w:r w:rsidR="00E12164">
        <w:t>la dinamica del processo, p</w:t>
      </w:r>
      <w:r w:rsidR="0018527F">
        <w:t>erciò, ove si</w:t>
      </w:r>
      <w:r w:rsidR="00EF7F69">
        <w:t xml:space="preserve"> intend</w:t>
      </w:r>
      <w:r w:rsidR="00AE70D7" w:rsidRPr="000B1209">
        <w:t xml:space="preserve">a </w:t>
      </w:r>
      <w:r w:rsidR="00B9443F" w:rsidRPr="000B1209">
        <w:t>affrontare il concetto di</w:t>
      </w:r>
      <w:r w:rsidR="00AE70D7" w:rsidRPr="000B1209">
        <w:t xml:space="preserve"> pregiudizialità con riferimento a quest’ultimo, </w:t>
      </w:r>
      <w:r w:rsidR="00B9443F" w:rsidRPr="000B1209">
        <w:t xml:space="preserve">non </w:t>
      </w:r>
      <w:r w:rsidR="00E12164">
        <w:t>conviene</w:t>
      </w:r>
      <w:r w:rsidR="00B9443F" w:rsidRPr="000B1209">
        <w:t xml:space="preserve"> partire dalle conseg</w:t>
      </w:r>
      <w:r w:rsidR="00094F84">
        <w:t>uen</w:t>
      </w:r>
      <w:r w:rsidR="00960274">
        <w:t xml:space="preserve">ze, </w:t>
      </w:r>
      <w:r w:rsidR="0018527F">
        <w:t>cioè</w:t>
      </w:r>
      <w:r w:rsidR="005F24BB">
        <w:t xml:space="preserve"> </w:t>
      </w:r>
      <w:r w:rsidR="0063530C">
        <w:t>analizza</w:t>
      </w:r>
      <w:r w:rsidR="00960274">
        <w:t>re</w:t>
      </w:r>
      <w:r w:rsidR="00B9443F" w:rsidRPr="000B1209">
        <w:t xml:space="preserve"> la disciplina di rito </w:t>
      </w:r>
      <w:r w:rsidR="00822C2B" w:rsidRPr="000B1209">
        <w:t xml:space="preserve">prima </w:t>
      </w:r>
      <w:r w:rsidR="001B58D9">
        <w:t xml:space="preserve">di avere </w:t>
      </w:r>
      <w:r w:rsidR="00822C2B" w:rsidRPr="000B1209">
        <w:t>identifica</w:t>
      </w:r>
      <w:r w:rsidR="001B58D9">
        <w:t>to</w:t>
      </w:r>
      <w:r w:rsidR="0063530C">
        <w:t xml:space="preserve"> il suo presupposto</w:t>
      </w:r>
      <w:r w:rsidR="001B58D9">
        <w:t>. Conviene invece</w:t>
      </w:r>
      <w:r w:rsidR="0063530C">
        <w:t xml:space="preserve"> </w:t>
      </w:r>
      <w:r w:rsidR="006A182B">
        <w:t xml:space="preserve">seguire </w:t>
      </w:r>
      <w:r w:rsidR="0063530C">
        <w:t>il percorso inverso</w:t>
      </w:r>
      <w:r w:rsidR="00960274">
        <w:t xml:space="preserve"> </w:t>
      </w:r>
      <w:r w:rsidR="001B58D9">
        <w:t>e muovere</w:t>
      </w:r>
      <w:r w:rsidR="00960274">
        <w:t xml:space="preserve"> dal presupposto,</w:t>
      </w:r>
      <w:r w:rsidR="0063530C">
        <w:t xml:space="preserve"> </w:t>
      </w:r>
      <w:r w:rsidR="00960274">
        <w:t xml:space="preserve">il quale è dato, </w:t>
      </w:r>
      <w:r w:rsidR="00597631">
        <w:t>per quanto ora ci interess</w:t>
      </w:r>
      <w:r w:rsidR="00822C2B" w:rsidRPr="000B1209">
        <w:t>a</w:t>
      </w:r>
      <w:r w:rsidR="00E12164">
        <w:t>,</w:t>
      </w:r>
      <w:r w:rsidR="00822C2B" w:rsidRPr="000B1209">
        <w:t xml:space="preserve"> dal tipo di conne</w:t>
      </w:r>
      <w:r w:rsidR="00CA629B">
        <w:t>ssione sostanziale che si prospet</w:t>
      </w:r>
      <w:r w:rsidR="00822C2B" w:rsidRPr="000B1209">
        <w:t xml:space="preserve">ta all’interprete quando un’azione civile risarcitoria è proposta </w:t>
      </w:r>
      <w:r w:rsidR="00DA7F10" w:rsidRPr="000B1209">
        <w:t>in pendenza di procedimento penale.</w:t>
      </w:r>
      <w:r w:rsidR="000B1209">
        <w:t xml:space="preserve"> </w:t>
      </w:r>
    </w:p>
    <w:p w:rsidR="001D5757" w:rsidRDefault="001D5757" w:rsidP="00242757">
      <w:pPr>
        <w:jc w:val="both"/>
      </w:pPr>
    </w:p>
    <w:p w:rsidR="00044366" w:rsidRDefault="001D5757" w:rsidP="00242757">
      <w:pPr>
        <w:jc w:val="both"/>
      </w:pPr>
      <w:r>
        <w:t xml:space="preserve">3. </w:t>
      </w:r>
      <w:r w:rsidR="008F3151">
        <w:t>Il danneggiato che si rivolge al giudice</w:t>
      </w:r>
      <w:r w:rsidR="00E25E75">
        <w:t xml:space="preserve"> civile</w:t>
      </w:r>
      <w:r w:rsidR="008F3151">
        <w:t xml:space="preserve"> può articolare la sua domanda in base a due differenti fattispecie, rispettivamente descritte</w:t>
      </w:r>
      <w:r w:rsidR="008304A4">
        <w:t>,</w:t>
      </w:r>
      <w:r w:rsidR="00EF5FFB">
        <w:t xml:space="preserve"> l’una</w:t>
      </w:r>
      <w:r w:rsidR="008F3151">
        <w:t xml:space="preserve"> dall’art. 1</w:t>
      </w:r>
      <w:r w:rsidR="00A166F9">
        <w:t>8</w:t>
      </w:r>
      <w:r w:rsidR="008F3151">
        <w:t>5, c.p.</w:t>
      </w:r>
      <w:r w:rsidR="008304A4">
        <w:t>,</w:t>
      </w:r>
      <w:r w:rsidR="00EF5FFB">
        <w:t xml:space="preserve"> l’altra</w:t>
      </w:r>
      <w:r w:rsidR="008F3151">
        <w:t xml:space="preserve"> dagli artt. 2043 ss.</w:t>
      </w:r>
      <w:r w:rsidR="00597631">
        <w:t>,</w:t>
      </w:r>
      <w:r w:rsidR="008F3151">
        <w:t xml:space="preserve"> c.c.</w:t>
      </w:r>
      <w:r w:rsidR="008304A4">
        <w:t xml:space="preserve"> A</w:t>
      </w:r>
      <w:r w:rsidR="00A166F9">
        <w:t xml:space="preserve"> seconda di quale </w:t>
      </w:r>
      <w:r w:rsidR="008304A4">
        <w:t>fattispecie</w:t>
      </w:r>
      <w:r w:rsidR="00A166F9">
        <w:t xml:space="preserve"> venga attivata</w:t>
      </w:r>
      <w:r w:rsidR="008304A4">
        <w:t xml:space="preserve"> cambia anche il tipo di relazione fra gli oggetti dei due processi, perché mentre l’art. 185 c.p. configura il risarcimento del danno come effetto giuridico riconducibile direttamente al reato</w:t>
      </w:r>
      <w:r w:rsidR="006A182B">
        <w:t>,</w:t>
      </w:r>
      <w:r w:rsidR="008304A4">
        <w:t xml:space="preserve"> presuppone</w:t>
      </w:r>
      <w:r w:rsidR="006A182B">
        <w:t>ndone dunque</w:t>
      </w:r>
      <w:r w:rsidR="008304A4">
        <w:t xml:space="preserve"> la sussistenza, la fattispecie illustrata dagli artt. 2043 ss., c.c. </w:t>
      </w:r>
      <w:r w:rsidR="006A182B">
        <w:t xml:space="preserve">non presenta tale caratteristica </w:t>
      </w:r>
      <w:r w:rsidR="00597631">
        <w:t xml:space="preserve">e per la sua integrazione non </w:t>
      </w:r>
      <w:r w:rsidR="006A182B">
        <w:t>è rilevante che il fatto illecito sia incriminato</w:t>
      </w:r>
      <w:r w:rsidR="008304A4">
        <w:rPr>
          <w:rStyle w:val="Rimandonotaapidipagina"/>
        </w:rPr>
        <w:footnoteReference w:id="9"/>
      </w:r>
      <w:r w:rsidR="00597631">
        <w:t xml:space="preserve">. </w:t>
      </w:r>
      <w:r w:rsidR="007C4F93">
        <w:t xml:space="preserve">Il </w:t>
      </w:r>
      <w:r w:rsidR="007C4F93">
        <w:lastRenderedPageBreak/>
        <w:t>processo ci</w:t>
      </w:r>
      <w:r w:rsidR="007127AF">
        <w:t>vile che prenda</w:t>
      </w:r>
      <w:r w:rsidR="007C4F93">
        <w:t xml:space="preserve"> in esame soltanto quest’ultima fattispecie non sarà mai connesso al </w:t>
      </w:r>
      <w:r w:rsidR="00A23A4D">
        <w:t xml:space="preserve">processo penale per pregiudizialità-dipendenza, tutt’al più potrà avere con </w:t>
      </w:r>
      <w:r w:rsidR="00EE63BC">
        <w:t>questo</w:t>
      </w:r>
      <w:r w:rsidR="00A23A4D">
        <w:t xml:space="preserve"> una comunanza di fatti storici o di questioni giuridiche, </w:t>
      </w:r>
      <w:r w:rsidR="00964960">
        <w:t xml:space="preserve">rispetto alle quali </w:t>
      </w:r>
      <w:r w:rsidR="00EE63BC">
        <w:t>però non</w:t>
      </w:r>
      <w:r w:rsidR="005F24BB">
        <w:t xml:space="preserve"> </w:t>
      </w:r>
      <w:r w:rsidR="007127AF">
        <w:t xml:space="preserve">si avrà </w:t>
      </w:r>
      <w:r w:rsidR="00F93CC9">
        <w:t xml:space="preserve">la </w:t>
      </w:r>
      <w:r w:rsidR="007127AF">
        <w:t>necessità di coordina</w:t>
      </w:r>
      <w:r w:rsidR="00E45D12">
        <w:t>re in anticipo le pronunce</w:t>
      </w:r>
      <w:r w:rsidR="007127AF">
        <w:t>, dal momento che l’unica previsione in tal senso</w:t>
      </w:r>
      <w:r w:rsidR="00E45D12">
        <w:t xml:space="preserve"> </w:t>
      </w:r>
      <w:r w:rsidR="007127AF">
        <w:t xml:space="preserve">concerne esclusivamente </w:t>
      </w:r>
      <w:r w:rsidR="00E45D12">
        <w:t>la fattis</w:t>
      </w:r>
      <w:r w:rsidR="00296EF0">
        <w:t xml:space="preserve">pecie non attivata, ossia (come </w:t>
      </w:r>
      <w:r w:rsidR="00E45D12">
        <w:t>emerge</w:t>
      </w:r>
      <w:r w:rsidR="00296EF0">
        <w:t xml:space="preserve"> dal testo dell’art. 74 c.p.p.)</w:t>
      </w:r>
      <w:r w:rsidR="00E45D12">
        <w:t xml:space="preserve"> </w:t>
      </w:r>
      <w:r w:rsidR="007127AF">
        <w:t xml:space="preserve">l’azione civile </w:t>
      </w:r>
      <w:r w:rsidR="00E45D12">
        <w:t>per le restituzioni e il risarcimento del danno “di cui all’articolo 185 del codice penale”</w:t>
      </w:r>
      <w:r w:rsidR="00296EF0">
        <w:t>.</w:t>
      </w:r>
      <w:r w:rsidR="004D7E83">
        <w:t xml:space="preserve"> </w:t>
      </w:r>
      <w:r w:rsidR="00E14BFB">
        <w:t>Attivando, invece, quest’</w:t>
      </w:r>
      <w:r w:rsidR="00F0059D">
        <w:t>altra</w:t>
      </w:r>
      <w:r w:rsidR="003D4BD0">
        <w:t xml:space="preserve"> fattispecie</w:t>
      </w:r>
      <w:r w:rsidR="00E14BFB">
        <w:t xml:space="preserve"> si </w:t>
      </w:r>
      <w:r w:rsidR="003D4BD0">
        <w:t>configura il risarcimento come effetto civilistico del reato, del quale il processo civile dovrà appurare la commissione</w:t>
      </w:r>
      <w:r w:rsidR="00E14BFB">
        <w:t>, sicché</w:t>
      </w:r>
      <w:r w:rsidR="00C203C1">
        <w:t>,</w:t>
      </w:r>
      <w:r w:rsidR="00E14BFB">
        <w:t xml:space="preserve"> </w:t>
      </w:r>
      <w:r w:rsidR="003D4BD0">
        <w:t xml:space="preserve">quando </w:t>
      </w:r>
      <w:r w:rsidR="00C203C1">
        <w:t>tale processo rimane sospeso in applicazi</w:t>
      </w:r>
      <w:r w:rsidR="00C002A6">
        <w:t>one dell’art. 75, comma 3, c.p.p</w:t>
      </w:r>
      <w:r w:rsidR="00C203C1">
        <w:t xml:space="preserve">., il rapporto con il processo penale è a sua volta configurato come vero e proprio rapporto di pregiudizialità-dipendenza. </w:t>
      </w:r>
      <w:proofErr w:type="gramStart"/>
      <w:r w:rsidR="00F0059D">
        <w:t>E’</w:t>
      </w:r>
      <w:proofErr w:type="gramEnd"/>
      <w:r w:rsidR="00F0059D">
        <w:t xml:space="preserve"> vero che il danneggiato </w:t>
      </w:r>
      <w:r w:rsidR="00CE3964">
        <w:t>agisce di rado</w:t>
      </w:r>
      <w:r w:rsidR="00F0059D">
        <w:t xml:space="preserve"> in base a una sola delle due fattispecie</w:t>
      </w:r>
      <w:r w:rsidR="00682F4B">
        <w:t xml:space="preserve"> </w:t>
      </w:r>
      <w:r w:rsidR="00C002A6">
        <w:t>essendo</w:t>
      </w:r>
      <w:r w:rsidR="00E51645">
        <w:t xml:space="preserve"> </w:t>
      </w:r>
      <w:r w:rsidR="00C002A6">
        <w:t xml:space="preserve">più </w:t>
      </w:r>
      <w:r w:rsidR="00CE3964">
        <w:t xml:space="preserve">facile </w:t>
      </w:r>
      <w:r w:rsidR="00E51645">
        <w:t xml:space="preserve">che le usi entrambe </w:t>
      </w:r>
      <w:r w:rsidR="00CE3964">
        <w:t>per</w:t>
      </w:r>
      <w:r w:rsidR="00682F4B">
        <w:t xml:space="preserve"> darsi un’altra </w:t>
      </w:r>
      <w:r w:rsidR="00682F4B" w:rsidRPr="00682F4B">
        <w:rPr>
          <w:i/>
        </w:rPr>
        <w:t>chance</w:t>
      </w:r>
      <w:r w:rsidR="00CE3964">
        <w:t xml:space="preserve"> </w:t>
      </w:r>
      <w:r w:rsidR="00682F4B">
        <w:t>nel</w:t>
      </w:r>
      <w:r w:rsidR="00CE3964">
        <w:t xml:space="preserve">l’eventualità </w:t>
      </w:r>
      <w:r w:rsidR="00E51645">
        <w:t xml:space="preserve">di non riuscire a provare il reato, ciò non toglie che </w:t>
      </w:r>
      <w:r w:rsidR="00DF5316">
        <w:t xml:space="preserve">anche in tal caso </w:t>
      </w:r>
      <w:r w:rsidR="00E51645">
        <w:t xml:space="preserve">i modelli di connessione </w:t>
      </w:r>
      <w:r w:rsidR="00682F4B">
        <w:t>siano</w:t>
      </w:r>
      <w:r w:rsidR="00E51645">
        <w:t xml:space="preserve"> distinti e </w:t>
      </w:r>
      <w:r w:rsidR="00682F4B">
        <w:t xml:space="preserve">se il processo civile può essere interessato da un coordinamento </w:t>
      </w:r>
      <w:r w:rsidR="00DF5316">
        <w:t>riferibile</w:t>
      </w:r>
      <w:r w:rsidR="00682F4B">
        <w:t xml:space="preserve"> all’art. 75</w:t>
      </w:r>
      <w:r w:rsidR="0046547F">
        <w:t>, c.p.p.</w:t>
      </w:r>
      <w:r w:rsidR="00682F4B">
        <w:t xml:space="preserve"> è solamente perché </w:t>
      </w:r>
      <w:r w:rsidR="00DF5316">
        <w:t xml:space="preserve">la domanda risarcitoria è stata fondata </w:t>
      </w:r>
      <w:r w:rsidR="00DF5316" w:rsidRPr="001447FD">
        <w:t>anche</w:t>
      </w:r>
      <w:r w:rsidR="00DF5316">
        <w:t xml:space="preserve"> sull’art. 185, c.p.</w:t>
      </w:r>
      <w:r w:rsidR="001447FD">
        <w:rPr>
          <w:rStyle w:val="Rimandonotaapidipagina"/>
        </w:rPr>
        <w:footnoteReference w:id="10"/>
      </w:r>
      <w:r w:rsidR="0046547F">
        <w:t>.</w:t>
      </w:r>
      <w:r w:rsidR="00682F4B">
        <w:t xml:space="preserve"> </w:t>
      </w:r>
      <w:r w:rsidR="00C002A6">
        <w:t>A</w:t>
      </w:r>
      <w:r w:rsidR="00837BF6">
        <w:t>llora, a</w:t>
      </w:r>
      <w:r w:rsidR="00C203C1">
        <w:t>sserire</w:t>
      </w:r>
      <w:r w:rsidR="00837BF6">
        <w:t xml:space="preserve"> </w:t>
      </w:r>
      <w:r w:rsidR="00A41248">
        <w:t>che “la chiave di volta della sospensione necessaria prevista dall’art. 75 c.p.p., comma 3, non si può, quindi, identificare con quella determinata dalla pregiudizialità, ossia appunto con l’esigenza di evitare il rischio di un conflitto fra giudicati”</w:t>
      </w:r>
      <w:r w:rsidR="00837BF6">
        <w:t xml:space="preserve">, come fa al punto 6 la pronuncia in commento, </w:t>
      </w:r>
      <w:r w:rsidR="00C002A6">
        <w:t xml:space="preserve">non è corretto </w:t>
      </w:r>
      <w:r w:rsidR="00917F4C">
        <w:t xml:space="preserve">poiché il tipo di connessione che corre fra </w:t>
      </w:r>
      <w:r w:rsidR="002F7C2B">
        <w:t>processo</w:t>
      </w:r>
      <w:r w:rsidR="00917F4C">
        <w:t xml:space="preserve"> civile e penale</w:t>
      </w:r>
      <w:r w:rsidR="008364D7">
        <w:t>,</w:t>
      </w:r>
      <w:r w:rsidR="002F7C2B">
        <w:t xml:space="preserve"> in quel caso</w:t>
      </w:r>
      <w:r w:rsidR="008364D7">
        <w:t>,</w:t>
      </w:r>
      <w:r w:rsidR="00917F4C">
        <w:t xml:space="preserve"> è precisamente lo stesso che si realizza allorché il processo pregiudicante sia un altro processo civile o un processo amministrativo</w:t>
      </w:r>
      <w:r w:rsidR="00D14E84">
        <w:t xml:space="preserve">. </w:t>
      </w:r>
      <w:r w:rsidR="00D14E84" w:rsidRPr="00D14E84">
        <w:t>Come si diceva più sopra, rispetto a un determinato legame sostanziale il diritto processuale può compiere scelte diverse da un settore giurisdizionale all’altro, così come abbiamo visto che pure all’interno di un medesimo settore le scelte possono variare nel tempo, tuttavia l’utilizzo di certi termini, almeno in un dato momento storico, non può che essere univoco</w:t>
      </w:r>
      <w:r w:rsidR="00837BF6">
        <w:t>,</w:t>
      </w:r>
      <w:r w:rsidR="00D14E84" w:rsidRPr="00D14E84">
        <w:t xml:space="preserve"> </w:t>
      </w:r>
      <w:r w:rsidR="00D14E84">
        <w:t>perciò</w:t>
      </w:r>
      <w:r w:rsidR="00D14E84" w:rsidRPr="00D14E84">
        <w:t xml:space="preserve"> la nozione di pregiudizialità resta </w:t>
      </w:r>
      <w:r w:rsidR="0007206A">
        <w:t>ferma nel proprio significato</w:t>
      </w:r>
      <w:r w:rsidR="00D14E84" w:rsidRPr="00D14E84">
        <w:t xml:space="preserve">, quale che sia il trattamento processuale specifico </w:t>
      </w:r>
      <w:r w:rsidR="00D14E84">
        <w:t xml:space="preserve">ricevuto </w:t>
      </w:r>
      <w:r w:rsidR="00D14E84" w:rsidRPr="00D14E84">
        <w:t>all’interno del codice o nella prassi</w:t>
      </w:r>
      <w:r w:rsidR="00CC7106">
        <w:t xml:space="preserve"> giurisprudenziale</w:t>
      </w:r>
      <w:r w:rsidR="00917F4C">
        <w:t>.</w:t>
      </w:r>
    </w:p>
    <w:p w:rsidR="00D11F15" w:rsidRDefault="00340F3C" w:rsidP="00242757">
      <w:pPr>
        <w:jc w:val="both"/>
      </w:pPr>
      <w:r>
        <w:t>Chiarito il tipo di relazione cui fa riguardo l’art. 75., c.p.p.</w:t>
      </w:r>
      <w:r w:rsidR="00233A99">
        <w:t xml:space="preserve">, </w:t>
      </w:r>
      <w:r w:rsidR="008B639D">
        <w:t xml:space="preserve">dovrebbe </w:t>
      </w:r>
      <w:r w:rsidR="00233A99">
        <w:t>chiari</w:t>
      </w:r>
      <w:r w:rsidR="008B639D">
        <w:t>r</w:t>
      </w:r>
      <w:r w:rsidR="005E0C5F">
        <w:t>si</w:t>
      </w:r>
      <w:r w:rsidR="00233A99">
        <w:t xml:space="preserve"> anche il ruolo </w:t>
      </w:r>
      <w:r w:rsidR="008B639D">
        <w:t>effettivamente gioca</w:t>
      </w:r>
      <w:r w:rsidR="002E44F3">
        <w:t>to da questa norma</w:t>
      </w:r>
      <w:r w:rsidR="008B639D">
        <w:t xml:space="preserve"> sul pia</w:t>
      </w:r>
      <w:r w:rsidR="00714532">
        <w:t>no sistematico, il quale</w:t>
      </w:r>
      <w:r w:rsidR="008B639D">
        <w:t xml:space="preserve"> non è</w:t>
      </w:r>
      <w:r w:rsidR="004E0D30">
        <w:t xml:space="preserve"> </w:t>
      </w:r>
      <w:r w:rsidR="008B639D">
        <w:t xml:space="preserve">di sancire il principio “della parità e </w:t>
      </w:r>
      <w:proofErr w:type="spellStart"/>
      <w:r w:rsidR="008B639D">
        <w:t>originarietà</w:t>
      </w:r>
      <w:proofErr w:type="spellEnd"/>
      <w:r w:rsidR="008B639D">
        <w:t xml:space="preserve"> dei diversi ordini giurisdizionali e dell’autonomia dei giudizi”</w:t>
      </w:r>
      <w:r w:rsidR="00714532">
        <w:t>,</w:t>
      </w:r>
      <w:r w:rsidR="008B639D">
        <w:t xml:space="preserve"> </w:t>
      </w:r>
      <w:r w:rsidR="00D06CF3">
        <w:t>bensì</w:t>
      </w:r>
      <w:r w:rsidR="00EB55E2">
        <w:t xml:space="preserve"> di introdurre una deroga </w:t>
      </w:r>
      <w:r w:rsidR="00714532">
        <w:t xml:space="preserve">alle </w:t>
      </w:r>
      <w:r w:rsidR="004E0D30">
        <w:t>conseguenze</w:t>
      </w:r>
      <w:r w:rsidR="00714532">
        <w:t xml:space="preserve"> ordinarie</w:t>
      </w:r>
      <w:r w:rsidR="004E0D30">
        <w:t xml:space="preserve"> che avrebbero luogo</w:t>
      </w:r>
      <w:r w:rsidR="00D06CF3">
        <w:t>,</w:t>
      </w:r>
      <w:r w:rsidR="004E0D30">
        <w:t xml:space="preserve"> in base alla disciplina di rito civile</w:t>
      </w:r>
      <w:r w:rsidR="00837BF6">
        <w:t xml:space="preserve">, tutte le volte che </w:t>
      </w:r>
      <w:r w:rsidR="00D06CF3">
        <w:t>venga azionata la fattispecie risarcitoria di cui all’art. 185, c.p.</w:t>
      </w:r>
      <w:r w:rsidR="004E0D30">
        <w:t xml:space="preserve"> </w:t>
      </w:r>
      <w:r w:rsidR="00FE50C7">
        <w:t>Difatti, se non vi fosse il “microsistema” dell’art. 75</w:t>
      </w:r>
      <w:r w:rsidR="00714532">
        <w:t>, c.p.p.</w:t>
      </w:r>
      <w:r w:rsidR="00FE50C7">
        <w:t>, il processo civile</w:t>
      </w:r>
      <w:r w:rsidR="00CC7106">
        <w:t>,</w:t>
      </w:r>
      <w:r w:rsidR="00FE50C7">
        <w:t xml:space="preserve"> nel tempo in cui pende il processo penale </w:t>
      </w:r>
      <w:r w:rsidR="00CC7106">
        <w:t>su</w:t>
      </w:r>
      <w:r w:rsidR="00FE50C7">
        <w:t xml:space="preserve">l reato pregiudiziale, andrebbe soggetto alla sospensione necessaria </w:t>
      </w:r>
      <w:r w:rsidR="00CC7106">
        <w:t>in applicazione dell’</w:t>
      </w:r>
      <w:r w:rsidR="00FE50C7">
        <w:t>art. 295, c.p.c.</w:t>
      </w:r>
      <w:r w:rsidR="00CC7106">
        <w:t xml:space="preserve"> o alla sospensione facoltativa in applicazione dell’art. 337, comma 2, c.p.c.</w:t>
      </w:r>
      <w:r w:rsidR="00CC7106">
        <w:rPr>
          <w:rStyle w:val="Rimandonotaapidipagina"/>
        </w:rPr>
        <w:footnoteReference w:id="11"/>
      </w:r>
      <w:r w:rsidR="00CC7106">
        <w:t xml:space="preserve"> </w:t>
      </w:r>
      <w:r w:rsidR="00214D72">
        <w:t>Pertanto il secondo comma dell’art. 75, c.p.p.</w:t>
      </w:r>
      <w:r w:rsidR="00EA601D">
        <w:t xml:space="preserve">, in base al quale il processo civile </w:t>
      </w:r>
      <w:r w:rsidR="00EA601D" w:rsidRPr="00EA601D">
        <w:t>prosegue</w:t>
      </w:r>
      <w:r w:rsidR="00EA601D">
        <w:t>,</w:t>
      </w:r>
      <w:r w:rsidR="00214D72">
        <w:t xml:space="preserve"> non dimostra affatto </w:t>
      </w:r>
      <w:r w:rsidR="00EA601D">
        <w:t>“che, di per sé, la pendenza del processo penale influente non condiziona lo svolgimento di quello civile”</w:t>
      </w:r>
      <w:r w:rsidR="00214D72">
        <w:t xml:space="preserve"> e</w:t>
      </w:r>
      <w:r w:rsidR="00EA601D">
        <w:t xml:space="preserve"> tanto meno si presta a affermare, </w:t>
      </w:r>
      <w:r w:rsidR="00EA601D">
        <w:rPr>
          <w:i/>
        </w:rPr>
        <w:t>di per sé</w:t>
      </w:r>
      <w:r w:rsidR="00EA601D">
        <w:t xml:space="preserve">, </w:t>
      </w:r>
      <w:r w:rsidR="004860D0">
        <w:t xml:space="preserve">che vi è </w:t>
      </w:r>
      <w:r w:rsidR="00214D72">
        <w:t xml:space="preserve">autonomia </w:t>
      </w:r>
      <w:r w:rsidR="004860D0">
        <w:t>n</w:t>
      </w:r>
      <w:r w:rsidR="00214D72">
        <w:t>egli accertamenti sulla responsabilità del danneggiante imputato</w:t>
      </w:r>
      <w:r w:rsidR="00EA601D">
        <w:t xml:space="preserve">: </w:t>
      </w:r>
      <w:r w:rsidR="00837BF6">
        <w:t xml:space="preserve">semplicemente </w:t>
      </w:r>
      <w:r w:rsidR="00EA601D">
        <w:t>non lo dimostra,</w:t>
      </w:r>
      <w:r w:rsidR="00750092">
        <w:t xml:space="preserve"> poiché </w:t>
      </w:r>
      <w:r w:rsidR="00750092" w:rsidRPr="00837BF6">
        <w:rPr>
          <w:i/>
        </w:rPr>
        <w:t>non è questa</w:t>
      </w:r>
      <w:r w:rsidR="00750092">
        <w:t xml:space="preserve"> la regola a cui andrebbe incontro il processo civile </w:t>
      </w:r>
      <w:r w:rsidR="00750092" w:rsidRPr="00837BF6">
        <w:rPr>
          <w:i/>
        </w:rPr>
        <w:t>a cose normali</w:t>
      </w:r>
      <w:r w:rsidR="00750092">
        <w:t xml:space="preserve">; </w:t>
      </w:r>
      <w:r w:rsidR="004860D0">
        <w:t>inoltre</w:t>
      </w:r>
      <w:r w:rsidR="00EA601D">
        <w:t>, se</w:t>
      </w:r>
      <w:r w:rsidR="00571202">
        <w:t xml:space="preserve"> fosse vero ciò che sostiene la Corte</w:t>
      </w:r>
      <w:r w:rsidR="00750092">
        <w:t>,</w:t>
      </w:r>
      <w:r w:rsidR="00571202">
        <w:t xml:space="preserve"> </w:t>
      </w:r>
      <w:r w:rsidR="00750092">
        <w:t>non</w:t>
      </w:r>
      <w:r w:rsidR="00571202">
        <w:t xml:space="preserve"> si</w:t>
      </w:r>
      <w:r w:rsidR="00750092">
        <w:t xml:space="preserve"> </w:t>
      </w:r>
      <w:r w:rsidR="00D11F15">
        <w:t>spiegherebbe</w:t>
      </w:r>
      <w:r w:rsidR="00D35854">
        <w:t xml:space="preserve"> perché</w:t>
      </w:r>
      <w:r w:rsidR="00750092">
        <w:t xml:space="preserve"> tale autonomia</w:t>
      </w:r>
      <w:r w:rsidR="004860D0">
        <w:t xml:space="preserve"> cessa di</w:t>
      </w:r>
      <w:r w:rsidR="00714532">
        <w:t xml:space="preserve"> manifestarsi</w:t>
      </w:r>
      <w:r w:rsidR="004860D0">
        <w:t xml:space="preserve"> al momento in cui sopraggiunge l’accertamento penale di primo grado</w:t>
      </w:r>
      <w:r w:rsidR="00837BF6">
        <w:t xml:space="preserve"> (v. </w:t>
      </w:r>
      <w:r w:rsidR="00837BF6" w:rsidRPr="00837BF6">
        <w:rPr>
          <w:i/>
        </w:rPr>
        <w:t>infra</w:t>
      </w:r>
      <w:r w:rsidR="00837BF6">
        <w:t>)</w:t>
      </w:r>
      <w:r w:rsidR="00EA601D">
        <w:t xml:space="preserve">. </w:t>
      </w:r>
      <w:r w:rsidR="008503F9">
        <w:t xml:space="preserve">La realtà è che la previsione </w:t>
      </w:r>
      <w:r w:rsidR="008503F9">
        <w:lastRenderedPageBreak/>
        <w:t xml:space="preserve">contenuta nel secondo comma </w:t>
      </w:r>
      <w:r w:rsidR="00571202">
        <w:t xml:space="preserve">del cit. art. 75 </w:t>
      </w:r>
      <w:r w:rsidR="008503F9">
        <w:t>costituisce il</w:t>
      </w:r>
      <w:r w:rsidR="002E44F3">
        <w:t xml:space="preserve"> perno del macchinoso disegno legislativo volto a disincentivare la costituzione di parte civile, ossia il cumulo delle azioni all’interno del processo penale</w:t>
      </w:r>
      <w:r w:rsidR="000F5794">
        <w:rPr>
          <w:rStyle w:val="Rimandonotaapidipagina"/>
        </w:rPr>
        <w:footnoteReference w:id="12"/>
      </w:r>
      <w:r w:rsidR="002E44F3">
        <w:t xml:space="preserve">. E’ a questo </w:t>
      </w:r>
      <w:r w:rsidR="00A6205B">
        <w:t>scopo che</w:t>
      </w:r>
      <w:r w:rsidR="000F099B">
        <w:t xml:space="preserve"> mira</w:t>
      </w:r>
      <w:r w:rsidR="00820173">
        <w:t xml:space="preserve">, </w:t>
      </w:r>
      <w:r w:rsidR="000F099B">
        <w:t xml:space="preserve">molto </w:t>
      </w:r>
      <w:r w:rsidR="00820173">
        <w:t>più dello sbarramento previsto dal primo comma (</w:t>
      </w:r>
      <w:r w:rsidR="000F099B">
        <w:t>il cui disposto peraltro non differisce dal</w:t>
      </w:r>
      <w:r w:rsidR="00820173">
        <w:t xml:space="preserve"> contenuto del previgente art. 24, comma 1, c.p.p. 1930), la possibilità</w:t>
      </w:r>
      <w:r w:rsidR="00EA0B6B">
        <w:t xml:space="preserve"> che il giudizio civile proceda senza restare sospeso in attesa che</w:t>
      </w:r>
      <w:r w:rsidR="00211C7D">
        <w:t xml:space="preserve"> si concluda il giudizio penale, s</w:t>
      </w:r>
      <w:r w:rsidR="00EA0B6B">
        <w:t>icché le due ipotesi</w:t>
      </w:r>
      <w:r w:rsidR="000F099B">
        <w:t xml:space="preserve"> declinate all’interno del terzo comma </w:t>
      </w:r>
      <w:r w:rsidR="00005316">
        <w:t xml:space="preserve">non rappresentano tanto </w:t>
      </w:r>
      <w:r w:rsidR="004547A6">
        <w:t>l’</w:t>
      </w:r>
      <w:r w:rsidR="00005316">
        <w:t xml:space="preserve">eccezione a un sistema </w:t>
      </w:r>
      <w:r w:rsidR="00E63DD9">
        <w:t>fondato sulla reciproca</w:t>
      </w:r>
      <w:r w:rsidR="00005316">
        <w:t xml:space="preserve"> autonomia, ma </w:t>
      </w:r>
      <w:r w:rsidR="00211C7D">
        <w:t xml:space="preserve">confermano </w:t>
      </w:r>
      <w:r w:rsidR="00005316">
        <w:t xml:space="preserve">piuttosto il </w:t>
      </w:r>
      <w:proofErr w:type="spellStart"/>
      <w:r w:rsidR="00005316">
        <w:t>riespandersi</w:t>
      </w:r>
      <w:proofErr w:type="spellEnd"/>
      <w:r w:rsidR="00005316">
        <w:t xml:space="preserve"> della regola di coordinamento p</w:t>
      </w:r>
      <w:r w:rsidR="00B60B10">
        <w:t>reventivo, applicata in funzione</w:t>
      </w:r>
      <w:r w:rsidR="00005316">
        <w:t xml:space="preserve"> </w:t>
      </w:r>
      <w:r w:rsidR="00005316" w:rsidRPr="00005316">
        <w:rPr>
          <w:i/>
        </w:rPr>
        <w:t xml:space="preserve">lato </w:t>
      </w:r>
      <w:proofErr w:type="spellStart"/>
      <w:r w:rsidR="00005316" w:rsidRPr="00005316">
        <w:rPr>
          <w:i/>
        </w:rPr>
        <w:t>sensu</w:t>
      </w:r>
      <w:proofErr w:type="spellEnd"/>
      <w:r w:rsidR="00005316">
        <w:t xml:space="preserve"> sanzionatoria</w:t>
      </w:r>
      <w:r w:rsidR="00B60B10">
        <w:t xml:space="preserve"> nei riguardi di un danneggiato che non abbia fatto tesoro dell’opportunità garantitagli dal secondo comma</w:t>
      </w:r>
      <w:r w:rsidR="00211C7D">
        <w:t>,</w:t>
      </w:r>
      <w:r w:rsidR="00B60B10">
        <w:t xml:space="preserve"> e dai correlati</w:t>
      </w:r>
      <w:r w:rsidR="00762640">
        <w:t xml:space="preserve"> </w:t>
      </w:r>
      <w:r w:rsidR="00B60B10">
        <w:t>artt. 651 e 652</w:t>
      </w:r>
      <w:r w:rsidR="00762640">
        <w:t>, c.p.p.</w:t>
      </w:r>
      <w:r w:rsidR="0078359D">
        <w:t>,</w:t>
      </w:r>
      <w:r w:rsidR="00762640">
        <w:t xml:space="preserve"> </w:t>
      </w:r>
      <w:r w:rsidR="00EA5A66">
        <w:t>che gli avrebbero consentito – a tutto suo vantaggio – di usufruire del giudicato penale di condanna eventualmente sopravvenuto e di non essere pregiudicato da vincoli al giudicato di assoluzione.</w:t>
      </w:r>
      <w:r w:rsidR="00855E42">
        <w:t xml:space="preserve"> </w:t>
      </w:r>
      <w:r w:rsidR="00E853D7">
        <w:t xml:space="preserve">Ora, se in questo </w:t>
      </w:r>
      <w:r w:rsidR="00924DB1">
        <w:t>conge</w:t>
      </w:r>
      <w:r w:rsidR="00E853D7">
        <w:t xml:space="preserve">gno </w:t>
      </w:r>
      <w:r w:rsidR="00D35854">
        <w:t xml:space="preserve">appare </w:t>
      </w:r>
      <w:r w:rsidR="00924DB1">
        <w:t>pur</w:t>
      </w:r>
      <w:r w:rsidR="00E853D7">
        <w:t xml:space="preserve"> logico che venga sospesa l’</w:t>
      </w:r>
      <w:r w:rsidR="00EF6033">
        <w:t>azione promoss</w:t>
      </w:r>
      <w:r w:rsidR="00E853D7">
        <w:t xml:space="preserve">a in sede civile da un </w:t>
      </w:r>
      <w:r w:rsidR="00EF6033">
        <w:t>soggett</w:t>
      </w:r>
      <w:r w:rsidR="00E853D7">
        <w:t xml:space="preserve">o che in precedenza </w:t>
      </w:r>
      <w:r w:rsidR="00EF6033">
        <w:t>si era rivolto alla</w:t>
      </w:r>
      <w:r w:rsidR="00E76C90">
        <w:t xml:space="preserve"> sede penale, </w:t>
      </w:r>
      <w:r w:rsidR="002809BF">
        <w:t>non altrettanto logico sembrerebbe applicare il medesimo trattamento sanzionatorio</w:t>
      </w:r>
      <w:r w:rsidR="00EF6033">
        <w:t xml:space="preserve"> a</w:t>
      </w:r>
      <w:r w:rsidR="002809BF">
        <w:t xml:space="preserve"> </w:t>
      </w:r>
      <w:r w:rsidR="00EF6033">
        <w:t xml:space="preserve">chi, senza mai essersi costituito parte civile, </w:t>
      </w:r>
      <w:r w:rsidR="00D276F6">
        <w:t>sia “colpevole” solamente</w:t>
      </w:r>
      <w:r w:rsidR="00E76C90">
        <w:t xml:space="preserve"> di avere avviato il processo civile dopo la pronuncia penale di primo grado. </w:t>
      </w:r>
      <w:proofErr w:type="gramStart"/>
      <w:r w:rsidR="007563BC">
        <w:t>E’</w:t>
      </w:r>
      <w:proofErr w:type="gramEnd"/>
      <w:r w:rsidR="007563BC">
        <w:t xml:space="preserve"> evidente che tale soggetto</w:t>
      </w:r>
      <w:r w:rsidR="008B2D9F">
        <w:t xml:space="preserve"> </w:t>
      </w:r>
      <w:r w:rsidR="000F4FDC">
        <w:t>non ha appesantito</w:t>
      </w:r>
      <w:r w:rsidR="008B2D9F">
        <w:t xml:space="preserve"> l’accertamento penale mediante una propria costituzione di parte civile (seguita da revoca)</w:t>
      </w:r>
      <w:r w:rsidR="000F4FDC">
        <w:t xml:space="preserve"> e che</w:t>
      </w:r>
      <w:r w:rsidR="008B2D9F">
        <w:t xml:space="preserve">, </w:t>
      </w:r>
      <w:r w:rsidR="00D11F15">
        <w:t>a quel punto</w:t>
      </w:r>
      <w:r w:rsidR="000F4FDC">
        <w:t>,</w:t>
      </w:r>
      <w:r w:rsidR="00D11F15">
        <w:t xml:space="preserve"> la speditezza del giudizio penale</w:t>
      </w:r>
      <w:r w:rsidR="00F74153">
        <w:t xml:space="preserve"> non è più a rischio</w:t>
      </w:r>
      <w:r w:rsidR="00D11F15">
        <w:t xml:space="preserve"> giacché la scadenza del termine per la costituzione di parte civile è abbondantemente superata.</w:t>
      </w:r>
      <w:r w:rsidR="000F4FDC">
        <w:t xml:space="preserve"> </w:t>
      </w:r>
      <w:r w:rsidR="008A10DA">
        <w:t xml:space="preserve">Viene allora da chiedersi se </w:t>
      </w:r>
      <w:r w:rsidR="00131FD6">
        <w:t>venga punito per essersi lasciato sfuggire</w:t>
      </w:r>
      <w:r w:rsidR="00953163">
        <w:t xml:space="preserve"> tempo prezioso</w:t>
      </w:r>
      <w:r w:rsidR="00E45B9E">
        <w:rPr>
          <w:rStyle w:val="Rimandonotaapidipagina"/>
        </w:rPr>
        <w:footnoteReference w:id="13"/>
      </w:r>
      <w:r w:rsidR="00421EED">
        <w:t xml:space="preserve"> prima di decidersi a agire in giudizio per la tutela del suo diritto</w:t>
      </w:r>
      <w:r w:rsidR="00924DB1">
        <w:t>,</w:t>
      </w:r>
      <w:r w:rsidR="00E63DD9">
        <w:t xml:space="preserve"> un</w:t>
      </w:r>
      <w:r w:rsidR="00A00CAB">
        <w:t xml:space="preserve"> atteggiamento </w:t>
      </w:r>
      <w:r w:rsidR="00924DB1">
        <w:t>“</w:t>
      </w:r>
      <w:r w:rsidR="00A00CAB">
        <w:t>negligente</w:t>
      </w:r>
      <w:r w:rsidR="00924DB1">
        <w:t>”</w:t>
      </w:r>
      <w:r w:rsidR="00A00CAB">
        <w:t xml:space="preserve"> che finisce per essere </w:t>
      </w:r>
      <w:r w:rsidR="00E63DD9">
        <w:t>sanzionato con</w:t>
      </w:r>
      <w:r w:rsidR="008A10DA">
        <w:t xml:space="preserve"> la stasi</w:t>
      </w:r>
      <w:r w:rsidR="00A00CAB">
        <w:t xml:space="preserve"> del processo civile</w:t>
      </w:r>
      <w:r w:rsidR="00E63DD9">
        <w:t xml:space="preserve"> e il ripristino de</w:t>
      </w:r>
      <w:r w:rsidR="008A10DA">
        <w:t>lla soggezione agli ef</w:t>
      </w:r>
      <w:r w:rsidR="00CD560E">
        <w:t>fetti del giudicato penale</w:t>
      </w:r>
      <w:r w:rsidR="004215E2">
        <w:t>,</w:t>
      </w:r>
      <w:r w:rsidR="00CD560E">
        <w:t xml:space="preserve"> ancorché</w:t>
      </w:r>
      <w:r w:rsidR="008A10DA">
        <w:t xml:space="preserve"> a lui sfavorevole</w:t>
      </w:r>
      <w:r w:rsidR="00CD560E">
        <w:t>. Per la veri</w:t>
      </w:r>
      <w:r w:rsidR="009F7620">
        <w:t>tà</w:t>
      </w:r>
      <w:r w:rsidR="00460C07">
        <w:t xml:space="preserve"> su </w:t>
      </w:r>
      <w:r w:rsidR="009F7620">
        <w:t>questa altra ipotesi sospensiva riman</w:t>
      </w:r>
      <w:r w:rsidR="00460C07">
        <w:t>gono delle incertezze</w:t>
      </w:r>
      <w:r w:rsidR="009F7620">
        <w:t xml:space="preserve">, </w:t>
      </w:r>
      <w:r w:rsidR="00253641">
        <w:t>a</w:t>
      </w:r>
      <w:r w:rsidR="00460C07">
        <w:t>nche perché</w:t>
      </w:r>
      <w:r w:rsidR="00CD560E">
        <w:t xml:space="preserve"> la</w:t>
      </w:r>
      <w:r w:rsidR="003D1202">
        <w:t xml:space="preserve"> sua previsione compare a sorpresa</w:t>
      </w:r>
      <w:r w:rsidR="00CD560E">
        <w:t xml:space="preserve"> nella stesura definitiva</w:t>
      </w:r>
      <w:r w:rsidR="004215E2">
        <w:t xml:space="preserve"> con una spiegazione a</w:t>
      </w:r>
      <w:r w:rsidR="00924DB1">
        <w:t xml:space="preserve"> dir poco</w:t>
      </w:r>
      <w:r w:rsidR="004215E2">
        <w:t xml:space="preserve"> laconica e per certi versi contraddittoria</w:t>
      </w:r>
      <w:r w:rsidR="003D1202">
        <w:t xml:space="preserve"> (</w:t>
      </w:r>
      <w:r w:rsidR="004215E2">
        <w:t>un effetto eccezionale introdotto per mera opportunità</w:t>
      </w:r>
      <w:r w:rsidR="00924DB1">
        <w:t>?</w:t>
      </w:r>
      <w:r w:rsidR="003D1202">
        <w:t>)</w:t>
      </w:r>
      <w:r w:rsidR="003D1202">
        <w:rPr>
          <w:rStyle w:val="Rimandonotaapidipagina"/>
        </w:rPr>
        <w:footnoteReference w:id="14"/>
      </w:r>
      <w:r w:rsidR="003D1202">
        <w:t xml:space="preserve">. </w:t>
      </w:r>
      <w:r w:rsidR="00B2579D">
        <w:t>Può darsi</w:t>
      </w:r>
      <w:r w:rsidR="00836D36">
        <w:t xml:space="preserve"> che il legislatore abbia inteso st</w:t>
      </w:r>
      <w:r w:rsidR="005D6B5E">
        <w:t>igmatizzare i</w:t>
      </w:r>
      <w:r w:rsidR="00836D36">
        <w:t xml:space="preserve"> comportament</w:t>
      </w:r>
      <w:r w:rsidR="005D6B5E">
        <w:t>i “attendisti” come osserva</w:t>
      </w:r>
      <w:r w:rsidR="00B2579D">
        <w:t>no</w:t>
      </w:r>
      <w:r w:rsidR="005D6B5E">
        <w:t xml:space="preserve"> l</w:t>
      </w:r>
      <w:r w:rsidR="00B2579D">
        <w:t>e SS. UU.</w:t>
      </w:r>
      <w:r w:rsidR="00253641">
        <w:t>,</w:t>
      </w:r>
      <w:r w:rsidR="005D6B5E">
        <w:t xml:space="preserve"> in una vicenda dove peraltro è sicuro che </w:t>
      </w:r>
      <w:r w:rsidR="003504E5">
        <w:t>alcuni dei</w:t>
      </w:r>
      <w:r w:rsidR="005D6B5E">
        <w:t xml:space="preserve"> danneggiati</w:t>
      </w:r>
      <w:r w:rsidR="00D330A5">
        <w:t xml:space="preserve"> si sarebbero potuti attivare prima della sentenza</w:t>
      </w:r>
      <w:r w:rsidR="005D6B5E">
        <w:t>,</w:t>
      </w:r>
      <w:r w:rsidR="00D330A5">
        <w:t xml:space="preserve"> </w:t>
      </w:r>
      <w:r w:rsidR="005D6B5E">
        <w:t xml:space="preserve">avendo partecipato al processo penale sotto altra veste. </w:t>
      </w:r>
      <w:r w:rsidR="00253641">
        <w:t>Resta comunque il fatto che questo regime non attua un modello separatista</w:t>
      </w:r>
      <w:r w:rsidR="00B2579D">
        <w:t xml:space="preserve"> </w:t>
      </w:r>
      <w:r w:rsidR="00253641">
        <w:t xml:space="preserve">e </w:t>
      </w:r>
      <w:r w:rsidR="00924DB1">
        <w:t>neppure</w:t>
      </w:r>
      <w:r w:rsidR="00253641">
        <w:t xml:space="preserve"> rinuncia al coordinamento </w:t>
      </w:r>
      <w:r w:rsidR="001D4C16">
        <w:t>preventivo</w:t>
      </w:r>
      <w:r w:rsidR="00924DB1">
        <w:t>,</w:t>
      </w:r>
      <w:r w:rsidR="001D4C16">
        <w:t xml:space="preserve"> se non per la stretta misura in cui ciò può servire a semplificare il rito penale.</w:t>
      </w:r>
      <w:r w:rsidR="005D6B5E">
        <w:t xml:space="preserve"> </w:t>
      </w:r>
    </w:p>
    <w:p w:rsidR="00F62904" w:rsidRDefault="001D5757" w:rsidP="00242757">
      <w:pPr>
        <w:jc w:val="both"/>
      </w:pPr>
      <w:r>
        <w:t xml:space="preserve">4. </w:t>
      </w:r>
      <w:r w:rsidR="002A1F94">
        <w:t xml:space="preserve">La seconda linea argomentativa della </w:t>
      </w:r>
      <w:r w:rsidR="009110BA">
        <w:t xml:space="preserve">sentenza in commento </w:t>
      </w:r>
      <w:r w:rsidR="002A1F94">
        <w:t xml:space="preserve">concerne una delle condizioni che </w:t>
      </w:r>
      <w:r w:rsidR="002B705E">
        <w:t xml:space="preserve">si ricavano dall’art. 211, </w:t>
      </w:r>
      <w:proofErr w:type="spellStart"/>
      <w:r w:rsidR="002B705E">
        <w:t>disp</w:t>
      </w:r>
      <w:proofErr w:type="spellEnd"/>
      <w:r w:rsidR="002B705E">
        <w:t xml:space="preserve">. </w:t>
      </w:r>
      <w:proofErr w:type="spellStart"/>
      <w:r w:rsidR="002B705E">
        <w:t>att</w:t>
      </w:r>
      <w:proofErr w:type="spellEnd"/>
      <w:r w:rsidR="002B705E">
        <w:t xml:space="preserve">. </w:t>
      </w:r>
      <w:proofErr w:type="spellStart"/>
      <w:r w:rsidR="002B705E">
        <w:t>coord</w:t>
      </w:r>
      <w:proofErr w:type="spellEnd"/>
      <w:r w:rsidR="002B705E">
        <w:t>. c.p.p. ovvero la n</w:t>
      </w:r>
      <w:r w:rsidR="00843236">
        <w:t xml:space="preserve">ecessità che </w:t>
      </w:r>
      <w:r w:rsidR="009110BA">
        <w:t>il</w:t>
      </w:r>
      <w:r w:rsidR="00843236">
        <w:t xml:space="preserve"> processo penale possa </w:t>
      </w:r>
      <w:r w:rsidR="009110BA">
        <w:t>dar luogo a</w:t>
      </w:r>
      <w:r w:rsidR="00843236">
        <w:t xml:space="preserve"> una decisione</w:t>
      </w:r>
      <w:r w:rsidR="002B705E">
        <w:t xml:space="preserve"> “che abbia efficacia di giudicato”</w:t>
      </w:r>
      <w:r w:rsidR="009110BA">
        <w:t xml:space="preserve"> nel processo da sospendere. </w:t>
      </w:r>
      <w:r w:rsidR="00937E54">
        <w:t xml:space="preserve">Qui la Corte, pur rifuggendo </w:t>
      </w:r>
      <w:r w:rsidR="009110BA">
        <w:t>l’</w:t>
      </w:r>
      <w:r w:rsidR="00937E54">
        <w:t xml:space="preserve">idea di finalizzare al coordinamento dei giudicati le ipotesi sospensive </w:t>
      </w:r>
      <w:r w:rsidR="00937E54" w:rsidRPr="00937E54">
        <w:rPr>
          <w:i/>
        </w:rPr>
        <w:t>ex</w:t>
      </w:r>
      <w:r w:rsidR="00937E54">
        <w:t xml:space="preserve"> art. 75, comma 3, c.p.p., riconosce che attendere </w:t>
      </w:r>
      <w:r w:rsidR="00C37852">
        <w:t>la conclusione</w:t>
      </w:r>
      <w:r w:rsidR="00937E54">
        <w:t xml:space="preserve"> del processo penale acquisisce senso </w:t>
      </w:r>
      <w:r w:rsidR="00C62F87">
        <w:t>se e in quanto</w:t>
      </w:r>
      <w:r w:rsidR="00937E54">
        <w:t xml:space="preserve"> il processo </w:t>
      </w:r>
      <w:r w:rsidR="00937E54">
        <w:lastRenderedPageBreak/>
        <w:t>civile sia in grado di recepir</w:t>
      </w:r>
      <w:r w:rsidR="00C62F87">
        <w:t xml:space="preserve">e </w:t>
      </w:r>
      <w:r w:rsidR="00C37852">
        <w:t>quell’esito</w:t>
      </w:r>
      <w:r w:rsidR="00C62F87">
        <w:t xml:space="preserve"> nei suoi effetti vincolanti</w:t>
      </w:r>
      <w:r w:rsidR="00C37852">
        <w:t>.</w:t>
      </w:r>
      <w:r w:rsidR="00C62F87">
        <w:t xml:space="preserve"> </w:t>
      </w:r>
      <w:r w:rsidR="00570DEE">
        <w:t xml:space="preserve">E non c’è dubbio che se mancasse, già </w:t>
      </w:r>
      <w:r w:rsidR="00570DEE" w:rsidRPr="00570DEE">
        <w:rPr>
          <w:i/>
        </w:rPr>
        <w:t>ex ante</w:t>
      </w:r>
      <w:r w:rsidR="00570DEE">
        <w:t xml:space="preserve">, la possibilità di un coordinamento delle pronunce, la sospensione si tradurrebbe in </w:t>
      </w:r>
      <w:r w:rsidR="00570DEE" w:rsidRPr="00570DEE">
        <w:rPr>
          <w:i/>
        </w:rPr>
        <w:t>vulnus</w:t>
      </w:r>
      <w:r w:rsidR="00570DEE">
        <w:t xml:space="preserve"> del diritto di azione oltre che dei principi del giusto processo. </w:t>
      </w:r>
      <w:r w:rsidR="009D3FB3">
        <w:t>L</w:t>
      </w:r>
      <w:r w:rsidR="00C1238E">
        <w:t>’impressione che</w:t>
      </w:r>
      <w:r w:rsidR="009D3FB3">
        <w:t xml:space="preserve"> tuttavia</w:t>
      </w:r>
      <w:r w:rsidR="00C1238E">
        <w:t xml:space="preserve"> </w:t>
      </w:r>
      <w:r w:rsidR="00460C07">
        <w:t>si riceve</w:t>
      </w:r>
      <w:r w:rsidR="00801658">
        <w:t>,</w:t>
      </w:r>
      <w:r w:rsidR="00460C07">
        <w:t xml:space="preserve"> </w:t>
      </w:r>
      <w:r w:rsidR="00C1238E">
        <w:t>seguendo il filo dell’</w:t>
      </w:r>
      <w:r w:rsidR="009D3FB3">
        <w:t xml:space="preserve">ampia motivazione fino al </w:t>
      </w:r>
      <w:r w:rsidR="00460C07">
        <w:t xml:space="preserve">principio di </w:t>
      </w:r>
      <w:r w:rsidR="00357CFF">
        <w:t>diritto</w:t>
      </w:r>
      <w:r w:rsidR="008A2C68">
        <w:t>,</w:t>
      </w:r>
      <w:r w:rsidR="00460C07">
        <w:t xml:space="preserve"> è che </w:t>
      </w:r>
      <w:r w:rsidR="00411D0F">
        <w:t>l’uniformità degli accertam</w:t>
      </w:r>
      <w:r w:rsidR="009D3FB3">
        <w:t>enti, secondo la Corte, sia un</w:t>
      </w:r>
      <w:r w:rsidR="00411D0F">
        <w:t xml:space="preserve"> e</w:t>
      </w:r>
      <w:r w:rsidR="009D3FB3">
        <w:t xml:space="preserve">lemento secondario </w:t>
      </w:r>
      <w:r w:rsidR="0074499A">
        <w:t xml:space="preserve">nella sistematica dei rapporti tra azione civile e azione penale di cui tratta l’art. 75, c.p.p. </w:t>
      </w:r>
    </w:p>
    <w:p w:rsidR="009F325D" w:rsidRDefault="0074499A" w:rsidP="00242757">
      <w:pPr>
        <w:jc w:val="both"/>
      </w:pPr>
      <w:r>
        <w:t xml:space="preserve">A noi sembra che non sia propriamente così. </w:t>
      </w:r>
      <w:r w:rsidR="008A6D45">
        <w:t>Che il</w:t>
      </w:r>
      <w:r w:rsidR="00210A3E">
        <w:t xml:space="preserve"> codice</w:t>
      </w:r>
      <w:r w:rsidR="008A6D45">
        <w:t xml:space="preserve"> del 1988</w:t>
      </w:r>
      <w:r w:rsidR="000B7F62">
        <w:t xml:space="preserve"> abbia ridotto</w:t>
      </w:r>
      <w:r w:rsidR="00210A3E">
        <w:t xml:space="preserve"> le interfe</w:t>
      </w:r>
      <w:r w:rsidR="008A6D45">
        <w:t>renze fra i rispettivi processi,</w:t>
      </w:r>
      <w:r w:rsidR="000B7F62">
        <w:t xml:space="preserve"> circoscrivendo</w:t>
      </w:r>
      <w:r w:rsidR="00E807AA">
        <w:t xml:space="preserve"> </w:t>
      </w:r>
      <w:r w:rsidR="000B7F62">
        <w:t>anche i vincoli al</w:t>
      </w:r>
      <w:r w:rsidR="008A6D45">
        <w:t xml:space="preserve"> giudicato penale</w:t>
      </w:r>
      <w:r w:rsidR="00210A3E">
        <w:t xml:space="preserve"> </w:t>
      </w:r>
      <w:r w:rsidR="00136496">
        <w:t>è innegabile</w:t>
      </w:r>
      <w:r w:rsidR="00210A3E">
        <w:t xml:space="preserve">, </w:t>
      </w:r>
      <w:r w:rsidR="004E774F">
        <w:t xml:space="preserve">ciò </w:t>
      </w:r>
      <w:r w:rsidR="00210A3E">
        <w:t>nondimeno</w:t>
      </w:r>
      <w:r w:rsidR="006B25CD">
        <w:t xml:space="preserve"> </w:t>
      </w:r>
      <w:r w:rsidR="00A56112">
        <w:t xml:space="preserve">l’autonomia dei giudizi per essere piena avrebbe richiesto </w:t>
      </w:r>
      <w:r w:rsidR="0082549E">
        <w:t xml:space="preserve">la soppressione del cumulo delle azioni e la conseguente </w:t>
      </w:r>
      <w:r w:rsidR="004E774F">
        <w:t xml:space="preserve">rinuncia </w:t>
      </w:r>
      <w:r w:rsidR="005B07FC">
        <w:t>a ogni impiego esterno degli accertamenti compiuti in sede penale</w:t>
      </w:r>
      <w:r w:rsidR="005247B3">
        <w:rPr>
          <w:rStyle w:val="Rimandonotaapidipagina"/>
        </w:rPr>
        <w:footnoteReference w:id="15"/>
      </w:r>
      <w:r w:rsidR="005B07FC">
        <w:t>.</w:t>
      </w:r>
      <w:r w:rsidR="00210A3E">
        <w:t xml:space="preserve"> </w:t>
      </w:r>
      <w:r w:rsidR="00307155">
        <w:t xml:space="preserve">Solo una scelta del genere </w:t>
      </w:r>
      <w:r w:rsidR="00D148A6">
        <w:t>avrebbe portato alla</w:t>
      </w:r>
      <w:r w:rsidR="00307155">
        <w:t xml:space="preserve"> </w:t>
      </w:r>
      <w:r w:rsidR="00D148A6">
        <w:t xml:space="preserve">separazione dei processi, </w:t>
      </w:r>
      <w:r w:rsidR="00415780">
        <w:t xml:space="preserve">alla parità dei giudizi, </w:t>
      </w:r>
      <w:r w:rsidR="00D148A6">
        <w:t>nonché a</w:t>
      </w:r>
      <w:r w:rsidR="00F5479B">
        <w:t xml:space="preserve"> que</w:t>
      </w:r>
      <w:r w:rsidR="00550EB1">
        <w:t>l</w:t>
      </w:r>
      <w:r w:rsidR="00D148A6">
        <w:t xml:space="preserve"> benefic</w:t>
      </w:r>
      <w:r w:rsidR="00550EB1">
        <w:t>io</w:t>
      </w:r>
      <w:r w:rsidR="00D148A6">
        <w:t xml:space="preserve"> di maggior speditezza del processo penale</w:t>
      </w:r>
      <w:r w:rsidR="00F5479B">
        <w:t xml:space="preserve"> cui </w:t>
      </w:r>
      <w:r w:rsidR="00801658">
        <w:t>alludono le frasi richiamate dalle</w:t>
      </w:r>
      <w:r w:rsidR="00550EB1">
        <w:t xml:space="preserve"> Sezioni unite. </w:t>
      </w:r>
      <w:r w:rsidR="008A2C68">
        <w:t>Ma</w:t>
      </w:r>
      <w:r w:rsidR="005247B3">
        <w:t xml:space="preserve"> com’è noto, i</w:t>
      </w:r>
      <w:r w:rsidR="00F5479B">
        <w:t xml:space="preserve"> criteri direttivi e i principi assegnati con la legge delega per la riforma del codice</w:t>
      </w:r>
      <w:r w:rsidR="001643EA">
        <w:t xml:space="preserve"> andavano in </w:t>
      </w:r>
      <w:r w:rsidR="00357CFF">
        <w:t xml:space="preserve">altro </w:t>
      </w:r>
      <w:r w:rsidR="00550EB1">
        <w:t>senso</w:t>
      </w:r>
      <w:r w:rsidR="008C05A7">
        <w:t>,</w:t>
      </w:r>
      <w:r w:rsidR="001643EA">
        <w:t xml:space="preserve"> </w:t>
      </w:r>
      <w:r w:rsidR="000B7F62">
        <w:t>quanto meno</w:t>
      </w:r>
      <w:r w:rsidR="00357CFF">
        <w:t xml:space="preserve"> per questa categoria di giudizi (risarcitori/restitutori)</w:t>
      </w:r>
      <w:r w:rsidR="000B7F62">
        <w:t>, nei quali</w:t>
      </w:r>
      <w:r w:rsidR="00357CFF">
        <w:t xml:space="preserve"> </w:t>
      </w:r>
      <w:r w:rsidR="001643EA">
        <w:t xml:space="preserve">il distacco dal precedente regime </w:t>
      </w:r>
      <w:r w:rsidR="008C05A7">
        <w:t>non è stato poi così netto</w:t>
      </w:r>
      <w:r w:rsidR="001643EA">
        <w:t xml:space="preserve">, </w:t>
      </w:r>
      <w:r w:rsidR="00921643">
        <w:t>a partire dal</w:t>
      </w:r>
      <w:r w:rsidR="005247B3">
        <w:t xml:space="preserve">l’abnorme estensione oggettiva del vincolo proveniente dal giudicato penale. </w:t>
      </w:r>
      <w:r w:rsidR="006C71DE">
        <w:t>Occorre considerare che</w:t>
      </w:r>
      <w:r w:rsidR="00B23CEF">
        <w:t>,</w:t>
      </w:r>
      <w:r w:rsidR="006C71DE">
        <w:t xml:space="preserve"> s</w:t>
      </w:r>
      <w:r w:rsidR="00614519">
        <w:t>enza la previsione dell’effi</w:t>
      </w:r>
      <w:r w:rsidR="005967C4">
        <w:t>cacia vincolante sulle questioni in fatto e/o in diritto rit</w:t>
      </w:r>
      <w:r w:rsidR="00AB763B">
        <w:t>enute (tradizionalmente) comuni</w:t>
      </w:r>
      <w:r w:rsidR="00B23CEF">
        <w:t>,</w:t>
      </w:r>
      <w:r w:rsidR="005967C4">
        <w:t xml:space="preserve"> </w:t>
      </w:r>
      <w:r w:rsidR="003B4D76">
        <w:t xml:space="preserve">anche </w:t>
      </w:r>
      <w:r w:rsidR="005967C4">
        <w:t>l’</w:t>
      </w:r>
      <w:r w:rsidR="003B4D76">
        <w:t>autorità della decisione</w:t>
      </w:r>
      <w:r w:rsidR="005967C4">
        <w:t xml:space="preserve"> penale</w:t>
      </w:r>
      <w:r w:rsidR="00791377">
        <w:t xml:space="preserve"> </w:t>
      </w:r>
      <w:r w:rsidR="00957C68">
        <w:t>cadrebbe</w:t>
      </w:r>
      <w:r w:rsidR="00791377">
        <w:t xml:space="preserve"> come di regola</w:t>
      </w:r>
      <w:r w:rsidR="00791377">
        <w:rPr>
          <w:rStyle w:val="Rimandonotaapidipagina"/>
        </w:rPr>
        <w:footnoteReference w:id="16"/>
      </w:r>
      <w:r w:rsidR="006C71DE">
        <w:t xml:space="preserve"> </w:t>
      </w:r>
      <w:r w:rsidR="00913DFC">
        <w:t xml:space="preserve">direttamente </w:t>
      </w:r>
      <w:r w:rsidR="005967C4">
        <w:t>sull’effetto</w:t>
      </w:r>
      <w:r w:rsidR="006C71DE">
        <w:t xml:space="preserve"> giuridico, cioè</w:t>
      </w:r>
      <w:r w:rsidR="005967C4">
        <w:t xml:space="preserve"> </w:t>
      </w:r>
      <w:proofErr w:type="spellStart"/>
      <w:r w:rsidR="003B4D76">
        <w:t>sull’</w:t>
      </w:r>
      <w:r w:rsidR="003B4D76">
        <w:rPr>
          <w:i/>
        </w:rPr>
        <w:t>an</w:t>
      </w:r>
      <w:proofErr w:type="spellEnd"/>
      <w:r w:rsidR="003B4D76">
        <w:t xml:space="preserve"> del </w:t>
      </w:r>
      <w:r w:rsidR="00913DFC">
        <w:t>reato</w:t>
      </w:r>
      <w:r w:rsidR="00671893">
        <w:t>, per cui</w:t>
      </w:r>
      <w:r w:rsidR="003B4D76">
        <w:t xml:space="preserve"> nel</w:t>
      </w:r>
      <w:r w:rsidR="006C71DE">
        <w:t xml:space="preserve"> processo civile </w:t>
      </w:r>
      <w:r w:rsidR="00B23CEF">
        <w:t xml:space="preserve">il giudicato penale </w:t>
      </w:r>
      <w:r w:rsidR="003B4D76">
        <w:t>incidere</w:t>
      </w:r>
      <w:r w:rsidR="00B23CEF">
        <w:t>bbe</w:t>
      </w:r>
      <w:r w:rsidR="003B4D76">
        <w:t xml:space="preserve"> soltanto</w:t>
      </w:r>
      <w:r w:rsidR="006C71DE">
        <w:t xml:space="preserve"> ri</w:t>
      </w:r>
      <w:r w:rsidR="008A2C68">
        <w:t>guardo</w:t>
      </w:r>
      <w:r w:rsidR="006C71DE">
        <w:t xml:space="preserve"> alla fattispecie</w:t>
      </w:r>
      <w:r w:rsidR="003B4D76">
        <w:t xml:space="preserve"> descritta all’art. 185 c.p., mentre rispetto alla fattispecie concorrente</w:t>
      </w:r>
      <w:r w:rsidR="00065B67">
        <w:t>,</w:t>
      </w:r>
      <w:r w:rsidR="003B4D76">
        <w:t xml:space="preserve"> </w:t>
      </w:r>
      <w:r w:rsidR="00065B67">
        <w:t>che prescinde della rilev</w:t>
      </w:r>
      <w:r w:rsidR="00A607D6">
        <w:t xml:space="preserve">anza penalistica dell’illecito, </w:t>
      </w:r>
      <w:r w:rsidR="00065B67">
        <w:t xml:space="preserve">la cognizione </w:t>
      </w:r>
      <w:r w:rsidR="00AB763B">
        <w:t>sarebbe completamente autonoma</w:t>
      </w:r>
      <w:r w:rsidR="00913DFC">
        <w:t>. Difatti, visto che</w:t>
      </w:r>
      <w:r w:rsidR="00137C3C">
        <w:t xml:space="preserve"> per gli artt. 2043</w:t>
      </w:r>
      <w:r w:rsidR="00E16D77">
        <w:t xml:space="preserve"> ss.</w:t>
      </w:r>
      <w:r w:rsidR="00137C3C">
        <w:t xml:space="preserve">, c.c. non è rilevante </w:t>
      </w:r>
      <w:r w:rsidR="00913DFC">
        <w:t>s</w:t>
      </w:r>
      <w:r w:rsidR="00137C3C">
        <w:t xml:space="preserve">e sia stato commesso o meno un reato, </w:t>
      </w:r>
      <w:r w:rsidR="00953B85">
        <w:t xml:space="preserve">gli esiti del giudizio penale </w:t>
      </w:r>
      <w:r w:rsidR="00913DFC">
        <w:t>con tutte le sue premesse e motivazioni</w:t>
      </w:r>
      <w:r w:rsidR="00367AA3">
        <w:t xml:space="preserve"> sarebbero ininfluenti rispetto alla decisione civile</w:t>
      </w:r>
      <w:r w:rsidR="00913DFC">
        <w:t>,</w:t>
      </w:r>
      <w:r w:rsidR="00367AA3">
        <w:t xml:space="preserve"> il giudice </w:t>
      </w:r>
      <w:r w:rsidR="00913DFC">
        <w:t>potrebbe approdarvi</w:t>
      </w:r>
      <w:r w:rsidR="00AB763B">
        <w:t xml:space="preserve"> anche </w:t>
      </w:r>
      <w:r w:rsidR="00367AA3">
        <w:t>tramite</w:t>
      </w:r>
      <w:r w:rsidR="00AB763B">
        <w:t xml:space="preserve"> soluzioni diverse sugli elementi di fatto o di diritto già presi in esame dal giudice penale.</w:t>
      </w:r>
      <w:r w:rsidR="00B23CEF">
        <w:t xml:space="preserve"> </w:t>
      </w:r>
      <w:r w:rsidR="00137C3C">
        <w:t>La circostanza che</w:t>
      </w:r>
      <w:r w:rsidR="00F21A19">
        <w:t xml:space="preserve">, invece, </w:t>
      </w:r>
      <w:r w:rsidR="00957C68">
        <w:t xml:space="preserve">anche </w:t>
      </w:r>
      <w:r w:rsidR="00B11C78">
        <w:t>nel</w:t>
      </w:r>
      <w:r w:rsidR="00137C3C">
        <w:t xml:space="preserve"> nuovo codice</w:t>
      </w:r>
      <w:r w:rsidR="00953B85">
        <w:t xml:space="preserve"> l’efficacia del giudicato penale sia conformata in modo da precludere </w:t>
      </w:r>
      <w:r w:rsidR="00957C68">
        <w:t>la cognizione</w:t>
      </w:r>
      <w:r w:rsidR="007C1A91">
        <w:t xml:space="preserve"> (non dell’effetto bensì)</w:t>
      </w:r>
      <w:r w:rsidR="00957C68">
        <w:t xml:space="preserve"> </w:t>
      </w:r>
      <w:r w:rsidR="00C05527">
        <w:t>di</w:t>
      </w:r>
      <w:r w:rsidR="00957C68">
        <w:t xml:space="preserve"> tappe intermedie dell’accertamento, r</w:t>
      </w:r>
      <w:r w:rsidR="00791377">
        <w:t>iproducendo la</w:t>
      </w:r>
      <w:r w:rsidR="00A607D6">
        <w:t xml:space="preserve"> tecnica normativa di tutti i codici precedenti</w:t>
      </w:r>
      <w:r w:rsidR="0093760C">
        <w:t>, fa dubitare</w:t>
      </w:r>
      <w:r w:rsidR="00E16D77">
        <w:t xml:space="preserve"> </w:t>
      </w:r>
      <w:r w:rsidR="00F21A19">
        <w:t xml:space="preserve">che sia stata </w:t>
      </w:r>
      <w:r w:rsidR="00C05527">
        <w:t xml:space="preserve">realmente </w:t>
      </w:r>
      <w:r w:rsidR="00F21A19">
        <w:t xml:space="preserve">intrapresa la via della separazione. </w:t>
      </w:r>
      <w:r w:rsidR="00164EAD">
        <w:t>Per di più, l</w:t>
      </w:r>
      <w:r w:rsidR="00F21A19">
        <w:t>e questioni che in sede civile non si possono esaminare</w:t>
      </w:r>
      <w:r w:rsidR="006A4D1B">
        <w:t xml:space="preserve"> liberamente </w:t>
      </w:r>
      <w:r w:rsidR="00256AA1">
        <w:t>poiché</w:t>
      </w:r>
      <w:r w:rsidR="006A4D1B">
        <w:t xml:space="preserve"> </w:t>
      </w:r>
      <w:r w:rsidR="00F21A19">
        <w:t>coperte dall’autorità del giudicato penale</w:t>
      </w:r>
      <w:r w:rsidR="006A4D1B">
        <w:t xml:space="preserve"> </w:t>
      </w:r>
      <w:r w:rsidR="00B40628">
        <w:rPr>
          <w:i/>
        </w:rPr>
        <w:t xml:space="preserve">ex </w:t>
      </w:r>
      <w:r w:rsidR="00B40628">
        <w:t>artt. 651, 651-</w:t>
      </w:r>
      <w:r w:rsidR="00B40628" w:rsidRPr="00B40628">
        <w:rPr>
          <w:i/>
        </w:rPr>
        <w:t>bis</w:t>
      </w:r>
      <w:r w:rsidR="00B40628">
        <w:t xml:space="preserve"> e 652, c.p.p. </w:t>
      </w:r>
      <w:r w:rsidR="006A4D1B">
        <w:t>corrispondono</w:t>
      </w:r>
      <w:r w:rsidR="00F030E5">
        <w:t xml:space="preserve"> quasi alla lettera</w:t>
      </w:r>
      <w:r w:rsidR="006A4D1B">
        <w:t xml:space="preserve"> a</w:t>
      </w:r>
      <w:r w:rsidR="00256AA1">
        <w:t xml:space="preserve"> quelle stesse questioni</w:t>
      </w:r>
      <w:r w:rsidR="006A4D1B">
        <w:t xml:space="preserve"> che furono selezionate</w:t>
      </w:r>
      <w:r w:rsidR="00164EAD">
        <w:t>, fin dalla prima codificazione unitaria,</w:t>
      </w:r>
      <w:r w:rsidR="006A4D1B">
        <w:t xml:space="preserve"> come </w:t>
      </w:r>
      <w:r w:rsidR="00164EAD">
        <w:t xml:space="preserve">la </w:t>
      </w:r>
      <w:r w:rsidR="007C1A91">
        <w:t>base comune essenziale</w:t>
      </w:r>
      <w:r w:rsidR="00256AA1">
        <w:t xml:space="preserve"> per scongiurare conflitti dovuti al contrasto di accertamenti</w:t>
      </w:r>
      <w:r w:rsidR="00D15EF3">
        <w:rPr>
          <w:rStyle w:val="Rimandonotaapidipagina"/>
        </w:rPr>
        <w:footnoteReference w:id="17"/>
      </w:r>
      <w:r w:rsidR="00F030E5">
        <w:t xml:space="preserve">. </w:t>
      </w:r>
      <w:r w:rsidR="00C05527">
        <w:t>S</w:t>
      </w:r>
      <w:r w:rsidR="00D15EF3">
        <w:t xml:space="preserve">e </w:t>
      </w:r>
      <w:r w:rsidR="00C05527">
        <w:t>rispetto a quell’epoca i</w:t>
      </w:r>
      <w:r w:rsidR="00D15EF3">
        <w:t xml:space="preserve">l coordinamento </w:t>
      </w:r>
      <w:r w:rsidR="00F62904">
        <w:t>fosse</w:t>
      </w:r>
      <w:r w:rsidR="00B40628">
        <w:t xml:space="preserve"> </w:t>
      </w:r>
      <w:r w:rsidR="00C05527">
        <w:t>divenuto</w:t>
      </w:r>
      <w:r w:rsidR="00B40628">
        <w:t xml:space="preserve"> </w:t>
      </w:r>
      <w:r w:rsidR="00235299" w:rsidRPr="00235299">
        <w:rPr>
          <w:i/>
        </w:rPr>
        <w:t>davvero</w:t>
      </w:r>
      <w:r w:rsidR="00235299">
        <w:t xml:space="preserve"> </w:t>
      </w:r>
      <w:r w:rsidR="00B40628" w:rsidRPr="00235299">
        <w:t>un</w:t>
      </w:r>
      <w:r w:rsidR="00B40628">
        <w:t xml:space="preserve"> </w:t>
      </w:r>
      <w:r w:rsidR="00F030E5">
        <w:t>valore recessivo, la prima cosa a cadere sarebbe stato</w:t>
      </w:r>
      <w:r w:rsidR="00C05527">
        <w:t xml:space="preserve"> il vincolo su mere</w:t>
      </w:r>
      <w:r w:rsidR="00BB431F">
        <w:t xml:space="preserve"> questioni, i</w:t>
      </w:r>
      <w:r w:rsidR="00235299">
        <w:t>l che</w:t>
      </w:r>
      <w:r w:rsidR="00672EDE">
        <w:t xml:space="preserve"> avrebbe pure evitato la fioritura</w:t>
      </w:r>
      <w:r w:rsidR="00235299">
        <w:t xml:space="preserve"> </w:t>
      </w:r>
      <w:r w:rsidR="00BB431F">
        <w:t>di discussioni e problemi circa i diversi parametri valutativi, le differenti metodiche di accertamento</w:t>
      </w:r>
      <w:r w:rsidR="009A7B6F">
        <w:t>, la configurabilità del reato “in astratto”</w:t>
      </w:r>
      <w:r w:rsidR="002D666D">
        <w:t xml:space="preserve"> e</w:t>
      </w:r>
      <w:r w:rsidR="000B7F62">
        <w:t xml:space="preserve"> via dicendo</w:t>
      </w:r>
      <w:r w:rsidR="00467517">
        <w:t>.</w:t>
      </w:r>
      <w:r w:rsidR="00DD7526">
        <w:t xml:space="preserve"> Quanto ai limiti soggettivi, </w:t>
      </w:r>
      <w:r w:rsidR="0057108E">
        <w:t xml:space="preserve">chiaramente </w:t>
      </w:r>
      <w:r w:rsidR="00ED40BC">
        <w:t xml:space="preserve">il tracciato era </w:t>
      </w:r>
      <w:r w:rsidR="00DD7526">
        <w:lastRenderedPageBreak/>
        <w:t xml:space="preserve">già </w:t>
      </w:r>
      <w:r w:rsidR="00ED40BC">
        <w:t>segnato da</w:t>
      </w:r>
      <w:r w:rsidR="00DD7526">
        <w:t>gli interventi della Corte costituzionale</w:t>
      </w:r>
      <w:r w:rsidR="00ED40BC">
        <w:t xml:space="preserve"> sul codice Rocco, sicché anche da tale punto di vista </w:t>
      </w:r>
      <w:r w:rsidR="0057108E">
        <w:t xml:space="preserve">non rappresenta una novità che gli effetti del giudicato penale siano opponibili solamente a chi abbia partecipato o sia stato messo in condizione di partecipare al processo. </w:t>
      </w:r>
      <w:r w:rsidR="000C4DFB">
        <w:t>Caso mai</w:t>
      </w:r>
      <w:r w:rsidR="000E5A11">
        <w:t xml:space="preserve"> rappresenta un’anomalia l’efficacia</w:t>
      </w:r>
      <w:r w:rsidR="00846FE4">
        <w:t xml:space="preserve"> c.d.</w:t>
      </w:r>
      <w:r w:rsidR="000E5A11">
        <w:t xml:space="preserve"> </w:t>
      </w:r>
      <w:r w:rsidR="000E5A11" w:rsidRPr="000E5A11">
        <w:rPr>
          <w:i/>
        </w:rPr>
        <w:t xml:space="preserve">erga </w:t>
      </w:r>
      <w:proofErr w:type="spellStart"/>
      <w:r w:rsidR="000E5A11" w:rsidRPr="000E5A11">
        <w:rPr>
          <w:i/>
        </w:rPr>
        <w:t>omnes</w:t>
      </w:r>
      <w:proofErr w:type="spellEnd"/>
      <w:r w:rsidR="000E5A11">
        <w:t xml:space="preserve"> del giudicato penale di condanna a favore del danneggiato </w:t>
      </w:r>
      <w:r w:rsidR="00EB3078">
        <w:t>(</w:t>
      </w:r>
      <w:r w:rsidR="00AE26E5">
        <w:t xml:space="preserve">di recente estesa </w:t>
      </w:r>
      <w:r w:rsidR="00672EDE">
        <w:t xml:space="preserve">alla sentenza irrevocabile di proscioglimento per particolare tenuità del </w:t>
      </w:r>
      <w:r w:rsidR="00796A2D">
        <w:t>fatto</w:t>
      </w:r>
      <w:r w:rsidR="00EB3078">
        <w:t>),</w:t>
      </w:r>
      <w:r w:rsidR="00796A2D">
        <w:t xml:space="preserve"> funzionale anch’essa al disegno di incentivare </w:t>
      </w:r>
      <w:r w:rsidR="00F31236">
        <w:t>l’azione civile in sede propria</w:t>
      </w:r>
      <w:r w:rsidR="00796A2D">
        <w:t xml:space="preserve"> </w:t>
      </w:r>
      <w:r w:rsidR="00EB3078">
        <w:t xml:space="preserve">ma non </w:t>
      </w:r>
      <w:r w:rsidR="00F31236">
        <w:t xml:space="preserve">certo </w:t>
      </w:r>
      <w:r w:rsidR="00F50936">
        <w:t>esente da</w:t>
      </w:r>
      <w:r w:rsidR="00796A2D">
        <w:t xml:space="preserve"> criticità</w:t>
      </w:r>
      <w:r w:rsidR="00796A2D">
        <w:rPr>
          <w:rStyle w:val="Rimandonotaapidipagina"/>
        </w:rPr>
        <w:footnoteReference w:id="18"/>
      </w:r>
      <w:r w:rsidR="00796A2D">
        <w:t xml:space="preserve">. </w:t>
      </w:r>
    </w:p>
    <w:p w:rsidR="00B43EF2" w:rsidRDefault="00D06A50" w:rsidP="000814FF">
      <w:pPr>
        <w:jc w:val="both"/>
      </w:pPr>
      <w:r>
        <w:t>Riprendendo ora i</w:t>
      </w:r>
      <w:r w:rsidR="00D24671">
        <w:t>l filo del ragionamento condotto</w:t>
      </w:r>
      <w:r>
        <w:t xml:space="preserve"> dalle Sezioni unite</w:t>
      </w:r>
      <w:r w:rsidR="00A31FC1">
        <w:t xml:space="preserve">, </w:t>
      </w:r>
      <w:r w:rsidR="00D24671">
        <w:t>ciò che impedisce la sospensione del processo civile nonostante la ricorrenza di una delle due condizioni fissate nell’art. 75, comma 3., c.p.p. è l</w:t>
      </w:r>
      <w:r w:rsidR="00714BE4">
        <w:t>a prognosi negativa sull</w:t>
      </w:r>
      <w:r w:rsidR="001D5773">
        <w:t xml:space="preserve">a </w:t>
      </w:r>
      <w:r w:rsidR="00393650">
        <w:t>utilità dell</w:t>
      </w:r>
      <w:r w:rsidR="00820592">
        <w:t>’</w:t>
      </w:r>
      <w:r w:rsidR="00714BE4">
        <w:t>attesa</w:t>
      </w:r>
      <w:r w:rsidR="000E18B9">
        <w:t>: i</w:t>
      </w:r>
      <w:r w:rsidR="00393650">
        <w:t xml:space="preserve">l </w:t>
      </w:r>
      <w:r w:rsidR="00820592">
        <w:t xml:space="preserve">futuro </w:t>
      </w:r>
      <w:r w:rsidR="00393650">
        <w:t xml:space="preserve">giudicato penale </w:t>
      </w:r>
      <w:r w:rsidR="000E18B9">
        <w:t>non potrebbe essere utilizzato</w:t>
      </w:r>
      <w:r w:rsidR="00393650">
        <w:t xml:space="preserve"> </w:t>
      </w:r>
      <w:r w:rsidR="000E18B9">
        <w:t xml:space="preserve">nell’ambito del giudizio civile </w:t>
      </w:r>
      <w:r w:rsidR="00526BD1">
        <w:t>litisconsortile</w:t>
      </w:r>
      <w:r w:rsidR="000E18B9">
        <w:t xml:space="preserve"> </w:t>
      </w:r>
      <w:r w:rsidR="00393650">
        <w:t xml:space="preserve">per ragione di limiti soggettivi. </w:t>
      </w:r>
      <w:r w:rsidR="000E18B9">
        <w:t>Con</w:t>
      </w:r>
      <w:r w:rsidR="007B60EF">
        <w:t xml:space="preserve"> riguardo al caso di specie, la Corte </w:t>
      </w:r>
      <w:r w:rsidR="003F422E">
        <w:t>osserva che nessun vincolo può</w:t>
      </w:r>
      <w:r w:rsidR="007B60EF">
        <w:t xml:space="preserve"> coinvolgere il convenuto responsabile civile, essendo questi rimasto estraneo al processo penale, e neppure gli attori </w:t>
      </w:r>
      <w:r w:rsidR="002D197F">
        <w:t>in quanto non coincidenti con le p</w:t>
      </w:r>
      <w:r w:rsidR="00C3694B">
        <w:t>arti ci</w:t>
      </w:r>
      <w:r w:rsidR="00526BD1">
        <w:t>vili del processo penale (</w:t>
      </w:r>
      <w:r w:rsidR="004E66A3">
        <w:t>perciò</w:t>
      </w:r>
      <w:r w:rsidR="00C3694B">
        <w:t xml:space="preserve"> anch’essi </w:t>
      </w:r>
      <w:r w:rsidR="004E66A3">
        <w:t>terzi rispetto a tale processo</w:t>
      </w:r>
      <w:r w:rsidR="00C3694B">
        <w:t>).</w:t>
      </w:r>
      <w:r w:rsidR="00430067">
        <w:t xml:space="preserve"> </w:t>
      </w:r>
      <w:r w:rsidR="004E66A3">
        <w:t>Messa in questi termini, l’impraticabilità della sospensione</w:t>
      </w:r>
      <w:r w:rsidR="001D5773">
        <w:t xml:space="preserve"> discende</w:t>
      </w:r>
      <w:r w:rsidR="00820592">
        <w:t xml:space="preserve"> già dai </w:t>
      </w:r>
      <w:r w:rsidR="001D5773">
        <w:t xml:space="preserve">principi, </w:t>
      </w:r>
      <w:r w:rsidR="00990EAF">
        <w:t>ancor prima</w:t>
      </w:r>
      <w:r w:rsidR="001D5773">
        <w:t xml:space="preserve"> della </w:t>
      </w:r>
      <w:r w:rsidR="00820592">
        <w:t xml:space="preserve">prescrizione contenuta nell’art. 211, </w:t>
      </w:r>
      <w:proofErr w:type="spellStart"/>
      <w:r w:rsidR="00820592">
        <w:t>disp</w:t>
      </w:r>
      <w:proofErr w:type="spellEnd"/>
      <w:r w:rsidR="00820592">
        <w:t xml:space="preserve">. </w:t>
      </w:r>
      <w:proofErr w:type="spellStart"/>
      <w:r w:rsidR="00820592">
        <w:t>att</w:t>
      </w:r>
      <w:proofErr w:type="spellEnd"/>
      <w:r w:rsidR="00820592">
        <w:t xml:space="preserve">. </w:t>
      </w:r>
      <w:proofErr w:type="spellStart"/>
      <w:r w:rsidR="00820592">
        <w:t>coord</w:t>
      </w:r>
      <w:proofErr w:type="spellEnd"/>
      <w:r w:rsidR="00820592">
        <w:t>. c.p.p.</w:t>
      </w:r>
      <w:r w:rsidR="004E66A3">
        <w:t xml:space="preserve"> </w:t>
      </w:r>
      <w:r w:rsidR="001D5773">
        <w:t xml:space="preserve">e senza bisogno di prendere posizione sulla natura </w:t>
      </w:r>
      <w:r w:rsidR="00AA5220">
        <w:t xml:space="preserve">o sulle finalità </w:t>
      </w:r>
      <w:r w:rsidR="001D5773">
        <w:t>dell’</w:t>
      </w:r>
      <w:r w:rsidR="00AA5220">
        <w:t>art. 75, c.p.p</w:t>
      </w:r>
      <w:r w:rsidR="001D5773">
        <w:t xml:space="preserve">. </w:t>
      </w:r>
      <w:r w:rsidR="003F422E">
        <w:t>Il punto</w:t>
      </w:r>
      <w:r w:rsidR="00990EAF">
        <w:t xml:space="preserve"> però </w:t>
      </w:r>
      <w:r w:rsidR="003F422E">
        <w:t>è che</w:t>
      </w:r>
      <w:r w:rsidR="000814FF">
        <w:t xml:space="preserve"> la</w:t>
      </w:r>
      <w:r w:rsidR="00D72D10">
        <w:t xml:space="preserve"> Corte</w:t>
      </w:r>
      <w:r w:rsidR="000814FF">
        <w:t xml:space="preserve">, nella sua veste di organo chiamato a dirimere un contrasto interpretativo, </w:t>
      </w:r>
      <w:r w:rsidR="00014BD6">
        <w:t xml:space="preserve">ritiene che la vicenda </w:t>
      </w:r>
      <w:r w:rsidR="003F422E" w:rsidRPr="003F422E">
        <w:rPr>
          <w:i/>
        </w:rPr>
        <w:t>ivi</w:t>
      </w:r>
      <w:r w:rsidR="003F422E">
        <w:t xml:space="preserve"> considerata</w:t>
      </w:r>
      <w:r w:rsidR="00014BD6">
        <w:t xml:space="preserve"> offra una soluzione generalizzabile a tutti i processi civili in cui “il danneggiato proponga azione di danno nei confronti del danneggiante e dell’impresa assicuratrice della responsabilità civile dopo la pronuncia di primo grado nel processo penale nel quale il danneggiante sia imputato”. </w:t>
      </w:r>
      <w:r w:rsidR="005B2AFF">
        <w:t xml:space="preserve">Ci pare, invece, che questo tipo di cumulo </w:t>
      </w:r>
      <w:r w:rsidR="00136831">
        <w:t xml:space="preserve">presenti </w:t>
      </w:r>
      <w:r w:rsidR="00397C61">
        <w:t>qualche sfaccettatura</w:t>
      </w:r>
      <w:r w:rsidR="00136831">
        <w:t xml:space="preserve"> che sarebbe opportuno vagliare.</w:t>
      </w:r>
    </w:p>
    <w:p w:rsidR="001D5757" w:rsidRDefault="001D5757" w:rsidP="000814FF">
      <w:pPr>
        <w:jc w:val="both"/>
      </w:pPr>
    </w:p>
    <w:p w:rsidR="00C835F3" w:rsidRDefault="001D5757" w:rsidP="00242757">
      <w:pPr>
        <w:jc w:val="both"/>
      </w:pPr>
      <w:r>
        <w:t xml:space="preserve">5. </w:t>
      </w:r>
      <w:r w:rsidR="003351D1">
        <w:t>P</w:t>
      </w:r>
      <w:r w:rsidR="00B43EF2">
        <w:t xml:space="preserve">artiamo </w:t>
      </w:r>
      <w:r w:rsidR="00AA318E">
        <w:t>evidente</w:t>
      </w:r>
      <w:r w:rsidR="003351D1">
        <w:t xml:space="preserve">mente </w:t>
      </w:r>
      <w:r w:rsidR="00B43EF2">
        <w:t xml:space="preserve">dal presupposto che </w:t>
      </w:r>
      <w:r w:rsidR="00D46029">
        <w:t xml:space="preserve">nel processo penale si </w:t>
      </w:r>
      <w:r w:rsidR="003351D1">
        <w:t>discuta</w:t>
      </w:r>
      <w:r w:rsidR="00D46029">
        <w:t xml:space="preserve"> </w:t>
      </w:r>
      <w:r w:rsidR="003351D1">
        <w:t xml:space="preserve">un oggetto rispetto al quale </w:t>
      </w:r>
      <w:r w:rsidR="00D46029">
        <w:t xml:space="preserve">la </w:t>
      </w:r>
      <w:r w:rsidR="000321FB">
        <w:t xml:space="preserve">l’autorità </w:t>
      </w:r>
      <w:r w:rsidR="003351D1">
        <w:t>del futuro giudicato</w:t>
      </w:r>
      <w:r w:rsidR="000321FB">
        <w:t xml:space="preserve"> </w:t>
      </w:r>
      <w:r w:rsidR="00FD63CF">
        <w:t>coincida con gli ambiti del</w:t>
      </w:r>
      <w:r w:rsidR="000321FB">
        <w:t>la cognizione civile</w:t>
      </w:r>
      <w:r w:rsidR="003351D1">
        <w:t xml:space="preserve">, </w:t>
      </w:r>
      <w:r w:rsidR="000321FB">
        <w:t>ossia</w:t>
      </w:r>
      <w:r w:rsidR="00FD63CF">
        <w:t xml:space="preserve"> diamo per scontato che la sospensione possa portare a un coordinamento delle pronunce dal lato oggettivo</w:t>
      </w:r>
      <w:r w:rsidR="00DF3EA8">
        <w:t>, concentrando perciò l</w:t>
      </w:r>
      <w:r w:rsidR="00FD63CF">
        <w:t>a verifica anticipata sulle condizioni pre</w:t>
      </w:r>
      <w:r w:rsidR="00DF3EA8">
        <w:t>vis</w:t>
      </w:r>
      <w:r w:rsidR="00FD63CF">
        <w:t xml:space="preserve">te </w:t>
      </w:r>
      <w:r w:rsidR="00DF3EA8">
        <w:t>in termini soggettivi</w:t>
      </w:r>
      <w:r w:rsidR="00FD63CF">
        <w:t>.</w:t>
      </w:r>
      <w:r w:rsidR="000321FB">
        <w:t xml:space="preserve"> </w:t>
      </w:r>
    </w:p>
    <w:p w:rsidR="00CE00C1" w:rsidRDefault="00C835F3" w:rsidP="00242757">
      <w:pPr>
        <w:jc w:val="both"/>
      </w:pPr>
      <w:r>
        <w:t>Cominc</w:t>
      </w:r>
      <w:r w:rsidR="00DF3EA8">
        <w:t>iando dal danneggiato, noti</w:t>
      </w:r>
      <w:r w:rsidR="007618C5">
        <w:t>amo subito come</w:t>
      </w:r>
      <w:r w:rsidR="00DF3EA8">
        <w:t xml:space="preserve"> l’</w:t>
      </w:r>
      <w:r w:rsidR="007618C5">
        <w:t>art. 75, comma 3 non richieda</w:t>
      </w:r>
      <w:r w:rsidR="00DF3EA8">
        <w:t xml:space="preserve"> che questo soggetto abbia avuto la possibilità di partecipare al</w:t>
      </w:r>
      <w:r w:rsidR="00186198">
        <w:t xml:space="preserve"> processo penale, limitandosi a prevedere che </w:t>
      </w:r>
      <w:r w:rsidR="00A65C83">
        <w:t>l</w:t>
      </w:r>
      <w:r w:rsidR="00186198">
        <w:t xml:space="preserve">a causa civile </w:t>
      </w:r>
      <w:r w:rsidR="00A65C83">
        <w:t xml:space="preserve">abbia avuto inizio </w:t>
      </w:r>
      <w:r w:rsidR="00186198">
        <w:t xml:space="preserve">dopo la decisione penale di primo grado. </w:t>
      </w:r>
      <w:r w:rsidR="0082239B">
        <w:t>Presa</w:t>
      </w:r>
      <w:r w:rsidR="00A65C83">
        <w:t xml:space="preserve"> letteralmente, </w:t>
      </w:r>
      <w:r w:rsidR="0082239B">
        <w:t>t</w:t>
      </w:r>
      <w:r w:rsidR="00A84394">
        <w:t>a</w:t>
      </w:r>
      <w:r w:rsidR="0082239B">
        <w:t>le</w:t>
      </w:r>
      <w:r w:rsidR="0099734C">
        <w:t xml:space="preserve"> </w:t>
      </w:r>
      <w:r w:rsidR="00A65C83">
        <w:t>disposizione</w:t>
      </w:r>
      <w:r w:rsidR="0099734C">
        <w:t xml:space="preserve"> “sanzionatoria” colpirebbe la pura e semplice in</w:t>
      </w:r>
      <w:r w:rsidR="002E7880">
        <w:t>erzia</w:t>
      </w:r>
      <w:r w:rsidR="00A65C83">
        <w:t xml:space="preserve"> del danneggiato</w:t>
      </w:r>
      <w:r w:rsidR="00A84394">
        <w:t>,</w:t>
      </w:r>
      <w:r w:rsidR="002E7880">
        <w:t xml:space="preserve"> a</w:t>
      </w:r>
      <w:r w:rsidR="00A84394">
        <w:t xml:space="preserve">ncorché non </w:t>
      </w:r>
      <w:r w:rsidR="006A7C03">
        <w:t>intenzionale o</w:t>
      </w:r>
      <w:r w:rsidR="0082239B">
        <w:t xml:space="preserve"> strategica. Tuttavia</w:t>
      </w:r>
      <w:r w:rsidR="002E7880">
        <w:t>, per colui che non sia stato messo in grado di costituirsi parte civile</w:t>
      </w:r>
      <w:r w:rsidR="00A84394">
        <w:t xml:space="preserve"> e </w:t>
      </w:r>
      <w:r w:rsidR="00645587">
        <w:t>di conseguenza</w:t>
      </w:r>
      <w:r w:rsidR="00A84394">
        <w:t xml:space="preserve"> </w:t>
      </w:r>
      <w:r w:rsidR="00FB2A62">
        <w:t>non rischia di subire</w:t>
      </w:r>
      <w:r w:rsidR="00A84394">
        <w:t xml:space="preserve"> gli effetti del giudicato assolutorio</w:t>
      </w:r>
      <w:r w:rsidR="002E7880">
        <w:t xml:space="preserve">, proprio la </w:t>
      </w:r>
      <w:r w:rsidR="007A1506">
        <w:t>sospensione</w:t>
      </w:r>
      <w:r w:rsidR="002E7880">
        <w:t xml:space="preserve"> </w:t>
      </w:r>
      <w:r w:rsidR="00FB2A62">
        <w:t>finirebbe col rivelarsi</w:t>
      </w:r>
      <w:r w:rsidR="00A84394">
        <w:t xml:space="preserve"> u</w:t>
      </w:r>
      <w:r w:rsidR="00FB2A62">
        <w:t>n vantaggio</w:t>
      </w:r>
      <w:r w:rsidR="002E7880">
        <w:t xml:space="preserve"> </w:t>
      </w:r>
      <w:r w:rsidR="00FB2A62">
        <w:t xml:space="preserve">fornendogli </w:t>
      </w:r>
      <w:r w:rsidR="002E7880">
        <w:t>la certezza d</w:t>
      </w:r>
      <w:r w:rsidR="00A65C83">
        <w:t xml:space="preserve">i </w:t>
      </w:r>
      <w:r w:rsidR="0082239B">
        <w:t>fare in tempo a</w:t>
      </w:r>
      <w:r w:rsidR="00FB2A62">
        <w:t xml:space="preserve"> giovar</w:t>
      </w:r>
      <w:r w:rsidR="0082239B">
        <w:t>si</w:t>
      </w:r>
      <w:r w:rsidR="00A84394">
        <w:t xml:space="preserve"> </w:t>
      </w:r>
      <w:r w:rsidR="00FB2A62">
        <w:t xml:space="preserve">dei vincoli stabiliti </w:t>
      </w:r>
      <w:r w:rsidR="006944BA">
        <w:t xml:space="preserve">con </w:t>
      </w:r>
      <w:r w:rsidR="00A65C83">
        <w:t>gli artt. 651 e 651-</w:t>
      </w:r>
      <w:r w:rsidR="00A65C83" w:rsidRPr="00A65C83">
        <w:rPr>
          <w:i/>
        </w:rPr>
        <w:t>bis</w:t>
      </w:r>
      <w:r w:rsidR="00FB2A62">
        <w:t>.</w:t>
      </w:r>
      <w:r w:rsidR="007310B7">
        <w:t xml:space="preserve"> </w:t>
      </w:r>
      <w:r w:rsidR="00D95E99">
        <w:t>Siamo forse dinanzi a un’altra delle perplessità suscitate da un assetto normativo amb</w:t>
      </w:r>
      <w:r w:rsidR="00645587">
        <w:t>iguo</w:t>
      </w:r>
      <w:r w:rsidR="00935CEF">
        <w:t>,</w:t>
      </w:r>
      <w:r w:rsidR="00645587">
        <w:t xml:space="preserve"> </w:t>
      </w:r>
      <w:r>
        <w:t>la soluzione più razionale pa</w:t>
      </w:r>
      <w:r w:rsidR="00AB743A">
        <w:t>rrebbe quella di non a</w:t>
      </w:r>
      <w:r w:rsidR="00362F3A">
        <w:t>pplic</w:t>
      </w:r>
      <w:r w:rsidR="00AB743A">
        <w:t>are la sospensione</w:t>
      </w:r>
      <w:r w:rsidR="00F221C5">
        <w:t xml:space="preserve"> </w:t>
      </w:r>
      <w:r w:rsidR="00935CEF">
        <w:t>essendo già escluso</w:t>
      </w:r>
      <w:r w:rsidR="00D15BA7">
        <w:t xml:space="preserve"> </w:t>
      </w:r>
      <w:r w:rsidR="00D15BA7" w:rsidRPr="00D15BA7">
        <w:rPr>
          <w:i/>
        </w:rPr>
        <w:t>ex ante</w:t>
      </w:r>
      <w:r w:rsidR="00D15BA7">
        <w:t xml:space="preserve"> l’impiego di uno </w:t>
      </w:r>
      <w:r w:rsidR="00935CEF">
        <w:t>dei possibili esiti,</w:t>
      </w:r>
      <w:r w:rsidR="00D15BA7">
        <w:t xml:space="preserve"> </w:t>
      </w:r>
      <w:r w:rsidR="00F221C5">
        <w:t xml:space="preserve">ciò non toglie che </w:t>
      </w:r>
      <w:r>
        <w:t xml:space="preserve">manchi una previsione esplicita in </w:t>
      </w:r>
      <w:r w:rsidR="00C227C7">
        <w:t>tal</w:t>
      </w:r>
      <w:r>
        <w:t xml:space="preserve"> senso</w:t>
      </w:r>
      <w:r>
        <w:rPr>
          <w:rStyle w:val="Rimandonotaapidipagina"/>
        </w:rPr>
        <w:footnoteReference w:id="19"/>
      </w:r>
      <w:r>
        <w:t>.</w:t>
      </w:r>
      <w:r w:rsidR="006944BA">
        <w:t xml:space="preserve"> </w:t>
      </w:r>
      <w:r w:rsidR="00F221C5">
        <w:t xml:space="preserve">D’altro canto </w:t>
      </w:r>
      <w:r w:rsidR="00632A2E">
        <w:t>pur dove la previsione vi sia</w:t>
      </w:r>
      <w:r w:rsidR="00AB346D">
        <w:t xml:space="preserve"> non </w:t>
      </w:r>
      <w:r w:rsidR="00AB346D">
        <w:lastRenderedPageBreak/>
        <w:t xml:space="preserve">è </w:t>
      </w:r>
      <w:r w:rsidR="003E2324">
        <w:t>sempre</w:t>
      </w:r>
      <w:r w:rsidR="00AB346D">
        <w:t xml:space="preserve"> scontato</w:t>
      </w:r>
      <w:r w:rsidR="00632A2E">
        <w:t xml:space="preserve"> </w:t>
      </w:r>
      <w:r w:rsidR="003E258D">
        <w:t>che tutto</w:t>
      </w:r>
      <w:r w:rsidR="00CB1B8A">
        <w:t xml:space="preserve"> divenga</w:t>
      </w:r>
      <w:r w:rsidR="003E258D">
        <w:t xml:space="preserve"> chiaro</w:t>
      </w:r>
      <w:r w:rsidR="00632A2E">
        <w:t>, ad es.</w:t>
      </w:r>
      <w:r w:rsidR="003E258D">
        <w:t xml:space="preserve"> in giurisprudenza si </w:t>
      </w:r>
      <w:r w:rsidR="00BF03F0">
        <w:t>è dato</w:t>
      </w:r>
      <w:r w:rsidR="003E2324">
        <w:t xml:space="preserve"> il caso d</w:t>
      </w:r>
      <w:r w:rsidR="00FE724C">
        <w:t>i una</w:t>
      </w:r>
      <w:r w:rsidR="003E2324">
        <w:t xml:space="preserve"> causa </w:t>
      </w:r>
      <w:r w:rsidR="00CB1B8A">
        <w:t xml:space="preserve">civile </w:t>
      </w:r>
      <w:r w:rsidR="003E2324">
        <w:t>avviat</w:t>
      </w:r>
      <w:r w:rsidR="003E258D">
        <w:t>a</w:t>
      </w:r>
      <w:r w:rsidR="00CB1B8A">
        <w:t xml:space="preserve"> dopo la sentenza penale</w:t>
      </w:r>
      <w:r w:rsidR="00632A2E">
        <w:t xml:space="preserve"> da un danneggiato che </w:t>
      </w:r>
      <w:r w:rsidR="00CB1B8A">
        <w:t xml:space="preserve">dalla sede penale </w:t>
      </w:r>
      <w:r w:rsidR="003E258D">
        <w:t>era</w:t>
      </w:r>
      <w:r w:rsidR="00632A2E">
        <w:t xml:space="preserve"> stato es</w:t>
      </w:r>
      <w:r w:rsidR="003E258D">
        <w:t>tromess</w:t>
      </w:r>
      <w:r w:rsidR="00CB1B8A">
        <w:t>o</w:t>
      </w:r>
      <w:r w:rsidR="00F221C5">
        <w:t xml:space="preserve">, </w:t>
      </w:r>
      <w:r w:rsidR="00BF03F0">
        <w:t xml:space="preserve">il che ha fatto </w:t>
      </w:r>
      <w:r w:rsidR="003E2324">
        <w:t>sorgere il dubbio</w:t>
      </w:r>
      <w:r w:rsidR="003E258D">
        <w:t xml:space="preserve"> se </w:t>
      </w:r>
      <w:r w:rsidR="006950C4">
        <w:t>non dovesse</w:t>
      </w:r>
      <w:r w:rsidR="00AB346D">
        <w:t xml:space="preserve"> applicar</w:t>
      </w:r>
      <w:r w:rsidR="006950C4">
        <w:t>si ugualmente</w:t>
      </w:r>
      <w:r w:rsidR="00AB346D">
        <w:rPr>
          <w:i/>
        </w:rPr>
        <w:t xml:space="preserve"> </w:t>
      </w:r>
      <w:r w:rsidR="00AB346D">
        <w:t xml:space="preserve">l’art. 75, comma 3, </w:t>
      </w:r>
      <w:r w:rsidR="006950C4">
        <w:t>per il fatto che</w:t>
      </w:r>
      <w:r w:rsidR="00AB346D">
        <w:t xml:space="preserve"> il beneficio riconosciuto dall’art. 88, comma 3, c.p.p. </w:t>
      </w:r>
      <w:r w:rsidR="006950C4">
        <w:t>è riferito specificamente alla prima</w:t>
      </w:r>
      <w:r w:rsidR="00AB346D">
        <w:t xml:space="preserve"> delle due fattispecie sospensive</w:t>
      </w:r>
      <w:r w:rsidR="003E2324">
        <w:rPr>
          <w:rStyle w:val="Rimandonotaapidipagina"/>
        </w:rPr>
        <w:footnoteReference w:id="20"/>
      </w:r>
      <w:r w:rsidR="00AB346D">
        <w:t xml:space="preserve">. </w:t>
      </w:r>
      <w:r w:rsidR="00AA318E">
        <w:t>Fatte salve tali</w:t>
      </w:r>
      <w:r w:rsidR="007618C5">
        <w:t xml:space="preserve"> particolar</w:t>
      </w:r>
      <w:r w:rsidR="00632A2E">
        <w:t>i</w:t>
      </w:r>
      <w:r w:rsidR="006944BA">
        <w:t xml:space="preserve"> ipotesi, </w:t>
      </w:r>
      <w:r w:rsidR="00362F3A">
        <w:t xml:space="preserve">nelle quali in definitiva la sospensione non opera perché il giudicato penale non sarebbe opponibile al danneggiato, </w:t>
      </w:r>
      <w:r w:rsidR="007D007B">
        <w:t xml:space="preserve">per tutte le altre, come abbiamo visto più sopra, </w:t>
      </w:r>
      <w:r w:rsidR="00684377">
        <w:t>quando</w:t>
      </w:r>
      <w:r w:rsidR="00F64203">
        <w:t xml:space="preserve"> in sede penale</w:t>
      </w:r>
      <w:r w:rsidR="00684377">
        <w:t xml:space="preserve"> è </w:t>
      </w:r>
      <w:r w:rsidR="00F64203">
        <w:t>già stata emess</w:t>
      </w:r>
      <w:r w:rsidR="00684377">
        <w:t>a una decisione</w:t>
      </w:r>
      <w:r w:rsidR="00F64203">
        <w:t>,</w:t>
      </w:r>
      <w:r w:rsidR="00362F3A">
        <w:t xml:space="preserve"> per la legge </w:t>
      </w:r>
      <w:r w:rsidR="00645587">
        <w:t>non fa differenza che il danneggiato sia stato o meno parte</w:t>
      </w:r>
      <w:r w:rsidR="007618C5">
        <w:t>cipe</w:t>
      </w:r>
      <w:r w:rsidR="00645587">
        <w:t xml:space="preserve"> del processo penale</w:t>
      </w:r>
      <w:r w:rsidR="00684377">
        <w:t>,</w:t>
      </w:r>
      <w:r>
        <w:t xml:space="preserve"> </w:t>
      </w:r>
      <w:r w:rsidR="00C227C7">
        <w:t>quindi</w:t>
      </w:r>
      <w:r w:rsidR="007D007B">
        <w:t>,</w:t>
      </w:r>
      <w:r w:rsidR="008D6E4D">
        <w:t xml:space="preserve"> nella causa intentata contro </w:t>
      </w:r>
      <w:r w:rsidR="00FF0299">
        <w:t xml:space="preserve">colui che è contemporaneamente </w:t>
      </w:r>
      <w:r w:rsidR="00C227C7">
        <w:t>imputato,</w:t>
      </w:r>
      <w:r w:rsidR="007618C5">
        <w:t xml:space="preserve"> </w:t>
      </w:r>
      <w:r w:rsidR="008D6E4D">
        <w:t>le condizioni e l’utilità della sospensione sarebbero indubbie.</w:t>
      </w:r>
      <w:r w:rsidR="00C227C7">
        <w:t xml:space="preserve"> </w:t>
      </w:r>
    </w:p>
    <w:p w:rsidR="00D1686C" w:rsidRPr="009D797F" w:rsidRDefault="00F64203" w:rsidP="00242757">
      <w:pPr>
        <w:jc w:val="both"/>
      </w:pPr>
      <w:r>
        <w:t>La disamina allora</w:t>
      </w:r>
      <w:r w:rsidR="00EA4704">
        <w:t xml:space="preserve"> si sposta sull’altro versante</w:t>
      </w:r>
      <w:r w:rsidR="00FE1F1A">
        <w:t>, nel</w:t>
      </w:r>
      <w:r w:rsidR="00C869E6">
        <w:t xml:space="preserve"> quale il risarcimento </w:t>
      </w:r>
      <w:r w:rsidR="00DC0F4E">
        <w:t>è</w:t>
      </w:r>
      <w:r w:rsidR="00C869E6">
        <w:t xml:space="preserve"> </w:t>
      </w:r>
      <w:r w:rsidR="00FE1F1A">
        <w:t xml:space="preserve">chiesto </w:t>
      </w:r>
      <w:r w:rsidR="00B25768">
        <w:t>all’impresa assicuratrice</w:t>
      </w:r>
      <w:r w:rsidR="00C869E6">
        <w:t xml:space="preserve">. </w:t>
      </w:r>
      <w:r w:rsidR="00D179CD">
        <w:t xml:space="preserve">Qui bisogna considerare che l’assicurazione può prendere parte al processo penale, in veste di responsabile civile, solamente </w:t>
      </w:r>
      <w:r w:rsidR="00B25768">
        <w:t>se il danneggiato ha a</w:t>
      </w:r>
      <w:r w:rsidR="001778FF">
        <w:t>zione diretta</w:t>
      </w:r>
      <w:r w:rsidR="00B25768">
        <w:t xml:space="preserve"> nei suoi confronti</w:t>
      </w:r>
      <w:r w:rsidR="00F93003">
        <w:t xml:space="preserve"> </w:t>
      </w:r>
      <w:r w:rsidR="000C0393">
        <w:t>e</w:t>
      </w:r>
      <w:r w:rsidR="00B25768">
        <w:t xml:space="preserve"> l’assicurato è anche l’autore del danno</w:t>
      </w:r>
      <w:r w:rsidR="004A34C9">
        <w:rPr>
          <w:rStyle w:val="Rimandonotaapidipagina"/>
        </w:rPr>
        <w:footnoteReference w:id="21"/>
      </w:r>
      <w:r w:rsidR="00EF3C2C">
        <w:t>. L</w:t>
      </w:r>
      <w:r w:rsidR="00EA04C1">
        <w:t xml:space="preserve">e condizioni affinché il giudicato penale abbia effetto nei confronti del responsabile civile sono </w:t>
      </w:r>
      <w:r w:rsidR="00EF3C2C">
        <w:t>particolarmente rigorose, in quanto non è sufficiente che gli sia stata data la possibilità di p</w:t>
      </w:r>
      <w:r w:rsidR="00780C66">
        <w:t>artecipare a</w:t>
      </w:r>
      <w:r w:rsidR="00EF3C2C">
        <w:t xml:space="preserve">l processo </w:t>
      </w:r>
      <w:r w:rsidR="00712C8C">
        <w:t xml:space="preserve">penale </w:t>
      </w:r>
      <w:r w:rsidR="00EF3C2C">
        <w:t xml:space="preserve">ma occorre che </w:t>
      </w:r>
      <w:r w:rsidR="00712C8C">
        <w:t>sia stato</w:t>
      </w:r>
      <w:r w:rsidR="00EF3C2C">
        <w:t xml:space="preserve"> citato dalla parte civile</w:t>
      </w:r>
      <w:r w:rsidR="00EF3C2C">
        <w:rPr>
          <w:rStyle w:val="Rimandonotaapidipagina"/>
        </w:rPr>
        <w:footnoteReference w:id="22"/>
      </w:r>
      <w:r w:rsidR="00EF3C2C">
        <w:t xml:space="preserve"> o che sia intervenuto spontaneamente. </w:t>
      </w:r>
      <w:r w:rsidR="00BE4A60">
        <w:t>L’acquisizione della qualità</w:t>
      </w:r>
      <w:r w:rsidR="00B25768">
        <w:t xml:space="preserve"> </w:t>
      </w:r>
      <w:r w:rsidR="00BE4A60">
        <w:t xml:space="preserve">di parte è perciò indispensabile </w:t>
      </w:r>
      <w:r w:rsidR="00D46559">
        <w:t>per</w:t>
      </w:r>
      <w:r w:rsidR="00BE4A60">
        <w:t>ché si realizzi nei suoi confronti la soggezione agli effetti del giudicato di condanna o di proscioglimento per particolare tenuità del fatto</w:t>
      </w:r>
      <w:r w:rsidR="00397C61">
        <w:t>,</w:t>
      </w:r>
      <w:r w:rsidR="00E874BA">
        <w:t xml:space="preserve"> o gli sia possibile</w:t>
      </w:r>
      <w:r w:rsidR="00CE00C1">
        <w:t xml:space="preserve"> opporre alla controparte gli effetti del giudicato assolutorio</w:t>
      </w:r>
      <w:r w:rsidR="00DA5E85">
        <w:rPr>
          <w:rStyle w:val="Rimandonotaapidipagina"/>
        </w:rPr>
        <w:footnoteReference w:id="23"/>
      </w:r>
      <w:r w:rsidR="00030029">
        <w:t xml:space="preserve">. </w:t>
      </w:r>
      <w:r w:rsidR="0018088A">
        <w:t>Allo stesso tempo</w:t>
      </w:r>
      <w:r w:rsidR="00030029">
        <w:t xml:space="preserve"> </w:t>
      </w:r>
      <w:r w:rsidR="00E874BA">
        <w:t>bisognerà</w:t>
      </w:r>
      <w:r w:rsidR="00C42B21">
        <w:t xml:space="preserve"> fare </w:t>
      </w:r>
      <w:r w:rsidR="00D46559">
        <w:t xml:space="preserve">i conti con la </w:t>
      </w:r>
      <w:r w:rsidR="00E94E91">
        <w:t>normativa</w:t>
      </w:r>
      <w:r w:rsidR="00C42B21">
        <w:t xml:space="preserve"> che subordina la permanenza del responsabile civile</w:t>
      </w:r>
      <w:r w:rsidR="00852595">
        <w:t xml:space="preserve"> nel processo penale</w:t>
      </w:r>
      <w:r w:rsidR="00C42B21">
        <w:t xml:space="preserve"> alla presenza della parte civile</w:t>
      </w:r>
      <w:r w:rsidR="00D46559">
        <w:t>: ar</w:t>
      </w:r>
      <w:r w:rsidR="00BE397A">
        <w:t xml:space="preserve">t. 83, comma 6 e </w:t>
      </w:r>
      <w:r w:rsidR="00D46559">
        <w:t xml:space="preserve">art. </w:t>
      </w:r>
      <w:r w:rsidR="00BE397A">
        <w:t>85, comma 4, c.p.p.</w:t>
      </w:r>
      <w:r w:rsidR="00F66897">
        <w:t xml:space="preserve">, a tenore dei quali sia la citazione che l’intervento del responsabile civile perdono effetto se la costituzione di parte civile è revocata o se </w:t>
      </w:r>
      <w:r w:rsidR="00632B42">
        <w:t>la parte civile viene esclusa</w:t>
      </w:r>
      <w:r w:rsidR="00BE397A">
        <w:t>.</w:t>
      </w:r>
      <w:r w:rsidR="00632B42">
        <w:t xml:space="preserve"> </w:t>
      </w:r>
      <w:r w:rsidR="00D1686C">
        <w:t>Ora, se il puro e semplice esodo della parte civile determina il venir meno della qualità di parte e dunque la condizione del vincolo nei riguardi del responsabile civile</w:t>
      </w:r>
      <w:r w:rsidR="00D1686C">
        <w:rPr>
          <w:rStyle w:val="Rimandonotaapidipagina"/>
        </w:rPr>
        <w:footnoteReference w:id="24"/>
      </w:r>
      <w:r w:rsidR="00D1686C">
        <w:t>, ciò che</w:t>
      </w:r>
      <w:r w:rsidR="00397C61">
        <w:t xml:space="preserve"> consegue</w:t>
      </w:r>
      <w:r w:rsidR="00CE00C1">
        <w:t xml:space="preserve">, tanto nel caso in cui il </w:t>
      </w:r>
      <w:r>
        <w:t>responsabile civile</w:t>
      </w:r>
      <w:r w:rsidR="00CE00C1">
        <w:t xml:space="preserve"> non abbia partecipato al processo penale, quanto nel caso</w:t>
      </w:r>
      <w:r w:rsidR="00E874BA">
        <w:t xml:space="preserve"> in cui </w:t>
      </w:r>
      <w:r w:rsidR="00E94E91">
        <w:t>vi abbia fatto ingresso ma poi ne sia uscito,</w:t>
      </w:r>
      <w:r w:rsidR="0018088A">
        <w:t xml:space="preserve"> che </w:t>
      </w:r>
      <w:r w:rsidR="00A70FCE">
        <w:t>per la causa civile intentata</w:t>
      </w:r>
      <w:r w:rsidR="001B3D1C">
        <w:t xml:space="preserve"> contro il responsabile civile un</w:t>
      </w:r>
      <w:r w:rsidR="00A70FCE">
        <w:t>a so</w:t>
      </w:r>
      <w:r w:rsidR="001B3D1C">
        <w:t>spensione del processo sarebbe improduttiva</w:t>
      </w:r>
      <w:r w:rsidR="00130127">
        <w:t xml:space="preserve"> o per meglio dire insensata</w:t>
      </w:r>
      <w:r w:rsidR="00A70FCE">
        <w:t>.</w:t>
      </w:r>
      <w:r w:rsidR="00D1686C">
        <w:t xml:space="preserve"> </w:t>
      </w:r>
      <w:r w:rsidR="005F3EAF">
        <w:t xml:space="preserve">A maggior ragione </w:t>
      </w:r>
      <w:r w:rsidR="00844FB7">
        <w:t xml:space="preserve">non si vedrebbe l’utilità della sospensione quando la </w:t>
      </w:r>
      <w:r w:rsidR="004E47E5">
        <w:t>domanda</w:t>
      </w:r>
      <w:r w:rsidR="00D223BE">
        <w:t xml:space="preserve"> civile fosse</w:t>
      </w:r>
      <w:r w:rsidR="00844FB7">
        <w:t xml:space="preserve"> diretta contro </w:t>
      </w:r>
      <w:r w:rsidR="004E47E5">
        <w:t>soggetti che, pur essendo chiamati al risarcimento</w:t>
      </w:r>
      <w:r w:rsidR="00212BED">
        <w:t xml:space="preserve"> in virtù di un obbligo contrattuale o legale</w:t>
      </w:r>
      <w:r w:rsidR="004E47E5">
        <w:t>, non hanno la possibilità di partecipare al processo penale</w:t>
      </w:r>
      <w:r w:rsidR="00212BED">
        <w:t>.</w:t>
      </w:r>
    </w:p>
    <w:p w:rsidR="00E03880" w:rsidRDefault="00D405A6" w:rsidP="00242757">
      <w:pPr>
        <w:jc w:val="both"/>
      </w:pPr>
      <w:r>
        <w:lastRenderedPageBreak/>
        <w:t xml:space="preserve">Il quadro presenta </w:t>
      </w:r>
      <w:r w:rsidR="006312D4">
        <w:t>un’</w:t>
      </w:r>
      <w:r w:rsidR="00973F0A">
        <w:t>evidente discrasia di posizioni all’interno</w:t>
      </w:r>
      <w:r w:rsidR="006312D4">
        <w:t xml:space="preserve"> </w:t>
      </w:r>
      <w:r w:rsidR="00973F0A">
        <w:t>de</w:t>
      </w:r>
      <w:r w:rsidR="006312D4">
        <w:t xml:space="preserve">l processo civile </w:t>
      </w:r>
      <w:r w:rsidR="00AD5AFA">
        <w:t xml:space="preserve">soggettivamente </w:t>
      </w:r>
      <w:r w:rsidR="006312D4">
        <w:t>cumulato</w:t>
      </w:r>
      <w:r w:rsidR="000A306C">
        <w:t xml:space="preserve">. </w:t>
      </w:r>
      <w:r w:rsidR="006A08FB">
        <w:t xml:space="preserve">Come osservano le Sezioni unite, </w:t>
      </w:r>
      <w:r w:rsidR="000F1F01">
        <w:t xml:space="preserve">se non ci fosse il cumulo </w:t>
      </w:r>
      <w:r w:rsidR="006A08FB">
        <w:t>non ci sarebbero dubbi sull’applicabi</w:t>
      </w:r>
      <w:r w:rsidR="000F1F01">
        <w:t xml:space="preserve">lità della sospensione </w:t>
      </w:r>
      <w:r w:rsidR="006A08FB">
        <w:t xml:space="preserve">alla causa proposta nei confronti del danneggiante imputato, eppure </w:t>
      </w:r>
      <w:r w:rsidR="00674920">
        <w:t xml:space="preserve">esse </w:t>
      </w:r>
      <w:r w:rsidR="006A08FB">
        <w:t>ritengono di dover adottare anche per questa causa il diverso regime applicabile all’</w:t>
      </w:r>
      <w:r w:rsidR="00702300">
        <w:t>altra, in nome del</w:t>
      </w:r>
      <w:r w:rsidR="007A4075">
        <w:t xml:space="preserve"> proclamato</w:t>
      </w:r>
      <w:r w:rsidR="00702300">
        <w:t xml:space="preserve"> </w:t>
      </w:r>
      <w:proofErr w:type="spellStart"/>
      <w:r w:rsidR="00702300" w:rsidRPr="00702300">
        <w:rPr>
          <w:i/>
        </w:rPr>
        <w:t>favor</w:t>
      </w:r>
      <w:proofErr w:type="spellEnd"/>
      <w:r w:rsidR="00702300" w:rsidRPr="00702300">
        <w:rPr>
          <w:i/>
        </w:rPr>
        <w:t xml:space="preserve"> </w:t>
      </w:r>
      <w:proofErr w:type="spellStart"/>
      <w:r w:rsidR="00702300" w:rsidRPr="00702300">
        <w:rPr>
          <w:i/>
        </w:rPr>
        <w:t>separationis</w:t>
      </w:r>
      <w:proofErr w:type="spellEnd"/>
      <w:r w:rsidR="00702300">
        <w:t xml:space="preserve">. </w:t>
      </w:r>
      <w:r w:rsidR="00AC7AC9">
        <w:t>Per comprendere meglio co</w:t>
      </w:r>
      <w:r w:rsidR="00702300">
        <w:t xml:space="preserve">nviene ancora una volta tornare al diritto sostanziale e alle </w:t>
      </w:r>
      <w:r w:rsidR="00E900FF">
        <w:t>connessioni che si presentano in</w:t>
      </w:r>
      <w:r w:rsidR="00702300">
        <w:t xml:space="preserve"> casi di questo tipo.</w:t>
      </w:r>
      <w:r w:rsidR="00674920">
        <w:t xml:space="preserve"> </w:t>
      </w:r>
    </w:p>
    <w:p w:rsidR="00BE4235" w:rsidRDefault="00674920" w:rsidP="00242757">
      <w:pPr>
        <w:jc w:val="both"/>
      </w:pPr>
      <w:r>
        <w:t>Nella causa promossa contro l’assicurazione</w:t>
      </w:r>
      <w:r w:rsidR="00E900FF">
        <w:t xml:space="preserve"> della RCA</w:t>
      </w:r>
      <w:r>
        <w:t xml:space="preserve">, </w:t>
      </w:r>
      <w:r w:rsidR="00E900FF">
        <w:t xml:space="preserve">quando </w:t>
      </w:r>
      <w:r w:rsidR="004359FB">
        <w:t>l’</w:t>
      </w:r>
      <w:r w:rsidR="000645A6">
        <w:t xml:space="preserve">assicurato è </w:t>
      </w:r>
      <w:r w:rsidR="00E900FF">
        <w:t>lo stesso</w:t>
      </w:r>
      <w:r w:rsidR="000645A6">
        <w:t xml:space="preserve"> </w:t>
      </w:r>
      <w:r w:rsidR="00E03880">
        <w:t>danneggiante</w:t>
      </w:r>
      <w:r w:rsidR="00811D6A">
        <w:t xml:space="preserve">, </w:t>
      </w:r>
      <w:r w:rsidR="00B65139">
        <w:t xml:space="preserve">il rapporto </w:t>
      </w:r>
      <w:r w:rsidR="00E900FF">
        <w:t xml:space="preserve">tra </w:t>
      </w:r>
      <w:r w:rsidR="004359FB">
        <w:t xml:space="preserve">il </w:t>
      </w:r>
      <w:r w:rsidR="00E900FF">
        <w:t xml:space="preserve">danneggiato e </w:t>
      </w:r>
      <w:r w:rsidR="004359FB">
        <w:t>l’</w:t>
      </w:r>
      <w:r w:rsidR="00E03880">
        <w:t>autore del danno</w:t>
      </w:r>
      <w:r w:rsidR="00652952">
        <w:t xml:space="preserve"> si configura come pregiudiziale rispetto al rapporto dedotto in giudizio, </w:t>
      </w:r>
      <w:r w:rsidR="004359FB">
        <w:t>motivo per il quale</w:t>
      </w:r>
      <w:r w:rsidR="00652952">
        <w:t xml:space="preserve"> la legge, al fine di prevenire decisioni contrastanti</w:t>
      </w:r>
      <w:r w:rsidR="00146004">
        <w:t>, dispone la necessità del contraddittorio anche nei riguardi del danneggiante</w:t>
      </w:r>
      <w:r w:rsidR="00FC2350">
        <w:rPr>
          <w:rStyle w:val="Rimandonotaapidipagina"/>
        </w:rPr>
        <w:footnoteReference w:id="25"/>
      </w:r>
      <w:r w:rsidR="00146004">
        <w:t xml:space="preserve">. </w:t>
      </w:r>
      <w:r w:rsidR="00D956EB">
        <w:t>Per</w:t>
      </w:r>
      <w:r w:rsidR="00146004">
        <w:t xml:space="preserve"> questa modalità di litisconsorzio</w:t>
      </w:r>
      <w:r w:rsidR="00D223BE">
        <w:t>, cui</w:t>
      </w:r>
      <w:r w:rsidR="00146004">
        <w:t xml:space="preserve"> </w:t>
      </w:r>
      <w:r w:rsidR="00D223BE">
        <w:t>deve</w:t>
      </w:r>
      <w:r w:rsidR="00146004">
        <w:t xml:space="preserve"> corrispondere</w:t>
      </w:r>
      <w:r w:rsidR="00D223BE">
        <w:t xml:space="preserve"> </w:t>
      </w:r>
      <w:r w:rsidR="00146004">
        <w:t>un</w:t>
      </w:r>
      <w:r w:rsidR="00D223BE">
        <w:t xml:space="preserve"> </w:t>
      </w:r>
      <w:r w:rsidR="00146004">
        <w:t>trattamento unitario</w:t>
      </w:r>
      <w:r w:rsidR="00D223BE">
        <w:t xml:space="preserve"> </w:t>
      </w:r>
      <w:r w:rsidR="00D956EB">
        <w:t>in</w:t>
      </w:r>
      <w:r w:rsidR="00D223BE">
        <w:t xml:space="preserve"> tutto ciò che concerne la trattazione e della decisione</w:t>
      </w:r>
      <w:r w:rsidR="00E900FF">
        <w:t xml:space="preserve">, </w:t>
      </w:r>
      <w:r w:rsidR="00D956EB">
        <w:t xml:space="preserve">non è </w:t>
      </w:r>
      <w:r w:rsidR="00757C50">
        <w:t xml:space="preserve">nemmeno </w:t>
      </w:r>
      <w:r w:rsidR="00D956EB">
        <w:t>possibile ipotiz</w:t>
      </w:r>
      <w:r w:rsidR="00CA3FB0">
        <w:t>zare una sospensione parzia</w:t>
      </w:r>
      <w:r w:rsidR="002909E3">
        <w:t xml:space="preserve">ria. </w:t>
      </w:r>
      <w:r w:rsidR="003A0F2C">
        <w:t xml:space="preserve">Il perfezionamento della fattispecie </w:t>
      </w:r>
      <w:r w:rsidR="00E03880" w:rsidRPr="00E03880">
        <w:rPr>
          <w:i/>
        </w:rPr>
        <w:t>ex</w:t>
      </w:r>
      <w:r w:rsidR="00E03880">
        <w:t xml:space="preserve"> art. 75, comma 3 con riguardo</w:t>
      </w:r>
      <w:r w:rsidR="003A0F2C">
        <w:t xml:space="preserve"> a uno solo dei convenuti im</w:t>
      </w:r>
      <w:r w:rsidR="00E03880">
        <w:t>pone inevitabilmente una scelta</w:t>
      </w:r>
      <w:r w:rsidR="00EC6910">
        <w:t>, sullo sfondo della quale</w:t>
      </w:r>
      <w:r w:rsidR="008F3D76">
        <w:t>,</w:t>
      </w:r>
      <w:r w:rsidR="00EC6910">
        <w:t xml:space="preserve"> tuttavia</w:t>
      </w:r>
      <w:r w:rsidR="008F3D76">
        <w:t>,</w:t>
      </w:r>
      <w:r w:rsidR="00EC6910">
        <w:t xml:space="preserve"> non crediamo che si fronteggino solamente il recessivo valore del coordinamento </w:t>
      </w:r>
      <w:r w:rsidR="003F35E2">
        <w:t xml:space="preserve">fra i giudicati e la </w:t>
      </w:r>
      <w:r w:rsidR="00EC6910">
        <w:t>più elevata esigenza di assicurare la ragionevole</w:t>
      </w:r>
      <w:r w:rsidR="00691BE4">
        <w:t xml:space="preserve"> durata del processo. </w:t>
      </w:r>
      <w:r w:rsidR="003F35E2">
        <w:t>Crediamo invece che siano in gioco anche altri valori e principi, riguardo ai quali</w:t>
      </w:r>
      <w:r w:rsidR="001C7D30">
        <w:t xml:space="preserve"> sembra che meritino maggiore attenzione </w:t>
      </w:r>
      <w:r w:rsidR="00A95CD4">
        <w:t>i</w:t>
      </w:r>
      <w:r w:rsidR="00691BE4">
        <w:t xml:space="preserve"> rilievi </w:t>
      </w:r>
      <w:r w:rsidR="00BA0CC6">
        <w:t>avanzati ne</w:t>
      </w:r>
      <w:r w:rsidR="00691BE4">
        <w:t>ll’ordinanza rimettente a proposito del</w:t>
      </w:r>
      <w:r w:rsidR="004359FB">
        <w:t xml:space="preserve">lo squilibrio </w:t>
      </w:r>
      <w:r w:rsidR="008F3D76">
        <w:t>tra danneggiato e imputato</w:t>
      </w:r>
      <w:r w:rsidR="0024526C">
        <w:t>.</w:t>
      </w:r>
      <w:r w:rsidR="00A95CD4">
        <w:t xml:space="preserve"> </w:t>
      </w:r>
      <w:r w:rsidR="00B034C9">
        <w:t xml:space="preserve">Già </w:t>
      </w:r>
      <w:r w:rsidR="00F824E7">
        <w:t>la diversa estensione soggettiva del giudicato</w:t>
      </w:r>
      <w:r w:rsidR="003F35E2">
        <w:t>,</w:t>
      </w:r>
      <w:r w:rsidR="00F824E7">
        <w:t xml:space="preserve"> che emerge raffrontando </w:t>
      </w:r>
      <w:r w:rsidR="00D336EB">
        <w:t>l’art.</w:t>
      </w:r>
      <w:r w:rsidR="00F824E7">
        <w:t xml:space="preserve"> 651 </w:t>
      </w:r>
      <w:r w:rsidR="00AB136F">
        <w:t>(ora anche l’art. 651-</w:t>
      </w:r>
      <w:r w:rsidR="00AB136F" w:rsidRPr="00AB136F">
        <w:rPr>
          <w:i/>
        </w:rPr>
        <w:t>bis</w:t>
      </w:r>
      <w:r w:rsidR="003F35E2">
        <w:t>) da un lato</w:t>
      </w:r>
      <w:r w:rsidR="00AB136F">
        <w:t xml:space="preserve"> </w:t>
      </w:r>
      <w:r w:rsidR="00596FF5">
        <w:t xml:space="preserve">con </w:t>
      </w:r>
      <w:r w:rsidR="00F824E7">
        <w:t>l’art. 652 dall’</w:t>
      </w:r>
      <w:r w:rsidR="001C7D30">
        <w:t>altro, non pare</w:t>
      </w:r>
      <w:r w:rsidR="00F824E7">
        <w:t xml:space="preserve"> sorretta da sufficienti elementi di ragionevolezza</w:t>
      </w:r>
      <w:r w:rsidR="00B64185">
        <w:t>,</w:t>
      </w:r>
      <w:r w:rsidR="005152A8">
        <w:t xml:space="preserve"> </w:t>
      </w:r>
      <w:r w:rsidR="00601F2C">
        <w:t>né</w:t>
      </w:r>
      <w:r w:rsidR="005152A8">
        <w:t xml:space="preserve"> </w:t>
      </w:r>
      <w:r w:rsidR="001C7D30">
        <w:t>sembra</w:t>
      </w:r>
      <w:r w:rsidR="00BA0CC6">
        <w:t xml:space="preserve"> pertinente la risposta fornita </w:t>
      </w:r>
      <w:r w:rsidR="005152A8">
        <w:t xml:space="preserve">alla relativa obiezione </w:t>
      </w:r>
      <w:r w:rsidR="00B64185">
        <w:t>nel corso dei lavori preparatori, circa la finalità “di soddisfare – nei limiti indicati dalla legge delega – l’esigenza di attuare il principio di separazione dei giudizi cui deve informarsi un processo di tipo accusatorio”</w:t>
      </w:r>
      <w:r w:rsidR="00AB136F">
        <w:t>, perché se anche fosse vero che la struttura accusatoria impone la reciproca autonomia degli accertamenti</w:t>
      </w:r>
      <w:r w:rsidR="005152A8">
        <w:t xml:space="preserve"> condotti nelle due sedi</w:t>
      </w:r>
      <w:r w:rsidR="00596FF5">
        <w:t>, non si comprende come tale autonomia</w:t>
      </w:r>
      <w:r w:rsidR="005152A8">
        <w:t xml:space="preserve">, nel processo civile, </w:t>
      </w:r>
      <w:r w:rsidR="00596FF5">
        <w:t xml:space="preserve">possa conciliarsi con </w:t>
      </w:r>
      <w:r w:rsidR="00601F2C">
        <w:t>il privilegio largito</w:t>
      </w:r>
      <w:r w:rsidR="005152A8">
        <w:t xml:space="preserve"> a una sola parte di usufruire del giudicato penale </w:t>
      </w:r>
      <w:r w:rsidR="005152A8" w:rsidRPr="005152A8">
        <w:rPr>
          <w:i/>
        </w:rPr>
        <w:t xml:space="preserve">in </w:t>
      </w:r>
      <w:proofErr w:type="spellStart"/>
      <w:r w:rsidR="005152A8" w:rsidRPr="005152A8">
        <w:rPr>
          <w:i/>
        </w:rPr>
        <w:t>utilibus</w:t>
      </w:r>
      <w:proofErr w:type="spellEnd"/>
      <w:r w:rsidR="00601F2C">
        <w:t xml:space="preserve"> e sfuggire</w:t>
      </w:r>
      <w:r w:rsidR="005152A8">
        <w:t xml:space="preserve"> agli effetti di quello </w:t>
      </w:r>
      <w:r w:rsidR="005152A8" w:rsidRPr="005152A8">
        <w:rPr>
          <w:i/>
        </w:rPr>
        <w:t xml:space="preserve">in </w:t>
      </w:r>
      <w:proofErr w:type="spellStart"/>
      <w:r w:rsidR="005152A8" w:rsidRPr="005152A8">
        <w:rPr>
          <w:i/>
        </w:rPr>
        <w:t>damnosis</w:t>
      </w:r>
      <w:proofErr w:type="spellEnd"/>
      <w:r w:rsidR="00B64185">
        <w:rPr>
          <w:rStyle w:val="Rimandonotaapidipagina"/>
        </w:rPr>
        <w:footnoteReference w:id="26"/>
      </w:r>
      <w:r w:rsidR="005152A8">
        <w:t xml:space="preserve">. </w:t>
      </w:r>
      <w:proofErr w:type="gramStart"/>
      <w:r w:rsidR="007C41CA">
        <w:t>E’</w:t>
      </w:r>
      <w:proofErr w:type="gramEnd"/>
      <w:r w:rsidR="007C41CA">
        <w:t xml:space="preserve"> palese che </w:t>
      </w:r>
      <w:r w:rsidR="00AC7C25">
        <w:t xml:space="preserve">il danneggiato, </w:t>
      </w:r>
      <w:r w:rsidR="007C41CA">
        <w:t>senza l’indiscriminata opponibilità del vincolo a</w:t>
      </w:r>
      <w:r w:rsidR="00AC7C25">
        <w:t xml:space="preserve"> suo</w:t>
      </w:r>
      <w:r w:rsidR="007C41CA">
        <w:t xml:space="preserve"> favore</w:t>
      </w:r>
      <w:r w:rsidR="00AC7C25">
        <w:t>,</w:t>
      </w:r>
      <w:r w:rsidR="00E62E09">
        <w:t xml:space="preserve"> non </w:t>
      </w:r>
      <w:r w:rsidR="001C7D30">
        <w:t>troverebbe</w:t>
      </w:r>
      <w:r w:rsidR="00E62E09">
        <w:t xml:space="preserve"> altrettanta convenienza ad agire in sede civile</w:t>
      </w:r>
      <w:r w:rsidR="00601F2C">
        <w:t xml:space="preserve"> anziché in sede penale</w:t>
      </w:r>
      <w:r w:rsidR="00E62E09">
        <w:t>, ma</w:t>
      </w:r>
      <w:r w:rsidR="00601F2C">
        <w:t xml:space="preserve"> se </w:t>
      </w:r>
      <w:r w:rsidR="00AC7C25">
        <w:t>davanti a quest’</w:t>
      </w:r>
      <w:r w:rsidR="00601F2C">
        <w:t>o</w:t>
      </w:r>
      <w:r w:rsidR="00E62E09">
        <w:t>biettivo il suddetto</w:t>
      </w:r>
      <w:r w:rsidR="00150BEC">
        <w:t xml:space="preserve"> squilibr</w:t>
      </w:r>
      <w:r w:rsidR="0073180C">
        <w:t>io dovesse</w:t>
      </w:r>
      <w:r w:rsidR="00E62E09">
        <w:t xml:space="preserve"> </w:t>
      </w:r>
      <w:r w:rsidR="00B759C3">
        <w:t xml:space="preserve">pur </w:t>
      </w:r>
      <w:r w:rsidR="00E62E09">
        <w:t xml:space="preserve">rendersi tollerabile, </w:t>
      </w:r>
      <w:r w:rsidR="00E32336">
        <w:t>l’ulteriore vantaggio di</w:t>
      </w:r>
      <w:r w:rsidR="006B76AC">
        <w:t xml:space="preserve"> </w:t>
      </w:r>
      <w:r w:rsidR="00AC7C25">
        <w:t>poter ottenere il medesimo risultato anche non rispettando il disposto dell’art. 75, comma 2,</w:t>
      </w:r>
      <w:r w:rsidR="00E32336">
        <w:t xml:space="preserve"> </w:t>
      </w:r>
      <w:r w:rsidR="00B759C3">
        <w:t xml:space="preserve">e per il solo fatto di aver convenuto in giudizio l’altro obbligato, pare un poco eccessivo. Ci </w:t>
      </w:r>
      <w:r w:rsidR="00634C25">
        <w:t>si rende conto che</w:t>
      </w:r>
      <w:r w:rsidR="00CD6961">
        <w:t>,</w:t>
      </w:r>
      <w:r w:rsidR="00634C25">
        <w:t xml:space="preserve"> sospendendo l’intero processo</w:t>
      </w:r>
      <w:r w:rsidR="00CD6961">
        <w:t>, la decisione</w:t>
      </w:r>
      <w:r w:rsidR="0073180C">
        <w:t xml:space="preserve"> della causa </w:t>
      </w:r>
      <w:r w:rsidR="00CD6961">
        <w:t>verrebbe procrastinata i</w:t>
      </w:r>
      <w:r w:rsidR="0073180C">
        <w:t xml:space="preserve">n vista di un esito limitatamente incidente </w:t>
      </w:r>
      <w:r w:rsidR="00CD6961">
        <w:t>su</w:t>
      </w:r>
      <w:r w:rsidR="0073180C">
        <w:t>i suoi contenuti</w:t>
      </w:r>
      <w:r w:rsidR="0073180C">
        <w:rPr>
          <w:rStyle w:val="Rimandonotaapidipagina"/>
        </w:rPr>
        <w:footnoteReference w:id="27"/>
      </w:r>
      <w:r w:rsidR="003431F7">
        <w:t>, sicché in fin dei conti la soluzione adottata nel caso di specie può dirsi condivisibile, stante l’unitarietà del litisconsorzio</w:t>
      </w:r>
      <w:r w:rsidR="00634C25">
        <w:t xml:space="preserve"> </w:t>
      </w:r>
      <w:r w:rsidR="003431F7">
        <w:t>e la conseguente inscindibilità delle posizioni soggettive</w:t>
      </w:r>
      <w:r w:rsidR="00037808">
        <w:rPr>
          <w:rStyle w:val="Rimandonotaapidipagina"/>
        </w:rPr>
        <w:footnoteReference w:id="28"/>
      </w:r>
      <w:r w:rsidR="003431F7">
        <w:t>. Al tempo stesso, però,</w:t>
      </w:r>
      <w:r w:rsidR="00037808">
        <w:t xml:space="preserve"> si può dubitare che </w:t>
      </w:r>
      <w:r w:rsidR="00C850ED">
        <w:t xml:space="preserve">le criticità evidenziate </w:t>
      </w:r>
      <w:r w:rsidR="00BE4235">
        <w:t>si debbano attribuire ai diversi criteri ricostruttivi che segnano i rispettivi modelli processuali</w:t>
      </w:r>
      <w:r w:rsidR="00E4166A">
        <w:t>, perché l’equilibrio degli interessi in confli</w:t>
      </w:r>
      <w:r w:rsidR="00EE79C1">
        <w:t>tto postula l</w:t>
      </w:r>
      <w:r w:rsidR="00943771">
        <w:t>a ricerca di soluzioni interne al quadro normativo di riferimento</w:t>
      </w:r>
      <w:r w:rsidR="00EE79C1">
        <w:t xml:space="preserve">, </w:t>
      </w:r>
      <w:r w:rsidR="0067152F">
        <w:t>di certo</w:t>
      </w:r>
      <w:r w:rsidR="00EE79C1">
        <w:t xml:space="preserve"> non si raggiunge mediante l’affermazione apodittica che</w:t>
      </w:r>
      <w:r w:rsidR="00E4166A">
        <w:t xml:space="preserve"> </w:t>
      </w:r>
      <w:r w:rsidR="00F02B0B">
        <w:t>il giudizio civile è “disciplinato dalle sole regole sue proprie, che largamente si differenziano da quelle del processo penale”</w:t>
      </w:r>
      <w:r w:rsidR="00BE4235">
        <w:t xml:space="preserve">. </w:t>
      </w:r>
    </w:p>
    <w:p w:rsidR="00AD5AFA" w:rsidRDefault="00A83074" w:rsidP="00242757">
      <w:pPr>
        <w:jc w:val="both"/>
      </w:pPr>
      <w:r>
        <w:lastRenderedPageBreak/>
        <w:t xml:space="preserve">Il fatto di dare assorbente rilievo all’opzione separatista, onde ricavare conferma della natura derogatoria e di stretta interpretazione dell’art. </w:t>
      </w:r>
      <w:r w:rsidR="00C850ED">
        <w:t>75, comma 3</w:t>
      </w:r>
      <w:r>
        <w:t>, c.p.p.,</w:t>
      </w:r>
      <w:r w:rsidR="00AC7AC9">
        <w:t xml:space="preserve"> induce poi le Sezioni unite a scartare la </w:t>
      </w:r>
      <w:r w:rsidR="00B310E0">
        <w:t xml:space="preserve">stessa </w:t>
      </w:r>
      <w:r w:rsidR="00AC7AC9">
        <w:t xml:space="preserve">possibilità di </w:t>
      </w:r>
      <w:r w:rsidR="00B310E0">
        <w:t xml:space="preserve">una soluzione più articolata. Come si diceva più sopra, il principio di diritto enunciato </w:t>
      </w:r>
      <w:r w:rsidR="00D943A8">
        <w:t>dalla Corte</w:t>
      </w:r>
      <w:r w:rsidR="00B310E0">
        <w:t xml:space="preserve"> </w:t>
      </w:r>
      <w:r w:rsidR="00761344">
        <w:t>è</w:t>
      </w:r>
      <w:r w:rsidR="00B310E0">
        <w:t xml:space="preserve"> </w:t>
      </w:r>
      <w:r w:rsidR="00761344">
        <w:t xml:space="preserve">posto in termini così generali da escludere che possano darsi </w:t>
      </w:r>
      <w:r w:rsidR="007E63B3">
        <w:t>vicende processuali trattate diversamente. L’eventualità prospettata</w:t>
      </w:r>
      <w:r w:rsidR="00D943A8">
        <w:t>le</w:t>
      </w:r>
      <w:r w:rsidR="007E63B3">
        <w:t xml:space="preserve"> dal quesito, che si possa approdare anche a conclusioni diverse in presenza di fattispecie a litisconsorzio facoltativo</w:t>
      </w:r>
      <w:r w:rsidR="00D943A8">
        <w:t xml:space="preserve">, viene rapidamente negata adducendo come </w:t>
      </w:r>
      <w:r w:rsidR="00236B44">
        <w:t>motivazioni</w:t>
      </w:r>
      <w:r w:rsidR="00D943A8">
        <w:t xml:space="preserve"> l’incondizionata opponibilità del vincolo a favore del danneggiato, l</w:t>
      </w:r>
      <w:r w:rsidR="00236B44">
        <w:t>a piena garanzia difensiva dell’imputato durante il processo penale e, naturalmente, il carattere derogatorio delle ipotesi sospensive previste. Sorvoliamo pure sulla congruenza di tali argomenti, rimane il fatto che</w:t>
      </w:r>
      <w:r w:rsidR="00D47D2F">
        <w:t xml:space="preserve"> da un’analisi appena più approfondita</w:t>
      </w:r>
      <w:r w:rsidR="00236B44">
        <w:t xml:space="preserve"> </w:t>
      </w:r>
      <w:r w:rsidR="00D47D2F">
        <w:t>sarebbe emersa l’opportunità di risolvere la questione senza intaccare minimamente il principio di stretta interpretazione dell’art. 75, cit.</w:t>
      </w:r>
      <w:r w:rsidR="009B01C0">
        <w:t xml:space="preserve"> L’ordinanza interlocutoria n. 25918/2018</w:t>
      </w:r>
      <w:r w:rsidR="006D1023">
        <w:rPr>
          <w:rStyle w:val="Rimandonotaapidipagina"/>
        </w:rPr>
        <w:footnoteReference w:id="29"/>
      </w:r>
      <w:r w:rsidR="009B01C0">
        <w:t>, precedente</w:t>
      </w:r>
      <w:r w:rsidR="00140764">
        <w:t xml:space="preserve"> di pochi giorni rispetto</w:t>
      </w:r>
      <w:r w:rsidR="009B01C0">
        <w:t xml:space="preserve"> a quella da cui è scaturita </w:t>
      </w:r>
      <w:r w:rsidR="00140764">
        <w:t>la decisione in commento, aveva esposto in maniera analitica le ragioni per cui, nella causa</w:t>
      </w:r>
      <w:r w:rsidR="00B170F3">
        <w:t xml:space="preserve"> civile</w:t>
      </w:r>
      <w:r w:rsidR="00140764">
        <w:t xml:space="preserve"> promossa contro l’assicurazione della RCA</w:t>
      </w:r>
      <w:r w:rsidR="00BF3E5D">
        <w:t xml:space="preserve"> e contro</w:t>
      </w:r>
      <w:r w:rsidR="00140764">
        <w:t xml:space="preserve"> il responsabile del sinistro</w:t>
      </w:r>
      <w:r w:rsidR="00BF3E5D">
        <w:t>, quando quest’ultimo</w:t>
      </w:r>
      <w:r w:rsidR="00140764">
        <w:t xml:space="preserve"> non è p</w:t>
      </w:r>
      <w:r w:rsidR="007A54CF">
        <w:t xml:space="preserve">roprietario del mezzo, </w:t>
      </w:r>
      <w:r w:rsidR="006D1023">
        <w:t>sarebbe stato proficuo disporre la separazione del cumulo al fine di</w:t>
      </w:r>
      <w:r w:rsidR="00BF3E5D">
        <w:t xml:space="preserve"> </w:t>
      </w:r>
      <w:r w:rsidR="00B170F3">
        <w:t>sospendere la sola lite</w:t>
      </w:r>
      <w:r w:rsidR="006D1023">
        <w:t xml:space="preserve"> interessata </w:t>
      </w:r>
      <w:r w:rsidR="000E2FB4">
        <w:t>dalla</w:t>
      </w:r>
      <w:r w:rsidR="006D1023">
        <w:t xml:space="preserve"> pregiudizialità penale</w:t>
      </w:r>
      <w:r w:rsidR="002467ED">
        <w:rPr>
          <w:rStyle w:val="Rimandonotaapidipagina"/>
        </w:rPr>
        <w:footnoteReference w:id="30"/>
      </w:r>
      <w:r w:rsidR="006D1023">
        <w:t xml:space="preserve">. </w:t>
      </w:r>
      <w:r w:rsidR="000E2FB4">
        <w:t xml:space="preserve">E in effetti, il diverso atteggiarsi in quest’altro caso dei nessi sostanziali fra i convenuti in sede civile, permette una soluzione che </w:t>
      </w:r>
      <w:r w:rsidR="00164075">
        <w:t>rispetta allo stesso tempo il disposto dell’art. 75, comma 3 e l’interesse dei responsabili civili (assicurazione e proprietario, litisconsorti necessari passivi) a proseguire nella trattazione</w:t>
      </w:r>
      <w:r w:rsidR="00B170F3">
        <w:t>.</w:t>
      </w:r>
    </w:p>
    <w:p w:rsidR="00AD5AFA" w:rsidRDefault="001D5757" w:rsidP="001D5757">
      <w:pPr>
        <w:jc w:val="right"/>
      </w:pPr>
      <w:r>
        <w:t>MARIA ANGELA ZUMPANO</w:t>
      </w:r>
    </w:p>
    <w:p w:rsidR="00A95CD4" w:rsidRDefault="00A95CD4" w:rsidP="00242757">
      <w:pPr>
        <w:jc w:val="both"/>
      </w:pPr>
    </w:p>
    <w:p w:rsidR="00A95CD4" w:rsidRDefault="00A95CD4" w:rsidP="00242757">
      <w:pPr>
        <w:jc w:val="both"/>
      </w:pPr>
    </w:p>
    <w:p w:rsidR="00A95CD4" w:rsidRDefault="00A95CD4" w:rsidP="00242757">
      <w:pPr>
        <w:jc w:val="both"/>
      </w:pPr>
    </w:p>
    <w:sectPr w:rsidR="00A95CD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487" w:rsidRDefault="00910487" w:rsidP="00063776">
      <w:pPr>
        <w:spacing w:after="0" w:line="240" w:lineRule="auto"/>
      </w:pPr>
      <w:r>
        <w:separator/>
      </w:r>
    </w:p>
  </w:endnote>
  <w:endnote w:type="continuationSeparator" w:id="0">
    <w:p w:rsidR="00910487" w:rsidRDefault="00910487" w:rsidP="00063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487" w:rsidRDefault="00910487" w:rsidP="00063776">
      <w:pPr>
        <w:spacing w:after="0" w:line="240" w:lineRule="auto"/>
      </w:pPr>
      <w:r>
        <w:separator/>
      </w:r>
    </w:p>
  </w:footnote>
  <w:footnote w:type="continuationSeparator" w:id="0">
    <w:p w:rsidR="00910487" w:rsidRDefault="00910487" w:rsidP="00063776">
      <w:pPr>
        <w:spacing w:after="0" w:line="240" w:lineRule="auto"/>
      </w:pPr>
      <w:r>
        <w:continuationSeparator/>
      </w:r>
    </w:p>
  </w:footnote>
  <w:footnote w:id="1">
    <w:p w:rsidR="00164075" w:rsidRDefault="00164075" w:rsidP="00063776">
      <w:pPr>
        <w:pStyle w:val="Testonotaapidipagina"/>
        <w:jc w:val="both"/>
      </w:pPr>
      <w:r>
        <w:rPr>
          <w:rStyle w:val="Rimandonotaapidipagina"/>
        </w:rPr>
        <w:footnoteRef/>
      </w:r>
      <w:r>
        <w:t xml:space="preserve"> Nella stessa data le SS.UU. pronunciano un’altra sentenza, Cass., Sez. un., 21 maggio 2019, n. 13662, che può definirsi “gemella” di quella in epigrafe in quanto (sebbene le fattispecie di origine non coincidessero appieno) ne riproduce quasi letteralmente la motivazione e pronuncia identico principio di diritto. </w:t>
      </w:r>
    </w:p>
  </w:footnote>
  <w:footnote w:id="2">
    <w:p w:rsidR="00164075" w:rsidRDefault="00164075" w:rsidP="00882669">
      <w:pPr>
        <w:pStyle w:val="Testonotaapidipagina"/>
        <w:jc w:val="both"/>
      </w:pPr>
      <w:r>
        <w:rPr>
          <w:rStyle w:val="Rimandonotaapidipagina"/>
        </w:rPr>
        <w:footnoteRef/>
      </w:r>
      <w:r>
        <w:t xml:space="preserve"> Adita con regolamento di competenza avverso la sospensione disposta dal giudice del merito, Cass., </w:t>
      </w:r>
      <w:proofErr w:type="spellStart"/>
      <w:r>
        <w:t>ord</w:t>
      </w:r>
      <w:proofErr w:type="spellEnd"/>
      <w:r>
        <w:t>. 30 ottobre 2018, n. 27716, ha pronunciato ordinanza interlocutoria e rimesso la questione alle sezioni unite.</w:t>
      </w:r>
    </w:p>
  </w:footnote>
  <w:footnote w:id="3">
    <w:p w:rsidR="00164075" w:rsidRPr="0017705C" w:rsidRDefault="00164075" w:rsidP="008E654C">
      <w:pPr>
        <w:pStyle w:val="Testonotaapidipagina"/>
        <w:jc w:val="both"/>
      </w:pPr>
      <w:r>
        <w:rPr>
          <w:rStyle w:val="Rimandonotaapidipagina"/>
        </w:rPr>
        <w:footnoteRef/>
      </w:r>
      <w:r>
        <w:t xml:space="preserve"> La coincidenza soggettiva </w:t>
      </w:r>
      <w:r>
        <w:rPr>
          <w:i/>
        </w:rPr>
        <w:t xml:space="preserve">ex </w:t>
      </w:r>
      <w:proofErr w:type="spellStart"/>
      <w:r>
        <w:rPr>
          <w:i/>
        </w:rPr>
        <w:t>latu</w:t>
      </w:r>
      <w:proofErr w:type="spellEnd"/>
      <w:r>
        <w:rPr>
          <w:i/>
        </w:rPr>
        <w:t xml:space="preserve"> </w:t>
      </w:r>
      <w:proofErr w:type="spellStart"/>
      <w:r>
        <w:rPr>
          <w:i/>
        </w:rPr>
        <w:t>actoris</w:t>
      </w:r>
      <w:proofErr w:type="spellEnd"/>
      <w:r>
        <w:t xml:space="preserve"> difettava perché la domanda civile era stata proposta da tutti gli eredi della vittima, mentre in sede penale si erano costituiti soltanto due di essi, oltretutto nemmeno in tale qualità bensì </w:t>
      </w:r>
      <w:r w:rsidRPr="003E0839">
        <w:rPr>
          <w:i/>
        </w:rPr>
        <w:t>iure proprio</w:t>
      </w:r>
      <w:r>
        <w:t>.</w:t>
      </w:r>
    </w:p>
  </w:footnote>
  <w:footnote w:id="4">
    <w:p w:rsidR="00164075" w:rsidRDefault="00164075" w:rsidP="006179BA">
      <w:pPr>
        <w:pStyle w:val="Testonotaapidipagina"/>
        <w:jc w:val="both"/>
      </w:pPr>
      <w:r>
        <w:rPr>
          <w:rStyle w:val="Rimandonotaapidipagina"/>
        </w:rPr>
        <w:footnoteRef/>
      </w:r>
      <w:r>
        <w:t xml:space="preserve"> Cass., </w:t>
      </w:r>
      <w:proofErr w:type="spellStart"/>
      <w:r>
        <w:t>ord</w:t>
      </w:r>
      <w:proofErr w:type="spellEnd"/>
      <w:r>
        <w:t xml:space="preserve">. 16 ottobre 2018, n. 25918, in </w:t>
      </w:r>
      <w:proofErr w:type="spellStart"/>
      <w:r w:rsidRPr="0033791D">
        <w:rPr>
          <w:i/>
        </w:rPr>
        <w:t>Corr</w:t>
      </w:r>
      <w:proofErr w:type="spellEnd"/>
      <w:r w:rsidRPr="0033791D">
        <w:rPr>
          <w:i/>
        </w:rPr>
        <w:t>. giur</w:t>
      </w:r>
      <w:r>
        <w:t xml:space="preserve">., 2019, 107, con nota di STELLA, </w:t>
      </w:r>
      <w:r>
        <w:rPr>
          <w:i/>
        </w:rPr>
        <w:t>Cumulo di cause risarcitorie contro più coobbligati solidali e latitudine della sospensione del processo per pregiudizialità penale</w:t>
      </w:r>
      <w:r>
        <w:t>, in merito alla quale il S.C. si è espresso con la sentenza citata in nota 1.</w:t>
      </w:r>
    </w:p>
  </w:footnote>
  <w:footnote w:id="5">
    <w:p w:rsidR="00164075" w:rsidRPr="00420B90" w:rsidRDefault="00164075" w:rsidP="0069628A">
      <w:pPr>
        <w:pStyle w:val="Testonotaapidipagina"/>
        <w:jc w:val="both"/>
      </w:pPr>
      <w:r>
        <w:rPr>
          <w:rStyle w:val="Rimandonotaapidipagina"/>
        </w:rPr>
        <w:footnoteRef/>
      </w:r>
      <w:r w:rsidR="004464EC">
        <w:t xml:space="preserve"> Affermazione che si rinviene già in</w:t>
      </w:r>
      <w:r>
        <w:t xml:space="preserve"> Cass., 25 maggio 1996, n. 4844, in </w:t>
      </w:r>
      <w:r w:rsidRPr="00066462">
        <w:rPr>
          <w:i/>
        </w:rPr>
        <w:t xml:space="preserve">Foro </w:t>
      </w:r>
      <w:proofErr w:type="spellStart"/>
      <w:r w:rsidRPr="00066462">
        <w:rPr>
          <w:i/>
        </w:rPr>
        <w:t>it</w:t>
      </w:r>
      <w:proofErr w:type="spellEnd"/>
      <w:r w:rsidRPr="00066462">
        <w:rPr>
          <w:i/>
        </w:rPr>
        <w:t>.</w:t>
      </w:r>
      <w:r>
        <w:t xml:space="preserve">, 1997, I, 1109, con nota di TRISORIO LIUZZI, </w:t>
      </w:r>
      <w:r w:rsidRPr="00066462">
        <w:rPr>
          <w:i/>
        </w:rPr>
        <w:t>Sospensione necessaria del processo e regolamento di competenza</w:t>
      </w:r>
      <w:r>
        <w:t xml:space="preserve">, con la quale si allude all’art. 3 del c.p.p. anteriore, richiamato dal vecchio testo dell’art. 295, c.p.c. e poi soppresso ad opera della legge n. 353/1990. Da notare come il precedente disposto dell’art. 295 avesse una struttura “asimmetrica”, in quanto la relazione con il processo penale non era caratterizzata dal nesso di </w:t>
      </w:r>
      <w:r w:rsidRPr="002424D6">
        <w:rPr>
          <w:i/>
        </w:rPr>
        <w:t>dipendenza</w:t>
      </w:r>
      <w:r>
        <w:t xml:space="preserve"> in senso tecnico bensì da una mera </w:t>
      </w:r>
      <w:r w:rsidRPr="002424D6">
        <w:rPr>
          <w:i/>
        </w:rPr>
        <w:t>influenza</w:t>
      </w:r>
      <w:r>
        <w:t xml:space="preserve"> della cognizione sui fatti costitutivi di reato rispetto alla decisione civile.</w:t>
      </w:r>
    </w:p>
  </w:footnote>
  <w:footnote w:id="6">
    <w:p w:rsidR="00164075" w:rsidRPr="00C05C5C" w:rsidRDefault="00164075" w:rsidP="00B35184">
      <w:pPr>
        <w:pStyle w:val="Testonotaapidipagina"/>
        <w:jc w:val="both"/>
      </w:pPr>
      <w:r>
        <w:rPr>
          <w:rStyle w:val="Rimandonotaapidipagina"/>
        </w:rPr>
        <w:footnoteRef/>
      </w:r>
      <w:r>
        <w:t xml:space="preserve"> Per un approfondimento sui riferimenti normativi e le rispettive motivazioni, nonché sulla loro derivazione dal Codice napoleonico, </w:t>
      </w:r>
      <w:r w:rsidR="00AD6CBE">
        <w:t xml:space="preserve">v. </w:t>
      </w:r>
      <w:r>
        <w:t xml:space="preserve">ZUMPANO, </w:t>
      </w:r>
      <w:r>
        <w:rPr>
          <w:i/>
        </w:rPr>
        <w:t>Rapporti tra processo civile e processo penale</w:t>
      </w:r>
      <w:r>
        <w:t>, Torino, 2000, 224 ss.</w:t>
      </w:r>
    </w:p>
  </w:footnote>
  <w:footnote w:id="7">
    <w:p w:rsidR="00164075" w:rsidRDefault="00164075" w:rsidP="000C7F58">
      <w:pPr>
        <w:spacing w:after="0" w:line="240" w:lineRule="auto"/>
        <w:jc w:val="both"/>
      </w:pPr>
      <w:r>
        <w:rPr>
          <w:rStyle w:val="Rimandonotaapidipagina"/>
        </w:rPr>
        <w:footnoteRef/>
      </w:r>
      <w:r>
        <w:t xml:space="preserve"> </w:t>
      </w:r>
      <w:r>
        <w:rPr>
          <w:sz w:val="20"/>
          <w:szCs w:val="20"/>
        </w:rPr>
        <w:t xml:space="preserve">Così la fondamentale </w:t>
      </w:r>
      <w:r w:rsidR="004179FB">
        <w:rPr>
          <w:sz w:val="20"/>
          <w:szCs w:val="20"/>
        </w:rPr>
        <w:t>Cass., s</w:t>
      </w:r>
      <w:r w:rsidRPr="006E3BC5">
        <w:rPr>
          <w:sz w:val="20"/>
          <w:szCs w:val="20"/>
        </w:rPr>
        <w:t xml:space="preserve">ez. un., </w:t>
      </w:r>
      <w:proofErr w:type="spellStart"/>
      <w:r w:rsidRPr="006E3BC5">
        <w:rPr>
          <w:sz w:val="20"/>
          <w:szCs w:val="20"/>
        </w:rPr>
        <w:t>ord</w:t>
      </w:r>
      <w:proofErr w:type="spellEnd"/>
      <w:r w:rsidRPr="006E3BC5">
        <w:rPr>
          <w:sz w:val="20"/>
          <w:szCs w:val="20"/>
        </w:rPr>
        <w:t xml:space="preserve">. 5 novembre 2001, n. 13862, in </w:t>
      </w:r>
      <w:proofErr w:type="spellStart"/>
      <w:r w:rsidRPr="006E3BC5">
        <w:rPr>
          <w:i/>
          <w:sz w:val="20"/>
          <w:szCs w:val="20"/>
        </w:rPr>
        <w:t>Giust</w:t>
      </w:r>
      <w:proofErr w:type="spellEnd"/>
      <w:r w:rsidRPr="006E3BC5">
        <w:rPr>
          <w:i/>
          <w:sz w:val="20"/>
          <w:szCs w:val="20"/>
        </w:rPr>
        <w:t>. civ.</w:t>
      </w:r>
      <w:r w:rsidRPr="006E3BC5">
        <w:rPr>
          <w:sz w:val="20"/>
          <w:szCs w:val="20"/>
        </w:rPr>
        <w:t xml:space="preserve">, 2002, I, 2209, ai fini della dipendenza richiesta per la sospensione necessaria </w:t>
      </w:r>
      <w:r w:rsidRPr="006E3BC5">
        <w:rPr>
          <w:i/>
          <w:sz w:val="20"/>
          <w:szCs w:val="20"/>
        </w:rPr>
        <w:t>ex</w:t>
      </w:r>
      <w:r w:rsidRPr="006E3BC5">
        <w:rPr>
          <w:sz w:val="20"/>
          <w:szCs w:val="20"/>
        </w:rPr>
        <w:t xml:space="preserve"> art. 295 c.p.c. dei</w:t>
      </w:r>
      <w:r>
        <w:rPr>
          <w:sz w:val="20"/>
          <w:szCs w:val="20"/>
        </w:rPr>
        <w:t xml:space="preserve"> giudizi civili non risarcitori. </w:t>
      </w:r>
    </w:p>
  </w:footnote>
  <w:footnote w:id="8">
    <w:p w:rsidR="00164075" w:rsidRDefault="00164075" w:rsidP="00E90128">
      <w:pPr>
        <w:pStyle w:val="Testonotaapidipagina"/>
        <w:jc w:val="both"/>
      </w:pPr>
      <w:r>
        <w:rPr>
          <w:rStyle w:val="Rimandonotaapidipagina"/>
        </w:rPr>
        <w:footnoteRef/>
      </w:r>
      <w:r>
        <w:t xml:space="preserve"> Cass., </w:t>
      </w:r>
      <w:proofErr w:type="spellStart"/>
      <w:r>
        <w:t>ord</w:t>
      </w:r>
      <w:proofErr w:type="spellEnd"/>
      <w:r>
        <w:t xml:space="preserve">. 18 maggio 2020, n. 9066; Cass., </w:t>
      </w:r>
      <w:proofErr w:type="spellStart"/>
      <w:r>
        <w:t>ord</w:t>
      </w:r>
      <w:proofErr w:type="spellEnd"/>
      <w:r>
        <w:t xml:space="preserve">. 4 aprile 2016, n. 6510; Cass., Cass., </w:t>
      </w:r>
      <w:proofErr w:type="spellStart"/>
      <w:r>
        <w:t>ord</w:t>
      </w:r>
      <w:proofErr w:type="spellEnd"/>
      <w:r>
        <w:t xml:space="preserve">. 23 marzo 2015, n. 5804; Cass., </w:t>
      </w:r>
      <w:proofErr w:type="spellStart"/>
      <w:r>
        <w:t>ord</w:t>
      </w:r>
      <w:proofErr w:type="spellEnd"/>
      <w:r>
        <w:t xml:space="preserve">. 21 dicembre 2010, n. 25822, in </w:t>
      </w:r>
      <w:r w:rsidRPr="00CD0D7B">
        <w:rPr>
          <w:i/>
        </w:rPr>
        <w:t xml:space="preserve">Giur. </w:t>
      </w:r>
      <w:proofErr w:type="spellStart"/>
      <w:r w:rsidRPr="00CD0D7B">
        <w:rPr>
          <w:i/>
        </w:rPr>
        <w:t>it</w:t>
      </w:r>
      <w:proofErr w:type="spellEnd"/>
      <w:r w:rsidRPr="00CD0D7B">
        <w:rPr>
          <w:i/>
        </w:rPr>
        <w:t>.</w:t>
      </w:r>
      <w:r>
        <w:t xml:space="preserve">, 2011, 2113, con nota di RONCO, </w:t>
      </w:r>
      <w:r>
        <w:rPr>
          <w:i/>
        </w:rPr>
        <w:t xml:space="preserve">Note minime sul coordinamento degli artt. 295 c.p.c., 654 c.p.p. e 211 </w:t>
      </w:r>
      <w:proofErr w:type="spellStart"/>
      <w:r>
        <w:rPr>
          <w:i/>
        </w:rPr>
        <w:t>disp</w:t>
      </w:r>
      <w:proofErr w:type="spellEnd"/>
      <w:r>
        <w:rPr>
          <w:i/>
        </w:rPr>
        <w:t xml:space="preserve">. </w:t>
      </w:r>
      <w:proofErr w:type="spellStart"/>
      <w:r>
        <w:rPr>
          <w:i/>
        </w:rPr>
        <w:t>att</w:t>
      </w:r>
      <w:proofErr w:type="spellEnd"/>
      <w:r>
        <w:rPr>
          <w:i/>
        </w:rPr>
        <w:t>. c.p.p.</w:t>
      </w:r>
      <w:r>
        <w:t xml:space="preserve">; </w:t>
      </w:r>
      <w:r w:rsidRPr="00E7771A">
        <w:rPr>
          <w:bCs/>
        </w:rPr>
        <w:t>Cass., 3 luglio 2009, n. 15641</w:t>
      </w:r>
      <w:r>
        <w:rPr>
          <w:bCs/>
        </w:rPr>
        <w:t xml:space="preserve">; </w:t>
      </w:r>
      <w:r>
        <w:t>Cass., 16 dicembre 2005, n. 27787</w:t>
      </w:r>
      <w:r>
        <w:rPr>
          <w:bCs/>
        </w:rPr>
        <w:t>.</w:t>
      </w:r>
    </w:p>
  </w:footnote>
  <w:footnote w:id="9">
    <w:p w:rsidR="00164075" w:rsidRPr="004F5F0B" w:rsidRDefault="00164075" w:rsidP="008304A4">
      <w:pPr>
        <w:pStyle w:val="Testonotaapidipagina"/>
        <w:jc w:val="both"/>
        <w:rPr>
          <w:color w:val="FF0000"/>
        </w:rPr>
      </w:pPr>
      <w:r>
        <w:rPr>
          <w:rStyle w:val="Rimandonotaapidipagina"/>
        </w:rPr>
        <w:footnoteRef/>
      </w:r>
      <w:r>
        <w:t xml:space="preserve"> Anche l’art. 2059, c.c. sembra confermare il principio, stante l’attuale possibilità di configurare il risarcimento del danno non patrimoniale in contesti di illecito che pure prescindono dall’integrazione di un reato (cfr. Corte cost., 11 luglio 2003, n. 233, in </w:t>
      </w:r>
      <w:r w:rsidRPr="008A659B">
        <w:rPr>
          <w:i/>
        </w:rPr>
        <w:t>Giur. cost</w:t>
      </w:r>
      <w:r>
        <w:t>., 2003, 4).</w:t>
      </w:r>
    </w:p>
  </w:footnote>
  <w:footnote w:id="10">
    <w:p w:rsidR="00164075" w:rsidRDefault="00164075" w:rsidP="001447FD">
      <w:pPr>
        <w:pStyle w:val="Testonotaapidipagina"/>
        <w:jc w:val="both"/>
      </w:pPr>
      <w:r>
        <w:rPr>
          <w:rStyle w:val="Rimandonotaapidipagina"/>
        </w:rPr>
        <w:footnoteRef/>
      </w:r>
      <w:r>
        <w:t xml:space="preserve"> Il mancato utilizzo della fattispecie che presuppone il reato impedisce sia l’esercizio, sia il trasferimento dell’azione civile nell’ambito del processo penale: gli artt. 74 e 75, c.p.p. riservano chiaramente tali possibilità alla domanda “per le restituzioni e per il risarcimento del danno di cui all’articolo 185 del codice penale”; l’art. 538 c.p.p. ribadisce che il giudice penale non può esaminare l’azione risarcitoria sotto il profilo della fattispecie (concorrente) che prescinde dal reato.</w:t>
      </w:r>
    </w:p>
  </w:footnote>
  <w:footnote w:id="11">
    <w:p w:rsidR="00164075" w:rsidRDefault="00164075" w:rsidP="00854BB2">
      <w:pPr>
        <w:spacing w:after="0" w:line="240" w:lineRule="auto"/>
        <w:jc w:val="both"/>
      </w:pPr>
      <w:r>
        <w:rPr>
          <w:rStyle w:val="Rimandonotaapidipagina"/>
        </w:rPr>
        <w:footnoteRef/>
      </w:r>
      <w:r>
        <w:t xml:space="preserve"> </w:t>
      </w:r>
      <w:r>
        <w:rPr>
          <w:sz w:val="20"/>
          <w:szCs w:val="20"/>
        </w:rPr>
        <w:t>Ove si segua l’attuale orientamento</w:t>
      </w:r>
      <w:r w:rsidRPr="00476862">
        <w:rPr>
          <w:sz w:val="20"/>
          <w:szCs w:val="20"/>
        </w:rPr>
        <w:t xml:space="preserve"> della S.C.</w:t>
      </w:r>
      <w:r>
        <w:rPr>
          <w:sz w:val="20"/>
          <w:szCs w:val="20"/>
        </w:rPr>
        <w:t>, che riserva l</w:t>
      </w:r>
      <w:r w:rsidRPr="00476862">
        <w:rPr>
          <w:sz w:val="20"/>
          <w:szCs w:val="20"/>
        </w:rPr>
        <w:t>a sospensione necessaria</w:t>
      </w:r>
      <w:r>
        <w:rPr>
          <w:sz w:val="20"/>
          <w:szCs w:val="20"/>
        </w:rPr>
        <w:t xml:space="preserve"> </w:t>
      </w:r>
      <w:r>
        <w:rPr>
          <w:i/>
          <w:sz w:val="20"/>
          <w:szCs w:val="20"/>
        </w:rPr>
        <w:t>ex</w:t>
      </w:r>
      <w:r>
        <w:rPr>
          <w:sz w:val="20"/>
          <w:szCs w:val="20"/>
        </w:rPr>
        <w:t xml:space="preserve"> art. 295, c.p.c. </w:t>
      </w:r>
      <w:r w:rsidRPr="00476862">
        <w:rPr>
          <w:sz w:val="20"/>
          <w:szCs w:val="20"/>
        </w:rPr>
        <w:t xml:space="preserve">alle </w:t>
      </w:r>
      <w:r>
        <w:rPr>
          <w:sz w:val="20"/>
          <w:szCs w:val="20"/>
        </w:rPr>
        <w:t xml:space="preserve">ipotesi </w:t>
      </w:r>
      <w:r w:rsidRPr="00476862">
        <w:rPr>
          <w:sz w:val="20"/>
          <w:szCs w:val="20"/>
        </w:rPr>
        <w:t xml:space="preserve">in cui sul rapporto pregiudiziale non sia ancora intervenuta una decisione di merito, </w:t>
      </w:r>
      <w:r>
        <w:rPr>
          <w:sz w:val="20"/>
          <w:szCs w:val="20"/>
        </w:rPr>
        <w:t>adottando</w:t>
      </w:r>
      <w:r w:rsidRPr="00476862">
        <w:rPr>
          <w:sz w:val="20"/>
          <w:szCs w:val="20"/>
        </w:rPr>
        <w:t xml:space="preserve"> </w:t>
      </w:r>
      <w:r>
        <w:rPr>
          <w:sz w:val="20"/>
          <w:szCs w:val="20"/>
        </w:rPr>
        <w:t xml:space="preserve">per </w:t>
      </w:r>
      <w:r w:rsidRPr="00476862">
        <w:rPr>
          <w:sz w:val="20"/>
          <w:szCs w:val="20"/>
        </w:rPr>
        <w:t xml:space="preserve">gli altri casi la sospensione facoltativa </w:t>
      </w:r>
      <w:r w:rsidRPr="00476862">
        <w:rPr>
          <w:i/>
          <w:sz w:val="20"/>
          <w:szCs w:val="20"/>
        </w:rPr>
        <w:t>ex</w:t>
      </w:r>
      <w:r w:rsidRPr="00476862">
        <w:rPr>
          <w:sz w:val="20"/>
          <w:szCs w:val="20"/>
        </w:rPr>
        <w:t xml:space="preserve"> art. 337, comma 2, c.p.c</w:t>
      </w:r>
      <w:r>
        <w:rPr>
          <w:sz w:val="20"/>
          <w:szCs w:val="20"/>
        </w:rPr>
        <w:t xml:space="preserve">. </w:t>
      </w:r>
    </w:p>
  </w:footnote>
  <w:footnote w:id="12">
    <w:p w:rsidR="00164075" w:rsidRDefault="00164075" w:rsidP="000F5794">
      <w:pPr>
        <w:pStyle w:val="Testonotaapidipagina"/>
        <w:jc w:val="both"/>
      </w:pPr>
      <w:r>
        <w:rPr>
          <w:rStyle w:val="Rimandonotaapidipagina"/>
        </w:rPr>
        <w:footnoteRef/>
      </w:r>
      <w:r w:rsidR="00571202">
        <w:t xml:space="preserve"> Intento </w:t>
      </w:r>
      <w:r>
        <w:t xml:space="preserve">dichiarato fin dalla </w:t>
      </w:r>
      <w:r>
        <w:rPr>
          <w:i/>
        </w:rPr>
        <w:t>Relazione al Progetto preliminare</w:t>
      </w:r>
      <w:r>
        <w:t xml:space="preserve"> (pag. 142) e puntualmente riscontrato dai primi commentatori: v. ad es. PENNISI, </w:t>
      </w:r>
      <w:r w:rsidRPr="002B1D95">
        <w:rPr>
          <w:i/>
        </w:rPr>
        <w:t>Nuove prospettive per l’azione di risarcimento del danno</w:t>
      </w:r>
      <w:r>
        <w:t xml:space="preserve">, in </w:t>
      </w:r>
      <w:r w:rsidRPr="002B1D95">
        <w:rPr>
          <w:i/>
        </w:rPr>
        <w:t>Nuovi profili nei rapporti fra processo civile e processo penale</w:t>
      </w:r>
      <w:r>
        <w:t xml:space="preserve">, Atti del Convegno di studio Trento, 18 e 19 giugno 1993, Milano, 1995, 98 ss.; GRAZIOSI C., </w:t>
      </w:r>
      <w:r w:rsidRPr="0015500E">
        <w:rPr>
          <w:i/>
        </w:rPr>
        <w:t>Osservazioni sulla nuova disciplina della pregiudizialità penale al processo civile</w:t>
      </w:r>
      <w:r>
        <w:t xml:space="preserve">, </w:t>
      </w:r>
      <w:r w:rsidRPr="0015500E">
        <w:rPr>
          <w:i/>
        </w:rPr>
        <w:t xml:space="preserve">in </w:t>
      </w:r>
      <w:proofErr w:type="spellStart"/>
      <w:r w:rsidRPr="0015500E">
        <w:rPr>
          <w:i/>
        </w:rPr>
        <w:t>Riv</w:t>
      </w:r>
      <w:proofErr w:type="spellEnd"/>
      <w:r w:rsidRPr="0015500E">
        <w:rPr>
          <w:i/>
        </w:rPr>
        <w:t>. trim. dir. proc. civ.</w:t>
      </w:r>
      <w:r>
        <w:t xml:space="preserve">, 1992, 409 ss.; TRISORIO LIUZZI, </w:t>
      </w:r>
      <w:r w:rsidRPr="00C87221">
        <w:rPr>
          <w:i/>
        </w:rPr>
        <w:t>Disposizioni in tema di rapporti tra processo penale e processo civile nel nuovo codice di procedura penale</w:t>
      </w:r>
      <w:r>
        <w:t xml:space="preserve">, in </w:t>
      </w:r>
      <w:r w:rsidR="00571202">
        <w:rPr>
          <w:i/>
        </w:rPr>
        <w:t xml:space="preserve">Nuove leggi civ. </w:t>
      </w:r>
      <w:r w:rsidRPr="00C87221">
        <w:rPr>
          <w:i/>
        </w:rPr>
        <w:t>comm</w:t>
      </w:r>
      <w:r w:rsidR="00571202">
        <w:rPr>
          <w:i/>
        </w:rPr>
        <w:t>.</w:t>
      </w:r>
      <w:r>
        <w:t>, 1990, 898.</w:t>
      </w:r>
    </w:p>
  </w:footnote>
  <w:footnote w:id="13">
    <w:p w:rsidR="00164075" w:rsidRDefault="00164075" w:rsidP="00E45B9E">
      <w:pPr>
        <w:pStyle w:val="Testonotaapidipagina"/>
        <w:jc w:val="both"/>
      </w:pPr>
      <w:r>
        <w:rPr>
          <w:rStyle w:val="Rimandonotaapidipagina"/>
        </w:rPr>
        <w:footnoteRef/>
      </w:r>
      <w:r>
        <w:t xml:space="preserve"> Posto che il processo civile iniziato quando non è più ammessa la costituzione di parte civile (art. 79 c.p.p.) rientra ancora sotto l’ombrello protettivo dell’art. 75, comma 2, c.p.p., la via civile “incondizionata” rimane aperta per il danneggiato nell’ulteriore lasso di tempo che va dal compimento degli atti introduttivi al dibattimento fino all’emanazione della sentenza; cfr. GRAZIOSI C., </w:t>
      </w:r>
      <w:r w:rsidRPr="0015500E">
        <w:rPr>
          <w:i/>
        </w:rPr>
        <w:t>Osservazioni sulla nuova disciplina della pregiudizialità</w:t>
      </w:r>
      <w:r>
        <w:t xml:space="preserve">, cit., 420 s. </w:t>
      </w:r>
    </w:p>
  </w:footnote>
  <w:footnote w:id="14">
    <w:p w:rsidR="00164075" w:rsidRPr="000E2B3D" w:rsidRDefault="00164075" w:rsidP="003D1202">
      <w:pPr>
        <w:pStyle w:val="Testonotaapidipagina"/>
        <w:jc w:val="both"/>
      </w:pPr>
      <w:r>
        <w:rPr>
          <w:rStyle w:val="Rimandonotaapidipagina"/>
        </w:rPr>
        <w:footnoteRef/>
      </w:r>
      <w:r>
        <w:t xml:space="preserve"> </w:t>
      </w:r>
      <w:r>
        <w:rPr>
          <w:i/>
        </w:rPr>
        <w:t>Relazione al testo definitivo</w:t>
      </w:r>
      <w:r>
        <w:t>, p. 173: “Nel comma 3, infine, è stato aggiunto l’inciso &lt;&lt;o dopo la sentenza di primo grado&gt;&gt;, in quanto la presenza di tale provvedimento fa ritenere opportuna la previsione del medesimo – ed eccezio</w:t>
      </w:r>
      <w:r w:rsidR="00924DB1">
        <w:t xml:space="preserve">nale – effetto sospensivo”. Secondo </w:t>
      </w:r>
      <w:r>
        <w:t xml:space="preserve">VOLPINO, </w:t>
      </w:r>
      <w:r>
        <w:rPr>
          <w:i/>
        </w:rPr>
        <w:t>“Il giudice ne assicura la ragionevole durata”. A proposito di p</w:t>
      </w:r>
      <w:r w:rsidRPr="00DB0856">
        <w:rPr>
          <w:i/>
        </w:rPr>
        <w:t>regiudizialità penale e liti civil</w:t>
      </w:r>
      <w:r>
        <w:rPr>
          <w:i/>
        </w:rPr>
        <w:t>i di danno soggettivamente complesse</w:t>
      </w:r>
      <w:r>
        <w:t xml:space="preserve">, in </w:t>
      </w:r>
      <w:r>
        <w:rPr>
          <w:i/>
        </w:rPr>
        <w:t>Legislazione penale</w:t>
      </w:r>
      <w:r>
        <w:t>, 2020,</w:t>
      </w:r>
      <w:r>
        <w:rPr>
          <w:i/>
        </w:rPr>
        <w:t xml:space="preserve"> </w:t>
      </w:r>
      <w:r>
        <w:t>20, l’opportunità del coordinamento</w:t>
      </w:r>
      <w:r w:rsidR="00924DB1">
        <w:t xml:space="preserve"> è ravvisabile</w:t>
      </w:r>
      <w:r>
        <w:t xml:space="preserve"> “in ragione del più avanzato svolgimento del processo penale”.</w:t>
      </w:r>
    </w:p>
  </w:footnote>
  <w:footnote w:id="15">
    <w:p w:rsidR="00164075" w:rsidRDefault="00164075" w:rsidP="005247B3">
      <w:pPr>
        <w:pStyle w:val="Testonotaapidipagina"/>
        <w:jc w:val="both"/>
      </w:pPr>
      <w:r>
        <w:rPr>
          <w:rStyle w:val="Rimandonotaapidipagina"/>
        </w:rPr>
        <w:footnoteRef/>
      </w:r>
      <w:r>
        <w:t xml:space="preserve"> Poiché non sarebbe possibile conservare efficacia preclusiva all’accertamento penale senza permettere al danneggiato di prendere parte al processo, la costituzione di parte civile e l’autorità del giudicato penale sono istituti legati alla stessa sorte; per quanto i compilatori del codice abbiano cercato di scoraggiare l’uno e di contenere l’incidenza dell’altro, una scelta più radicale era impraticabile, in quanto le direttive della delega prevedevano il mantenimento di entrambi (l. 16 febbraio 1987, n. 81, art. 2, comma 1, n. 20 e </w:t>
      </w:r>
      <w:proofErr w:type="spellStart"/>
      <w:r>
        <w:t>nn</w:t>
      </w:r>
      <w:proofErr w:type="spellEnd"/>
      <w:r>
        <w:t xml:space="preserve">. 22-23). </w:t>
      </w:r>
    </w:p>
  </w:footnote>
  <w:footnote w:id="16">
    <w:p w:rsidR="00164075" w:rsidRDefault="00164075" w:rsidP="00791377">
      <w:pPr>
        <w:pStyle w:val="Testonotaapidipagina"/>
        <w:jc w:val="both"/>
      </w:pPr>
      <w:r>
        <w:rPr>
          <w:rStyle w:val="Rimandonotaapidipagina"/>
        </w:rPr>
        <w:footnoteRef/>
      </w:r>
      <w:r>
        <w:t xml:space="preserve"> Intendendosi qui, come regola, il generale principio secondo cui il giudicato non si forma sui fatti – le premesse logiche esposte come motivi della decisione – bensì sugli effetti che ne derivano come situazioni sostanziali compiute. In materia penale questo aspetto passa in secondo piano perché l’autorità del giudicato penale in sede propria si percepisce essenzialmente in negativo con il divieto di un secondo giudizio, mentre l’impiego del contenuto di accertamento in positivo è per lo più ostacolato dai limiti soggettivi: cfr. MARZADURI, </w:t>
      </w:r>
      <w:r w:rsidRPr="003268C5">
        <w:rPr>
          <w:i/>
        </w:rPr>
        <w:t>Questioni pregiudiziali</w:t>
      </w:r>
      <w:r>
        <w:rPr>
          <w:i/>
        </w:rPr>
        <w:t xml:space="preserve"> (dir. proc. </w:t>
      </w:r>
      <w:proofErr w:type="spellStart"/>
      <w:r>
        <w:rPr>
          <w:i/>
        </w:rPr>
        <w:t>pen</w:t>
      </w:r>
      <w:proofErr w:type="spellEnd"/>
      <w:r>
        <w:rPr>
          <w:i/>
        </w:rPr>
        <w:t>.)</w:t>
      </w:r>
      <w:r>
        <w:t>, in</w:t>
      </w:r>
      <w:r>
        <w:rPr>
          <w:i/>
        </w:rPr>
        <w:t xml:space="preserve"> </w:t>
      </w:r>
      <w:proofErr w:type="spellStart"/>
      <w:r>
        <w:rPr>
          <w:i/>
        </w:rPr>
        <w:t>Enc</w:t>
      </w:r>
      <w:proofErr w:type="spellEnd"/>
      <w:r>
        <w:rPr>
          <w:i/>
        </w:rPr>
        <w:t>. dir.</w:t>
      </w:r>
      <w:r>
        <w:t xml:space="preserve">, XXXVIII, Milano, 1987, 111; LOZZI, </w:t>
      </w:r>
      <w:r>
        <w:rPr>
          <w:i/>
        </w:rPr>
        <w:t>Giudicato (diritto penale)</w:t>
      </w:r>
      <w:r>
        <w:t>, in</w:t>
      </w:r>
      <w:r>
        <w:rPr>
          <w:i/>
        </w:rPr>
        <w:t xml:space="preserve"> </w:t>
      </w:r>
      <w:proofErr w:type="spellStart"/>
      <w:r>
        <w:rPr>
          <w:i/>
        </w:rPr>
        <w:t>Enc</w:t>
      </w:r>
      <w:proofErr w:type="spellEnd"/>
      <w:r>
        <w:rPr>
          <w:i/>
        </w:rPr>
        <w:t>. dir.</w:t>
      </w:r>
      <w:r>
        <w:t>, XVIII, Milano, 1969, 919.</w:t>
      </w:r>
    </w:p>
  </w:footnote>
  <w:footnote w:id="17">
    <w:p w:rsidR="00164075" w:rsidRDefault="00164075" w:rsidP="00D15EF3">
      <w:pPr>
        <w:pStyle w:val="Testonotaapidipagina"/>
        <w:jc w:val="both"/>
      </w:pPr>
      <w:r>
        <w:rPr>
          <w:rStyle w:val="Rimandonotaapidipagina"/>
        </w:rPr>
        <w:footnoteRef/>
      </w:r>
      <w:r>
        <w:t xml:space="preserve"> Anzi a dire il vero, rispetto alle prime codificazioni la “base comune” risulta ampliata con l’aggiunta del vincolo sulle cause di giustificazione, comparso nel codice Rocco e mantenuto anche dal vigente art. 652, c.p.p. </w:t>
      </w:r>
    </w:p>
  </w:footnote>
  <w:footnote w:id="18">
    <w:p w:rsidR="00164075" w:rsidRDefault="00164075" w:rsidP="00796A2D">
      <w:pPr>
        <w:pStyle w:val="Testonotaapidipagina"/>
        <w:jc w:val="both"/>
      </w:pPr>
      <w:r>
        <w:rPr>
          <w:rStyle w:val="Rimandonotaapidipagina"/>
        </w:rPr>
        <w:footnoteRef/>
      </w:r>
      <w:r>
        <w:t xml:space="preserve"> Anzitutto per eccesso di delega, posto che la direttiva n. 22 stabiliva requisiti soggettivi i</w:t>
      </w:r>
      <w:r w:rsidR="00846FE4">
        <w:t>dentici per tutte le parti</w:t>
      </w:r>
      <w:r>
        <w:t>; in secondo luogo perché non richiede l’accettazione del danneggiato che non abbia potuto prendere parte al processo, dando per presupposto che i contenuti della pronuncia siano vantag</w:t>
      </w:r>
      <w:r w:rsidR="00846FE4">
        <w:t>giosi per lui in ogni caso</w:t>
      </w:r>
      <w:r>
        <w:t>; infine, ma non per ultimo, perché squilibra la posizione delle parti esponendo il danneggiante a rischi d</w:t>
      </w:r>
      <w:r w:rsidR="00846FE4">
        <w:t>i sconfitta indiscriminati</w:t>
      </w:r>
      <w:r>
        <w:t>.</w:t>
      </w:r>
    </w:p>
  </w:footnote>
  <w:footnote w:id="19">
    <w:p w:rsidR="00164075" w:rsidRDefault="00164075" w:rsidP="00C835F3">
      <w:pPr>
        <w:pStyle w:val="Testonotaapidipagina"/>
        <w:jc w:val="both"/>
      </w:pPr>
      <w:r>
        <w:rPr>
          <w:rStyle w:val="Rimandonotaapidipagina"/>
        </w:rPr>
        <w:footnoteRef/>
      </w:r>
      <w:r>
        <w:t xml:space="preserve"> Si consideri che vi sono svariate norme (artt. 71, comma 6, 88, comma 3, 441, comma 3, 444, comma 2, c.p.p.) in cui, puntualmente, si trova precisato “non si applica la disposizione dell’articolo 75, comma 3”. La dottrina che si è posta il problema indicato nel testo ha concluso prevalentemente per la disapplicazione: GHIARA, in </w:t>
      </w:r>
      <w:r>
        <w:rPr>
          <w:i/>
        </w:rPr>
        <w:t>Commento al nuovo codice di procedura penale</w:t>
      </w:r>
      <w:r>
        <w:t xml:space="preserve"> coordinato da M. </w:t>
      </w:r>
      <w:proofErr w:type="spellStart"/>
      <w:r>
        <w:t>Chiavario</w:t>
      </w:r>
      <w:proofErr w:type="spellEnd"/>
      <w:r>
        <w:t xml:space="preserve">, I, Torino, 1989, 370; TRISORIO LIUZZI, </w:t>
      </w:r>
      <w:r w:rsidRPr="007618C5">
        <w:rPr>
          <w:i/>
        </w:rPr>
        <w:t>Riforma del processo penale e sospensione del processo civile</w:t>
      </w:r>
      <w:r>
        <w:t xml:space="preserve">, in </w:t>
      </w:r>
      <w:proofErr w:type="spellStart"/>
      <w:r w:rsidRPr="007618C5">
        <w:rPr>
          <w:i/>
        </w:rPr>
        <w:t>Riv</w:t>
      </w:r>
      <w:proofErr w:type="spellEnd"/>
      <w:r w:rsidRPr="007618C5">
        <w:rPr>
          <w:i/>
        </w:rPr>
        <w:t>.</w:t>
      </w:r>
      <w:r>
        <w:rPr>
          <w:i/>
        </w:rPr>
        <w:t xml:space="preserve"> </w:t>
      </w:r>
      <w:r w:rsidRPr="007618C5">
        <w:rPr>
          <w:i/>
        </w:rPr>
        <w:t>dir.</w:t>
      </w:r>
      <w:r>
        <w:rPr>
          <w:i/>
        </w:rPr>
        <w:t xml:space="preserve"> </w:t>
      </w:r>
      <w:r w:rsidRPr="007618C5">
        <w:rPr>
          <w:i/>
        </w:rPr>
        <w:t>proc</w:t>
      </w:r>
      <w:r>
        <w:t xml:space="preserve">., 1990, 547 s.; SPANGHER, </w:t>
      </w:r>
      <w:r w:rsidRPr="00854BB2">
        <w:rPr>
          <w:i/>
        </w:rPr>
        <w:t>Nuovi profili</w:t>
      </w:r>
      <w:r>
        <w:t xml:space="preserve"> </w:t>
      </w:r>
      <w:r w:rsidRPr="002B1D95">
        <w:rPr>
          <w:i/>
        </w:rPr>
        <w:t>nei rapporti fra processo civile e processo penale</w:t>
      </w:r>
      <w:r>
        <w:t xml:space="preserve">, in </w:t>
      </w:r>
      <w:r>
        <w:rPr>
          <w:i/>
        </w:rPr>
        <w:t>Nuovi profili</w:t>
      </w:r>
      <w:r>
        <w:t xml:space="preserve">, cit., 54; MENCHINI, </w:t>
      </w:r>
      <w:r w:rsidRPr="00C040F2">
        <w:rPr>
          <w:i/>
        </w:rPr>
        <w:t>Sospensione del processo civile di cognizione</w:t>
      </w:r>
      <w:r>
        <w:t xml:space="preserve">, in </w:t>
      </w:r>
      <w:proofErr w:type="spellStart"/>
      <w:r w:rsidRPr="00C040F2">
        <w:rPr>
          <w:i/>
        </w:rPr>
        <w:t>Enc</w:t>
      </w:r>
      <w:proofErr w:type="spellEnd"/>
      <w:r w:rsidRPr="00C040F2">
        <w:rPr>
          <w:i/>
        </w:rPr>
        <w:t>. Dir</w:t>
      </w:r>
      <w:r>
        <w:t xml:space="preserve">., XLIII, Milano, 1990, 47. Sul punto, da ultimo, BONAFINE, </w:t>
      </w:r>
      <w:r>
        <w:rPr>
          <w:i/>
        </w:rPr>
        <w:t xml:space="preserve">La sospensione del processo civile per pendenza del processo penale: tra consolidati approdi e recenti applicazioni in tema di cumulo soggettivo, </w:t>
      </w:r>
      <w:r w:rsidRPr="006159C2">
        <w:t xml:space="preserve">in </w:t>
      </w:r>
      <w:proofErr w:type="spellStart"/>
      <w:r w:rsidRPr="006159C2">
        <w:rPr>
          <w:i/>
        </w:rPr>
        <w:t>Judicium</w:t>
      </w:r>
      <w:proofErr w:type="spellEnd"/>
      <w:r>
        <w:t>, 2020,</w:t>
      </w:r>
      <w:r w:rsidR="007A4075">
        <w:t xml:space="preserve"> fasc. 2,</w:t>
      </w:r>
      <w:r>
        <w:rPr>
          <w:i/>
        </w:rPr>
        <w:t xml:space="preserve"> </w:t>
      </w:r>
      <w:r>
        <w:t>82 s.</w:t>
      </w:r>
    </w:p>
  </w:footnote>
  <w:footnote w:id="20">
    <w:p w:rsidR="00164075" w:rsidRDefault="00164075" w:rsidP="003E2324">
      <w:pPr>
        <w:pStyle w:val="Testonotaapidipagina"/>
        <w:jc w:val="both"/>
      </w:pPr>
      <w:r>
        <w:rPr>
          <w:rStyle w:val="Rimandonotaapidipagina"/>
        </w:rPr>
        <w:footnoteRef/>
      </w:r>
      <w:r>
        <w:t xml:space="preserve"> Dubbio sciolto da Cass., 26 febbraio 2001, n. 2758, in </w:t>
      </w:r>
      <w:proofErr w:type="spellStart"/>
      <w:r w:rsidRPr="00FE724C">
        <w:rPr>
          <w:i/>
        </w:rPr>
        <w:t>Giust</w:t>
      </w:r>
      <w:proofErr w:type="spellEnd"/>
      <w:r w:rsidRPr="00FE724C">
        <w:rPr>
          <w:i/>
        </w:rPr>
        <w:t>. civ.,</w:t>
      </w:r>
      <w:r>
        <w:t xml:space="preserve"> 2001, 2690, che correttamente ha sancito l’applicazione dell’art. 88, comma 3 nella sua portata più ampia.</w:t>
      </w:r>
    </w:p>
  </w:footnote>
  <w:footnote w:id="21">
    <w:p w:rsidR="00164075" w:rsidRDefault="00164075" w:rsidP="004A34C9">
      <w:pPr>
        <w:pStyle w:val="Testonotaapidipagina"/>
        <w:jc w:val="both"/>
      </w:pPr>
      <w:r>
        <w:rPr>
          <w:rStyle w:val="Rimandonotaapidipagina"/>
        </w:rPr>
        <w:footnoteRef/>
      </w:r>
      <w:r>
        <w:t xml:space="preserve"> Elementi che secondo la costante giurisprudenza costituzionale sono determinanti, insieme al litisconsorzio necessario e al rapporto interno di garanzia fra assicuratore e danneggiante, affinché possa ritenersi integrata la fattispecie descritta dall’art. 185, comma 2, c.p. (da ultimo, Corte cost. 21 febbraio 2018, n. 34). Finora tale qualità è stata riconosciuta soltanto all’assicurazione obbligatoria RCA, ma è plausibile che</w:t>
      </w:r>
      <w:r w:rsidRPr="000C7F58">
        <w:t xml:space="preserve"> </w:t>
      </w:r>
      <w:r>
        <w:t>varrà lo stesso discorso per l’assicurazione della responsabilità sanitaria (artt. 10 e 12, l. 8 marzo 2017, n. 24), circa la quale però sono ancora attesi i decreti ministeriali attuativi.</w:t>
      </w:r>
    </w:p>
  </w:footnote>
  <w:footnote w:id="22">
    <w:p w:rsidR="00164075" w:rsidRDefault="00164075" w:rsidP="00EF3C2C">
      <w:pPr>
        <w:pStyle w:val="Testonotaapidipagina"/>
        <w:jc w:val="both"/>
      </w:pPr>
      <w:r>
        <w:rPr>
          <w:rStyle w:val="Rimandonotaapidipagina"/>
        </w:rPr>
        <w:footnoteRef/>
      </w:r>
      <w:r>
        <w:t xml:space="preserve"> O dall’imputato, nella speciale ipotesi di assicurazione obbligatoria derivante dalla circolazione dei veicoli: Corte cost., 16 aprile 1998, n. 112.</w:t>
      </w:r>
    </w:p>
  </w:footnote>
  <w:footnote w:id="23">
    <w:p w:rsidR="00164075" w:rsidRDefault="00164075" w:rsidP="00DA5E85">
      <w:pPr>
        <w:pStyle w:val="Testonotaapidipagina"/>
        <w:jc w:val="both"/>
      </w:pPr>
      <w:r>
        <w:rPr>
          <w:rStyle w:val="Rimandonotaapidipagina"/>
        </w:rPr>
        <w:footnoteRef/>
      </w:r>
      <w:r>
        <w:t xml:space="preserve"> Peraltro, secondo Cass., </w:t>
      </w:r>
      <w:proofErr w:type="spellStart"/>
      <w:r>
        <w:t>ord</w:t>
      </w:r>
      <w:proofErr w:type="spellEnd"/>
      <w:r>
        <w:t>. 26 gennaio 2009, n. 1862, della sentenza di assoluzione il responsabile civile potrebbe giovarsi indipendentemente dall’aver preso parte al processo, facendo valere il disposto dell’art. 1306, comma 2, c.c.</w:t>
      </w:r>
    </w:p>
  </w:footnote>
  <w:footnote w:id="24">
    <w:p w:rsidR="00164075" w:rsidRDefault="00164075" w:rsidP="00D1686C">
      <w:pPr>
        <w:pStyle w:val="Testonotaapidipagina"/>
        <w:jc w:val="both"/>
      </w:pPr>
      <w:r>
        <w:rPr>
          <w:rStyle w:val="Rimandonotaapidipagina"/>
        </w:rPr>
        <w:footnoteRef/>
      </w:r>
      <w:r>
        <w:t xml:space="preserve"> Diversamente VOLPINO, </w:t>
      </w:r>
      <w:r w:rsidRPr="00397C61">
        <w:rPr>
          <w:i/>
        </w:rPr>
        <w:t xml:space="preserve">Pregiudizialità penale e liti di danno soggettivamente complesse: le Sezioni unite e le norme </w:t>
      </w:r>
      <w:r>
        <w:rPr>
          <w:i/>
        </w:rPr>
        <w:t>“</w:t>
      </w:r>
      <w:r w:rsidRPr="00397C61">
        <w:rPr>
          <w:i/>
        </w:rPr>
        <w:t>sanzionatorie</w:t>
      </w:r>
      <w:r>
        <w:rPr>
          <w:i/>
        </w:rPr>
        <w:t>”</w:t>
      </w:r>
      <w:r w:rsidRPr="00397C61">
        <w:rPr>
          <w:i/>
        </w:rPr>
        <w:t xml:space="preserve"> che diventano premianti</w:t>
      </w:r>
      <w:r>
        <w:t xml:space="preserve">, in </w:t>
      </w:r>
      <w:r w:rsidRPr="00397C61">
        <w:rPr>
          <w:i/>
        </w:rPr>
        <w:t>Nuova giur. civ. comm</w:t>
      </w:r>
      <w:r>
        <w:t xml:space="preserve">., 2019, </w:t>
      </w:r>
      <w:r w:rsidRPr="004179FB">
        <w:t>1300</w:t>
      </w:r>
      <w:r>
        <w:t>, in nota alla decisione anche qui pubblicata, ritiene che in caso di RCA l’assicurazione possa partecipare al processo penale indipendentemente dalla costituzione di parte civile.</w:t>
      </w:r>
    </w:p>
  </w:footnote>
  <w:footnote w:id="25">
    <w:p w:rsidR="00164075" w:rsidRDefault="00164075" w:rsidP="00FC2350">
      <w:pPr>
        <w:pStyle w:val="Testonotaapidipagina"/>
        <w:jc w:val="both"/>
      </w:pPr>
      <w:r>
        <w:rPr>
          <w:rStyle w:val="Rimandonotaapidipagina"/>
        </w:rPr>
        <w:footnoteRef/>
      </w:r>
      <w:r>
        <w:t xml:space="preserve"> COSTANTINO, </w:t>
      </w:r>
      <w:r w:rsidRPr="00FC2350">
        <w:rPr>
          <w:i/>
        </w:rPr>
        <w:t>Contributo allo studio del litisconsorzio necessario</w:t>
      </w:r>
      <w:r>
        <w:t>, Napoli, 1979, 436 ss.</w:t>
      </w:r>
    </w:p>
  </w:footnote>
  <w:footnote w:id="26">
    <w:p w:rsidR="00164075" w:rsidRDefault="00164075" w:rsidP="00180965">
      <w:pPr>
        <w:pStyle w:val="Testonotaapidipagina"/>
        <w:jc w:val="both"/>
      </w:pPr>
      <w:r>
        <w:rPr>
          <w:rStyle w:val="Rimandonotaapidipagina"/>
        </w:rPr>
        <w:footnoteRef/>
      </w:r>
      <w:r>
        <w:t xml:space="preserve"> </w:t>
      </w:r>
      <w:r w:rsidR="007A4075">
        <w:t xml:space="preserve">Cfr. </w:t>
      </w:r>
      <w:r>
        <w:t xml:space="preserve">ZUMPANO, </w:t>
      </w:r>
      <w:r>
        <w:rPr>
          <w:i/>
        </w:rPr>
        <w:t>Rapporti tra processo civile e processo penale</w:t>
      </w:r>
      <w:r>
        <w:t>, cit.,</w:t>
      </w:r>
      <w:r>
        <w:rPr>
          <w:i/>
        </w:rPr>
        <w:t xml:space="preserve"> </w:t>
      </w:r>
      <w:r>
        <w:t xml:space="preserve">342 s., ove si analizza il citato passo della </w:t>
      </w:r>
      <w:r>
        <w:rPr>
          <w:i/>
        </w:rPr>
        <w:t>Relazione al Progetto preliminare</w:t>
      </w:r>
      <w:r>
        <w:t xml:space="preserve">, p. 142, anche per mettere in evidenza come i criteri fissati dalla legge delega prescrivessero l’efficacia </w:t>
      </w:r>
      <w:proofErr w:type="spellStart"/>
      <w:r>
        <w:t>extrapenale</w:t>
      </w:r>
      <w:proofErr w:type="spellEnd"/>
      <w:r>
        <w:t xml:space="preserve"> del giudicato alle medesime condizioni soggettive per entrambi gli esiti (direttive </w:t>
      </w:r>
      <w:proofErr w:type="spellStart"/>
      <w:r>
        <w:t>nn</w:t>
      </w:r>
      <w:proofErr w:type="spellEnd"/>
      <w:r>
        <w:t xml:space="preserve">. 22 e 23).    </w:t>
      </w:r>
    </w:p>
  </w:footnote>
  <w:footnote w:id="27">
    <w:p w:rsidR="00164075" w:rsidRDefault="00164075" w:rsidP="00CD6961">
      <w:pPr>
        <w:pStyle w:val="Testonotaapidipagina"/>
        <w:jc w:val="both"/>
      </w:pPr>
      <w:r>
        <w:rPr>
          <w:rStyle w:val="Rimandonotaapidipagina"/>
        </w:rPr>
        <w:footnoteRef/>
      </w:r>
      <w:r>
        <w:t xml:space="preserve"> </w:t>
      </w:r>
      <w:proofErr w:type="gramStart"/>
      <w:r>
        <w:t>E’</w:t>
      </w:r>
      <w:proofErr w:type="gramEnd"/>
      <w:r>
        <w:t xml:space="preserve"> l’obiezione di Cass., </w:t>
      </w:r>
      <w:proofErr w:type="spellStart"/>
      <w:r>
        <w:t>ord</w:t>
      </w:r>
      <w:proofErr w:type="spellEnd"/>
      <w:r>
        <w:t>. 26 gennaio 2009, n. 1862.</w:t>
      </w:r>
    </w:p>
  </w:footnote>
  <w:footnote w:id="28">
    <w:p w:rsidR="00164075" w:rsidRDefault="00164075" w:rsidP="00037808">
      <w:pPr>
        <w:pStyle w:val="Testonotaapidipagina"/>
        <w:jc w:val="both"/>
      </w:pPr>
      <w:r>
        <w:rPr>
          <w:rStyle w:val="Rimandonotaapidipagina"/>
        </w:rPr>
        <w:footnoteRef/>
      </w:r>
      <w:r>
        <w:t xml:space="preserve"> Nello stesso senso, BONAFINE, </w:t>
      </w:r>
      <w:r w:rsidR="007A4075">
        <w:rPr>
          <w:i/>
        </w:rPr>
        <w:t>La sospensione del processo civile</w:t>
      </w:r>
      <w:r w:rsidR="007A4075">
        <w:t>, cit.,</w:t>
      </w:r>
      <w:r w:rsidR="007A4075">
        <w:rPr>
          <w:i/>
        </w:rPr>
        <w:t xml:space="preserve"> </w:t>
      </w:r>
      <w:r>
        <w:t>103</w:t>
      </w:r>
      <w:r w:rsidR="007A4075">
        <w:t xml:space="preserve">; VOLPINO, </w:t>
      </w:r>
      <w:r w:rsidR="007A4075" w:rsidRPr="00397C61">
        <w:rPr>
          <w:i/>
        </w:rPr>
        <w:t>Pregiudizialità penale e liti di danno soggettivamente complesse</w:t>
      </w:r>
      <w:r w:rsidR="007A4075">
        <w:t>, cit.</w:t>
      </w:r>
    </w:p>
  </w:footnote>
  <w:footnote w:id="29">
    <w:p w:rsidR="00164075" w:rsidRDefault="00164075" w:rsidP="006D1023">
      <w:pPr>
        <w:pStyle w:val="Testonotaapidipagina"/>
        <w:jc w:val="both"/>
      </w:pPr>
      <w:r>
        <w:rPr>
          <w:rStyle w:val="Rimandonotaapidipagina"/>
        </w:rPr>
        <w:footnoteRef/>
      </w:r>
      <w:r>
        <w:t xml:space="preserve"> Vedi n</w:t>
      </w:r>
      <w:r w:rsidR="001D5757">
        <w:t>o</w:t>
      </w:r>
      <w:r>
        <w:t>t</w:t>
      </w:r>
      <w:r w:rsidR="001D5757">
        <w:t>a</w:t>
      </w:r>
      <w:r>
        <w:t xml:space="preserve"> </w:t>
      </w:r>
      <w:r w:rsidR="001D5757">
        <w:t xml:space="preserve">n. </w:t>
      </w:r>
      <w:r>
        <w:t>4.</w:t>
      </w:r>
    </w:p>
  </w:footnote>
  <w:footnote w:id="30">
    <w:p w:rsidR="002467ED" w:rsidRDefault="002467ED" w:rsidP="002467ED">
      <w:pPr>
        <w:pStyle w:val="Testonotaapidipagina"/>
        <w:jc w:val="both"/>
      </w:pPr>
      <w:r>
        <w:rPr>
          <w:rStyle w:val="Rimandonotaapidipagina"/>
        </w:rPr>
        <w:footnoteRef/>
      </w:r>
      <w:r>
        <w:t xml:space="preserve"> Questa possibilità era già stata presa in considerazione da Cass., </w:t>
      </w:r>
      <w:proofErr w:type="spellStart"/>
      <w:r>
        <w:t>ord</w:t>
      </w:r>
      <w:proofErr w:type="spellEnd"/>
      <w:r>
        <w:t xml:space="preserve">. 26 gennaio 2009, n. 1862, ma non era poi stata </w:t>
      </w:r>
      <w:r w:rsidR="00224DA8">
        <w:t xml:space="preserve">accolta </w:t>
      </w:r>
      <w:r w:rsidR="001C2A2B">
        <w:t>perché</w:t>
      </w:r>
      <w:r>
        <w:t xml:space="preserve"> </w:t>
      </w:r>
      <w:r w:rsidRPr="00164075">
        <w:rPr>
          <w:rFonts w:cstheme="minorHAnsi"/>
          <w:color w:val="0C0C0F"/>
          <w:shd w:val="clear" w:color="auto" w:fill="FFFFFF"/>
        </w:rPr>
        <w:t>l</w:t>
      </w:r>
      <w:r w:rsidR="00224DA8">
        <w:rPr>
          <w:rFonts w:cstheme="minorHAnsi"/>
          <w:color w:val="0C0C0F"/>
          <w:shd w:val="clear" w:color="auto" w:fill="FFFFFF"/>
        </w:rPr>
        <w:t>a lettera dell'art. 75, comma 3</w:t>
      </w:r>
      <w:r w:rsidRPr="00164075">
        <w:rPr>
          <w:rFonts w:cstheme="minorHAnsi"/>
          <w:color w:val="0C0C0F"/>
          <w:shd w:val="clear" w:color="auto" w:fill="FFFFFF"/>
        </w:rPr>
        <w:t xml:space="preserve"> allude</w:t>
      </w:r>
      <w:r w:rsidR="001D5757">
        <w:rPr>
          <w:rFonts w:cstheme="minorHAnsi"/>
          <w:color w:val="0C0C0F"/>
          <w:shd w:val="clear" w:color="auto" w:fill="FFFFFF"/>
        </w:rPr>
        <w:t>(</w:t>
      </w:r>
      <w:proofErr w:type="spellStart"/>
      <w:r w:rsidR="00224DA8">
        <w:rPr>
          <w:rFonts w:cstheme="minorHAnsi"/>
          <w:color w:val="0C0C0F"/>
          <w:shd w:val="clear" w:color="auto" w:fill="FFFFFF"/>
        </w:rPr>
        <w:t>rebbe</w:t>
      </w:r>
      <w:proofErr w:type="spellEnd"/>
      <w:r w:rsidR="001D5757">
        <w:rPr>
          <w:rFonts w:cstheme="minorHAnsi"/>
          <w:color w:val="0C0C0F"/>
          <w:shd w:val="clear" w:color="auto" w:fill="FFFFFF"/>
        </w:rPr>
        <w:t>)</w:t>
      </w:r>
      <w:r w:rsidRPr="00164075">
        <w:rPr>
          <w:rFonts w:cstheme="minorHAnsi"/>
          <w:color w:val="0C0C0F"/>
          <w:shd w:val="clear" w:color="auto" w:fill="FFFFFF"/>
        </w:rPr>
        <w:t xml:space="preserve"> s</w:t>
      </w:r>
      <w:r w:rsidR="00224DA8">
        <w:rPr>
          <w:rFonts w:cstheme="minorHAnsi"/>
          <w:color w:val="0C0C0F"/>
          <w:shd w:val="clear" w:color="auto" w:fill="FFFFFF"/>
        </w:rPr>
        <w:t>ol</w:t>
      </w:r>
      <w:r w:rsidRPr="00164075">
        <w:rPr>
          <w:rFonts w:cstheme="minorHAnsi"/>
          <w:color w:val="0C0C0F"/>
          <w:shd w:val="clear" w:color="auto" w:fill="FFFFFF"/>
        </w:rPr>
        <w:t xml:space="preserve">o </w:t>
      </w:r>
      <w:r w:rsidR="00224DA8">
        <w:rPr>
          <w:rFonts w:cstheme="minorHAnsi"/>
          <w:color w:val="0C0C0F"/>
          <w:shd w:val="clear" w:color="auto" w:fill="FFFFFF"/>
        </w:rPr>
        <w:t>all'ipotesi dell'azione civile contro l'imputato</w:t>
      </w:r>
      <w:r w:rsidRPr="00164075">
        <w:rPr>
          <w:rFonts w:cstheme="minorHAnsi"/>
          <w:color w:val="0C0C0F"/>
          <w:shd w:val="clear" w:color="auto" w:fill="FFFFFF"/>
        </w:rPr>
        <w:t xml:space="preserve"> </w:t>
      </w:r>
      <w:r w:rsidR="00224DA8">
        <w:rPr>
          <w:rFonts w:cstheme="minorHAnsi"/>
          <w:color w:val="0C0C0F"/>
          <w:shd w:val="clear" w:color="auto" w:fill="FFFFFF"/>
        </w:rPr>
        <w:t>e per non sacrificare con la rottura del</w:t>
      </w:r>
      <w:r w:rsidRPr="00164075">
        <w:rPr>
          <w:rFonts w:cstheme="minorHAnsi"/>
          <w:color w:val="0C0C0F"/>
          <w:shd w:val="clear" w:color="auto" w:fill="FFFFFF"/>
        </w:rPr>
        <w:t xml:space="preserve"> </w:t>
      </w:r>
      <w:r w:rsidR="00224DA8">
        <w:rPr>
          <w:rFonts w:cstheme="minorHAnsi"/>
          <w:color w:val="0C0C0F"/>
          <w:shd w:val="clear" w:color="auto" w:fill="FFFFFF"/>
        </w:rPr>
        <w:t xml:space="preserve">cumulo </w:t>
      </w:r>
      <w:r w:rsidRPr="00164075">
        <w:rPr>
          <w:rFonts w:cstheme="minorHAnsi"/>
          <w:color w:val="0C0C0F"/>
          <w:shd w:val="clear" w:color="auto" w:fill="FFFFFF"/>
        </w:rPr>
        <w:t xml:space="preserve">l'accertamento comune </w:t>
      </w:r>
      <w:r w:rsidR="00224DA8">
        <w:rPr>
          <w:rFonts w:cstheme="minorHAnsi"/>
          <w:color w:val="0C0C0F"/>
          <w:shd w:val="clear" w:color="auto" w:fill="FFFFFF"/>
        </w:rPr>
        <w:t>consentito dall’art. 103, c.p.c.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4075" w:rsidRDefault="0016407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A3"/>
    <w:rsid w:val="00005316"/>
    <w:rsid w:val="00014BD6"/>
    <w:rsid w:val="00016F7E"/>
    <w:rsid w:val="00030029"/>
    <w:rsid w:val="000321FB"/>
    <w:rsid w:val="00034B1A"/>
    <w:rsid w:val="00037808"/>
    <w:rsid w:val="00044366"/>
    <w:rsid w:val="000455F8"/>
    <w:rsid w:val="00045F9D"/>
    <w:rsid w:val="00046CCF"/>
    <w:rsid w:val="00053D51"/>
    <w:rsid w:val="00063776"/>
    <w:rsid w:val="000645A6"/>
    <w:rsid w:val="00065B67"/>
    <w:rsid w:val="00066462"/>
    <w:rsid w:val="0006755B"/>
    <w:rsid w:val="0007206A"/>
    <w:rsid w:val="00072902"/>
    <w:rsid w:val="000814FF"/>
    <w:rsid w:val="0009106D"/>
    <w:rsid w:val="00094F84"/>
    <w:rsid w:val="000A306C"/>
    <w:rsid w:val="000B10AE"/>
    <w:rsid w:val="000B1209"/>
    <w:rsid w:val="000B1CED"/>
    <w:rsid w:val="000B55F6"/>
    <w:rsid w:val="000B56ED"/>
    <w:rsid w:val="000B7F62"/>
    <w:rsid w:val="000C0393"/>
    <w:rsid w:val="000C4DFB"/>
    <w:rsid w:val="000C69B4"/>
    <w:rsid w:val="000C7F58"/>
    <w:rsid w:val="000E18B9"/>
    <w:rsid w:val="000E2B3D"/>
    <w:rsid w:val="000E2FB4"/>
    <w:rsid w:val="000E49CE"/>
    <w:rsid w:val="000E5A11"/>
    <w:rsid w:val="000F099B"/>
    <w:rsid w:val="000F17A2"/>
    <w:rsid w:val="000F1F01"/>
    <w:rsid w:val="000F3327"/>
    <w:rsid w:val="000F4FDC"/>
    <w:rsid w:val="000F5794"/>
    <w:rsid w:val="00103BCA"/>
    <w:rsid w:val="0010689F"/>
    <w:rsid w:val="00106913"/>
    <w:rsid w:val="00113E3D"/>
    <w:rsid w:val="00117331"/>
    <w:rsid w:val="00130127"/>
    <w:rsid w:val="001302A6"/>
    <w:rsid w:val="00131FD6"/>
    <w:rsid w:val="00132D8F"/>
    <w:rsid w:val="0013605C"/>
    <w:rsid w:val="00136193"/>
    <w:rsid w:val="001361E9"/>
    <w:rsid w:val="00136496"/>
    <w:rsid w:val="00136831"/>
    <w:rsid w:val="00137C3C"/>
    <w:rsid w:val="00140764"/>
    <w:rsid w:val="00141DC3"/>
    <w:rsid w:val="001447FD"/>
    <w:rsid w:val="00146004"/>
    <w:rsid w:val="00146FA4"/>
    <w:rsid w:val="00147A56"/>
    <w:rsid w:val="001508E8"/>
    <w:rsid w:val="00150BEC"/>
    <w:rsid w:val="0015381D"/>
    <w:rsid w:val="0015500E"/>
    <w:rsid w:val="00155C1D"/>
    <w:rsid w:val="00164075"/>
    <w:rsid w:val="001643EA"/>
    <w:rsid w:val="00164EAD"/>
    <w:rsid w:val="00166C35"/>
    <w:rsid w:val="00171C4C"/>
    <w:rsid w:val="0017506B"/>
    <w:rsid w:val="0017705C"/>
    <w:rsid w:val="001778FF"/>
    <w:rsid w:val="00180767"/>
    <w:rsid w:val="0018088A"/>
    <w:rsid w:val="00180965"/>
    <w:rsid w:val="00181F6D"/>
    <w:rsid w:val="001826D3"/>
    <w:rsid w:val="0018527F"/>
    <w:rsid w:val="00185993"/>
    <w:rsid w:val="00186198"/>
    <w:rsid w:val="001924A1"/>
    <w:rsid w:val="001A3CAF"/>
    <w:rsid w:val="001B3D1C"/>
    <w:rsid w:val="001B48DA"/>
    <w:rsid w:val="001B58D9"/>
    <w:rsid w:val="001B58E0"/>
    <w:rsid w:val="001B742A"/>
    <w:rsid w:val="001C2A2B"/>
    <w:rsid w:val="001C5948"/>
    <w:rsid w:val="001C7D30"/>
    <w:rsid w:val="001D4C16"/>
    <w:rsid w:val="001D5757"/>
    <w:rsid w:val="001D5773"/>
    <w:rsid w:val="001D5CAE"/>
    <w:rsid w:val="001D7384"/>
    <w:rsid w:val="001E1A22"/>
    <w:rsid w:val="001E6CDB"/>
    <w:rsid w:val="001F3743"/>
    <w:rsid w:val="001F7A65"/>
    <w:rsid w:val="00201128"/>
    <w:rsid w:val="002051BB"/>
    <w:rsid w:val="00210A3E"/>
    <w:rsid w:val="00211C7D"/>
    <w:rsid w:val="00212BED"/>
    <w:rsid w:val="00214D72"/>
    <w:rsid w:val="00223E61"/>
    <w:rsid w:val="00224DA8"/>
    <w:rsid w:val="002308FD"/>
    <w:rsid w:val="00233A99"/>
    <w:rsid w:val="00235299"/>
    <w:rsid w:val="00236B44"/>
    <w:rsid w:val="002424D6"/>
    <w:rsid w:val="00242757"/>
    <w:rsid w:val="00243839"/>
    <w:rsid w:val="0024526C"/>
    <w:rsid w:val="002467ED"/>
    <w:rsid w:val="00253641"/>
    <w:rsid w:val="00254460"/>
    <w:rsid w:val="002555E3"/>
    <w:rsid w:val="00256AA1"/>
    <w:rsid w:val="0028020B"/>
    <w:rsid w:val="002809BF"/>
    <w:rsid w:val="00282A15"/>
    <w:rsid w:val="002909E3"/>
    <w:rsid w:val="00291397"/>
    <w:rsid w:val="00295ECB"/>
    <w:rsid w:val="00296EF0"/>
    <w:rsid w:val="002A089B"/>
    <w:rsid w:val="002A0E5E"/>
    <w:rsid w:val="002A1F94"/>
    <w:rsid w:val="002A501F"/>
    <w:rsid w:val="002A5AB3"/>
    <w:rsid w:val="002B1D95"/>
    <w:rsid w:val="002B2106"/>
    <w:rsid w:val="002B5E01"/>
    <w:rsid w:val="002B600F"/>
    <w:rsid w:val="002B705E"/>
    <w:rsid w:val="002C011A"/>
    <w:rsid w:val="002C1BEF"/>
    <w:rsid w:val="002C4B5B"/>
    <w:rsid w:val="002C604A"/>
    <w:rsid w:val="002D197F"/>
    <w:rsid w:val="002D5F59"/>
    <w:rsid w:val="002D666D"/>
    <w:rsid w:val="002E44F3"/>
    <w:rsid w:val="002E7880"/>
    <w:rsid w:val="002F7C2B"/>
    <w:rsid w:val="003000EE"/>
    <w:rsid w:val="00305949"/>
    <w:rsid w:val="00307027"/>
    <w:rsid w:val="00307155"/>
    <w:rsid w:val="003135B3"/>
    <w:rsid w:val="00326688"/>
    <w:rsid w:val="003268C5"/>
    <w:rsid w:val="00327697"/>
    <w:rsid w:val="003351D1"/>
    <w:rsid w:val="00335477"/>
    <w:rsid w:val="0033791D"/>
    <w:rsid w:val="00340F3C"/>
    <w:rsid w:val="003431F7"/>
    <w:rsid w:val="00343F2B"/>
    <w:rsid w:val="003504E5"/>
    <w:rsid w:val="00350877"/>
    <w:rsid w:val="00354ADB"/>
    <w:rsid w:val="00357CFF"/>
    <w:rsid w:val="00362F3A"/>
    <w:rsid w:val="00365E38"/>
    <w:rsid w:val="00367AA3"/>
    <w:rsid w:val="00382C70"/>
    <w:rsid w:val="00393650"/>
    <w:rsid w:val="003954B0"/>
    <w:rsid w:val="00397C61"/>
    <w:rsid w:val="003A0F2C"/>
    <w:rsid w:val="003B4D76"/>
    <w:rsid w:val="003C5A74"/>
    <w:rsid w:val="003D1202"/>
    <w:rsid w:val="003D4BD0"/>
    <w:rsid w:val="003E0839"/>
    <w:rsid w:val="003E2324"/>
    <w:rsid w:val="003E258D"/>
    <w:rsid w:val="003E2F6A"/>
    <w:rsid w:val="003E326E"/>
    <w:rsid w:val="003F0ADC"/>
    <w:rsid w:val="003F35E2"/>
    <w:rsid w:val="003F422E"/>
    <w:rsid w:val="00402FFB"/>
    <w:rsid w:val="00411D0F"/>
    <w:rsid w:val="00413F15"/>
    <w:rsid w:val="00415780"/>
    <w:rsid w:val="004179FB"/>
    <w:rsid w:val="00420B90"/>
    <w:rsid w:val="004215E2"/>
    <w:rsid w:val="00421EED"/>
    <w:rsid w:val="0042325C"/>
    <w:rsid w:val="004244E3"/>
    <w:rsid w:val="00425B39"/>
    <w:rsid w:val="00427C10"/>
    <w:rsid w:val="00430067"/>
    <w:rsid w:val="004359FB"/>
    <w:rsid w:val="004432BC"/>
    <w:rsid w:val="00445325"/>
    <w:rsid w:val="004464EC"/>
    <w:rsid w:val="00446C97"/>
    <w:rsid w:val="00446EE0"/>
    <w:rsid w:val="004547A6"/>
    <w:rsid w:val="00456C0E"/>
    <w:rsid w:val="00460C07"/>
    <w:rsid w:val="0046505F"/>
    <w:rsid w:val="0046547F"/>
    <w:rsid w:val="00467000"/>
    <w:rsid w:val="00467517"/>
    <w:rsid w:val="0046799E"/>
    <w:rsid w:val="00473E6D"/>
    <w:rsid w:val="00476862"/>
    <w:rsid w:val="0047775D"/>
    <w:rsid w:val="004860D0"/>
    <w:rsid w:val="00494DAE"/>
    <w:rsid w:val="004A1806"/>
    <w:rsid w:val="004A34C9"/>
    <w:rsid w:val="004A73AF"/>
    <w:rsid w:val="004B69AF"/>
    <w:rsid w:val="004B6E8F"/>
    <w:rsid w:val="004D1989"/>
    <w:rsid w:val="004D7E83"/>
    <w:rsid w:val="004E0D30"/>
    <w:rsid w:val="004E47E5"/>
    <w:rsid w:val="004E57C1"/>
    <w:rsid w:val="004E66A3"/>
    <w:rsid w:val="004E774F"/>
    <w:rsid w:val="004F031C"/>
    <w:rsid w:val="004F2472"/>
    <w:rsid w:val="004F5F0B"/>
    <w:rsid w:val="004F73C2"/>
    <w:rsid w:val="0050148C"/>
    <w:rsid w:val="00514202"/>
    <w:rsid w:val="005152A8"/>
    <w:rsid w:val="005247B3"/>
    <w:rsid w:val="00526BD1"/>
    <w:rsid w:val="0053463F"/>
    <w:rsid w:val="00537185"/>
    <w:rsid w:val="0054588E"/>
    <w:rsid w:val="00550EB1"/>
    <w:rsid w:val="00570DEE"/>
    <w:rsid w:val="0057108E"/>
    <w:rsid w:val="00571202"/>
    <w:rsid w:val="00573750"/>
    <w:rsid w:val="0057647D"/>
    <w:rsid w:val="0058077B"/>
    <w:rsid w:val="005858B7"/>
    <w:rsid w:val="005967C4"/>
    <w:rsid w:val="00596FF5"/>
    <w:rsid w:val="00597631"/>
    <w:rsid w:val="005A0C57"/>
    <w:rsid w:val="005A4744"/>
    <w:rsid w:val="005B07FC"/>
    <w:rsid w:val="005B0808"/>
    <w:rsid w:val="005B1E64"/>
    <w:rsid w:val="005B2AFF"/>
    <w:rsid w:val="005C121D"/>
    <w:rsid w:val="005C2E9C"/>
    <w:rsid w:val="005C661E"/>
    <w:rsid w:val="005D43B1"/>
    <w:rsid w:val="005D6B5E"/>
    <w:rsid w:val="005E0C5F"/>
    <w:rsid w:val="005F2075"/>
    <w:rsid w:val="005F24BB"/>
    <w:rsid w:val="005F3EAF"/>
    <w:rsid w:val="00601F2C"/>
    <w:rsid w:val="006023E1"/>
    <w:rsid w:val="00606BD8"/>
    <w:rsid w:val="00614519"/>
    <w:rsid w:val="006159C2"/>
    <w:rsid w:val="00616C79"/>
    <w:rsid w:val="006179BA"/>
    <w:rsid w:val="006208BA"/>
    <w:rsid w:val="006312D4"/>
    <w:rsid w:val="00632A2E"/>
    <w:rsid w:val="00632B42"/>
    <w:rsid w:val="00634C25"/>
    <w:rsid w:val="00634C83"/>
    <w:rsid w:val="0063530C"/>
    <w:rsid w:val="00641E33"/>
    <w:rsid w:val="00645587"/>
    <w:rsid w:val="0064650C"/>
    <w:rsid w:val="00652952"/>
    <w:rsid w:val="0065716B"/>
    <w:rsid w:val="0067152F"/>
    <w:rsid w:val="00671893"/>
    <w:rsid w:val="00672EDE"/>
    <w:rsid w:val="00674920"/>
    <w:rsid w:val="00682F4B"/>
    <w:rsid w:val="00684377"/>
    <w:rsid w:val="00685929"/>
    <w:rsid w:val="00685D4D"/>
    <w:rsid w:val="00686091"/>
    <w:rsid w:val="00691BE4"/>
    <w:rsid w:val="006944BA"/>
    <w:rsid w:val="006950C4"/>
    <w:rsid w:val="0069628A"/>
    <w:rsid w:val="00697593"/>
    <w:rsid w:val="006A08FB"/>
    <w:rsid w:val="006A182B"/>
    <w:rsid w:val="006A4D1B"/>
    <w:rsid w:val="006A7C03"/>
    <w:rsid w:val="006B00B9"/>
    <w:rsid w:val="006B25CD"/>
    <w:rsid w:val="006B3BF0"/>
    <w:rsid w:val="006B60D9"/>
    <w:rsid w:val="006B76AC"/>
    <w:rsid w:val="006C2450"/>
    <w:rsid w:val="006C71DE"/>
    <w:rsid w:val="006D1023"/>
    <w:rsid w:val="006D4BA6"/>
    <w:rsid w:val="006D6036"/>
    <w:rsid w:val="006E2106"/>
    <w:rsid w:val="006E3BC5"/>
    <w:rsid w:val="006F2540"/>
    <w:rsid w:val="00702300"/>
    <w:rsid w:val="00711983"/>
    <w:rsid w:val="007127AF"/>
    <w:rsid w:val="00712BB6"/>
    <w:rsid w:val="00712C8C"/>
    <w:rsid w:val="00714532"/>
    <w:rsid w:val="00714BE4"/>
    <w:rsid w:val="00722CE0"/>
    <w:rsid w:val="0072332E"/>
    <w:rsid w:val="00726A88"/>
    <w:rsid w:val="007310B7"/>
    <w:rsid w:val="0073180C"/>
    <w:rsid w:val="00731E32"/>
    <w:rsid w:val="00732D9B"/>
    <w:rsid w:val="00734BFF"/>
    <w:rsid w:val="00737B2B"/>
    <w:rsid w:val="00741647"/>
    <w:rsid w:val="00742C71"/>
    <w:rsid w:val="0074499A"/>
    <w:rsid w:val="00750092"/>
    <w:rsid w:val="00752EDB"/>
    <w:rsid w:val="007540FD"/>
    <w:rsid w:val="00755F66"/>
    <w:rsid w:val="007563BC"/>
    <w:rsid w:val="00757C50"/>
    <w:rsid w:val="00761344"/>
    <w:rsid w:val="007618C5"/>
    <w:rsid w:val="00762640"/>
    <w:rsid w:val="00763C24"/>
    <w:rsid w:val="007720D2"/>
    <w:rsid w:val="00772DB1"/>
    <w:rsid w:val="00773164"/>
    <w:rsid w:val="00780C66"/>
    <w:rsid w:val="0078240B"/>
    <w:rsid w:val="0078359D"/>
    <w:rsid w:val="007852B6"/>
    <w:rsid w:val="00791377"/>
    <w:rsid w:val="00793928"/>
    <w:rsid w:val="00796A2D"/>
    <w:rsid w:val="00796D97"/>
    <w:rsid w:val="00796FEC"/>
    <w:rsid w:val="007A14BA"/>
    <w:rsid w:val="007A1506"/>
    <w:rsid w:val="007A3CDB"/>
    <w:rsid w:val="007A4075"/>
    <w:rsid w:val="007A54CF"/>
    <w:rsid w:val="007B60EF"/>
    <w:rsid w:val="007C1A91"/>
    <w:rsid w:val="007C41CA"/>
    <w:rsid w:val="007C4F93"/>
    <w:rsid w:val="007C59F5"/>
    <w:rsid w:val="007D007B"/>
    <w:rsid w:val="007D04F3"/>
    <w:rsid w:val="007D57C9"/>
    <w:rsid w:val="007E1F66"/>
    <w:rsid w:val="007E63B3"/>
    <w:rsid w:val="007E7A8D"/>
    <w:rsid w:val="00801072"/>
    <w:rsid w:val="00801658"/>
    <w:rsid w:val="008061E1"/>
    <w:rsid w:val="00811D6A"/>
    <w:rsid w:val="0081387C"/>
    <w:rsid w:val="00820173"/>
    <w:rsid w:val="00820592"/>
    <w:rsid w:val="0082239B"/>
    <w:rsid w:val="00822C2B"/>
    <w:rsid w:val="0082549E"/>
    <w:rsid w:val="00827EDE"/>
    <w:rsid w:val="008304A4"/>
    <w:rsid w:val="008364D7"/>
    <w:rsid w:val="00836D36"/>
    <w:rsid w:val="00837BF6"/>
    <w:rsid w:val="00843236"/>
    <w:rsid w:val="008445BF"/>
    <w:rsid w:val="00844FB7"/>
    <w:rsid w:val="00846FE4"/>
    <w:rsid w:val="008503F9"/>
    <w:rsid w:val="00852595"/>
    <w:rsid w:val="00854BB2"/>
    <w:rsid w:val="00855E42"/>
    <w:rsid w:val="00857C15"/>
    <w:rsid w:val="00867175"/>
    <w:rsid w:val="00872DC1"/>
    <w:rsid w:val="0087676B"/>
    <w:rsid w:val="00882669"/>
    <w:rsid w:val="00890AA7"/>
    <w:rsid w:val="00893F05"/>
    <w:rsid w:val="008A10DA"/>
    <w:rsid w:val="008A2C68"/>
    <w:rsid w:val="008A659B"/>
    <w:rsid w:val="008A6D45"/>
    <w:rsid w:val="008B2D9F"/>
    <w:rsid w:val="008B639D"/>
    <w:rsid w:val="008C05A7"/>
    <w:rsid w:val="008D4B12"/>
    <w:rsid w:val="008D6E4D"/>
    <w:rsid w:val="008E2628"/>
    <w:rsid w:val="008E3038"/>
    <w:rsid w:val="008E654C"/>
    <w:rsid w:val="008F06E1"/>
    <w:rsid w:val="008F3151"/>
    <w:rsid w:val="008F3D76"/>
    <w:rsid w:val="008F59C4"/>
    <w:rsid w:val="009014CE"/>
    <w:rsid w:val="00910487"/>
    <w:rsid w:val="009110BA"/>
    <w:rsid w:val="00913DFC"/>
    <w:rsid w:val="00917F4C"/>
    <w:rsid w:val="00921643"/>
    <w:rsid w:val="00924DB1"/>
    <w:rsid w:val="00934622"/>
    <w:rsid w:val="00935CEF"/>
    <w:rsid w:val="0093760C"/>
    <w:rsid w:val="00937E54"/>
    <w:rsid w:val="00943771"/>
    <w:rsid w:val="009438E1"/>
    <w:rsid w:val="00950CE4"/>
    <w:rsid w:val="00952BD4"/>
    <w:rsid w:val="00953163"/>
    <w:rsid w:val="00953B85"/>
    <w:rsid w:val="00957C68"/>
    <w:rsid w:val="00960274"/>
    <w:rsid w:val="0096198B"/>
    <w:rsid w:val="00964960"/>
    <w:rsid w:val="00965CB0"/>
    <w:rsid w:val="00973F0A"/>
    <w:rsid w:val="00974734"/>
    <w:rsid w:val="0097702D"/>
    <w:rsid w:val="00977B3A"/>
    <w:rsid w:val="009855E2"/>
    <w:rsid w:val="0099030F"/>
    <w:rsid w:val="00990EAF"/>
    <w:rsid w:val="009972A8"/>
    <w:rsid w:val="0099734C"/>
    <w:rsid w:val="009A182C"/>
    <w:rsid w:val="009A7B6F"/>
    <w:rsid w:val="009B01C0"/>
    <w:rsid w:val="009C0266"/>
    <w:rsid w:val="009C5C5E"/>
    <w:rsid w:val="009D3FB3"/>
    <w:rsid w:val="009D40D2"/>
    <w:rsid w:val="009D6B55"/>
    <w:rsid w:val="009D72FA"/>
    <w:rsid w:val="009D797F"/>
    <w:rsid w:val="009E1609"/>
    <w:rsid w:val="009F325D"/>
    <w:rsid w:val="009F7620"/>
    <w:rsid w:val="00A00CAB"/>
    <w:rsid w:val="00A119DA"/>
    <w:rsid w:val="00A166F9"/>
    <w:rsid w:val="00A23A4D"/>
    <w:rsid w:val="00A2453B"/>
    <w:rsid w:val="00A31FC1"/>
    <w:rsid w:val="00A41248"/>
    <w:rsid w:val="00A47E4C"/>
    <w:rsid w:val="00A51DA1"/>
    <w:rsid w:val="00A56112"/>
    <w:rsid w:val="00A578BE"/>
    <w:rsid w:val="00A57A2D"/>
    <w:rsid w:val="00A607D6"/>
    <w:rsid w:val="00A6205B"/>
    <w:rsid w:val="00A65C83"/>
    <w:rsid w:val="00A70FCE"/>
    <w:rsid w:val="00A74196"/>
    <w:rsid w:val="00A83074"/>
    <w:rsid w:val="00A8386B"/>
    <w:rsid w:val="00A84394"/>
    <w:rsid w:val="00A84644"/>
    <w:rsid w:val="00A95CD4"/>
    <w:rsid w:val="00AA11E5"/>
    <w:rsid w:val="00AA318E"/>
    <w:rsid w:val="00AA5220"/>
    <w:rsid w:val="00AB136F"/>
    <w:rsid w:val="00AB1EBB"/>
    <w:rsid w:val="00AB346D"/>
    <w:rsid w:val="00AB743A"/>
    <w:rsid w:val="00AB763B"/>
    <w:rsid w:val="00AC0024"/>
    <w:rsid w:val="00AC3EA4"/>
    <w:rsid w:val="00AC7AC9"/>
    <w:rsid w:val="00AC7C25"/>
    <w:rsid w:val="00AD5AFA"/>
    <w:rsid w:val="00AD5B2E"/>
    <w:rsid w:val="00AD6B51"/>
    <w:rsid w:val="00AD6CBE"/>
    <w:rsid w:val="00AE26E5"/>
    <w:rsid w:val="00AE70D7"/>
    <w:rsid w:val="00AF392D"/>
    <w:rsid w:val="00B034C9"/>
    <w:rsid w:val="00B039D2"/>
    <w:rsid w:val="00B0632F"/>
    <w:rsid w:val="00B11C78"/>
    <w:rsid w:val="00B14919"/>
    <w:rsid w:val="00B170F3"/>
    <w:rsid w:val="00B23CEF"/>
    <w:rsid w:val="00B24C1F"/>
    <w:rsid w:val="00B25768"/>
    <w:rsid w:val="00B2579D"/>
    <w:rsid w:val="00B3015E"/>
    <w:rsid w:val="00B30EFC"/>
    <w:rsid w:val="00B310E0"/>
    <w:rsid w:val="00B317E9"/>
    <w:rsid w:val="00B35184"/>
    <w:rsid w:val="00B40628"/>
    <w:rsid w:val="00B41F26"/>
    <w:rsid w:val="00B43077"/>
    <w:rsid w:val="00B43EF2"/>
    <w:rsid w:val="00B60B10"/>
    <w:rsid w:val="00B64185"/>
    <w:rsid w:val="00B65139"/>
    <w:rsid w:val="00B74FD8"/>
    <w:rsid w:val="00B759C3"/>
    <w:rsid w:val="00B7620C"/>
    <w:rsid w:val="00B8090A"/>
    <w:rsid w:val="00B87616"/>
    <w:rsid w:val="00B9443F"/>
    <w:rsid w:val="00B9628C"/>
    <w:rsid w:val="00BA0CC6"/>
    <w:rsid w:val="00BB20A1"/>
    <w:rsid w:val="00BB235D"/>
    <w:rsid w:val="00BB431F"/>
    <w:rsid w:val="00BC16FB"/>
    <w:rsid w:val="00BD45AB"/>
    <w:rsid w:val="00BD4874"/>
    <w:rsid w:val="00BD5DAD"/>
    <w:rsid w:val="00BD5FD2"/>
    <w:rsid w:val="00BE19F4"/>
    <w:rsid w:val="00BE397A"/>
    <w:rsid w:val="00BE4235"/>
    <w:rsid w:val="00BE4A60"/>
    <w:rsid w:val="00BE7324"/>
    <w:rsid w:val="00BE76A8"/>
    <w:rsid w:val="00BF03F0"/>
    <w:rsid w:val="00BF3E5D"/>
    <w:rsid w:val="00C002A6"/>
    <w:rsid w:val="00C040F2"/>
    <w:rsid w:val="00C041FA"/>
    <w:rsid w:val="00C05527"/>
    <w:rsid w:val="00C05C5C"/>
    <w:rsid w:val="00C1238E"/>
    <w:rsid w:val="00C203C1"/>
    <w:rsid w:val="00C227C7"/>
    <w:rsid w:val="00C3453E"/>
    <w:rsid w:val="00C35F8D"/>
    <w:rsid w:val="00C3694B"/>
    <w:rsid w:val="00C37852"/>
    <w:rsid w:val="00C42B21"/>
    <w:rsid w:val="00C510D5"/>
    <w:rsid w:val="00C514B3"/>
    <w:rsid w:val="00C62B0F"/>
    <w:rsid w:val="00C62F87"/>
    <w:rsid w:val="00C80100"/>
    <w:rsid w:val="00C835F3"/>
    <w:rsid w:val="00C850ED"/>
    <w:rsid w:val="00C869E6"/>
    <w:rsid w:val="00C87221"/>
    <w:rsid w:val="00C916AF"/>
    <w:rsid w:val="00CA3FB0"/>
    <w:rsid w:val="00CA5C21"/>
    <w:rsid w:val="00CA629B"/>
    <w:rsid w:val="00CB1B8A"/>
    <w:rsid w:val="00CB4B96"/>
    <w:rsid w:val="00CC41DC"/>
    <w:rsid w:val="00CC7106"/>
    <w:rsid w:val="00CD0D7B"/>
    <w:rsid w:val="00CD560E"/>
    <w:rsid w:val="00CD6961"/>
    <w:rsid w:val="00CE00C1"/>
    <w:rsid w:val="00CE02EB"/>
    <w:rsid w:val="00CE3964"/>
    <w:rsid w:val="00CE77A4"/>
    <w:rsid w:val="00CF2AB0"/>
    <w:rsid w:val="00CF6017"/>
    <w:rsid w:val="00D014A2"/>
    <w:rsid w:val="00D0620B"/>
    <w:rsid w:val="00D06A50"/>
    <w:rsid w:val="00D06CF3"/>
    <w:rsid w:val="00D11F15"/>
    <w:rsid w:val="00D124B1"/>
    <w:rsid w:val="00D148A6"/>
    <w:rsid w:val="00D14E84"/>
    <w:rsid w:val="00D1563F"/>
    <w:rsid w:val="00D15BA7"/>
    <w:rsid w:val="00D15EF3"/>
    <w:rsid w:val="00D1686C"/>
    <w:rsid w:val="00D179CD"/>
    <w:rsid w:val="00D223BE"/>
    <w:rsid w:val="00D2263D"/>
    <w:rsid w:val="00D24671"/>
    <w:rsid w:val="00D2691C"/>
    <w:rsid w:val="00D276F6"/>
    <w:rsid w:val="00D320A7"/>
    <w:rsid w:val="00D330A5"/>
    <w:rsid w:val="00D336EB"/>
    <w:rsid w:val="00D35854"/>
    <w:rsid w:val="00D405A6"/>
    <w:rsid w:val="00D46029"/>
    <w:rsid w:val="00D46559"/>
    <w:rsid w:val="00D47D2F"/>
    <w:rsid w:val="00D61AAD"/>
    <w:rsid w:val="00D64DA3"/>
    <w:rsid w:val="00D72D10"/>
    <w:rsid w:val="00D769B2"/>
    <w:rsid w:val="00D81400"/>
    <w:rsid w:val="00D82BE2"/>
    <w:rsid w:val="00D87CE6"/>
    <w:rsid w:val="00D943A8"/>
    <w:rsid w:val="00D956EB"/>
    <w:rsid w:val="00D95E99"/>
    <w:rsid w:val="00D9692E"/>
    <w:rsid w:val="00DA1996"/>
    <w:rsid w:val="00DA3E47"/>
    <w:rsid w:val="00DA441C"/>
    <w:rsid w:val="00DA5E85"/>
    <w:rsid w:val="00DA7F10"/>
    <w:rsid w:val="00DB0856"/>
    <w:rsid w:val="00DC0F4E"/>
    <w:rsid w:val="00DD7526"/>
    <w:rsid w:val="00DD7948"/>
    <w:rsid w:val="00DE059A"/>
    <w:rsid w:val="00DE0B78"/>
    <w:rsid w:val="00DF0251"/>
    <w:rsid w:val="00DF3989"/>
    <w:rsid w:val="00DF3EA8"/>
    <w:rsid w:val="00DF5316"/>
    <w:rsid w:val="00DF61B0"/>
    <w:rsid w:val="00E01273"/>
    <w:rsid w:val="00E03880"/>
    <w:rsid w:val="00E072C4"/>
    <w:rsid w:val="00E11C3E"/>
    <w:rsid w:val="00E12164"/>
    <w:rsid w:val="00E13AF0"/>
    <w:rsid w:val="00E14BFB"/>
    <w:rsid w:val="00E14C85"/>
    <w:rsid w:val="00E16D77"/>
    <w:rsid w:val="00E204D0"/>
    <w:rsid w:val="00E25E75"/>
    <w:rsid w:val="00E31F62"/>
    <w:rsid w:val="00E32336"/>
    <w:rsid w:val="00E3479D"/>
    <w:rsid w:val="00E3615C"/>
    <w:rsid w:val="00E4166A"/>
    <w:rsid w:val="00E4180B"/>
    <w:rsid w:val="00E45B9E"/>
    <w:rsid w:val="00E45D12"/>
    <w:rsid w:val="00E51645"/>
    <w:rsid w:val="00E620FE"/>
    <w:rsid w:val="00E62E09"/>
    <w:rsid w:val="00E63DD9"/>
    <w:rsid w:val="00E6663E"/>
    <w:rsid w:val="00E70214"/>
    <w:rsid w:val="00E704FA"/>
    <w:rsid w:val="00E70BAF"/>
    <w:rsid w:val="00E76C90"/>
    <w:rsid w:val="00E7771A"/>
    <w:rsid w:val="00E807AA"/>
    <w:rsid w:val="00E81BF8"/>
    <w:rsid w:val="00E853D7"/>
    <w:rsid w:val="00E874BA"/>
    <w:rsid w:val="00E900FF"/>
    <w:rsid w:val="00E90128"/>
    <w:rsid w:val="00E9178A"/>
    <w:rsid w:val="00E92539"/>
    <w:rsid w:val="00E94E91"/>
    <w:rsid w:val="00EA04C1"/>
    <w:rsid w:val="00EA0B6B"/>
    <w:rsid w:val="00EA4704"/>
    <w:rsid w:val="00EA5A66"/>
    <w:rsid w:val="00EA601D"/>
    <w:rsid w:val="00EB09B6"/>
    <w:rsid w:val="00EB3078"/>
    <w:rsid w:val="00EB34A7"/>
    <w:rsid w:val="00EB55E2"/>
    <w:rsid w:val="00EC45F4"/>
    <w:rsid w:val="00EC6910"/>
    <w:rsid w:val="00EC74A6"/>
    <w:rsid w:val="00ED40BC"/>
    <w:rsid w:val="00ED4657"/>
    <w:rsid w:val="00EE0F59"/>
    <w:rsid w:val="00EE63BC"/>
    <w:rsid w:val="00EE79C1"/>
    <w:rsid w:val="00EF3C2C"/>
    <w:rsid w:val="00EF51B4"/>
    <w:rsid w:val="00EF5FFB"/>
    <w:rsid w:val="00EF6033"/>
    <w:rsid w:val="00EF6A24"/>
    <w:rsid w:val="00EF7F69"/>
    <w:rsid w:val="00F0059D"/>
    <w:rsid w:val="00F02B0B"/>
    <w:rsid w:val="00F030E5"/>
    <w:rsid w:val="00F21A19"/>
    <w:rsid w:val="00F221C5"/>
    <w:rsid w:val="00F25345"/>
    <w:rsid w:val="00F25378"/>
    <w:rsid w:val="00F31236"/>
    <w:rsid w:val="00F4766C"/>
    <w:rsid w:val="00F50936"/>
    <w:rsid w:val="00F50C21"/>
    <w:rsid w:val="00F514B9"/>
    <w:rsid w:val="00F527BA"/>
    <w:rsid w:val="00F5479B"/>
    <w:rsid w:val="00F62904"/>
    <w:rsid w:val="00F64203"/>
    <w:rsid w:val="00F66897"/>
    <w:rsid w:val="00F67026"/>
    <w:rsid w:val="00F74153"/>
    <w:rsid w:val="00F74463"/>
    <w:rsid w:val="00F824E7"/>
    <w:rsid w:val="00F85C56"/>
    <w:rsid w:val="00F87C9C"/>
    <w:rsid w:val="00F91E21"/>
    <w:rsid w:val="00F93003"/>
    <w:rsid w:val="00F93CC9"/>
    <w:rsid w:val="00FA33DB"/>
    <w:rsid w:val="00FA6F5C"/>
    <w:rsid w:val="00FB2A62"/>
    <w:rsid w:val="00FB4412"/>
    <w:rsid w:val="00FB4E34"/>
    <w:rsid w:val="00FC2350"/>
    <w:rsid w:val="00FC26EE"/>
    <w:rsid w:val="00FC6A72"/>
    <w:rsid w:val="00FD5C56"/>
    <w:rsid w:val="00FD63CF"/>
    <w:rsid w:val="00FE1F1A"/>
    <w:rsid w:val="00FE46BD"/>
    <w:rsid w:val="00FE4E81"/>
    <w:rsid w:val="00FE50C7"/>
    <w:rsid w:val="00FE54DC"/>
    <w:rsid w:val="00FE724C"/>
    <w:rsid w:val="00FF02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61E8B-EBE6-4434-89EB-6ED0AEE6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emiHidden/>
    <w:unhideWhenUsed/>
    <w:rsid w:val="0006377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63776"/>
    <w:rPr>
      <w:sz w:val="20"/>
      <w:szCs w:val="20"/>
    </w:rPr>
  </w:style>
  <w:style w:type="character" w:styleId="Rimandonotaapidipagina">
    <w:name w:val="footnote reference"/>
    <w:basedOn w:val="Carpredefinitoparagrafo"/>
    <w:semiHidden/>
    <w:unhideWhenUsed/>
    <w:rsid w:val="00063776"/>
    <w:rPr>
      <w:vertAlign w:val="superscript"/>
    </w:rPr>
  </w:style>
  <w:style w:type="paragraph" w:styleId="Intestazione">
    <w:name w:val="header"/>
    <w:basedOn w:val="Normale"/>
    <w:link w:val="IntestazioneCarattere"/>
    <w:uiPriority w:val="99"/>
    <w:unhideWhenUsed/>
    <w:rsid w:val="001302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02A6"/>
  </w:style>
  <w:style w:type="paragraph" w:styleId="Pidipagina">
    <w:name w:val="footer"/>
    <w:basedOn w:val="Normale"/>
    <w:link w:val="PidipaginaCarattere"/>
    <w:uiPriority w:val="99"/>
    <w:unhideWhenUsed/>
    <w:rsid w:val="001302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302A6"/>
  </w:style>
  <w:style w:type="paragraph" w:styleId="Corpotesto">
    <w:name w:val="Body Text"/>
    <w:basedOn w:val="Normale"/>
    <w:link w:val="CorpotestoCarattere"/>
    <w:semiHidden/>
    <w:rsid w:val="00335477"/>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semiHidden/>
    <w:rsid w:val="00335477"/>
    <w:rPr>
      <w:rFonts w:ascii="Times New Roman" w:eastAsia="Times New Roman" w:hAnsi="Times New Roman" w:cs="Times New Roman"/>
      <w:sz w:val="24"/>
      <w:szCs w:val="20"/>
      <w:lang w:eastAsia="it-IT"/>
    </w:rPr>
  </w:style>
  <w:style w:type="character" w:customStyle="1" w:styleId="grame">
    <w:name w:val="grame"/>
    <w:basedOn w:val="Carpredefinitoparagrafo"/>
    <w:rsid w:val="00752EDB"/>
  </w:style>
  <w:style w:type="character" w:styleId="Enfasicorsivo">
    <w:name w:val="Emphasis"/>
    <w:basedOn w:val="Carpredefinitoparagrafo"/>
    <w:uiPriority w:val="20"/>
    <w:qFormat/>
    <w:rsid w:val="007720D2"/>
    <w:rPr>
      <w:i/>
      <w:iCs/>
    </w:rPr>
  </w:style>
  <w:style w:type="paragraph" w:styleId="Paragrafoelenco">
    <w:name w:val="List Paragraph"/>
    <w:basedOn w:val="Normale"/>
    <w:uiPriority w:val="34"/>
    <w:qFormat/>
    <w:rsid w:val="001D5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AEC7E-264B-47E5-AEB0-6146EC316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5094</Words>
  <Characters>29042</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dc:creator>
  <cp:keywords/>
  <dc:description/>
  <cp:lastModifiedBy>Chiara Letta</cp:lastModifiedBy>
  <cp:revision>2</cp:revision>
  <dcterms:created xsi:type="dcterms:W3CDTF">2026-02-04T07:39:00Z</dcterms:created>
  <dcterms:modified xsi:type="dcterms:W3CDTF">2026-02-04T07:39:00Z</dcterms:modified>
</cp:coreProperties>
</file>