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rels" ContentType="application/vnd.openxmlformats-package.relationships+xml"/>
  <Default Extension="xml" ContentType="application/xml"/>
  <Default Extension="ti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A3793" w:rsidRPr="00A23882" w:rsidRDefault="002A3793" w:rsidP="00A23882">
      <w:pPr>
        <w:pStyle w:val="01-MainHeading"/>
        <w:spacing w:line="480" w:lineRule="auto"/>
        <w:rPr>
          <w:bCs/>
          <w:szCs w:val="24"/>
          <w:rtl/>
          <w:lang w:bidi="fa-IR"/>
        </w:rPr>
      </w:pPr>
      <w:r w:rsidRPr="00A23882">
        <w:rPr>
          <w:bCs/>
          <w:szCs w:val="24"/>
        </w:rPr>
        <w:t>Spectrofluorime</w:t>
      </w:r>
      <w:r w:rsidR="009E3352">
        <w:rPr>
          <w:bCs/>
          <w:szCs w:val="24"/>
        </w:rPr>
        <w:t>tric Analysis of the Binding</w:t>
      </w:r>
      <w:r w:rsidRPr="00A23882">
        <w:rPr>
          <w:bCs/>
          <w:szCs w:val="24"/>
        </w:rPr>
        <w:t xml:space="preserve"> </w:t>
      </w:r>
      <w:r w:rsidR="00D34C5C">
        <w:rPr>
          <w:bCs/>
          <w:szCs w:val="24"/>
        </w:rPr>
        <w:t xml:space="preserve">of a Target Molecule </w:t>
      </w:r>
      <w:r w:rsidRPr="00A23882">
        <w:rPr>
          <w:bCs/>
          <w:szCs w:val="24"/>
        </w:rPr>
        <w:t>to Serum Albumin: Tricky Aspects and Tips</w:t>
      </w:r>
    </w:p>
    <w:p w:rsidR="002A3793" w:rsidRPr="00A23882" w:rsidRDefault="002A3793" w:rsidP="00A23882">
      <w:pPr>
        <w:pStyle w:val="02-Author"/>
        <w:spacing w:before="360" w:line="480" w:lineRule="auto"/>
        <w:rPr>
          <w:szCs w:val="24"/>
          <w:vertAlign w:val="superscript"/>
          <w:rtl/>
          <w:lang w:val="it-IT"/>
        </w:rPr>
      </w:pPr>
      <w:r w:rsidRPr="00A23882">
        <w:rPr>
          <w:szCs w:val="24"/>
          <w:lang w:val="it-IT" w:bidi="fa-IR"/>
        </w:rPr>
        <w:t>Francesca Macii</w:t>
      </w:r>
      <w:r w:rsidRPr="00A23882">
        <w:rPr>
          <w:szCs w:val="24"/>
          <w:vertAlign w:val="superscript"/>
          <w:lang w:val="it-IT"/>
        </w:rPr>
        <w:t>a</w:t>
      </w:r>
      <w:r w:rsidRPr="00A23882">
        <w:rPr>
          <w:szCs w:val="24"/>
          <w:lang w:val="it-IT"/>
        </w:rPr>
        <w:t>, Tarita Biver</w:t>
      </w:r>
      <w:r w:rsidRPr="00A23882">
        <w:rPr>
          <w:szCs w:val="24"/>
          <w:vertAlign w:val="superscript"/>
          <w:lang w:val="it-IT"/>
        </w:rPr>
        <w:t xml:space="preserve">b,a*      </w:t>
      </w:r>
    </w:p>
    <w:p w:rsidR="00B91265" w:rsidRPr="00A23882" w:rsidRDefault="002A3793" w:rsidP="00A23882">
      <w:pPr>
        <w:pStyle w:val="03-Address"/>
        <w:spacing w:line="480" w:lineRule="auto"/>
        <w:rPr>
          <w:iCs/>
          <w:sz w:val="24"/>
          <w:szCs w:val="24"/>
        </w:rPr>
      </w:pPr>
      <w:r w:rsidRPr="00A23882">
        <w:rPr>
          <w:iCs/>
          <w:sz w:val="24"/>
          <w:szCs w:val="24"/>
          <w:vertAlign w:val="superscript"/>
        </w:rPr>
        <w:t>a</w:t>
      </w:r>
      <w:r w:rsidRPr="00A23882">
        <w:rPr>
          <w:iCs/>
          <w:sz w:val="24"/>
          <w:szCs w:val="24"/>
        </w:rPr>
        <w:t xml:space="preserve">Department of Chemistry and Industrial Chemistry, University of Pisa, Pisa, Italy; </w:t>
      </w:r>
      <w:r w:rsidRPr="00A23882">
        <w:rPr>
          <w:iCs/>
          <w:sz w:val="24"/>
          <w:szCs w:val="24"/>
          <w:vertAlign w:val="superscript"/>
        </w:rPr>
        <w:t>b</w:t>
      </w:r>
      <w:r w:rsidRPr="00A23882">
        <w:rPr>
          <w:iCs/>
          <w:sz w:val="24"/>
          <w:szCs w:val="24"/>
        </w:rPr>
        <w:t xml:space="preserve">Department of Pharmacy, University </w:t>
      </w:r>
      <w:r w:rsidR="00737AEE" w:rsidRPr="00A23882">
        <w:rPr>
          <w:iCs/>
          <w:sz w:val="24"/>
          <w:szCs w:val="24"/>
        </w:rPr>
        <w:t>of Pisa, Pisa, Italy</w:t>
      </w:r>
      <w:r w:rsidR="00D34C5C">
        <w:rPr>
          <w:iCs/>
          <w:sz w:val="24"/>
          <w:szCs w:val="24"/>
        </w:rPr>
        <w:t xml:space="preserve">   </w:t>
      </w:r>
      <w:hyperlink r:id="rId8" w:history="1">
        <w:r w:rsidR="00B91265" w:rsidRPr="00926699">
          <w:rPr>
            <w:rStyle w:val="Collegamentoipertestuale"/>
            <w:sz w:val="24"/>
          </w:rPr>
          <w:t>tarita.biver@unipi.it</w:t>
        </w:r>
      </w:hyperlink>
    </w:p>
    <w:p w:rsidR="00767C9D" w:rsidRDefault="00767C9D" w:rsidP="00A23882">
      <w:pPr>
        <w:pStyle w:val="Didascalia"/>
        <w:spacing w:line="480" w:lineRule="auto"/>
        <w:jc w:val="both"/>
        <w:rPr>
          <w:sz w:val="24"/>
          <w:szCs w:val="24"/>
        </w:rPr>
      </w:pPr>
    </w:p>
    <w:p w:rsidR="002A3793" w:rsidRPr="00A23882" w:rsidRDefault="002A3793" w:rsidP="00A23882">
      <w:pPr>
        <w:pStyle w:val="Didascalia"/>
        <w:spacing w:line="480" w:lineRule="auto"/>
        <w:jc w:val="both"/>
        <w:rPr>
          <w:b w:val="0"/>
          <w:sz w:val="24"/>
          <w:szCs w:val="24"/>
        </w:rPr>
      </w:pPr>
      <w:r w:rsidRPr="00A23882">
        <w:rPr>
          <w:sz w:val="24"/>
          <w:szCs w:val="24"/>
        </w:rPr>
        <w:t>Abstract</w:t>
      </w:r>
      <w:r w:rsidRPr="00A23882">
        <w:rPr>
          <w:b w:val="0"/>
          <w:sz w:val="24"/>
          <w:szCs w:val="24"/>
        </w:rPr>
        <w:t xml:space="preserve">: </w:t>
      </w:r>
      <w:r w:rsidR="00AA5421">
        <w:rPr>
          <w:b w:val="0"/>
          <w:sz w:val="24"/>
          <w:szCs w:val="24"/>
        </w:rPr>
        <w:t>Protein binding</w:t>
      </w:r>
      <w:r w:rsidRPr="00A23882">
        <w:rPr>
          <w:b w:val="0"/>
          <w:sz w:val="24"/>
          <w:szCs w:val="24"/>
        </w:rPr>
        <w:t xml:space="preserve"> heavily modulates drug activity</w:t>
      </w:r>
      <w:r w:rsidR="00AA5421">
        <w:rPr>
          <w:b w:val="0"/>
          <w:sz w:val="24"/>
          <w:szCs w:val="24"/>
        </w:rPr>
        <w:t>. T</w:t>
      </w:r>
      <w:r w:rsidRPr="00A23882">
        <w:rPr>
          <w:b w:val="0"/>
          <w:sz w:val="24"/>
          <w:szCs w:val="24"/>
        </w:rPr>
        <w:t xml:space="preserve">herefore, the binding features need to be elucidated when chemistry researchers study new </w:t>
      </w:r>
      <w:r w:rsidR="009E3352">
        <w:rPr>
          <w:b w:val="0"/>
          <w:sz w:val="24"/>
          <w:szCs w:val="24"/>
        </w:rPr>
        <w:t xml:space="preserve">molecules </w:t>
      </w:r>
      <w:r w:rsidR="00AA5421">
        <w:rPr>
          <w:b w:val="0"/>
          <w:sz w:val="24"/>
          <w:szCs w:val="24"/>
        </w:rPr>
        <w:t>(</w:t>
      </w:r>
      <w:r w:rsidR="009E3352">
        <w:rPr>
          <w:b w:val="0"/>
          <w:sz w:val="24"/>
          <w:szCs w:val="24"/>
        </w:rPr>
        <w:t>metal complexes</w:t>
      </w:r>
      <w:r w:rsidR="00AA5421">
        <w:rPr>
          <w:b w:val="0"/>
          <w:sz w:val="24"/>
          <w:szCs w:val="24"/>
        </w:rPr>
        <w:t>)</w:t>
      </w:r>
      <w:r w:rsidR="009E3352">
        <w:rPr>
          <w:b w:val="0"/>
          <w:sz w:val="24"/>
          <w:szCs w:val="24"/>
        </w:rPr>
        <w:t xml:space="preserve"> to be used as </w:t>
      </w:r>
      <w:r w:rsidRPr="00A23882">
        <w:rPr>
          <w:b w:val="0"/>
          <w:sz w:val="24"/>
          <w:szCs w:val="24"/>
        </w:rPr>
        <w:t xml:space="preserve">drugs. This </w:t>
      </w:r>
      <w:r w:rsidR="00AA5421">
        <w:rPr>
          <w:b w:val="0"/>
          <w:sz w:val="24"/>
          <w:szCs w:val="24"/>
        </w:rPr>
        <w:t>paper</w:t>
      </w:r>
      <w:r w:rsidRPr="00A23882">
        <w:rPr>
          <w:b w:val="0"/>
          <w:sz w:val="24"/>
          <w:szCs w:val="24"/>
        </w:rPr>
        <w:t xml:space="preserve"> concerns the experimental and data treatment aspects of the mechanistic analysis of the </w:t>
      </w:r>
      <w:r w:rsidR="009E3352">
        <w:rPr>
          <w:b w:val="0"/>
          <w:sz w:val="24"/>
          <w:szCs w:val="24"/>
        </w:rPr>
        <w:t>binding</w:t>
      </w:r>
      <w:r w:rsidR="00AA5421">
        <w:rPr>
          <w:b w:val="0"/>
          <w:sz w:val="24"/>
          <w:szCs w:val="24"/>
        </w:rPr>
        <w:t xml:space="preserve"> to a fluorescent protein (the golden standard serum </w:t>
      </w:r>
      <w:r w:rsidRPr="00A23882">
        <w:rPr>
          <w:b w:val="0"/>
          <w:sz w:val="24"/>
          <w:szCs w:val="24"/>
        </w:rPr>
        <w:t xml:space="preserve">albumin) by using direct fluorescence titrations. Fluorescence data are not rarely only qualitatively used, </w:t>
      </w:r>
      <w:r w:rsidR="00AA5421">
        <w:rPr>
          <w:b w:val="0"/>
          <w:sz w:val="24"/>
          <w:szCs w:val="24"/>
        </w:rPr>
        <w:t>neglecting</w:t>
      </w:r>
      <w:r w:rsidRPr="00A23882">
        <w:rPr>
          <w:b w:val="0"/>
          <w:sz w:val="24"/>
          <w:szCs w:val="24"/>
        </w:rPr>
        <w:t xml:space="preserve"> further treatment</w:t>
      </w:r>
      <w:r w:rsidR="00AA5421">
        <w:rPr>
          <w:b w:val="0"/>
          <w:sz w:val="24"/>
          <w:szCs w:val="24"/>
        </w:rPr>
        <w:t>s</w:t>
      </w:r>
      <w:r w:rsidRPr="00A23882">
        <w:rPr>
          <w:b w:val="0"/>
          <w:sz w:val="24"/>
          <w:szCs w:val="24"/>
        </w:rPr>
        <w:t xml:space="preserve"> which could offer a precious detailed picture of the behavior of the drug. We aim to spread </w:t>
      </w:r>
      <w:r w:rsidR="00AA5421">
        <w:rPr>
          <w:b w:val="0"/>
          <w:sz w:val="24"/>
          <w:szCs w:val="24"/>
        </w:rPr>
        <w:t>a</w:t>
      </w:r>
      <w:r w:rsidRPr="00A23882">
        <w:rPr>
          <w:b w:val="0"/>
          <w:sz w:val="24"/>
          <w:szCs w:val="24"/>
        </w:rPr>
        <w:t xml:space="preserve"> mechanistic approach</w:t>
      </w:r>
      <w:r w:rsidR="00AA5421">
        <w:rPr>
          <w:b w:val="0"/>
          <w:sz w:val="24"/>
          <w:szCs w:val="24"/>
        </w:rPr>
        <w:t xml:space="preserve">, </w:t>
      </w:r>
      <w:r w:rsidRPr="00A23882">
        <w:rPr>
          <w:b w:val="0"/>
          <w:sz w:val="24"/>
          <w:szCs w:val="24"/>
        </w:rPr>
        <w:t>discussin</w:t>
      </w:r>
      <w:r w:rsidR="00AA5421">
        <w:rPr>
          <w:b w:val="0"/>
          <w:sz w:val="24"/>
          <w:szCs w:val="24"/>
        </w:rPr>
        <w:t>g</w:t>
      </w:r>
      <w:r w:rsidRPr="00A23882">
        <w:rPr>
          <w:b w:val="0"/>
          <w:sz w:val="24"/>
          <w:szCs w:val="24"/>
        </w:rPr>
        <w:t xml:space="preserve"> the critical aspects for correctly designing the experiments and treating the data. </w:t>
      </w:r>
      <w:r w:rsidR="00AA5421">
        <w:rPr>
          <w:b w:val="0"/>
          <w:sz w:val="24"/>
          <w:szCs w:val="24"/>
        </w:rPr>
        <w:t>T</w:t>
      </w:r>
      <w:r w:rsidRPr="00A23882">
        <w:rPr>
          <w:b w:val="0"/>
          <w:sz w:val="24"/>
          <w:szCs w:val="24"/>
        </w:rPr>
        <w:t xml:space="preserve">he researcher may confirm </w:t>
      </w:r>
      <w:r w:rsidR="009E3352">
        <w:rPr>
          <w:b w:val="0"/>
          <w:sz w:val="24"/>
          <w:szCs w:val="24"/>
        </w:rPr>
        <w:t>adduct</w:t>
      </w:r>
      <w:r w:rsidRPr="00A23882">
        <w:rPr>
          <w:b w:val="0"/>
          <w:sz w:val="24"/>
          <w:szCs w:val="24"/>
        </w:rPr>
        <w:t xml:space="preserve"> formation and evaluate binding constants (Stern-Volmer K</w:t>
      </w:r>
      <w:r w:rsidRPr="00A23882">
        <w:rPr>
          <w:b w:val="0"/>
          <w:sz w:val="24"/>
          <w:szCs w:val="24"/>
          <w:vertAlign w:val="subscript"/>
        </w:rPr>
        <w:t>SV</w:t>
      </w:r>
      <w:r w:rsidRPr="00A23882">
        <w:rPr>
          <w:b w:val="0"/>
          <w:sz w:val="24"/>
          <w:szCs w:val="24"/>
        </w:rPr>
        <w:t xml:space="preserve"> or other types of K). Also, we discuss here, with the help of literature examples, the correct use of temperature dependence of K to extract thermodynamic parameters, comment on enthalpy-entropy compensation, together with the use of synchronous spectra and exchange experiment to gain information on the binding type and site. </w:t>
      </w:r>
      <w:r w:rsidR="00AA5421">
        <w:rPr>
          <w:b w:val="0"/>
          <w:sz w:val="24"/>
          <w:szCs w:val="24"/>
        </w:rPr>
        <w:t>We think that this tutorial/</w:t>
      </w:r>
      <w:r w:rsidRPr="00A23882">
        <w:rPr>
          <w:b w:val="0"/>
          <w:sz w:val="24"/>
          <w:szCs w:val="24"/>
        </w:rPr>
        <w:t xml:space="preserve">critical synopsis can be of help for the increasing community dealing with these experiments, which are valuable but often much more tricky than </w:t>
      </w:r>
      <w:r w:rsidR="00A324D1" w:rsidRPr="00A23882">
        <w:rPr>
          <w:b w:val="0"/>
          <w:sz w:val="24"/>
          <w:szCs w:val="24"/>
        </w:rPr>
        <w:t>it might appear at first sight.</w:t>
      </w:r>
    </w:p>
    <w:p w:rsidR="00AA5421" w:rsidRPr="00A23882" w:rsidRDefault="00AA5421" w:rsidP="00A23882">
      <w:pPr>
        <w:pStyle w:val="04-abstract"/>
        <w:spacing w:after="60" w:line="480" w:lineRule="auto"/>
        <w:ind w:left="0"/>
        <w:rPr>
          <w:sz w:val="24"/>
          <w:szCs w:val="24"/>
        </w:rPr>
      </w:pPr>
    </w:p>
    <w:p w:rsidR="002A3793" w:rsidRDefault="002A3793" w:rsidP="00A23882">
      <w:pPr>
        <w:pStyle w:val="04-abstract"/>
        <w:spacing w:line="480" w:lineRule="auto"/>
        <w:ind w:left="0"/>
        <w:rPr>
          <w:sz w:val="24"/>
          <w:szCs w:val="24"/>
        </w:rPr>
      </w:pPr>
      <w:r w:rsidRPr="00A23882">
        <w:rPr>
          <w:b/>
          <w:bCs/>
          <w:sz w:val="24"/>
          <w:szCs w:val="24"/>
        </w:rPr>
        <w:t xml:space="preserve">Keywords: </w:t>
      </w:r>
      <w:r w:rsidRPr="00A23882">
        <w:rPr>
          <w:sz w:val="24"/>
          <w:szCs w:val="24"/>
        </w:rPr>
        <w:t>quenching, inner-filter effect, titrations, Stern-Volmer plots, thermodynamics, enthalpy-entropy compensation.</w:t>
      </w:r>
    </w:p>
    <w:p w:rsidR="002A3793" w:rsidRPr="00A23882" w:rsidRDefault="002A3793" w:rsidP="00A23882">
      <w:pPr>
        <w:pStyle w:val="06-Heading-1"/>
        <w:spacing w:line="480" w:lineRule="auto"/>
        <w:rPr>
          <w:bCs/>
          <w:sz w:val="24"/>
          <w:szCs w:val="24"/>
        </w:rPr>
      </w:pPr>
      <w:r w:rsidRPr="00A23882">
        <w:rPr>
          <w:sz w:val="24"/>
          <w:szCs w:val="24"/>
        </w:rPr>
        <w:lastRenderedPageBreak/>
        <w:t xml:space="preserve">1. </w:t>
      </w:r>
      <w:r w:rsidRPr="00A23882">
        <w:rPr>
          <w:bCs/>
          <w:sz w:val="24"/>
          <w:szCs w:val="24"/>
        </w:rPr>
        <w:t>INTRODUCTION</w:t>
      </w:r>
    </w:p>
    <w:p w:rsidR="002A3793" w:rsidRPr="00A23882" w:rsidRDefault="002A3793" w:rsidP="00A23882">
      <w:pPr>
        <w:pStyle w:val="05-ArticleText"/>
        <w:spacing w:line="480" w:lineRule="auto"/>
        <w:rPr>
          <w:sz w:val="24"/>
          <w:szCs w:val="24"/>
        </w:rPr>
      </w:pPr>
      <w:r w:rsidRPr="00A23882">
        <w:rPr>
          <w:sz w:val="24"/>
          <w:szCs w:val="24"/>
        </w:rPr>
        <w:t xml:space="preserve">It is now clear that the studies connected to the development of new drugs could not be limited to nucleic acids: proteins also represent a primary target for the action of the medicine </w:t>
      </w:r>
      <w:r w:rsidRPr="00A23882">
        <w:rPr>
          <w:sz w:val="24"/>
          <w:szCs w:val="24"/>
        </w:rPr>
        <w:fldChar w:fldCharType="begin" w:fldLock="1"/>
      </w:r>
      <w:r w:rsidRPr="00A23882">
        <w:rPr>
          <w:sz w:val="24"/>
          <w:szCs w:val="24"/>
        </w:rPr>
        <w:instrText>ADDIN CSL_CITATION {"citationItems":[{"id":"ITEM-1","itemData":{"DOI":"10.1021/acs.accounts.6b00185","ISSN":"15204898","abstract":"ConspectusComputational methods for docking small molecules to proteins are prominent in drug discovery. There are hundreds, if not thousands, of documented examples - and several pertinent cases within our research program. Fifteen years ago, our first docking-guided drug design project yielded nanomolar metalloproteinase inhibitors and illustrated the potential of structure-based drug design. Subsequent applications of docking programs to the design of integrin antagonists, BACE-1 inhibitors, and aminoglycosides binding to bacterial RNA demonstrated that available docking programs needed significant improvement. At that time, docking programs primarily considered flexible ligands and rigid proteins. We demonstrated that accounting for protein flexibility, employing displaceable water molecules, and using ligand-based pharmacophores improved the docking accuracy of existing methods - enabling the design of bioactive molecules. The success prompted the development of our own program, Fitted, implementing all of these aspects. The primary motivation has always been to respond to the needs of drug design studies; the majority of the concepts behind the evolution of Fitted are rooted in medicinal chemistry projects and collaborations. Several examples follow: (1) Searching for HDAC inhibitors led us to develop methods considering drug-zinc coordination and its effect on the pKa of surrounding residues. (2) Targeting covalent prolyl oligopeptidase (POP) inhibitors prompted an update to Fitted to identify reactive groups and form bonds with a given residue (e.g., a catalytic residue) when the geometry allows it. Fitted - the first fully automated covalent docking program - was successfully applied to the discovery of four new classes of covalent POP inhibitors. As a result, efficient stereoselective syntheses of a few screening hits were prioritized rather than synthesizing large chemical libraries - yielding nanomolar inhibitors. (3) In order to study the metabolism of POP inhibitors by cytochrome P450 enzymes (CYPs) - for toxicology studies - the program Impacts was derived from Fitted and helped us to reveal a complex metabolism with unforeseen stereocenter isomerizations.These efforts, combined with those of other docking software developers, have strengthened our understanding of the complex drug-protein binding process while providing the medicinal chemistry community with useful tools that have led to drug discoveries. In this Account, we describe our…","author":[{"dropping-particle":"","family":"Moitessier","given":"Nicolas","non-dropping-particle":"","parse-names":false,"suffix":""},{"dropping-particle":"","family":"Pottel","given":"Joshua","non-dropping-particle":"","parse-names":false,"suffix":""},{"dropping-particle":"","family":"Therrien","given":"Eric","non-dropping-particle":"","parse-names":false,"suffix":""},{"dropping-particle":"","family":"Englebienne","given":"Pablo","non-dropping-particle":"","parse-names":false,"suffix":""},{"dropping-particle":"","family":"Liu","given":"Zhaomin","non-dropping-particle":"","parse-names":false,"suffix":""},{"dropping-particle":"","family":"Tomberg","given":"Anna","non-dropping-particle":"","parse-names":false,"suffix":""},{"dropping-particle":"","family":"Corbeil","given":"Christopher R.","non-dropping-particle":"","parse-names":false,"suffix":""}],"container-title":"Accounts of Chemical Research","id":"ITEM-1","issue":"9","issued":{"date-parts":[["2016"]]},"page":"1646-1657","title":"Medicinal Chemistry Projects Requiring Imaginative Structure-Based Drug Design Methods","type":"article-journal","volume":"49"},"uris":["http://www.mendeley.com/documents/?uuid=5741c6ee-81e4-43fc-b26e-4bd34424c331"]}],"mendeley":{"formattedCitation":"[1]","plainTextFormattedCitation":"[1]","previouslyFormattedCitation":"[1]"},"properties":{"noteIndex":0},"schema":"https://github.com/citation-style-language/schema/raw/master/csl-citation.json"}</w:instrText>
      </w:r>
      <w:r w:rsidRPr="00A23882">
        <w:rPr>
          <w:sz w:val="24"/>
          <w:szCs w:val="24"/>
        </w:rPr>
        <w:fldChar w:fldCharType="separate"/>
      </w:r>
      <w:r w:rsidRPr="00A23882">
        <w:rPr>
          <w:noProof/>
          <w:sz w:val="24"/>
          <w:szCs w:val="24"/>
        </w:rPr>
        <w:t>[1]</w:t>
      </w:r>
      <w:r w:rsidRPr="00A23882">
        <w:rPr>
          <w:sz w:val="24"/>
          <w:szCs w:val="24"/>
        </w:rPr>
        <w:fldChar w:fldCharType="end"/>
      </w:r>
      <w:r w:rsidRPr="00A23882">
        <w:rPr>
          <w:sz w:val="24"/>
          <w:szCs w:val="24"/>
        </w:rPr>
        <w:t xml:space="preserve">. In the case of metal complexes, coordinative binding to proteins (metalation process) may play a key role in the mechanism of action of a variety of inorganic anticancer agents </w:t>
      </w:r>
      <w:r w:rsidRPr="00A23882">
        <w:rPr>
          <w:sz w:val="24"/>
          <w:szCs w:val="24"/>
        </w:rPr>
        <w:fldChar w:fldCharType="begin" w:fldLock="1"/>
      </w:r>
      <w:r w:rsidRPr="00A23882">
        <w:rPr>
          <w:sz w:val="24"/>
          <w:szCs w:val="24"/>
        </w:rPr>
        <w:instrText>ADDIN CSL_CITATION {"citationItems":[{"id":"ITEM-1","itemData":{"DOI":"10.1002/9781119951438.eibc2747","ISBN":"9781119951438","author":[{"dropping-particle":"","family":"Marzo","given":"Tiziano","non-dropping-particle":"","parse-names":false,"suffix":""},{"dropping-particle":"","family":"Ferraro","given":"Giarita","non-dropping-particle":"","parse-names":false,"suffix":""},{"dropping-particle":"","family":"Merlino","given":"Antonello","non-dropping-particle":"","parse-names":false,"suffix":""},{"dropping-particle":"","family":"Messori","given":"Luigi","non-dropping-particle":"","parse-names":false,"suffix":""}],"container-title":"Encyclopedia of Inorganic and Bioinorganic Chemistry","id":"ITEM-1","issued":{"date-parts":[["2020"]]},"page":"1-17","title":"Protein Metalation by Inorganic Anticancer Drugs","type":"article-journal"},"uris":["http://www.mendeley.com/documents/?uuid=7a7d571a-872d-4ca6-afcf-7492dcc14920"]}],"mendeley":{"formattedCitation":"[2]","plainTextFormattedCitation":"[2]","previouslyFormattedCitation":"[2]"},"properties":{"noteIndex":0},"schema":"https://github.com/citation-style-language/schema/raw/master/csl-citation.json"}</w:instrText>
      </w:r>
      <w:r w:rsidRPr="00A23882">
        <w:rPr>
          <w:sz w:val="24"/>
          <w:szCs w:val="24"/>
        </w:rPr>
        <w:fldChar w:fldCharType="separate"/>
      </w:r>
      <w:r w:rsidRPr="00A23882">
        <w:rPr>
          <w:noProof/>
          <w:sz w:val="24"/>
          <w:szCs w:val="24"/>
        </w:rPr>
        <w:t>[2]</w:t>
      </w:r>
      <w:r w:rsidRPr="00A23882">
        <w:rPr>
          <w:sz w:val="24"/>
          <w:szCs w:val="24"/>
        </w:rPr>
        <w:fldChar w:fldCharType="end"/>
      </w:r>
      <w:r w:rsidRPr="00A23882">
        <w:rPr>
          <w:sz w:val="24"/>
          <w:szCs w:val="24"/>
        </w:rPr>
        <w:t xml:space="preserve">. For instance, in the case of gold drugs, covalent binding to the thiolic residue in cysteines is a crucial step of the Au drug/protein interaction process which influences the pharmacological activity </w:t>
      </w:r>
      <w:r w:rsidRPr="00A23882">
        <w:rPr>
          <w:sz w:val="24"/>
          <w:szCs w:val="24"/>
        </w:rPr>
        <w:fldChar w:fldCharType="begin" w:fldLock="1"/>
      </w:r>
      <w:r w:rsidRPr="00A23882">
        <w:rPr>
          <w:sz w:val="24"/>
          <w:szCs w:val="24"/>
        </w:rPr>
        <w:instrText>ADDIN CSL_CITATION {"citationItems":[{"id":"ITEM-1","itemData":{"DOI":"10.1007/s10534-019-00224-1","ISBN":"0123456789","ISSN":"15728773","PMID":"31686259","abstract":"Three pseudohalide analogues of the established gold drug auranofin (AF hereafter), of general formula Au(PEt3)X, i.e. Au(PEt3)CN, Au(PEt3)SCN and Au(PEt3)N3 (respectively denoted as AFCN, AFSCN and AFN3), were prepared and characterized. The crystal structure was solved for Au(PEt3)SCN highlighting the classical linear geometry of the 2-coordinate gold(I) center. The solution behaviour of the compounds was then comparatively analysed through 31PNMR providing evidence for an acceptable stability under physiological-like conditions. Afterward, the reaction of these gold compounds with bovine serum albumin (BSA) and consequent adduct formation was investigated by 31PNMR. For all the studied gold compounds, the [Au(PEt3)]+ moiety was identified as the reactive species in metal/protein adducts formation. The cytotoxic effects of the complexes were subsequently measured in comparison to AF against a representative colorectal cancer cell line and found to be still relevant and roughly similar in the three cases though far weaker than those of AF. These results show that the nature of the anionic ligand can modulate importantly the pharmacological action of the gold-triethylphosphine moiety, affecting the cytotoxic potency. These aspects may be further explored to improve the pharmacological profiles of this family of metal complexes.","author":[{"dropping-particle":"","family":"Cirri","given":"Damiano","non-dropping-particle":"","parse-names":false,"suffix":""},{"dropping-particle":"","family":"Fabbrini","given":"Maria Giulia","non-dropping-particle":"","parse-names":false,"suffix":""},{"dropping-particle":"","family":"Massai","given":"Lara","non-dropping-particle":"","parse-names":false,"suffix":""},{"dropping-particle":"","family":"Pillozzi","given":"Serena","non-dropping-particle":"","parse-names":false,"suffix":""},{"dropping-particle":"","family":"Guerri","given":"Annalisa","non-dropping-particle":"","parse-names":false,"suffix":""},{"dropping-particle":"","family":"Menconi","given":"Alessio","non-dropping-particle":"","parse-names":false,"suffix":""},{"dropping-particle":"","family":"Messori","given":"Luigi","non-dropping-particle":"","parse-names":false,"suffix":""},{"dropping-particle":"","family":"Marzo","given":"Tiziano","non-dropping-particle":"","parse-names":false,"suffix":""},{"dropping-particle":"","family":"Pratesi","given":"Alessandro","non-dropping-particle":"","parse-names":false,"suffix":""}],"container-title":"BioMetals","id":"ITEM-1","issue":"6","issued":{"date-parts":[["2019"]]},"page":"939-948","publisher":"Springer Netherlands","title":"Structural and solution chemistry, antiproliferative effects, and serum albumin binding of three pseudohalide derivatives of auranofin","type":"article-journal","volume":"32"},"uris":["http://www.mendeley.com/documents/?uuid=e9523825-9d0d-449d-bb68-1bc45abb8fd1"]}],"mendeley":{"formattedCitation":"[3]","plainTextFormattedCitation":"[3]","previouslyFormattedCitation":"[3]"},"properties":{"noteIndex":0},"schema":"https://github.com/citation-style-language/schema/raw/master/csl-citation.json"}</w:instrText>
      </w:r>
      <w:r w:rsidRPr="00A23882">
        <w:rPr>
          <w:sz w:val="24"/>
          <w:szCs w:val="24"/>
        </w:rPr>
        <w:fldChar w:fldCharType="separate"/>
      </w:r>
      <w:r w:rsidRPr="00A23882">
        <w:rPr>
          <w:noProof/>
          <w:sz w:val="24"/>
          <w:szCs w:val="24"/>
        </w:rPr>
        <w:t>[3]</w:t>
      </w:r>
      <w:r w:rsidRPr="00A23882">
        <w:rPr>
          <w:sz w:val="24"/>
          <w:szCs w:val="24"/>
        </w:rPr>
        <w:fldChar w:fldCharType="end"/>
      </w:r>
      <w:r w:rsidRPr="00A23882">
        <w:rPr>
          <w:sz w:val="24"/>
          <w:szCs w:val="24"/>
        </w:rPr>
        <w:t xml:space="preserve">. But non-covalent binding modes also affect the metal complex/drug performances </w:t>
      </w:r>
      <w:r w:rsidRPr="00A23882">
        <w:rPr>
          <w:sz w:val="24"/>
          <w:szCs w:val="24"/>
        </w:rPr>
        <w:fldChar w:fldCharType="begin" w:fldLock="1"/>
      </w:r>
      <w:r w:rsidRPr="00A23882">
        <w:rPr>
          <w:sz w:val="24"/>
          <w:szCs w:val="24"/>
        </w:rPr>
        <w:instrText xml:space="preserve">ADDIN CSL_CITATION {"citationItems":[{"id":"ITEM-1","itemData":{"DOI":"10.1039/c9md00018f","ISSN":"20402511","abstract":"Peptides and small protein scaffolds are gaining increasing interest as therapeutics. Similarly to full-length antibodies, they can bind a target with a high binding affinity and specificity while remaining small enough to diffuse into tissues. However, despite their numerous advantages, small biotherapeutics often suffer from a relatively short circulating half-life, thus requiring frequent applications that ultimately restrict their ease of use and user compliance. To overcome this limitation, a large variety of half-life extension strategies have been developed in the last decades. Linkage to ligands that non-covalently bind to albumin, the most abundant serum protein with a circulating half-life of </w:instrText>
      </w:r>
      <w:r w:rsidRPr="00A23882">
        <w:rPr>
          <w:rFonts w:ascii="Cambria Math" w:hAnsi="Cambria Math" w:cs="Cambria Math"/>
          <w:sz w:val="24"/>
          <w:szCs w:val="24"/>
        </w:rPr>
        <w:instrText>∼</w:instrText>
      </w:r>
      <w:r w:rsidRPr="00A23882">
        <w:rPr>
          <w:sz w:val="24"/>
          <w:szCs w:val="24"/>
        </w:rPr>
        <w:instrText>19 days in humans, represents one of the most successful approaches for the generation of long-lasting biotherapeutics with improved pharmacokinetic properties and superior efficacy in the clinic.","author":[{"dropping-particle":"","family":"Zorzi","given":"Alessandro","non-dropping-particle":"","parse-names":false,"suffix":""},{"dropping-particle":"","family":"Linciano","given":"Sara","non-dropping-particle":"","parse-names":false,"suffix":""},{"dropping-particle":"","family":"Angelini","given":"Alessandro","non-dropping-particle":"","parse-names":false,"suffix":""}],"container-title":"MedChemComm","id":"ITEM-1","issue":"7","issued":{"date-parts":[["2019"]]},"page":"1068-1081","title":"Non-covalent albumin-binding ligands for extending the circulating half-life of small biotherapeutics","type":"article-journal","volume":"10"},"uris":["http://www.mendeley.com/documents/?uuid=3cc47f11-8032-44ee-af68-93f2e67be1fa"]}],"mendeley":{"formattedCitation":"[4]","plainTextFormattedCitation":"[4]","previouslyFormattedCitation":"[4]"},"properties":{"noteIndex":0},"schema":"https://github.com/citation-style-language/schema/raw/master/csl-citation.json"}</w:instrText>
      </w:r>
      <w:r w:rsidRPr="00A23882">
        <w:rPr>
          <w:sz w:val="24"/>
          <w:szCs w:val="24"/>
        </w:rPr>
        <w:fldChar w:fldCharType="separate"/>
      </w:r>
      <w:r w:rsidRPr="00A23882">
        <w:rPr>
          <w:noProof/>
          <w:sz w:val="24"/>
          <w:szCs w:val="24"/>
        </w:rPr>
        <w:t>[4]</w:t>
      </w:r>
      <w:r w:rsidRPr="00A23882">
        <w:rPr>
          <w:sz w:val="24"/>
          <w:szCs w:val="24"/>
        </w:rPr>
        <w:fldChar w:fldCharType="end"/>
      </w:r>
      <w:r w:rsidRPr="00A23882">
        <w:rPr>
          <w:sz w:val="24"/>
          <w:szCs w:val="24"/>
        </w:rPr>
        <w:t xml:space="preserve">. Therefore, it becomes crucial to analyze the binding mode of the drug to the protein with quantitative and detailed studies aimed at understanding the mechanism of its toxic and/or therapeutic activity </w:t>
      </w:r>
      <w:r w:rsidRPr="00A23882">
        <w:rPr>
          <w:sz w:val="24"/>
          <w:szCs w:val="24"/>
        </w:rPr>
        <w:fldChar w:fldCharType="begin" w:fldLock="1"/>
      </w:r>
      <w:r w:rsidRPr="00A23882">
        <w:rPr>
          <w:sz w:val="24"/>
          <w:szCs w:val="24"/>
        </w:rPr>
        <w:instrText>ADDIN CSL_CITATION {"citationItems":[{"id":"ITEM-1","itemData":{"DOI":"10.1016/j.ccr.2016.08.001","ISSN":"00108545","abstract":"Ruthenium compounds have unique physicochemical properties that can be efficiently exploited in medicinal chemistry. These molecules can act using both DNA or enzymes as target. The molecular bases that govern DNA versus protein binding selectivity are not known, but a number of investigations has allowed one to obtain significant information on these recognition processes. Here we review some relevant crystallographic studies focused on the characterization of the interaction between proteins and selected ruthenium compounds of medicinal interest. Details of the interactions between Ru compounds and protein residues are described and the reactivity of the compounds towards different targets is compared with that observed analyzing analogous Pt-based drugs-protein adducts. Data provide important information that can be useful to a deeper understanding of the mechanism of actions of the analyzed compounds.","author":[{"dropping-particle":"","family":"Merlino","given":"Antonello","non-dropping-particle":"","parse-names":false,"suffix":""}],"container-title":"Coordination Chemistry Reviews","id":"ITEM-1","issued":{"date-parts":[["2016"]]},"page":"111-134","publisher":"Elsevier B.V.","title":"Interactions between proteins and Ru compounds of medicinal interest: A structural perspective","type":"article-journal","volume":"326"},"uris":["http://www.mendeley.com/documents/?uuid=46be2c32-a6a9-49f6-a6a6-37a67f290d6b"]}],"mendeley":{"formattedCitation":"[5]","plainTextFormattedCitation":"[5]","previouslyFormattedCitation":"[5]"},"properties":{"noteIndex":0},"schema":"https://github.com/citation-style-language/schema/raw/master/csl-citation.json"}</w:instrText>
      </w:r>
      <w:r w:rsidRPr="00A23882">
        <w:rPr>
          <w:sz w:val="24"/>
          <w:szCs w:val="24"/>
        </w:rPr>
        <w:fldChar w:fldCharType="separate"/>
      </w:r>
      <w:r w:rsidRPr="00A23882">
        <w:rPr>
          <w:noProof/>
          <w:sz w:val="24"/>
          <w:szCs w:val="24"/>
        </w:rPr>
        <w:t>[5]</w:t>
      </w:r>
      <w:r w:rsidRPr="00A23882">
        <w:rPr>
          <w:sz w:val="24"/>
          <w:szCs w:val="24"/>
        </w:rPr>
        <w:fldChar w:fldCharType="end"/>
      </w:r>
      <w:r w:rsidRPr="00A23882">
        <w:rPr>
          <w:sz w:val="24"/>
          <w:szCs w:val="24"/>
        </w:rPr>
        <w:t xml:space="preserve">. This means to expand the qualitative binding studies often performed in vivo </w:t>
      </w:r>
      <w:r w:rsidRPr="00A23882">
        <w:rPr>
          <w:sz w:val="24"/>
          <w:szCs w:val="24"/>
        </w:rPr>
        <w:fldChar w:fldCharType="begin" w:fldLock="1"/>
      </w:r>
      <w:r w:rsidRPr="00A23882">
        <w:rPr>
          <w:sz w:val="24"/>
          <w:szCs w:val="24"/>
        </w:rPr>
        <w:instrText>ADDIN CSL_CITATION {"citationItems":[{"id":"ITEM-1","itemData":{"DOI":"10.1021/jm970417o","ISSN":"00222623","abstract":"A major issue in designing drugs as antagonists at the glycine site of the NMDA receptor has been to achieve good in vivo activity. A series of 4- hydroxyquinolone glycine antagonists was found to be active in the DBA/2 mouse anticonvulsant assay, but improvements in in vitro affinity were not mirrored by corresponding increases in anticonvulsant activity. Here we show that binding of the compounds to plasma protein limits their brain penetration. Relative binding to the major plasma protein, albumin, was measured in two different ways: by a radioligand binding experiment or using an HPLC assay, for a wide structural range of glycine/NMDA site ligands. These measures of plasma protein binding correlate well (r = 0.84), and the HPLC assay has been used extensively to quantify plasma protein binding. For the 4-hydroxyquinolone series, binding to plasma protein correlates (r = 0.92) with log P (octanol/pH 7.4 buffer) over a range of log P values from 0 to 5. The anticonvulsant activity increases with in vitro affinity, but the slope of a plot of pED50 versus pIC50 is low (0.40); taking plasma protein binding into account in this plot increases the slope to 0.60. This shows that binding to albumin in plasma reduces the amount of compound free to diffuse across the blood-brain barrier. Further evidence comes from three other experiments: (a) Direct measurements of brain/blood ratios for three compounds (2, 16, 26) show the ratio decreases with increasing log P. (b) Warfarin, which compotes for albumin binding sites dose-dependently, decreased the ED50 of 26 for protection against seizures induced by NMDLA. (c) Direct measurements of brain penetration using an in situ brain perfusion model in rat to measure the amount of drug crossing the blood-brain barrier showed that compounds 2, 26, and 32 penetrate the brain well in the absence of plasma protein, but this is greatly reduced when the drug is delivered in plasma. In the 4-hydroxyquinolones glycine site binding affinity increases with lipophilicity of the 3-substituent up to a maximum at a log P around 3, then does not improve further. When combined with increasing protein binding, this gives a parabolic relationship between predicted in vivo activity and log P, with a maximum log P value of 2.39. Finally, the plasma protein binding studies have been extended to other series of glycine site antagonists, and it is shown that for a given log P these have similar protein binding to the 4-hydroxyquinolones, exc…","author":[{"dropping-particle":"","family":"Rowley","given":"Michael","non-dropping-particle":"","parse-names":false,"suffix":""},{"dropping-particle":"","family":"Kulagowski","given":"Janusz J.","non-dropping-particle":"","parse-names":false,"suffix":""},{"dropping-particle":"","family":"Watt","given":"Alan P.","non-dropping-particle":"","parse-names":false,"suffix":""},{"dropping-particle":"","family":"Rathbone","given":"Denise","non-dropping-particle":"","parse-names":false,"suffix":""},{"dropping-particle":"","family":"Stevenson","given":"Graeme I.","non-dropping-particle":"","parse-names":false,"suffix":""},{"dropping-particle":"","family":"Carling","given":"Robert W.","non-dropping-particle":"","parse-names":false,"suffix":""},{"dropping-particle":"","family":"Baker","given":"Raymond","non-dropping-particle":"","parse-names":false,"suffix":""},{"dropping-particle":"","family":"Marshall","given":"George R.","non-dropping-particle":"","parse-names":false,"suffix":""},{"dropping-particle":"","family":"Kemp","given":"John A.","non-dropping-particle":"","parse-names":false,"suffix":""},{"dropping-particle":"","family":"Foster","given":"Alan C.","non-dropping-particle":"","parse-names":false,"suffix":""},{"dropping-particle":"","family":"Grimwood","given":"Sarah","non-dropping-particle":"","parse-names":false,"suffix":""},{"dropping-particle":"","family":"Hargreaves","given":"Richard","non-dropping-particle":"","parse-names":false,"suffix":""},{"dropping-particle":"","family":"Hurley","given":"Catherine","non-dropping-particle":"","parse-names":false,"suffix":""},{"dropping-particle":"","family":"Saywell","given":"Kay L.","non-dropping-particle":"","parse-names":false,"suffix":""},{"dropping-particle":"","family":"Tricklebank","given":"Mark D.","non-dropping-particle":"","parse-names":false,"suffix":""},{"dropping-particle":"","family":"Leeson","given":"Paul D.","non-dropping-particle":"","parse-names":false,"suffix":""}],"container-title":"Journal of Medicinal Chemistry","id":"ITEM-1","issue":"25","issued":{"date-parts":[["1997"]]},"page":"4053-4068","title":"Effect of plasma protein binding-on in vivo activity and brain penetration of glycine/NMDA receptor antagonists","type":"article-journal","volume":"40"},"uris":["http://www.mendeley.com/documents/?uuid=46e1cf81-cc50-49fe-8439-775d9c746c97"]}],"mendeley":{"formattedCitation":"[6]","plainTextFormattedCitation":"[6]","previouslyFormattedCitation":"[6]"},"properties":{"noteIndex":0},"schema":"https://github.com/citation-style-language/schema/raw/master/csl-citation.json"}</w:instrText>
      </w:r>
      <w:r w:rsidRPr="00A23882">
        <w:rPr>
          <w:sz w:val="24"/>
          <w:szCs w:val="24"/>
        </w:rPr>
        <w:fldChar w:fldCharType="separate"/>
      </w:r>
      <w:r w:rsidRPr="00A23882">
        <w:rPr>
          <w:noProof/>
          <w:sz w:val="24"/>
          <w:szCs w:val="24"/>
        </w:rPr>
        <w:t>[6]</w:t>
      </w:r>
      <w:r w:rsidRPr="00A23882">
        <w:rPr>
          <w:sz w:val="24"/>
          <w:szCs w:val="24"/>
        </w:rPr>
        <w:fldChar w:fldCharType="end"/>
      </w:r>
      <w:r w:rsidRPr="00A23882">
        <w:rPr>
          <w:sz w:val="24"/>
          <w:szCs w:val="24"/>
        </w:rPr>
        <w:t>,</w:t>
      </w:r>
      <w:r w:rsidRPr="00A23882">
        <w:rPr>
          <w:sz w:val="24"/>
          <w:szCs w:val="24"/>
        </w:rPr>
        <w:fldChar w:fldCharType="begin" w:fldLock="1"/>
      </w:r>
      <w:r w:rsidRPr="00A23882">
        <w:rPr>
          <w:sz w:val="24"/>
          <w:szCs w:val="24"/>
        </w:rPr>
        <w:instrText>ADDIN CSL_CITATION {"citationItems":[{"id":"ITEM-1","itemData":{"DOI":"10.1093/nar/28.14.2717","ISSN":"0305-1048","abstract":"Several studies have shown improved efficacy of cholesteryl-conjugated phosphorothioate antisense oligodeoxynucleotides. To gain insight into the mechanisms of the improved efficacy in vivo, we investigated the disposition of ISIS-9388, the 3'-cholesterol analog of the ICAM-1- specific phosphorothioate oligodeoxynucleotide ISIS-3082, in rats. Intravenously injected [ 3 H]ISIS-9388 was cleared from the circulation with a half-life of 49.9 ± 2.2 min (ISIS-3082, 23.3 ± 3.8 min). At 3 h after injection, the liver contained 63.7 ± 3.3% of the dose. Compared to ISIS-3082, the hepatic uptake of ISIS-9388 is ~2-fold higher. Endothelial, Kupffer and parenchymal cells accounted for 45.7 ± 5.7, 33.0 ± 5.9 and 21.3 ± 2.6% of the liver uptake of [ 3 H]ISIS-9388, respectively, and intracellular concentrations of ~2, 75 and 50 μM, respectively, could be reached in these cells (1 mg/kg dose). Preinjection with polyinosinic acid or polyadenylic acid reduced the hepatic uptake of [ 3 H]ISIS-9388, which suggests the involvement of (multiple) scavenger receptors. Size exclusion chromatography of mixtures of the oligonucleotides and rat plasma indicated that ISIS-9388 binds to a larger extent to high molecular weight proteins than ISIS-3082. Analysis by agarose gel electrophoresis indicated that ISIS-9388 binds more tightly to plasma proteins than ISIS-3082. The different interaction of the oligonucleotides with plasma proteins possibly explains their different dispositions. We conclude that cholesterol conjugation results in high accumulation of phosphorothioate oligodeoxynucleotides in various liver cell types, which is likely to be beneficial for antisense therapy of liver-associated diseases.","author":[{"dropping-particle":"","family":"Bijsterbosch","given":"M. K.","non-dropping-particle":"","parse-names":false,"suffix":""}],"container-title":"Nucleic Acids Research","id":"ITEM-1","issue":"14","issued":{"date-parts":[["2000"]]},"page":"2717-2725","title":"Modulation of plasma protein binding and in vivo liver cell uptake of phosphorothioate oligodeoxynucleotides by cholesterol conjugation","type":"article-journal","volume":"28"},"uris":["http://www.mendeley.com/documents/?uuid=af07d244-cf77-43ca-8b43-b164c487b179"]}],"mendeley":{"formattedCitation":"[7]","plainTextFormattedCitation":"[7]","previouslyFormattedCitation":"[7]"},"properties":{"noteIndex":0},"schema":"https://github.com/citation-style-language/schema/raw/master/csl-citation.json"}</w:instrText>
      </w:r>
      <w:r w:rsidRPr="00A23882">
        <w:rPr>
          <w:sz w:val="24"/>
          <w:szCs w:val="24"/>
        </w:rPr>
        <w:fldChar w:fldCharType="separate"/>
      </w:r>
      <w:r w:rsidRPr="00A23882">
        <w:rPr>
          <w:noProof/>
          <w:sz w:val="24"/>
          <w:szCs w:val="24"/>
        </w:rPr>
        <w:t>[7]</w:t>
      </w:r>
      <w:r w:rsidRPr="00A23882">
        <w:rPr>
          <w:sz w:val="24"/>
          <w:szCs w:val="24"/>
        </w:rPr>
        <w:fldChar w:fldCharType="end"/>
      </w:r>
      <w:r w:rsidRPr="00A23882">
        <w:rPr>
          <w:sz w:val="24"/>
          <w:szCs w:val="24"/>
        </w:rPr>
        <w:t xml:space="preserve">. </w:t>
      </w:r>
    </w:p>
    <w:p w:rsidR="002A3793" w:rsidRPr="00A23882" w:rsidRDefault="002A3793" w:rsidP="00A23882">
      <w:pPr>
        <w:pStyle w:val="05-ArticleText"/>
        <w:spacing w:line="480" w:lineRule="auto"/>
        <w:rPr>
          <w:sz w:val="24"/>
          <w:szCs w:val="24"/>
        </w:rPr>
      </w:pPr>
      <w:r w:rsidRPr="00A23882">
        <w:rPr>
          <w:sz w:val="24"/>
          <w:szCs w:val="24"/>
        </w:rPr>
        <w:t>In this frame, among other approaches, fluorescence titrations are often not used to their full potential and, instead, may play an interesting role.</w:t>
      </w:r>
    </w:p>
    <w:p w:rsidR="002A3793" w:rsidRPr="00A23882" w:rsidRDefault="002A3793" w:rsidP="00A23882">
      <w:pPr>
        <w:pStyle w:val="05-ArticleText"/>
        <w:spacing w:line="480" w:lineRule="auto"/>
        <w:rPr>
          <w:sz w:val="24"/>
          <w:szCs w:val="24"/>
        </w:rPr>
      </w:pPr>
      <w:r w:rsidRPr="00A23882">
        <w:rPr>
          <w:sz w:val="24"/>
          <w:szCs w:val="24"/>
        </w:rPr>
        <w:t xml:space="preserve">Serum albumins represent the major protein content of the circulatory system </w:t>
      </w:r>
      <w:r w:rsidRPr="00A23882">
        <w:rPr>
          <w:sz w:val="24"/>
          <w:szCs w:val="24"/>
        </w:rPr>
        <w:fldChar w:fldCharType="begin" w:fldLock="1"/>
      </w:r>
      <w:r w:rsidRPr="00A23882">
        <w:rPr>
          <w:sz w:val="24"/>
          <w:szCs w:val="24"/>
        </w:rPr>
        <w:instrText>ADDIN CSL_CITATION {"citationItems":[{"id":"ITEM-1","itemData":{"DOI":"10.1038/358209a0","ISSN":"00280836","PMID":"1630489","abstract":"The three-dimensional structure of human serum albumin has been determined rystallographically to a resolution of 2.8 A. It comprises three homologous domains that assemble to form a eart-shaped molecule. Each domain is a product of two subdomains that possess common structural motifs. The principal regions of ligand binding to human serum albumin are located in hydrophobic cavities in subdomains IIA and IIIA, which exhibit similar chemistry. The structure explains numerous physical phenomena and should provide insight into future pharmacokinetic and genetically engineered therapeutic applications of serum albumin. © 1992 Nature Publishing Group.","author":[{"dropping-particle":"","family":"He","given":"Xiao Min","non-dropping-particle":"","parse-names":false,"suffix":""},{"dropping-particle":"","family":"Carter","given":"Daniel C.","non-dropping-particle":"","parse-names":false,"suffix":""}],"container-title":"Nature","id":"ITEM-1","issued":{"date-parts":[["1992"]]},"title":"Atomic structure and chemistry of human serum albumin","type":"article-journal"},"uris":["http://www.mendeley.com/documents/?uuid=3c2bde6e-a7b0-4cff-b356-4d2b4668ef19"]}],"mendeley":{"formattedCitation":"[8]","plainTextFormattedCitation":"[8]","previouslyFormattedCitation":"[8]"},"properties":{"noteIndex":0},"schema":"https://github.com/citation-style-language/schema/raw/master/csl-citation.json"}</w:instrText>
      </w:r>
      <w:r w:rsidRPr="00A23882">
        <w:rPr>
          <w:sz w:val="24"/>
          <w:szCs w:val="24"/>
        </w:rPr>
        <w:fldChar w:fldCharType="separate"/>
      </w:r>
      <w:r w:rsidRPr="00A23882">
        <w:rPr>
          <w:noProof/>
          <w:sz w:val="24"/>
          <w:szCs w:val="24"/>
        </w:rPr>
        <w:t>[8]</w:t>
      </w:r>
      <w:r w:rsidRPr="00A23882">
        <w:rPr>
          <w:sz w:val="24"/>
          <w:szCs w:val="24"/>
        </w:rPr>
        <w:fldChar w:fldCharType="end"/>
      </w:r>
      <w:r w:rsidRPr="00A23882">
        <w:rPr>
          <w:sz w:val="24"/>
          <w:szCs w:val="24"/>
        </w:rPr>
        <w:t>,</w:t>
      </w:r>
      <w:r w:rsidRPr="00A23882">
        <w:rPr>
          <w:sz w:val="24"/>
          <w:szCs w:val="24"/>
        </w:rPr>
        <w:fldChar w:fldCharType="begin" w:fldLock="1"/>
      </w:r>
      <w:r w:rsidRPr="00A23882">
        <w:rPr>
          <w:sz w:val="24"/>
          <w:szCs w:val="24"/>
        </w:rPr>
        <w:instrText>ADDIN CSL_CITATION {"citationItems":[{"id":"ITEM-1","itemData":{"DOI":"10.2174/1568026616666160216155927","ISSN":"15680266","abstract":"© 2016 Bentham Science Publishers.Human serum albumin (HSA) is the major protein in blood plasma and is responsible for circulatory transport of a range of small molecules including fatty acids, metal ions and drugs. We previously identified the major plasma Zn2+ transport site on HSA and revealed that fatty-acid binding (at a distinct site called the FA2 site) and Zn2+ binding are interdependent via an allosteric mechanism. Since binding affinities of long-chain fatty acids exceed those of plasma Zn2+, this means that under certain circumstances the binding of fatty acid molecules to HSA is likely to diminish HSA Zn2+-binding, and hence affects the control of circulatory and cellular Zn2+ dynamics. This relationship between circulatory fatty acid and Zn2+ dynamics is likely to have important physiological and pathological implications, especially since it has been recognised that Zn2+ acts as a signalling agent in many cell types. Fatty acid levels in the blood are dynamic, but most importantly, chronic elevation of plasma fatty acid levels is associated with some metabolic disorders and disease states-including myocardial infarction and other cardiovascular diseases. In this article, we briefly review the metal-binding properties of albumin and highlight the importance of their interplay with fatty acid binding. We also consider the impact of this dynamic link upon levels and speciation of plasma Zn2+, its effect upon cellular Zn2+ homeostasis and its relevance to cardiovascular and circulatory processes in health and disease.","author":[{"dropping-particle":"","family":"A. Blindauer","given":"Claudia","non-dropping-particle":"","parse-names":false,"suffix":""},{"dropping-particle":"","family":"Khazaipoul","given":"Siavash","non-dropping-particle":"","parse-names":false,"suffix":""},{"dropping-particle":"","family":"Yu","given":"Ruitao","non-dropping-particle":"","parse-names":false,"suffix":""},{"dropping-particle":"","family":"J. Stewart","given":"Alan","non-dropping-particle":"","parse-names":false,"suffix":""}],"container-title":"Current Topics in Medicinal Chemistry","id":"ITEM-1","issued":{"date-parts":[["2016"]]},"title":"Fatty Acid-Mediated Inhibition of Metal Binding to the Multi-Metal Site on Serum Albumin: Implications for Cardiovascular Disease","type":"article-journal"},"uris":["http://www.mendeley.com/documents/?uuid=2b32b769-87b4-45df-8a19-19eb6ed60787"]}],"mendeley":{"formattedCitation":"[9]","plainTextFormattedCitation":"[9]","previouslyFormattedCitation":"[9]"},"properties":{"noteIndex":0},"schema":"https://github.com/citation-style-language/schema/raw/master/csl-citation.json"}</w:instrText>
      </w:r>
      <w:r w:rsidRPr="00A23882">
        <w:rPr>
          <w:sz w:val="24"/>
          <w:szCs w:val="24"/>
        </w:rPr>
        <w:fldChar w:fldCharType="separate"/>
      </w:r>
      <w:r w:rsidRPr="00A23882">
        <w:rPr>
          <w:noProof/>
          <w:sz w:val="24"/>
          <w:szCs w:val="24"/>
        </w:rPr>
        <w:t>[9]</w:t>
      </w:r>
      <w:r w:rsidRPr="00A23882">
        <w:rPr>
          <w:sz w:val="24"/>
          <w:szCs w:val="24"/>
        </w:rPr>
        <w:fldChar w:fldCharType="end"/>
      </w:r>
      <w:r w:rsidRPr="00A23882">
        <w:rPr>
          <w:sz w:val="24"/>
          <w:szCs w:val="24"/>
        </w:rPr>
        <w:t xml:space="preserve">. Albumins are involved in the regulation of blood osmotic pressure and the maintenance of blood pH </w:t>
      </w:r>
      <w:r w:rsidRPr="00A23882">
        <w:rPr>
          <w:sz w:val="24"/>
          <w:szCs w:val="24"/>
        </w:rPr>
        <w:fldChar w:fldCharType="begin" w:fldLock="1"/>
      </w:r>
      <w:r w:rsidRPr="00A23882">
        <w:rPr>
          <w:sz w:val="24"/>
          <w:szCs w:val="24"/>
        </w:rPr>
        <w:instrText>ADDIN CSL_CITATION {"citationItems":[{"id":"ITEM-1","itemData":{"DOI":"10.1080/07391102.2016.1264889","ISSN":"0739-1102","author":[{"dropping-particle":"","family":"Zhang","given":"Yin-fei","non-dropping-particle":"","parse-names":false,"suffix":""},{"dropping-particle":"","family":"Zhou","given":"Kai-li","non-dropping-particle":"","parse-names":false,"suffix":""},{"dropping-particle":"","family":"Lou","given":"Yan-yue","non-dropping-particle":"","parse-names":false,"suffix":""},{"dropping-particle":"","family":"Pan","given":"Dong-qi","non-dropping-particle":"","parse-names":false,"suffix":""},{"dropping-particle":"","family":"Shi","given":"Jie-hua","non-dropping-particle":"","parse-names":false,"suffix":""}],"container-title":"Journal of Biomolecular Structure and Dynamics","id":"ITEM-1","issued":{"date-parts":[["2017"]]},"page":"1-10","publisher":"Taylor &amp; Francis","title":"Investigation of the binding interaction between estazolam and bovine serum albumin : multi- spectroscopic methods and molecular docking technique","type":"article-journal","volume":"1102"},"uris":["http://www.mendeley.com/documents/?uuid=89669e7e-549d-4f62-a996-497232bf1a6a"]}],"mendeley":{"formattedCitation":"[10]","plainTextFormattedCitation":"[10]","previouslyFormattedCitation":"[10]"},"properties":{"noteIndex":0},"schema":"https://github.com/citation-style-language/schema/raw/master/csl-citation.json"}</w:instrText>
      </w:r>
      <w:r w:rsidRPr="00A23882">
        <w:rPr>
          <w:sz w:val="24"/>
          <w:szCs w:val="24"/>
        </w:rPr>
        <w:fldChar w:fldCharType="separate"/>
      </w:r>
      <w:r w:rsidRPr="00A23882">
        <w:rPr>
          <w:noProof/>
          <w:sz w:val="24"/>
          <w:szCs w:val="24"/>
        </w:rPr>
        <w:t>[10]</w:t>
      </w:r>
      <w:r w:rsidRPr="00A23882">
        <w:rPr>
          <w:sz w:val="24"/>
          <w:szCs w:val="24"/>
        </w:rPr>
        <w:fldChar w:fldCharType="end"/>
      </w:r>
      <w:r w:rsidRPr="00A23882">
        <w:rPr>
          <w:sz w:val="24"/>
          <w:szCs w:val="24"/>
        </w:rPr>
        <w:t xml:space="preserve">. In the frame of medicinal chemistry, a very important function of serum albumins is their involvement in the transport, distribution and metabolism of exogenous and endogenous substances </w:t>
      </w:r>
      <w:r w:rsidRPr="00A23882">
        <w:rPr>
          <w:sz w:val="24"/>
          <w:szCs w:val="24"/>
        </w:rPr>
        <w:fldChar w:fldCharType="begin" w:fldLock="1"/>
      </w:r>
      <w:r w:rsidRPr="00A23882">
        <w:rPr>
          <w:sz w:val="24"/>
          <w:szCs w:val="24"/>
        </w:rPr>
        <w:instrText>ADDIN CSL_CITATION {"citationItems":[{"id":"ITEM-1","itemData":{"DOI":"10.1016/S0065-7743(08)60472-8","ISSN":"00657743","author":[{"dropping-particle":"","family":"Olson","given":"Richard E.","non-dropping-particle":"","parse-names":false,"suffix":""},{"dropping-particle":"","family":"Christ","given":"David D.","non-dropping-particle":"","parse-names":false,"suffix":""}],"container-title":"Annual Reports in Medicinal Chemistry","id":"ITEM-1","issue":"C","issued":{"date-parts":[["1996"]]},"page":"327-336","title":"Chapter 33. Plasma Protein Binding of Drugs","type":"article-journal","volume":"31"},"uris":["http://www.mendeley.com/documents/?uuid=491958ce-4ec5-4189-9be2-3f539654a1de"]}],"mendeley":{"formattedCitation":"[11]","plainTextFormattedCitation":"[11]","previouslyFormattedCitation":"[11]"},"properties":{"noteIndex":0},"schema":"https://github.com/citation-style-language/schema/raw/master/csl-citation.json"}</w:instrText>
      </w:r>
      <w:r w:rsidRPr="00A23882">
        <w:rPr>
          <w:sz w:val="24"/>
          <w:szCs w:val="24"/>
        </w:rPr>
        <w:fldChar w:fldCharType="separate"/>
      </w:r>
      <w:r w:rsidRPr="00A23882">
        <w:rPr>
          <w:noProof/>
          <w:sz w:val="24"/>
          <w:szCs w:val="24"/>
        </w:rPr>
        <w:t>[11]</w:t>
      </w:r>
      <w:r w:rsidRPr="00A23882">
        <w:rPr>
          <w:sz w:val="24"/>
          <w:szCs w:val="24"/>
        </w:rPr>
        <w:fldChar w:fldCharType="end"/>
      </w:r>
      <w:r w:rsidRPr="00A23882">
        <w:rPr>
          <w:sz w:val="24"/>
          <w:szCs w:val="24"/>
        </w:rPr>
        <w:t>,</w:t>
      </w:r>
      <w:r w:rsidRPr="00A23882">
        <w:rPr>
          <w:sz w:val="24"/>
          <w:szCs w:val="24"/>
        </w:rPr>
        <w:fldChar w:fldCharType="begin" w:fldLock="1"/>
      </w:r>
      <w:r w:rsidRPr="00A23882">
        <w:rPr>
          <w:sz w:val="24"/>
          <w:szCs w:val="24"/>
        </w:rPr>
        <w:instrText>ADDIN CSL_CITATION {"citationItems":[{"id":"ITEM-1","itemData":{"DOI":"10.2174/1568026615666150825142908","ISSN":"15680266","abstract":"© 2016 Bentham Science Publishers Human serum albumin (HSA) is the most abundant protein in the plasma. HSA plays a central role in drug pharmacokinetics because most drugs bound to HSA are delivered to their target organ/tissues. The prodrug strategies have shown great promise for improving the activity and selectivity of drugs. Designing prodrugs based on special HSA residues, such as Cys34 and Lys residues, has been extensively studied. Therefore, this review provides an overview of the development of nonsteroidal anti-inflammatory and anticancer prodrugs based on these special residues. In conclusion, this review may guide the rational design and development of new prodrugs for future clinical applications.","author":[{"dropping-particle":"","family":"Gou","given":"Yi","non-dropping-particle":"","parse-names":false,"suffix":""},{"dropping-particle":"","family":"Yang","given":"Feng","non-dropping-particle":"","parse-names":false,"suffix":""},{"dropping-particle":"","family":"Liang","given":"Hong","non-dropping-particle":"","parse-names":false,"suffix":""}],"container-title":"Current Topics in Medicinal Chemistry","id":"ITEM-1","issued":{"date-parts":[["2016"]]},"page":"996-1008","title":"Designing Prodrugs Based on Special Residues of Human Serum Albumin","type":"article-journal","volume":"9"},"uris":["http://www.mendeley.com/documents/?uuid=3c499c89-a1b3-4702-b98d-4c943b3e8369"]}],"mendeley":{"formattedCitation":"[12]","plainTextFormattedCitation":"[12]","previouslyFormattedCitation":"[12]"},"properties":{"noteIndex":0},"schema":"https://github.com/citation-style-language/schema/raw/master/csl-citation.json"}</w:instrText>
      </w:r>
      <w:r w:rsidRPr="00A23882">
        <w:rPr>
          <w:sz w:val="24"/>
          <w:szCs w:val="24"/>
        </w:rPr>
        <w:fldChar w:fldCharType="separate"/>
      </w:r>
      <w:r w:rsidRPr="00A23882">
        <w:rPr>
          <w:noProof/>
          <w:sz w:val="24"/>
          <w:szCs w:val="24"/>
        </w:rPr>
        <w:t>[12]</w:t>
      </w:r>
      <w:r w:rsidRPr="00A23882">
        <w:rPr>
          <w:sz w:val="24"/>
          <w:szCs w:val="24"/>
        </w:rPr>
        <w:fldChar w:fldCharType="end"/>
      </w:r>
      <w:r w:rsidRPr="00A23882">
        <w:rPr>
          <w:sz w:val="24"/>
          <w:szCs w:val="24"/>
        </w:rPr>
        <w:t xml:space="preserve">. Many reactants establish stable but reversible bonds with albumins and this affects their life-time, solubility, toxicity as well as their bioavailability in the blood </w:t>
      </w:r>
      <w:r w:rsidRPr="00A23882">
        <w:rPr>
          <w:sz w:val="24"/>
          <w:szCs w:val="24"/>
        </w:rPr>
        <w:fldChar w:fldCharType="begin" w:fldLock="1"/>
      </w:r>
      <w:r w:rsidRPr="00A23882">
        <w:rPr>
          <w:sz w:val="24"/>
          <w:szCs w:val="24"/>
        </w:rPr>
        <w:instrText>ADDIN CSL_CITATION {"citationItems":[{"id":"ITEM-1","itemData":{"DOI":"10.1152/ajpendo.1987.252.2.e157","ISSN":"01931849","abstract":"The free hormone or free drug hypotheses have traditionally assumed that the concentration of cellular exchangeable hormone (i.e., the pool that drives cellular hormone or drug receptor occupancy) can be reliably estimated by in vitro measurements of unbound hormone concentrations. The corollary of this view is that the large reservoir of bound hormone in blood is passively transported by plasma proteins and is physiologically inactive. However, when these assumptions are subjected to direct empiric testing with either in vivo or perfused organ techniques, it is found that the large pool of bound hormone in blood is operationally available for transport across microcirculatory barriers without the plasma protein, per se, significantly exiting the plasma compartment. This process is believed to involve a mechanism of enhanced dissociation of hormone or drug from the plasma protein caused by transient conformational changes about the ligand binding site within the microcirculation: The biochemical mechanism of the interaction of the plasma protein with the surface of the microcirculation may involve receptor, charged selectivity, or local inhibitor mechanisms.","author":[{"dropping-particle":"","family":"Pardridge","given":"W. M.","non-dropping-particle":"","parse-names":false,"suffix":""}],"container-title":"American Journal of Physiology - Endocrinology and Metabolism","id":"ITEM-1","issued":{"date-parts":[["1987"]]},"title":"Plasma protein-mediated transport of steroid and thyroid hormones","type":"article"},"uris":["http://www.mendeley.com/documents/?uuid=4ce19683-0cf9-4246-b46a-b2f6ff6a0325"]}],"mendeley":{"formattedCitation":"[13]","plainTextFormattedCitation":"[13]","previouslyFormattedCitation":"[13]"},"properties":{"noteIndex":0},"schema":"https://github.com/citation-style-language/schema/raw/master/csl-citation.json"}</w:instrText>
      </w:r>
      <w:r w:rsidRPr="00A23882">
        <w:rPr>
          <w:sz w:val="24"/>
          <w:szCs w:val="24"/>
        </w:rPr>
        <w:fldChar w:fldCharType="separate"/>
      </w:r>
      <w:r w:rsidRPr="00A23882">
        <w:rPr>
          <w:noProof/>
          <w:sz w:val="24"/>
          <w:szCs w:val="24"/>
        </w:rPr>
        <w:t>[13]</w:t>
      </w:r>
      <w:r w:rsidRPr="00A23882">
        <w:rPr>
          <w:sz w:val="24"/>
          <w:szCs w:val="24"/>
        </w:rPr>
        <w:fldChar w:fldCharType="end"/>
      </w:r>
      <w:r w:rsidRPr="00A23882">
        <w:rPr>
          <w:sz w:val="24"/>
          <w:szCs w:val="24"/>
        </w:rPr>
        <w:t xml:space="preserve">. The influence of albumins in the pharmacokinetics and pharmacodynamics of drugs has been gaining widespread interest in the development of new therapeutic agents </w:t>
      </w:r>
      <w:r w:rsidRPr="00A23882">
        <w:rPr>
          <w:sz w:val="24"/>
          <w:szCs w:val="24"/>
        </w:rPr>
        <w:fldChar w:fldCharType="begin" w:fldLock="1"/>
      </w:r>
      <w:r w:rsidRPr="00A23882">
        <w:rPr>
          <w:sz w:val="24"/>
          <w:szCs w:val="24"/>
        </w:rPr>
        <w:instrText>ADDIN CSL_CITATION {"citationItems":[{"id":"ITEM-1","itemData":{"DOI":"10.1021/bm801120k","ISSN":"15257797","abstract":"Berberine is an important traditional medicinal herb, which has been effectively used in the treatment of dysentery, diarrhea, stomatitis, throat infections, and hepatitis in folk medicine. In this study, the interaction between Berberine and human serum albumin (HSA) was investigated by fluorescence spectroscopy and UV-vis absorbance spectroscopy. In the mechanism discussion, it was proved that the fluorescence quenching of HSA by berberine is a result of the formation of berberine-HSA complex. Fluorescence quenching constants were determined using the Stern-Volmer equation and Scatchard equation to provide a measure of the binding affinity between berberine and HSA. The results of thermodynamic parameters ΔG, ΔH, and ΔS at different temperatures indicate that the electrostatic interactions play a major role for berberine-HSA association. Site marker competitive experiments indicated that the binding of berberine to HSA primarily took place in subdomain IIA. Furthermore, the distance r between donor (Trp-214) and acceptor (berberine) was obtained according to fluorescence resonance energy transfer (FRET). © 2009 American Chemical Society.","author":[{"dropping-particle":"","family":"Hu","given":"Yan Jun","non-dropping-particle":"","parse-names":false,"suffix":""},{"dropping-particle":"","family":"Liu","given":"Yi","non-dropping-particle":"","parse-names":false,"suffix":""},{"dropping-particle":"","family":"Xiao","given":"Xiao He","non-dropping-particle":"","parse-names":false,"suffix":""}],"container-title":"Biomacromolecules","id":"ITEM-1","issue":"3","issued":{"date-parts":[["2009"]]},"page":"517-521","title":"Investigation of the interaction between Berberine and human serum albumin","type":"article-journal","volume":"10"},"uris":["http://www.mendeley.com/documents/?uuid=003de460-99bb-4e90-b935-647eba4bad10"]}],"mendeley":{"formattedCitation":"[14]","plainTextFormattedCitation":"[14]","previouslyFormattedCitation":"[14]"},"properties":{"noteIndex":0},"schema":"https://github.com/citation-style-language/schema/raw/master/csl-citation.json"}</w:instrText>
      </w:r>
      <w:r w:rsidRPr="00A23882">
        <w:rPr>
          <w:sz w:val="24"/>
          <w:szCs w:val="24"/>
        </w:rPr>
        <w:fldChar w:fldCharType="separate"/>
      </w:r>
      <w:r w:rsidRPr="00A23882">
        <w:rPr>
          <w:noProof/>
          <w:sz w:val="24"/>
          <w:szCs w:val="24"/>
        </w:rPr>
        <w:t>[14]</w:t>
      </w:r>
      <w:r w:rsidRPr="00A23882">
        <w:rPr>
          <w:sz w:val="24"/>
          <w:szCs w:val="24"/>
        </w:rPr>
        <w:fldChar w:fldCharType="end"/>
      </w:r>
      <w:r w:rsidRPr="00A23882">
        <w:rPr>
          <w:sz w:val="24"/>
          <w:szCs w:val="24"/>
        </w:rPr>
        <w:t xml:space="preserve">. Furthermore, plasma proteins have been studied for their role in carrying toxic substances such as pesticides </w:t>
      </w:r>
      <w:r w:rsidRPr="00A23882">
        <w:rPr>
          <w:sz w:val="24"/>
          <w:szCs w:val="24"/>
        </w:rPr>
        <w:fldChar w:fldCharType="begin" w:fldLock="1"/>
      </w:r>
      <w:r w:rsidRPr="00A23882">
        <w:rPr>
          <w:sz w:val="24"/>
          <w:szCs w:val="24"/>
        </w:rPr>
        <w:instrText>ADDIN CSL_CITATION {"citationItems":[{"id":"ITEM-1","itemData":{"DOI":"10.1080/13547500801973563","ISSN":"1354750X","abstract":"We have evaluated the potential of plasma albumin to provide a sensitive biomarker of exposure to commonly used organophosphorus pesticides in order to complement the widely used measure of acetylcholinesterase (AChE) inhibition. Rat or human plasma albumin binding by tritiated-diisopropylfluorophosphate (3H-DFP) was quantified by retention of albumin on glass microfibre filters. Preincubation with unlabelled pesticide in vitro or dosing of F344 rats with pesticide in vivo resulted in a reduction in subsequent albumin radiolabelling with 3H-DFP, the decrease in which was used to quantify pesticide binding. At pesticide exposures producing approximately 30% inhibition of AChE, rat plasma albumin binding in vitro by azamethiphos (oxon), chlorfenvinphos (oxon), chlorpyrifos-oxon, diazinon-oxon and malaoxon was reduced from controls by 9 ± 1%, 67 ± 2%, 56 ± 2%, 54 ± 2% and 8 ± 1%, respectively. After 1 h of incubation with 19 μM 3H-DFP alone, the level of binding to rat or human plasma albumins reached 0.011 or 0.039 moles of DFP per mole of albumin, respectively. This level of binding could be further increased by raising the concentration of 3H-DFP, increasing the 3H-DFP incubation time, or by substitution of commercial albumins for native albumin. Pesticide binding to albumin was presumed covalent since it survived 24 h dialysis. After dosing rats with pirimiphos-methyl (dimethoxy) or chlorfenvinphos (oxon) (diethoxy) pesticides, the resultant albumin binding were still significant 7 days after dosing. As in vitro, dosing of rats with malathion did not result in significant albumin binding in vivo. Our results suggest albumin may be a useful additional biomonitor for moderately low-level exposures to several widely used pesticides, and that this binding differs markedly between pesticides.","author":[{"dropping-particle":"","family":"Tarhoni","given":"Mabruka H.","non-dropping-particle":"","parse-names":false,"suffix":""},{"dropping-particle":"","family":"Lister","given":"Timothy","non-dropping-particle":"","parse-names":false,"suffix":""},{"dropping-particle":"","family":"Ray","given":"David E.","non-dropping-particle":"","parse-names":false,"suffix":""},{"dropping-particle":"","family":"Carter","given":"Wayne G.","non-dropping-particle":"","parse-names":false,"suffix":""}],"container-title":"Biomarkers","id":"ITEM-1","issue":"4","issued":{"date-parts":[["2008"]]},"page":"343-363","title":"Albumin binding as a potential biomarker of exposure to moderately low levels of organophosphorus pesticides","type":"article-journal","volume":"13"},"uris":["http://www.mendeley.com/documents/?uuid=f11e880a-ee19-41c8-8aa4-38a7ea32db35"]}],"mendeley":{"formattedCitation":"[15]","plainTextFormattedCitation":"[15]","previouslyFormattedCitation":"[15]"},"properties":{"noteIndex":0},"schema":"https://github.com/citation-style-language/schema/raw/master/csl-citation.json"}</w:instrText>
      </w:r>
      <w:r w:rsidRPr="00A23882">
        <w:rPr>
          <w:sz w:val="24"/>
          <w:szCs w:val="24"/>
        </w:rPr>
        <w:fldChar w:fldCharType="separate"/>
      </w:r>
      <w:r w:rsidRPr="00A23882">
        <w:rPr>
          <w:noProof/>
          <w:sz w:val="24"/>
          <w:szCs w:val="24"/>
        </w:rPr>
        <w:t>[15]</w:t>
      </w:r>
      <w:r w:rsidRPr="00A23882">
        <w:rPr>
          <w:sz w:val="24"/>
          <w:szCs w:val="24"/>
        </w:rPr>
        <w:fldChar w:fldCharType="end"/>
      </w:r>
      <w:r w:rsidRPr="00A23882">
        <w:rPr>
          <w:sz w:val="24"/>
          <w:szCs w:val="24"/>
        </w:rPr>
        <w:t xml:space="preserve">. Among others, bovine serum albumin (BSA) represents the most common model protein used for binding studies, thanks to the low cost and the analogy to human serum albumin (HSA). BSA is composed of 583 amino acids, whose sequence corresponds to that of HSA for more than 75% </w:t>
      </w:r>
      <w:r w:rsidRPr="00A23882">
        <w:rPr>
          <w:sz w:val="24"/>
          <w:szCs w:val="24"/>
        </w:rPr>
        <w:fldChar w:fldCharType="begin" w:fldLock="1"/>
      </w:r>
      <w:r w:rsidRPr="00A23882">
        <w:rPr>
          <w:sz w:val="24"/>
          <w:szCs w:val="24"/>
        </w:rPr>
        <w:instrText>ADDIN CSL_CITATION {"citationItems":[{"id":"ITEM-1","itemData":{"DOI":"10.1016/j.molstruc.2007.09.001","ISSN":"00222860","abstract":"The binding sites for phenylbutazone and colchicine were identified in tertiary structure of bovine and human serum albumin with the use of spectrofluorescence analysis. It was found that phenylbutazone has two binding sites in both sera albumins (HSA and BSA), while colchicine has one binding site in BSA as well as in HSA. The comparison of the quenching effect of BSA and HSA fluorescence by phenylbutazone and colchicine allows us to identify subdomain IIA in protein as the binding site for these two drugs. In this subdomain tryptophan 214 is located. The participation of tyrosyl and tryptophanyl residues of protein was also estimated in the drug-albumin complex. The comparison of quenching of fluorescence of HSA and BSA excited at 280 nm with that at 295 nm allowed us to state that the participation of tyrosyl residues of albumin in the phenylbutazone-serum albumin interaction is significant. The analysis of quenching of fluorescence of BSA in the binary and ternary systems showed that phenylbutazone does not affect the complex formed between colchicine and BSA. Similarly, colchicine has no effect on the Phe-BSA complex. However marked differences were observed for the complex with HSA. On the basis of Ka and KQ values it was concluded that colchicine may probably cause displacement of phenylbutazone from its complex with serum albumin (SA). Static and dynamic quenching for the binary and ternary systems is also discussed. The competition of phenylbutazone and colchicine in binding to serum albumin should be taken into account in the multi-drug therapy. © 2007 Elsevier B.V. All rights reserved.","author":[{"dropping-particle":"","family":"Sułkowska","given":"A.","non-dropping-particle":"","parse-names":false,"suffix":""},{"dropping-particle":"","family":"Maciazek-Jurczyk","given":"M.","non-dropping-particle":"","parse-names":false,"suffix":""},{"dropping-particle":"","family":"Bojko","given":"B.","non-dropping-particle":"","parse-names":false,"suffix":""},{"dropping-particle":"","family":"Równicka","given":"J.","non-dropping-particle":"","parse-names":false,"suffix":""},{"dropping-particle":"","family":"Zubik-Skupień","given":"I.","non-dropping-particle":"","parse-names":false,"suffix":""},{"dropping-particle":"","family":"Temba","given":"E.","non-dropping-particle":"","parse-names":false,"suffix":""},{"dropping-particle":"","family":"Pentak","given":"D.","non-dropping-particle":"","parse-names":false,"suffix":""},{"dropping-particle":"","family":"Sułkowski","given":"W. W.","non-dropping-particle":"","parse-names":false,"suffix":""}],"container-title":"Journal of Molecular Structure","id":"ITEM-1","issue":"1-3","issued":{"date-parts":[["2008"]]},"page":"97-106","title":"Competitive binding of phenylbutazone and colchicine to serum albumin in multidrug therapy: A spectroscopic study","type":"article-journal","volume":"881"},"uris":["http://www.mendeley.com/documents/?uuid=db599fc2-ef93-4ab5-b146-ca9e664c9fa0"]}],"mendeley":{"formattedCitation":"[16]","plainTextFormattedCitation":"[16]","previouslyFormattedCitation":"[16]"},"properties":{"noteIndex":0},"schema":"https://github.com/citation-style-language/schema/raw/master/csl-citation.json"}</w:instrText>
      </w:r>
      <w:r w:rsidRPr="00A23882">
        <w:rPr>
          <w:sz w:val="24"/>
          <w:szCs w:val="24"/>
        </w:rPr>
        <w:fldChar w:fldCharType="separate"/>
      </w:r>
      <w:r w:rsidRPr="00A23882">
        <w:rPr>
          <w:noProof/>
          <w:sz w:val="24"/>
          <w:szCs w:val="24"/>
        </w:rPr>
        <w:t>[16]</w:t>
      </w:r>
      <w:r w:rsidRPr="00A23882">
        <w:rPr>
          <w:sz w:val="24"/>
          <w:szCs w:val="24"/>
        </w:rPr>
        <w:fldChar w:fldCharType="end"/>
      </w:r>
      <w:r w:rsidRPr="00A23882">
        <w:rPr>
          <w:sz w:val="24"/>
          <w:szCs w:val="24"/>
        </w:rPr>
        <w:t xml:space="preserve">. It is postulated to have a heart-shaped </w:t>
      </w:r>
      <w:r w:rsidRPr="00A23882">
        <w:rPr>
          <w:sz w:val="24"/>
          <w:szCs w:val="24"/>
        </w:rPr>
        <w:lastRenderedPageBreak/>
        <w:t xml:space="preserve">structure with high α-helical content (67%) </w:t>
      </w:r>
      <w:r w:rsidRPr="00A23882">
        <w:rPr>
          <w:sz w:val="24"/>
          <w:szCs w:val="24"/>
        </w:rPr>
        <w:fldChar w:fldCharType="begin" w:fldLock="1"/>
      </w:r>
      <w:r w:rsidRPr="00A23882">
        <w:rPr>
          <w:sz w:val="24"/>
          <w:szCs w:val="24"/>
        </w:rPr>
        <w:instrText>ADDIN CSL_CITATION {"citationItems":[{"id":"ITEM-1","itemData":{"author":[{"dropping-particle":"","family":"Tian","given":"Jianniao","non-dropping-particle":"","parse-names":false,"suffix":""},{"dropping-particle":"","family":"Liu","given":"Jiaqin","non-dropping-particle":"","parse-names":false,"suffix":""},{"dropping-particle":"","family":"Hu","given":"Zhide","non-dropping-particle":"","parse-names":false,"suffix":""},{"dropping-particle":"","family":"Chen","given":"Xingguo","non-dropping-particle":"","parse-names":false,"suffix":""}],"container-title":"Interactions","id":"ITEM-1","issue":"1","issued":{"date-parts":[["2005"]]},"page":"21-23","title":"Binding of the scutellarin to albumin using tryptophan fluorescence quenching , CD and FT-IR spectra College of Chemistry and Chemical Engineering , Guangxi Normal University , Guilin 541004 , China Department of Chemistry , Lanzhou University , Lanzhou 7","type":"article-journal","volume":"1"},"uris":["http://www.mendeley.com/documents/?uuid=5125b1d7-0a26-4888-9540-ac57574cdc8a"]}],"mendeley":{"formattedCitation":"[17]","plainTextFormattedCitation":"[17]","previouslyFormattedCitation":"[17]"},"properties":{"noteIndex":0},"schema":"https://github.com/citation-style-language/schema/raw/master/csl-citation.json"}</w:instrText>
      </w:r>
      <w:r w:rsidRPr="00A23882">
        <w:rPr>
          <w:sz w:val="24"/>
          <w:szCs w:val="24"/>
        </w:rPr>
        <w:fldChar w:fldCharType="separate"/>
      </w:r>
      <w:r w:rsidRPr="00A23882">
        <w:rPr>
          <w:noProof/>
          <w:sz w:val="24"/>
          <w:szCs w:val="24"/>
        </w:rPr>
        <w:t>[17]</w:t>
      </w:r>
      <w:r w:rsidRPr="00A23882">
        <w:rPr>
          <w:sz w:val="24"/>
          <w:szCs w:val="24"/>
        </w:rPr>
        <w:fldChar w:fldCharType="end"/>
      </w:r>
      <w:r w:rsidRPr="00A23882">
        <w:rPr>
          <w:sz w:val="24"/>
          <w:szCs w:val="24"/>
        </w:rPr>
        <w:t xml:space="preserve">. BSA is divided into three main domains (I, II and III); each domain is composed of two subdomains (A and B) </w:t>
      </w:r>
      <w:r w:rsidRPr="00A23882">
        <w:rPr>
          <w:sz w:val="24"/>
          <w:szCs w:val="24"/>
        </w:rPr>
        <w:fldChar w:fldCharType="begin" w:fldLock="1"/>
      </w:r>
      <w:r w:rsidRPr="00A23882">
        <w:rPr>
          <w:sz w:val="24"/>
          <w:szCs w:val="24"/>
        </w:rPr>
        <w:instrText>ADDIN CSL_CITATION {"citationItems":[{"id":"ITEM-1","itemData":{"DOI":"10.1016/S0065-3233(08)60640-3","ISSN":"00653233","PMID":"8154369","abstract":"This chapter provides an insight of the findings of past significant papers with the current knowledge of the recently determined high resolution X-ray structure of serum albumin. The most outstanding property of albumin is its ability to bind reversibly an incredible variety of ligands. The sequences of all albumins are characterized by a unique arrangement of disulfide double loops that repeat as a series of triplets. Albumin belongs to a multigene family of proteins that includes α-fetoprotein (AFP) and vitamin D-binding protein (VDP), also known as G complement (Gc) protein. Although AFP is considered the fetal counterpart of albumin, its binding properties are distinct and it is suggested that AFP may have a higher affinity for some unknown ligands important for fetal development. Domain structure and the arrangement of the disulfides, the surface charge distribution, and the conformational flexibility of the albumin molecule are described. The nature of ligand binding, including small organics, long-chain fatty acids, and metals, to multiple sites on the albumin molecule is clearly depicted. The chapter concludes with the perceptive comments on future directions being taken to explore the structure and function of this fascinating protein. © 1994 Academic Press, Inc.","author":[{"dropping-particle":"","family":"Carter","given":"Daniel C.","non-dropping-particle":"","parse-names":false,"suffix":""},{"dropping-particle":"","family":"Ho","given":"Joseph X.","non-dropping-particle":"","parse-names":false,"suffix":""}],"container-title":"Advances in Protein Chemistry","id":"ITEM-1","issue":"C","issued":{"date-parts":[["1994"]]},"page":"153-176","title":"Structure of serum albumin","type":"article-journal","volume":"45"},"uris":["http://www.mendeley.com/documents/?uuid=1d0a75fb-b764-4031-8ef1-7fa254e1a19a"]}],"mendeley":{"formattedCitation":"[18]","plainTextFormattedCitation":"[18]","previouslyFormattedCitation":"[18]"},"properties":{"noteIndex":0},"schema":"https://github.com/citation-style-language/schema/raw/master/csl-citation.json"}</w:instrText>
      </w:r>
      <w:r w:rsidRPr="00A23882">
        <w:rPr>
          <w:sz w:val="24"/>
          <w:szCs w:val="24"/>
        </w:rPr>
        <w:fldChar w:fldCharType="separate"/>
      </w:r>
      <w:r w:rsidRPr="00A23882">
        <w:rPr>
          <w:noProof/>
          <w:sz w:val="24"/>
          <w:szCs w:val="24"/>
        </w:rPr>
        <w:t>[18]</w:t>
      </w:r>
      <w:r w:rsidRPr="00A23882">
        <w:rPr>
          <w:sz w:val="24"/>
          <w:szCs w:val="24"/>
        </w:rPr>
        <w:fldChar w:fldCharType="end"/>
      </w:r>
      <w:r w:rsidRPr="00A23882">
        <w:rPr>
          <w:sz w:val="24"/>
          <w:szCs w:val="24"/>
        </w:rPr>
        <w:t xml:space="preserve">. The techniques typically employed for the evaluation of the binding affinity range from equilibrium dialysis </w:t>
      </w:r>
      <w:r w:rsidRPr="00A23882">
        <w:rPr>
          <w:sz w:val="24"/>
          <w:szCs w:val="24"/>
        </w:rPr>
        <w:fldChar w:fldCharType="begin" w:fldLock="1"/>
      </w:r>
      <w:r w:rsidRPr="00A23882">
        <w:rPr>
          <w:sz w:val="24"/>
          <w:szCs w:val="24"/>
        </w:rPr>
        <w:instrText>ADDIN CSL_CITATION {"citationItems":[{"id":"ITEM-1","itemData":{"DOI":"10.1002/jps.10332","ISSN":"00223549","abstract":"A 96-well equilibrium dialysis block was designed and constructed that is compatible with most standard 96-well format laboratory supplies and instruments. The unique design of the dialysis apparatus allows one to dispense and aspirate from either or both the sample and dialysate sides from the top of the apparatus, which is not possible with systems currently on the market. This feature permits the investigator to analyze a large number of samples, time points, or replicates in the same experiment. The novel alignment of the dialysis membrane vertically in the well maximizes the surface-to-volume ratio, eliminates problems associated with trapped air pockets, and allows one to add or remove samples independently or all at once. Furthermore, the design of the apparatus allows both the sample and dialysate sides of the dialysis well to be accessible by robotic systems, so assays can be readily automated. Teflon construction is used to minimize nonspecific binding of test samples to the apparatus. The device is reusable, easily assembled, and can be shaken in controlled temperature environments to decrease the time required to reach equilibrium as well as facilitate dissolution of test compounds. Plasma protein bindingvalues obtained for 10 diverse compounds using standard dialysis equipment and the 96-well dialysis block validates this method. © 2003 Wiley-Liss, Inc.","author":[{"dropping-particle":"","family":"Banker","given":"Michael J.","non-dropping-particle":"","parse-names":false,"suffix":""},{"dropping-particle":"","family":"Clark","given":"Tracey H.","non-dropping-particle":"","parse-names":false,"suffix":""},{"dropping-particle":"","family":"Williams","given":"John A.","non-dropping-particle":"","parse-names":false,"suffix":""}],"container-title":"Journal of Pharmaceutical Sciences","id":"ITEM-1","issue":"5","issued":{"date-parts":[["2003"]]},"page":"967-974","title":"Development and validation of a 96-well equilibrium dialysis apparatus for measuring plasma protein binding","type":"article-journal","volume":"92"},"uris":["http://www.mendeley.com/documents/?uuid=a453eea3-2aed-48b6-9cd8-cfaece0a2d8f"]}],"mendeley":{"formattedCitation":"[19]","plainTextFormattedCitation":"[19]","previouslyFormattedCitation":"[19]"},"properties":{"noteIndex":0},"schema":"https://github.com/citation-style-language/schema/raw/master/csl-citation.json"}</w:instrText>
      </w:r>
      <w:r w:rsidRPr="00A23882">
        <w:rPr>
          <w:sz w:val="24"/>
          <w:szCs w:val="24"/>
        </w:rPr>
        <w:fldChar w:fldCharType="separate"/>
      </w:r>
      <w:r w:rsidRPr="00A23882">
        <w:rPr>
          <w:noProof/>
          <w:sz w:val="24"/>
          <w:szCs w:val="24"/>
        </w:rPr>
        <w:t>[19]</w:t>
      </w:r>
      <w:r w:rsidRPr="00A23882">
        <w:rPr>
          <w:sz w:val="24"/>
          <w:szCs w:val="24"/>
        </w:rPr>
        <w:fldChar w:fldCharType="end"/>
      </w:r>
      <w:r w:rsidRPr="00A23882">
        <w:rPr>
          <w:sz w:val="24"/>
          <w:szCs w:val="24"/>
        </w:rPr>
        <w:t xml:space="preserve">, liquid chromatography </w:t>
      </w:r>
      <w:r w:rsidRPr="00A23882">
        <w:rPr>
          <w:sz w:val="24"/>
          <w:szCs w:val="24"/>
        </w:rPr>
        <w:fldChar w:fldCharType="begin" w:fldLock="1"/>
      </w:r>
      <w:r w:rsidRPr="00A23882">
        <w:rPr>
          <w:sz w:val="24"/>
          <w:szCs w:val="24"/>
        </w:rPr>
        <w:instrText>ADDIN CSL_CITATION {"citationItems":[{"id":"ITEM-1","itemData":{"DOI":"10.1016/0378-4347(95)00425-4","ISSN":"15726495","PMID":"8925081","abstract":"In the last few years, continuous progress in instrumental analytical methodology has been achieved with a substantial increase in the number of new, more specific and more flexible methods for ligand-protein assays. In general, the methods used for drug-protein binding studies can be divided into two main groups: separation methods (enabling the calculation of binding parameters, i.e. the number of binding sites and their respective affinity constants) and non-separation methods (describing predominantly qualitative parameters of the ligand-protein complex). This review will be focussed particularly on recent trends in the development of drug-protein binding methods including stereoselective and non-stereoselective aspects using chromatography, capillary electrophoresis and microdialysis as compared to the \"conventional approach\" using equilibrium dialysis, ultrafiltration or size exclusion chromatography. The advantages and limitations of various methods will be discussed including a focus on \"optimal\" experimental strategies taking into account in vitro, ex vivo and/or in vivo studies. Furthermore, the importance of some particular aspects concerning the drug binding to proteins (covalent binding of drugs and their metabolites, stereoselective interactions and evaluation of binding data) will be outlined in more detail.","author":[{"dropping-particle":"","family":"Oravcová","given":"Jana","non-dropping-particle":"","parse-names":false,"suffix":""},{"dropping-particle":"","family":"Böhs","given":"Barbara","non-dropping-particle":"","parse-names":false,"suffix":""},{"dropping-particle":"","family":"Lindner","given":"Wolfgang","non-dropping-particle":"","parse-names":false,"suffix":""}],"container-title":"Journal of Chromatography B: Biomedical Applications","id":"ITEM-1","issue":"1","issued":{"date-parts":[["1996"]]},"page":"1-28","title":"Drug-protein binding studies new trends in analytical and experimental methodology","type":"article-journal","volume":"677"},"uris":["http://www.mendeley.com/documents/?uuid=7070f7b5-a421-4630-9d4c-009cc2ad7f72"]}],"mendeley":{"formattedCitation":"[20]","plainTextFormattedCitation":"[20]","previouslyFormattedCitation":"[20]"},"properties":{"noteIndex":0},"schema":"https://github.com/citation-style-language/schema/raw/master/csl-citation.json"}</w:instrText>
      </w:r>
      <w:r w:rsidRPr="00A23882">
        <w:rPr>
          <w:sz w:val="24"/>
          <w:szCs w:val="24"/>
        </w:rPr>
        <w:fldChar w:fldCharType="separate"/>
      </w:r>
      <w:r w:rsidRPr="00A23882">
        <w:rPr>
          <w:noProof/>
          <w:sz w:val="24"/>
          <w:szCs w:val="24"/>
        </w:rPr>
        <w:t>[20]</w:t>
      </w:r>
      <w:r w:rsidRPr="00A23882">
        <w:rPr>
          <w:sz w:val="24"/>
          <w:szCs w:val="24"/>
        </w:rPr>
        <w:fldChar w:fldCharType="end"/>
      </w:r>
      <w:r w:rsidRPr="00A23882">
        <w:rPr>
          <w:sz w:val="24"/>
          <w:szCs w:val="24"/>
        </w:rPr>
        <w:t xml:space="preserve">, electrophoresis </w:t>
      </w:r>
      <w:r w:rsidRPr="00A23882">
        <w:rPr>
          <w:sz w:val="24"/>
          <w:szCs w:val="24"/>
        </w:rPr>
        <w:fldChar w:fldCharType="begin" w:fldLock="1"/>
      </w:r>
      <w:r w:rsidRPr="00A23882">
        <w:rPr>
          <w:sz w:val="24"/>
          <w:szCs w:val="24"/>
        </w:rPr>
        <w:instrText>ADDIN CSL_CITATION {"citationItems":[{"id":"ITEM-1","itemData":{"DOI":"10.1021/acs.inorgchem.8b00713","ISSN":"1520510X","abstract":"Given the potent anticancer properties of cis-diamminedichloroplatinum(II) and knowing its mode of action, we synthesized four new cis-[PtCl2(N^N)] organoplatinum complexes, two with N-substituted pbi ligands (pbiR = 1-R-2-(2-pyridyl)benzimidazole) (namely, 1 and 2) and two more with 4,4′-disubstituted bpy ligands (bpy = 2,2′-bipyridine) (namely, 3 and 4). We explored their cytotoxicity and ability to bind to deoxyguanosine monophosphate (dGMP), DNA, and albumin models. By 1H NMR and UV-vis spectroscopies, circular dichroism, agarose gel electrophoresis, differential scanning calorimetry measurements, and density functional theory calculations, we verified that only 3 can form aquacomplex species after dimethyl sulfoxide solvation; surprisingly, 1, 2, and 3 can bind covalently to DNA, whereas 4 can form a noncovalent complex. Interestingly, only complexes 1 and 4 exhibit good cytotoxicity against human ovarian carcinoma (HeLa) cell line, whereas 2 and 3 are inactive. Although lung carcinoma (A549) cells are more resistant to the four platinum complexes than HeLa cells, when the protein concentration in the extracellular media is lower, the cytotoxicity becomes substantially enhanced. By native electrophoresis of bovine seroalbumin (BSA) and inductively coupled plasma mass spectrometry uptake studies we bear out, on one hand, that 2 and 3 can interact strongly with BSA and its cellular uptake is negligible and, on the other hand, that 1 and 4 can interact with BSA only weakly, its cellular uptake being higher by several orders. These results point up the important role of the protein binding features on their biological activity and cellular uptake of cis-\"PtCl2\" derivatives. Our results are valuable in the future rational design of new platinum complexes with improved biological properties, as they expose the importance not only of their DNA binding abilities but also of additional factors such as protein binding.","author":[{"dropping-particle":"","family":"Pérez-Arnaiz","given":"Cristina","non-dropping-particle":"","parse-names":false,"suffix":""},{"dropping-particle":"","family":"Leal","given":"Jorge","non-dropping-particle":"","parse-names":false,"suffix":""},{"dropping-particle":"","family":"Busto","given":"Natalia","non-dropping-particle":"","parse-names":false,"suffix":""},{"dropping-particle":"","family":"Carrión","given":"María C.","non-dropping-particle":"","parse-names":false,"suffix":""},{"dropping-particle":"","family":"Rubio","given":"Ana R.","non-dropping-particle":"","parse-names":false,"suffix":""},{"dropping-particle":"","family":"Ortiz","given":"Imanol","non-dropping-particle":"","parse-names":false,"suffix":""},{"dropping-particle":"","family":"Barone","given":"Giampaolo","non-dropping-particle":"","parse-names":false,"suffix":""},{"dropping-particle":"","family":"Díaz De Greñu","given":"Borja","non-dropping-particle":"","parse-names":false,"suffix":""},{"dropping-particle":"","family":"Santolaya","given":"Javier","non-dropping-particle":"","parse-names":false,"suffix":""},{"dropping-particle":"","family":"Leal","given":"José M.","non-dropping-particle":"","parse-names":false,"suffix":""},{"dropping-particle":"","family":"Vaquero","given":"Mónica","non-dropping-particle":"","parse-names":false,"suffix":""},{"dropping-particle":"","family":"Jalón","given":"Félix A.","non-dropping-particle":"","parse-names":false,"suffix":""},{"dropping-particle":"","family":"Manzano","given":"Blanca R.","non-dropping-particle":"","parse-names":false,"suffix":""},{"dropping-particle":"","family":"García","given":"Begoña","non-dropping-particle":"","parse-names":false,"suffix":""}],"container-title":"Inorganic Chemistry","id":"ITEM-1","issue":"10","issued":{"date-parts":[["2018"]]},"page":"6124-6134","title":"Role of Seroalbumin in the Cytotoxicity of cis-Dichloro Pt(II) Complexes with (N^N)-Donor Ligands Bearing Functionalized Tails","type":"article-journal","volume":"57"},"uris":["http://www.mendeley.com/documents/?uuid=c7ecde86-b3d7-4e03-8ea4-6cbac93bdfa8"]}],"mendeley":{"formattedCitation":"[21]","plainTextFormattedCitation":"[21]","previouslyFormattedCitation":"[21]"},"properties":{"noteIndex":0},"schema":"https://github.com/citation-style-language/schema/raw/master/csl-citation.json"}</w:instrText>
      </w:r>
      <w:r w:rsidRPr="00A23882">
        <w:rPr>
          <w:sz w:val="24"/>
          <w:szCs w:val="24"/>
        </w:rPr>
        <w:fldChar w:fldCharType="separate"/>
      </w:r>
      <w:r w:rsidRPr="00A23882">
        <w:rPr>
          <w:noProof/>
          <w:sz w:val="24"/>
          <w:szCs w:val="24"/>
        </w:rPr>
        <w:t>[21]</w:t>
      </w:r>
      <w:r w:rsidRPr="00A23882">
        <w:rPr>
          <w:sz w:val="24"/>
          <w:szCs w:val="24"/>
        </w:rPr>
        <w:fldChar w:fldCharType="end"/>
      </w:r>
      <w:r w:rsidRPr="00A23882">
        <w:rPr>
          <w:sz w:val="24"/>
          <w:szCs w:val="24"/>
        </w:rPr>
        <w:t xml:space="preserve"> to ultrafiltration </w:t>
      </w:r>
      <w:r w:rsidRPr="00A23882">
        <w:rPr>
          <w:sz w:val="24"/>
          <w:szCs w:val="24"/>
        </w:rPr>
        <w:fldChar w:fldCharType="begin" w:fldLock="1"/>
      </w:r>
      <w:r w:rsidRPr="00A23882">
        <w:rPr>
          <w:sz w:val="24"/>
          <w:szCs w:val="24"/>
        </w:rPr>
        <w:instrText>ADDIN CSL_CITATION {"citationItems":[{"id":"ITEM-1","itemData":{"DOI":"10.1002/jps.2600700208","ISSN":"15206017","PMID":"7205216","abstract":"The ultrafiltration technique was evaluated theoretically and experimentally for use in clinical serum binding determinations. It is apparent from free energy considerations that the ultrafiltrate concentration approaches the true free concentration only as the pressure gradient causing flow reduces to zero. The theory presented accounts for the previously unexplained lower ultrafiltrate concentration observed at higher filtration pressures. Mathematical simulations of the molecular separation show that the ultrafiltrate concentration remains constant during filtration, and, thus, binding equilibria are not disturbed by this procedure, suggesting that an arbitrary restriction on the volume filtered is unnecessary. This finding greatly extends the value of the ultrafiltration technique in clinical binding determinations, especially for strongly bound, potent drugs where assays may be insufficiently sensitive to detect the extremely small free fractions reliably. These theoretical findings were verified experimentally by ultrafiltration of salicylate, ibuprofen, and carprofen in buffer, purified proteins, and whole serum. Copyright © 1981 Wiley‐Liss, Inc., A Wiley Company","author":[{"dropping-particle":"","family":"Whitlam","given":"John B.","non-dropping-particle":"","parse-names":false,"suffix":""},{"dropping-particle":"","family":"Brown","given":"Kenneth F.","non-dropping-particle":"","parse-names":false,"suffix":""}],"container-title":"Journal of Pharmaceutical Sciences","id":"ITEM-1","issue":"2","issued":{"date-parts":[["1981"]]},"page":"146-150","title":"Ultrafiltration in serum protein binding determinations","type":"article-journal","volume":"70"},"uris":["http://www.mendeley.com/documents/?uuid=3f16f488-3c4f-4479-b1ee-7021d0d0c598"]}],"mendeley":{"formattedCitation":"[22]","plainTextFormattedCitation":"[22]","previouslyFormattedCitation":"[22]"},"properties":{"noteIndex":0},"schema":"https://github.com/citation-style-language/schema/raw/master/csl-citation.json"}</w:instrText>
      </w:r>
      <w:r w:rsidRPr="00A23882">
        <w:rPr>
          <w:sz w:val="24"/>
          <w:szCs w:val="24"/>
        </w:rPr>
        <w:fldChar w:fldCharType="separate"/>
      </w:r>
      <w:r w:rsidRPr="00A23882">
        <w:rPr>
          <w:noProof/>
          <w:sz w:val="24"/>
          <w:szCs w:val="24"/>
        </w:rPr>
        <w:t>[22]</w:t>
      </w:r>
      <w:r w:rsidRPr="00A23882">
        <w:rPr>
          <w:sz w:val="24"/>
          <w:szCs w:val="24"/>
        </w:rPr>
        <w:fldChar w:fldCharType="end"/>
      </w:r>
      <w:r w:rsidRPr="00A23882">
        <w:rPr>
          <w:sz w:val="24"/>
          <w:szCs w:val="24"/>
        </w:rPr>
        <w:t xml:space="preserve">. Sometimes these techniques may be complicated and require specific expertise. But the optical properties of the guest and/or of the protein can conveniently be exploited for the application of affordable and easy-to-use spectroscopic techniques. Besides absorbance </w:t>
      </w:r>
      <w:r w:rsidRPr="00A23882">
        <w:rPr>
          <w:sz w:val="24"/>
          <w:szCs w:val="24"/>
        </w:rPr>
        <w:fldChar w:fldCharType="begin" w:fldLock="1"/>
      </w:r>
      <w:r w:rsidRPr="00A23882">
        <w:rPr>
          <w:sz w:val="24"/>
          <w:szCs w:val="24"/>
        </w:rPr>
        <w:instrText>ADDIN CSL_CITATION {"citationItems":[{"id":"ITEM-1","itemData":{"author":[{"dropping-particle":"","family":"Campbell","given":"Kevin P","non-dropping-particle":"","parse-names":false,"suffix":""},{"dropping-particle":"","family":"Maclennantll","given":"David H","non-dropping-particle":"","parse-names":false,"suffix":""},{"dropping-particle":"","family":"Jorgensen","given":"Annelise","non-dropping-particle":"","parse-names":false,"suffix":""}],"container-title":"New York","id":"ITEM-1","issue":"18","issued":{"date-parts":[["1983"]]},"page":"11267-11273","title":"Staining of the Ca2 ’ -binding Proteins , Calsequestrin , Calmodulin ,","type":"article-journal","volume":"258"},"uris":["http://www.mendeley.com/documents/?uuid=593a8b5d-821d-41b5-812d-b30e0246e60b"]}],"mendeley":{"formattedCitation":"[23]","plainTextFormattedCitation":"[23]","previouslyFormattedCitation":"[23]"},"properties":{"noteIndex":0},"schema":"https://github.com/citation-style-language/schema/raw/master/csl-citation.json"}</w:instrText>
      </w:r>
      <w:r w:rsidRPr="00A23882">
        <w:rPr>
          <w:sz w:val="24"/>
          <w:szCs w:val="24"/>
        </w:rPr>
        <w:fldChar w:fldCharType="separate"/>
      </w:r>
      <w:r w:rsidRPr="00A23882">
        <w:rPr>
          <w:noProof/>
          <w:sz w:val="24"/>
          <w:szCs w:val="24"/>
        </w:rPr>
        <w:t>[23]</w:t>
      </w:r>
      <w:r w:rsidRPr="00A23882">
        <w:rPr>
          <w:sz w:val="24"/>
          <w:szCs w:val="24"/>
        </w:rPr>
        <w:fldChar w:fldCharType="end"/>
      </w:r>
      <w:r w:rsidRPr="00A23882">
        <w:rPr>
          <w:sz w:val="24"/>
          <w:szCs w:val="24"/>
        </w:rPr>
        <w:t xml:space="preserve"> and circular dichroism </w:t>
      </w:r>
      <w:r w:rsidRPr="00A23882">
        <w:rPr>
          <w:sz w:val="24"/>
          <w:szCs w:val="24"/>
        </w:rPr>
        <w:fldChar w:fldCharType="begin" w:fldLock="1"/>
      </w:r>
      <w:r w:rsidRPr="00A23882">
        <w:rPr>
          <w:sz w:val="24"/>
          <w:szCs w:val="24"/>
        </w:rPr>
        <w:instrText>ADDIN CSL_CITATION {"citationItems":[{"id":"ITEM-1","itemData":{"DOI":"10.1016/S0006-2952(02)01521-6","ISBN":"3613257750","ISSN":"00062952","PMID":"12527338","abstract":"The plant derived flavonoid compound quercetin, possesses wide range of biological activities in the human body by interacting with nucleic acids, enzymes and other proteins. As has recently been shown this molecule of polyphenolic type extensively binds to human serum albumin (HSA), the most abundant carrier protein in the blood. Electronic absorption, circular dichroism (CD) spectroscopy and molecular modelling methods were used to characterize optical properties of the quercetin-HSA complex, and to gain information on the binding mechanism at molecular level. The red shift and hypochromism of the longest-wavelength absorption band of quercetin relative to the spectral properties in ethanol suggests that one or more phenolic OH groups of the bound ligand is ionized and that the exocyclic phenyl ring is not coplanar with the benzopyrone moiety. It was found that quercetin shows extrinsic optical activity on interaction with HSA. The induced CD spectra were utilized to calculate the association constant at 37° (1.46±0.21×104M-1) and to probe the ligand binding site. Results of the CD displacement experiments performed with palmitic acid and salicylate were interpreted together with the findings of molecular modelling calculation performed on the quercetin-HSA complex. Computational mapping of possible binding sites of quercetin revealed the molecule to be bound in the large hydrophobic cavity of subdomain IIA. The protein microenvironment of this site was found to be rich in polar (basic) amino acid residues which are able to help to stabilize the negatively charged ligand bound in non-planar conformation. Additionally, the position of quercetin within the binding pocket allows simultaneous binding of other ligands such as warfarin, or sodium salycilate. © 2002 Elsevier Science Inc. All rights reserved.","author":[{"dropping-particle":"","family":"Zsila","given":"Ferenc","non-dropping-particle":"","parse-names":false,"suffix":""},{"dropping-particle":"","family":"Bikádi","given":"Zsolt","non-dropping-particle":"","parse-names":false,"suffix":""},{"dropping-particle":"","family":"Simonyi","given":"Miklós","non-dropping-particle":"","parse-names":false,"suffix":""}],"container-title":"Biochemical Pharmacology","id":"ITEM-1","issue":"3","issued":{"date-parts":[["2003"]]},"page":"447-456","title":"Probing the binding of the flavonoid, quercetin to human serum albumin by circular dichroism, electronic absorption spectroscopy and molecular modelling methods","type":"article-journal","volume":"65"},"uris":["http://www.mendeley.com/documents/?uuid=3ada1b19-c03d-4d09-a7ee-d6b225d15ba1"]}],"mendeley":{"formattedCitation":"[24]","plainTextFormattedCitation":"[24]","previouslyFormattedCitation":"[24]"},"properties":{"noteIndex":0},"schema":"https://github.com/citation-style-language/schema/raw/master/csl-citation.json"}</w:instrText>
      </w:r>
      <w:r w:rsidRPr="00A23882">
        <w:rPr>
          <w:sz w:val="24"/>
          <w:szCs w:val="24"/>
        </w:rPr>
        <w:fldChar w:fldCharType="separate"/>
      </w:r>
      <w:r w:rsidRPr="00A23882">
        <w:rPr>
          <w:noProof/>
          <w:sz w:val="24"/>
          <w:szCs w:val="24"/>
        </w:rPr>
        <w:t>[24]</w:t>
      </w:r>
      <w:r w:rsidRPr="00A23882">
        <w:rPr>
          <w:sz w:val="24"/>
          <w:szCs w:val="24"/>
        </w:rPr>
        <w:fldChar w:fldCharType="end"/>
      </w:r>
      <w:r w:rsidRPr="00A23882">
        <w:rPr>
          <w:sz w:val="24"/>
          <w:szCs w:val="24"/>
        </w:rPr>
        <w:t xml:space="preserve"> spectroscopies, fluorescence experiments represent the most popular approach. During the past 20 years, there has been a remarkable growth in the use of fluorescence spectroscopy for biochemical studies </w:t>
      </w:r>
      <w:r w:rsidRPr="00A23882">
        <w:rPr>
          <w:sz w:val="24"/>
          <w:szCs w:val="24"/>
        </w:rPr>
        <w:fldChar w:fldCharType="begin" w:fldLock="1"/>
      </w:r>
      <w:r w:rsidRPr="00A23882">
        <w:rPr>
          <w:sz w:val="24"/>
          <w:szCs w:val="24"/>
        </w:rPr>
        <w:instrText>ADDIN CSL_CITATION {"citationItems":[{"id":"ITEM-1","itemData":{"DOI":"10.1196/annals.1430.057","ISBN":"9781573317160","ISSN":"00778923","abstract":"This volume features papers on new spectroscopic methods and techniques, the development and application of fluorescent probes, and new techniques and applications of fluorescence imaging. Specific areas include the following: fluorescence lifetime, fluorescence (in vivo) imaging, time-resolved fluorescence, luminescence anisotropy, fluorescent (NMIR) labels, luminescent lanthanides, fluorescent sensors and probes, fluorescence microscopy, FRET, fluorescent nanoparticles and dots, high-throughput screening, fluorescent bioassays, luminescence-based DNA technologies, FISH and immunohistochemistry, luminescence on metal surfaces, fluorescent proteins, upconversion, multiphoton fluorescence, confocal techniques, near-field and far-field techniques, single photon counting, fluorescence correlation spectroscopy (FCS), and flow cytometry. NOTE: Annals volumes are available for sale as individual books or as a journal. For information on institutional journal subscriptions, please visit www.blackwellpublishing.com/nyas. ACADEMY MEMBERS: Please contact the New York Academy of Sciences directly to place your order (www.nyas.org). Members of the New York Academy of Science receive full-text access to the Annals online and discounts on print volumes. Please visit www.nyas.org/membership/main.asp for more information about becoming a member.","author":[{"dropping-particle":"","family":"Wolfbeis","given":"Otto S.","non-dropping-particle":"","parse-names":false,"suffix":""}],"container-title":"Annals of the New York Academy of Sciences","id":"ITEM-1","issued":{"date-parts":[["2008"]]},"title":"Fluorescence Methods and Applications: Spectroscopy, Imaging, and Probes","type":"book"},"uris":["http://www.mendeley.com/documents/?uuid=e318f5da-dddb-44d9-ba75-b035b5158397"]}],"mendeley":{"formattedCitation":"[25]","plainTextFormattedCitation":"[25]","previouslyFormattedCitation":"[25]"},"properties":{"noteIndex":0},"schema":"https://github.com/citation-style-language/schema/raw/master/csl-citation.json"}</w:instrText>
      </w:r>
      <w:r w:rsidRPr="00A23882">
        <w:rPr>
          <w:sz w:val="24"/>
          <w:szCs w:val="24"/>
        </w:rPr>
        <w:fldChar w:fldCharType="separate"/>
      </w:r>
      <w:r w:rsidRPr="00A23882">
        <w:rPr>
          <w:noProof/>
          <w:sz w:val="24"/>
          <w:szCs w:val="24"/>
        </w:rPr>
        <w:t>[25]</w:t>
      </w:r>
      <w:r w:rsidRPr="00A23882">
        <w:rPr>
          <w:sz w:val="24"/>
          <w:szCs w:val="24"/>
        </w:rPr>
        <w:fldChar w:fldCharType="end"/>
      </w:r>
      <w:r w:rsidRPr="00A23882">
        <w:rPr>
          <w:sz w:val="24"/>
          <w:szCs w:val="24"/>
        </w:rPr>
        <w:t>,</w:t>
      </w:r>
      <w:r w:rsidRPr="00A23882">
        <w:rPr>
          <w:sz w:val="24"/>
          <w:szCs w:val="24"/>
        </w:rPr>
        <w:fldChar w:fldCharType="begin" w:fldLock="1"/>
      </w:r>
      <w:r w:rsidRPr="00A23882">
        <w:rPr>
          <w:sz w:val="24"/>
          <w:szCs w:val="24"/>
        </w:rPr>
        <w:instrText>ADDIN CSL_CITATION {"citationItems":[{"id":"ITEM-1","itemData":{"DOI":"10.2174/1568026614666141216100907","ISSN":"15680266","author":[{"dropping-particle":"","family":"Jimenez","given":"M.","non-dropping-particle":"","parse-names":false,"suffix":""},{"dropping-particle":"","family":"Miranda","given":"Miguel","non-dropping-particle":"","parse-names":false,"suffix":""}],"container-title":"Current Topics in Medicinal Chemistry","id":"ITEM-1","issue":"23","issued":{"date-parts":[["2014"]]},"page":"2734-2742","title":"Triplet Excited States as a Source of Relevant (Bio)Chemical Information","type":"article-journal","volume":"14"},"uris":["http://www.mendeley.com/documents/?uuid=d4de9c46-06a4-46d0-b64e-10dd665777af"]}],"mendeley":{"formattedCitation":"[26]","plainTextFormattedCitation":"[26]","previouslyFormattedCitation":"[26]"},"properties":{"noteIndex":0},"schema":"https://github.com/citation-style-language/schema/raw/master/csl-citation.json"}</w:instrText>
      </w:r>
      <w:r w:rsidRPr="00A23882">
        <w:rPr>
          <w:sz w:val="24"/>
          <w:szCs w:val="24"/>
        </w:rPr>
        <w:fldChar w:fldCharType="separate"/>
      </w:r>
      <w:r w:rsidRPr="00A23882">
        <w:rPr>
          <w:noProof/>
          <w:sz w:val="24"/>
          <w:szCs w:val="24"/>
        </w:rPr>
        <w:t>[26]</w:t>
      </w:r>
      <w:r w:rsidRPr="00A23882">
        <w:rPr>
          <w:sz w:val="24"/>
          <w:szCs w:val="24"/>
        </w:rPr>
        <w:fldChar w:fldCharType="end"/>
      </w:r>
      <w:r w:rsidRPr="00A23882">
        <w:rPr>
          <w:sz w:val="24"/>
          <w:szCs w:val="24"/>
        </w:rPr>
        <w:t>. Fluorescence can be used both following the signal of the target drug (</w:t>
      </w:r>
      <w:r w:rsidRPr="00A23882">
        <w:rPr>
          <w:b/>
          <w:sz w:val="24"/>
          <w:szCs w:val="24"/>
        </w:rPr>
        <w:t>T</w:t>
      </w:r>
      <w:r w:rsidRPr="00A23882">
        <w:rPr>
          <w:sz w:val="24"/>
          <w:szCs w:val="24"/>
        </w:rPr>
        <w:t xml:space="preserve">) or of the protein. Fluorescence emission properties of BSA are provided by the presence of tryptophan (Trp), tyrosine (Tyr) and phenylalanine (Phe) aminoacids. BSA contains two tryptophan residues: Trp-134, located on the surface of domain IA, and Trp-212, embedded within the hydrophobic pocket of domain IIB </w:t>
      </w:r>
      <w:r w:rsidRPr="00A23882">
        <w:rPr>
          <w:sz w:val="24"/>
          <w:szCs w:val="24"/>
        </w:rPr>
        <w:fldChar w:fldCharType="begin" w:fldLock="1"/>
      </w:r>
      <w:r w:rsidRPr="00A23882">
        <w:rPr>
          <w:sz w:val="24"/>
          <w:szCs w:val="24"/>
        </w:rPr>
        <w:instrText>ADDIN CSL_CITATION {"citationItems":[{"id":"ITEM-1","itemData":{"DOI":"10.1016/j.molstruc.2008.03.002","ISSN":"00222860","abstract":"The interaction between irisflorentin (IFR) and bovine serum albumin (BSA) in physiological buffer (pH = 7.4) was investigated by fluorescence quenching technique and UV/vis absorption spectroscopy. The results of fluorescence titration revealed that IFR could strongly quench the intrinsic fluorescence of BSA through a dynamic quenching procedure. The apparent binding constants KA and number of binding sites n of IFR with BSA were obtained by fluorescence quenching method. The thermodynamic parameters, enthalpy change (ΔHθ) and entropy change (ΔSθ), were calculated to be 18.45 kJ mol-1 &gt;0 and 149.72 J mol-1 K-1 &gt;0, respectively, which indicated that the interaction of IFR with BSA was driven mainly by hydrophobic forces. The process of binding was a spontaneous process in which Gibbs free energy change was negative. The distance r between donor (BSA) and acceptor (IFR) was calculated to be 3.88 nm based on Förster's non-radiative energy transfer theory. The results of synchronous fluorescence spectra showed that binding of IFR with BSA can induce conformational changes in BSA. © 2008 Elsevier B.V. All rights reserved.","author":[{"dropping-particle":"","family":"Zhang","given":"Guowen","non-dropping-particle":"","parse-names":false,"suffix":""},{"dropping-particle":"","family":"Wang","given":"Anping","non-dropping-particle":"","parse-names":false,"suffix":""},{"dropping-particle":"","family":"Jiang","given":"Ting","non-dropping-particle":"","parse-names":false,"suffix":""},{"dropping-particle":"","family":"Guo","given":"Jinbao","non-dropping-particle":"","parse-names":false,"suffix":""}],"container-title":"Journal of Molecular Structure","id":"ITEM-1","issue":"1-3","issued":{"date-parts":[["2008"]]},"page":"93-97","publisher":"Elsevier B.V.","title":"Interaction of the irisflorentin with bovine serum albumin: A fluorescence quenching study","type":"article-journal","volume":"891"},"uris":["http://www.mendeley.com/documents/?uuid=a2909d5e-32f3-4da4-baba-0d6b323355ac"]}],"mendeley":{"formattedCitation":"[27]","plainTextFormattedCitation":"[27]","previouslyFormattedCitation":"[27]"},"properties":{"noteIndex":0},"schema":"https://github.com/citation-style-language/schema/raw/master/csl-citation.json"}</w:instrText>
      </w:r>
      <w:r w:rsidRPr="00A23882">
        <w:rPr>
          <w:sz w:val="24"/>
          <w:szCs w:val="24"/>
        </w:rPr>
        <w:fldChar w:fldCharType="separate"/>
      </w:r>
      <w:r w:rsidRPr="00A23882">
        <w:rPr>
          <w:noProof/>
          <w:sz w:val="24"/>
          <w:szCs w:val="24"/>
        </w:rPr>
        <w:t>[27]</w:t>
      </w:r>
      <w:r w:rsidRPr="00A23882">
        <w:rPr>
          <w:sz w:val="24"/>
          <w:szCs w:val="24"/>
        </w:rPr>
        <w:fldChar w:fldCharType="end"/>
      </w:r>
      <w:r w:rsidRPr="00A23882">
        <w:rPr>
          <w:sz w:val="24"/>
          <w:szCs w:val="24"/>
        </w:rPr>
        <w:t xml:space="preserve">. As the relative ratio of fluorescence intensity for these residues has found to be Trp : Tyr : Phe = 100 : 9 : 0.5, it is likely that the emission of BSA mainly arises from the two tryptophan residues </w:t>
      </w:r>
      <w:r w:rsidRPr="00A23882">
        <w:rPr>
          <w:sz w:val="24"/>
          <w:szCs w:val="24"/>
        </w:rPr>
        <w:fldChar w:fldCharType="begin" w:fldLock="1"/>
      </w:r>
      <w:r w:rsidRPr="00A23882">
        <w:rPr>
          <w:sz w:val="24"/>
          <w:szCs w:val="24"/>
        </w:rPr>
        <w:instrText>ADDIN CSL_CITATION {"citationItems":[{"id":"ITEM-1","itemData":{"DOI":"10.15386/cjmed-357","ISSN":"20668872","abstract":"The continuous search for new molecules with therapeutic abilities has led to the synthesis and characterization of a large number of metal complexes, proven to exhibit potential as pharmacological agents through their antibacterial, antiviral, antifungal and antineoplastic properties. As serum albumins play a key role in drug pharmacokinetics and pharmacodynamics, the study of coordination compounds affinity towards this class of proteins, as well as understanding the mechanism through which they interact is crucial. The aim of this review is to focus on the structure and biological functions of bovine serum albumin, the design of metal complexes that are able to bind to the biomolecule, as well as the experimental techniques employed in the study and evaluation of these interactions.","author":[{"dropping-particle":"","family":"Topală","given":"Tamara","non-dropping-particle":"","parse-names":false,"suffix":""},{"dropping-particle":"","family":"Bodoki","given":"Andreea","non-dropping-particle":"","parse-names":false,"suffix":""},{"dropping-particle":"","family":"Oprean","given":"Luminiţa","non-dropping-particle":"","parse-names":false,"suffix":""},{"dropping-particle":"","family":"Oprean","given":"Radu","non-dropping-particle":"","parse-names":false,"suffix":""}],"container-title":"Clujul Medical","id":"ITEM-1","issue":"4","issued":{"date-parts":[["2014"]]},"page":"5","title":"Bovine serum albumin interactions with metal complexes","type":"article-journal","volume":"87"},"uris":["http://www.mendeley.com/documents/?uuid=1ff14d2d-255d-4468-a380-e1b0843f0c8e"]}],"mendeley":{"formattedCitation":"[28]","plainTextFormattedCitation":"[28]","previouslyFormattedCitation":"[28]"},"properties":{"noteIndex":0},"schema":"https://github.com/citation-style-language/schema/raw/master/csl-citation.json"}</w:instrText>
      </w:r>
      <w:r w:rsidRPr="00A23882">
        <w:rPr>
          <w:sz w:val="24"/>
          <w:szCs w:val="24"/>
        </w:rPr>
        <w:fldChar w:fldCharType="separate"/>
      </w:r>
      <w:r w:rsidRPr="00A23882">
        <w:rPr>
          <w:noProof/>
          <w:sz w:val="24"/>
          <w:szCs w:val="24"/>
        </w:rPr>
        <w:t>[28]</w:t>
      </w:r>
      <w:r w:rsidRPr="00A23882">
        <w:rPr>
          <w:sz w:val="24"/>
          <w:szCs w:val="24"/>
        </w:rPr>
        <w:fldChar w:fldCharType="end"/>
      </w:r>
      <w:r w:rsidRPr="00A23882">
        <w:rPr>
          <w:sz w:val="24"/>
          <w:szCs w:val="24"/>
        </w:rPr>
        <w:t xml:space="preserve">. Even for solution studies and spectrophotometric/fluorimetric titrations, which are supposed to require the simplest setup among many more difficult techniques, many points have to be carefully taken into account. This holds in particular if the data are handled by a wide variety of researchers, non-necessarily experts in this particular domain. Unfortunately, the incorrect use of this experimental approach is extremely widespread. In this review, the critical aspects of the different procedures and equations are highlighted and discussed. The aim is also to spread this kind of approach in the medicinal chemistry community as it may constitute an important implementation of other types of studies and a help to deepen the enlightenment of reactivity features which is useful in designing optimized drugs.  </w:t>
      </w:r>
    </w:p>
    <w:p w:rsidR="002A3793" w:rsidRPr="00A23882" w:rsidRDefault="002A3793" w:rsidP="00A23882">
      <w:pPr>
        <w:pStyle w:val="05-ArticleText"/>
        <w:spacing w:line="480" w:lineRule="auto"/>
        <w:rPr>
          <w:sz w:val="24"/>
          <w:szCs w:val="24"/>
        </w:rPr>
      </w:pPr>
    </w:p>
    <w:p w:rsidR="002A3793" w:rsidRPr="00A23882" w:rsidRDefault="002A3793" w:rsidP="00A23882">
      <w:pPr>
        <w:pStyle w:val="06-Heading-1"/>
        <w:spacing w:line="480" w:lineRule="auto"/>
        <w:rPr>
          <w:sz w:val="24"/>
          <w:szCs w:val="24"/>
        </w:rPr>
      </w:pPr>
      <w:r w:rsidRPr="00A23882">
        <w:rPr>
          <w:sz w:val="24"/>
          <w:szCs w:val="24"/>
        </w:rPr>
        <w:lastRenderedPageBreak/>
        <w:t xml:space="preserve">2. Optimisation of the experimental setup </w:t>
      </w:r>
    </w:p>
    <w:p w:rsidR="002A3793" w:rsidRPr="00A23882" w:rsidRDefault="002A3793" w:rsidP="00A23882">
      <w:pPr>
        <w:pStyle w:val="07-Heading-2"/>
        <w:spacing w:line="480" w:lineRule="auto"/>
        <w:rPr>
          <w:rFonts w:eastAsia="SimSun"/>
          <w:b w:val="0"/>
          <w:sz w:val="24"/>
          <w:szCs w:val="24"/>
          <w:lang w:eastAsia="en-US"/>
        </w:rPr>
      </w:pPr>
      <w:r w:rsidRPr="00A23882">
        <w:rPr>
          <w:rFonts w:eastAsia="SimSun"/>
          <w:b w:val="0"/>
          <w:sz w:val="24"/>
          <w:szCs w:val="24"/>
          <w:lang w:eastAsia="en-US"/>
        </w:rPr>
        <w:t>Spectrofluorimetric titrations are performed on the same basis of the absorbance ones but together with some advantageous features. Fluorescence is a very sensitive property that changes also in the presence of subtle changes in the system. Also, as fluorescence spectroscopy is more sensitive than absorption, much more dilute solutions (typically 10</w:t>
      </w:r>
      <w:r w:rsidRPr="00A23882">
        <w:rPr>
          <w:rFonts w:eastAsia="SimSun"/>
          <w:b w:val="0"/>
          <w:sz w:val="24"/>
          <w:szCs w:val="24"/>
          <w:vertAlign w:val="superscript"/>
          <w:lang w:eastAsia="en-US"/>
        </w:rPr>
        <w:t>-6</w:t>
      </w:r>
      <w:r w:rsidRPr="00A23882">
        <w:rPr>
          <w:rFonts w:eastAsia="SimSun"/>
          <w:b w:val="0"/>
          <w:sz w:val="24"/>
          <w:szCs w:val="24"/>
          <w:lang w:eastAsia="en-US"/>
        </w:rPr>
        <w:t xml:space="preserve"> - 10</w:t>
      </w:r>
      <w:r w:rsidRPr="00A23882">
        <w:rPr>
          <w:rFonts w:eastAsia="SimSun"/>
          <w:b w:val="0"/>
          <w:sz w:val="24"/>
          <w:szCs w:val="24"/>
          <w:vertAlign w:val="superscript"/>
          <w:lang w:eastAsia="en-US"/>
        </w:rPr>
        <w:t>-7</w:t>
      </w:r>
      <w:r w:rsidRPr="00A23882">
        <w:rPr>
          <w:rFonts w:eastAsia="SimSun"/>
          <w:b w:val="0"/>
          <w:sz w:val="24"/>
          <w:szCs w:val="24"/>
          <w:lang w:eastAsia="en-US"/>
        </w:rPr>
        <w:t xml:space="preserve"> M) can be employed. Therefore, aggregation and precipitation phenomena are conveniently limited and small amounts of sample are required. This is very advantageous as the target drug often contains aromatic moieties that strongly drive towards extended </w:t>
      </w:r>
      <w:r w:rsidRPr="009E3352">
        <w:rPr>
          <w:rFonts w:ascii="Symbol" w:eastAsia="SimSun" w:hAnsi="Symbol"/>
          <w:b w:val="0"/>
          <w:sz w:val="24"/>
          <w:szCs w:val="24"/>
          <w:lang w:eastAsia="en-US"/>
        </w:rPr>
        <w:t></w:t>
      </w:r>
      <w:r w:rsidRPr="009E3352">
        <w:rPr>
          <w:rFonts w:ascii="Symbol" w:eastAsia="SimSun" w:hAnsi="Symbol"/>
          <w:b w:val="0"/>
          <w:sz w:val="24"/>
          <w:szCs w:val="24"/>
          <w:lang w:eastAsia="en-US"/>
        </w:rPr>
        <w:t></w:t>
      </w:r>
      <w:r w:rsidRPr="009E3352">
        <w:rPr>
          <w:rFonts w:ascii="Symbol" w:eastAsia="SimSun" w:hAnsi="Symbol"/>
          <w:b w:val="0"/>
          <w:sz w:val="24"/>
          <w:szCs w:val="24"/>
          <w:lang w:eastAsia="en-US"/>
        </w:rPr>
        <w:t></w:t>
      </w:r>
      <w:r w:rsidRPr="00A23882">
        <w:rPr>
          <w:rFonts w:eastAsia="SimSun"/>
          <w:b w:val="0"/>
          <w:sz w:val="24"/>
          <w:szCs w:val="24"/>
          <w:lang w:eastAsia="en-US"/>
        </w:rPr>
        <w:t xml:space="preserve"> stacked aggregates. Under these circumstances, the analysis of </w:t>
      </w:r>
      <w:r w:rsidRPr="00A23882">
        <w:rPr>
          <w:rFonts w:eastAsia="SimSun"/>
          <w:sz w:val="24"/>
          <w:szCs w:val="24"/>
          <w:lang w:eastAsia="en-US"/>
        </w:rPr>
        <w:t>T</w:t>
      </w:r>
      <w:r w:rsidRPr="00A23882">
        <w:rPr>
          <w:rFonts w:eastAsia="SimSun"/>
          <w:b w:val="0"/>
          <w:sz w:val="24"/>
          <w:szCs w:val="24"/>
          <w:lang w:eastAsia="en-US"/>
        </w:rPr>
        <w:t xml:space="preserve"> monomer binding becomes very hard, but the problem might be overcome (or strongly reduced) by changing absorbance into fluorescence measurements. On the other hand, the linear correlation between fluorescence intensity and concentration has to be checked before the experiment, much more thoroughly than for absorption. For absorbing species, the Lambert-Beer law is quite always obeyed (unless the dye form is modified and until absorbance stays below an instrumental threshold). Instead, concerning fluorescence spectroscopy, the intensity of emitted light is directly proportional to the fluorophore concentration only for low values of the molar absorption coefficient and/or at low concentrations of the dye </w:t>
      </w:r>
      <w:r w:rsidRPr="00A23882">
        <w:rPr>
          <w:rFonts w:eastAsia="SimSun"/>
          <w:b w:val="0"/>
          <w:sz w:val="24"/>
          <w:szCs w:val="24"/>
          <w:lang w:eastAsia="en-US"/>
        </w:rPr>
        <w:fldChar w:fldCharType="begin" w:fldLock="1"/>
      </w:r>
      <w:r w:rsidRPr="00A23882">
        <w:rPr>
          <w:rFonts w:eastAsia="SimSun"/>
          <w:b w:val="0"/>
          <w:sz w:val="24"/>
          <w:szCs w:val="24"/>
          <w:lang w:eastAsia="en-US"/>
        </w:rPr>
        <w:instrText>ADDIN CSL_CITATION {"citationItems":[{"id":"ITEM-1","itemData":{"DOI":"10.1007/978-0-387-46312-4","ISBN":"0387312781","abstract":"The third edition of the established classic text reference, Principles of Fluorescence Spectroscopy, will enhance upon the earlier editions' successes. Organized as a textbook for the learning student or the researcher needing to acquire the core competencies, Principles of Fluorescence Spectroscopy, 3e will maintain the emphasis on basics, while updating the examples to include recent results from the literature. The third edition also includes new chapters on single molecule detection, fluorescence correlation spectroscopy, novel probes and radiative decay engineering.This full-color textbook features the following: Problem sets following every chapter Glossaries of commonly used acronyms and mathematical symbols Appendices containing a list of recommended books which expand on various specialized topics Sections describing advanced topics will indicate as such, to allow these sections to be skipped in an introductory course, allowing the text to be used for classes of different levels Includes CD-ROM of all figures in a low-res format, perfect for use in instruction and presentations Principles of Fluorescence Spectroscopy, 3rd edition, is an essential volume for students, researchers, and industry professionals in biophysics, biochemistry, biotechnology, bioengineering, biology and medicine. About the Author: Dr. Joseph R. Lakowicz is Professor of Biochemistry at the University of Maryland School of Medicine, Baltimore, and Director of the Center for Fluorescence Spectroscopy. Dr. Lakowicz has published over 400 scientific articles, has edited numerous books, holds 16 issued patents, and is the author of the widely used text, Principles of Fluorescence Spectroscopy now in its 3rd edition. © 2006, 1999, 1983 Springer Science+Business Media, LLC.","author":[{"dropping-particle":"","family":"Lakowicz","given":"Joseph R.","non-dropping-particle":"","parse-names":false,"suffix":""}],"container-title":"Principles of Fluorescence Spectroscopy","id":"ITEM-1","issued":{"date-parts":[["2006"]]},"number-of-pages":"1-954","title":"Principles of fluorescence spectroscopy","type":"book"},"uris":["http://www.mendeley.com/documents/?uuid=ac19533f-e015-4e0f-82a3-335464256930"]}],"mendeley":{"formattedCitation":"[29]","plainTextFormattedCitation":"[29]","previouslyFormattedCitation":"[29]"},"properties":{"noteIndex":0},"schema":"https://github.com/citation-style-language/schema/raw/master/csl-citation.json"}</w:instrText>
      </w:r>
      <w:r w:rsidRPr="00A23882">
        <w:rPr>
          <w:rFonts w:eastAsia="SimSun"/>
          <w:b w:val="0"/>
          <w:sz w:val="24"/>
          <w:szCs w:val="24"/>
          <w:lang w:eastAsia="en-US"/>
        </w:rPr>
        <w:fldChar w:fldCharType="separate"/>
      </w:r>
      <w:r w:rsidRPr="00A23882">
        <w:rPr>
          <w:rFonts w:eastAsia="SimSun"/>
          <w:b w:val="0"/>
          <w:noProof/>
          <w:sz w:val="24"/>
          <w:szCs w:val="24"/>
          <w:lang w:eastAsia="en-US"/>
        </w:rPr>
        <w:t>[29]</w:t>
      </w:r>
      <w:r w:rsidRPr="00A23882">
        <w:rPr>
          <w:rFonts w:eastAsia="SimSun"/>
          <w:b w:val="0"/>
          <w:sz w:val="24"/>
          <w:szCs w:val="24"/>
          <w:lang w:eastAsia="en-US"/>
        </w:rPr>
        <w:fldChar w:fldCharType="end"/>
      </w:r>
      <w:r w:rsidRPr="00A23882">
        <w:rPr>
          <w:rFonts w:eastAsia="SimSun"/>
          <w:b w:val="0"/>
          <w:sz w:val="24"/>
          <w:szCs w:val="24"/>
          <w:lang w:eastAsia="en-US"/>
        </w:rPr>
        <w:t xml:space="preserve">. In principle, the lowest is concentration, the better linearity will be followed. Therefore, from this point of view, it would be better to use the more diluted species possible. Obviously, the optimal concentrations will be also a function of the minimum signal read possible (and therefore fluorophore quantum yield) and of the binding constants involved (the </w:t>
      </w:r>
      <w:r w:rsidRPr="00A23882">
        <w:rPr>
          <w:rFonts w:eastAsia="SimSun"/>
          <w:sz w:val="24"/>
          <w:szCs w:val="24"/>
          <w:lang w:eastAsia="en-US"/>
        </w:rPr>
        <w:t>T</w:t>
      </w:r>
      <w:r w:rsidRPr="00A23882">
        <w:rPr>
          <w:rFonts w:eastAsia="SimSun"/>
          <w:b w:val="0"/>
          <w:sz w:val="24"/>
          <w:szCs w:val="24"/>
          <w:lang w:eastAsia="en-US"/>
        </w:rPr>
        <w:t>-BSA complex need to form).</w:t>
      </w:r>
    </w:p>
    <w:p w:rsidR="00A324D1" w:rsidRPr="00A23882" w:rsidRDefault="002A3793" w:rsidP="00A23882">
      <w:pPr>
        <w:pStyle w:val="07-Heading-2"/>
        <w:spacing w:line="480" w:lineRule="auto"/>
        <w:rPr>
          <w:rFonts w:eastAsia="SimSun"/>
          <w:b w:val="0"/>
          <w:sz w:val="24"/>
          <w:szCs w:val="24"/>
          <w:lang w:eastAsia="en-US"/>
        </w:rPr>
      </w:pPr>
      <w:r w:rsidRPr="00A23882">
        <w:rPr>
          <w:rFonts w:eastAsia="SimSun"/>
          <w:b w:val="0"/>
          <w:sz w:val="24"/>
          <w:szCs w:val="24"/>
          <w:lang w:eastAsia="en-US"/>
        </w:rPr>
        <w:t xml:space="preserve">The choice of working wavelengths plays a crucial role. </w:t>
      </w:r>
      <w:r w:rsidRPr="00A23882">
        <w:rPr>
          <w:rFonts w:eastAsia="SimSun"/>
          <w:b w:val="0"/>
          <w:sz w:val="24"/>
          <w:szCs w:val="24"/>
          <w:lang w:val="en-GB" w:eastAsia="en-US"/>
        </w:rPr>
        <w:t xml:space="preserve">Proteins, as well as many types of biosubstrates, absorb light only in the UV range. </w:t>
      </w:r>
      <w:r w:rsidRPr="00A23882">
        <w:rPr>
          <w:rFonts w:eastAsia="SimSun"/>
          <w:b w:val="0"/>
          <w:sz w:val="24"/>
          <w:szCs w:val="24"/>
          <w:lang w:eastAsia="en-US"/>
        </w:rPr>
        <w:t>By exciting the system at λ</w:t>
      </w:r>
      <w:r w:rsidRPr="00A23882">
        <w:rPr>
          <w:rFonts w:eastAsia="SimSun"/>
          <w:b w:val="0"/>
          <w:sz w:val="24"/>
          <w:szCs w:val="24"/>
          <w:vertAlign w:val="subscript"/>
          <w:lang w:eastAsia="en-US"/>
        </w:rPr>
        <w:t>ex</w:t>
      </w:r>
      <w:r w:rsidRPr="00A23882">
        <w:rPr>
          <w:rFonts w:eastAsia="SimSun"/>
          <w:b w:val="0"/>
          <w:sz w:val="24"/>
          <w:szCs w:val="24"/>
          <w:lang w:eastAsia="en-US"/>
        </w:rPr>
        <w:t xml:space="preserve"> = 280 nm the fluorescence is mainly contributed to by Trp and Tyr residues, whereas at λ</w:t>
      </w:r>
      <w:r w:rsidRPr="00A23882">
        <w:rPr>
          <w:rFonts w:eastAsia="SimSun"/>
          <w:b w:val="0"/>
          <w:sz w:val="24"/>
          <w:szCs w:val="24"/>
          <w:vertAlign w:val="subscript"/>
          <w:lang w:eastAsia="en-US"/>
        </w:rPr>
        <w:t>ex</w:t>
      </w:r>
      <w:r w:rsidRPr="00A23882">
        <w:rPr>
          <w:rFonts w:eastAsia="SimSun"/>
          <w:b w:val="0"/>
          <w:sz w:val="24"/>
          <w:szCs w:val="24"/>
          <w:lang w:eastAsia="en-US"/>
        </w:rPr>
        <w:t xml:space="preserve"> = 295 nm only Trp residues are excited </w:t>
      </w:r>
      <w:r w:rsidRPr="00A23882">
        <w:rPr>
          <w:rFonts w:eastAsia="SimSun"/>
          <w:b w:val="0"/>
          <w:sz w:val="24"/>
          <w:szCs w:val="24"/>
          <w:lang w:eastAsia="en-US"/>
        </w:rPr>
        <w:fldChar w:fldCharType="begin" w:fldLock="1"/>
      </w:r>
      <w:r w:rsidRPr="00A23882">
        <w:rPr>
          <w:rFonts w:eastAsia="SimSun"/>
          <w:b w:val="0"/>
          <w:sz w:val="24"/>
          <w:szCs w:val="24"/>
          <w:lang w:eastAsia="en-US"/>
        </w:rPr>
        <w:instrText>ADDIN CSL_CITATION {"citationItems":[{"id":"ITEM-1","itemData":{"DOI":"10.3390/ijerph15010116","ISSN":"16604601","abstract":"The herbicide atrazine is widely used across the globe, which is a great concern. To investigate its potential toxicity in the human body, human serum albumin (HSA) was selected as a model protein. The interaction between atrazine and HSA was investigated using steady-state fluorescence spectroscopy, synchronous fluorescence spectroscopy, UV-Vis spectroscopy, three-dimensional (3D) fluorescence spectroscopy and circular dichroism (CD) spectroscopy. The intrinsic fluorescence of HSA was quenched by the atrazine through a static quenching mechanism. Fluorescence spectra at two excitation wavelengths (280 and 295 nm) showed that the fluorescence quenched in HSA was mainly contributed to by tryptophan residues. In addition, the atrazine bound to HSA, which induced changes in the conformation and secondary structure of HSA and caused an energy transfer. Thermodynamic parameters revealed that this binding is spontaneous. Moreover, electrostatic interactions play a major role in the combination of atrazine and HSA. One atrazine molecule can only bind to one HSA molecule to form a complex, and the atrazine molecule is bound at site II (subdomain IIIA) of HSA. This study furthers the understanding of the potential effects posed by atrazine on humans at the molecular level.","author":[{"dropping-particle":"","family":"Zhu","given":"Meiqing","non-dropping-particle":"","parse-names":false,"suffix":""},{"dropping-particle":"","family":"Wang","given":"Lijun","non-dropping-particle":"","parse-names":false,"suffix":""},{"dropping-particle":"","family":"Wang","given":"Yu","non-dropping-particle":"","parse-names":false,"suffix":""},{"dropping-particle":"","family":"Zhou","given":"Jie","non-dropping-particle":"","parse-names":false,"suffix":""},{"dropping-particle":"","family":"Ding","given":"Jie","non-dropping-particle":"","parse-names":false,"suffix":""},{"dropping-particle":"","family":"Li","given":"Wei","non-dropping-particle":"","parse-names":false,"suffix":""},{"dropping-particle":"","family":"Xin","given":"Yue","non-dropping-particle":"","parse-names":false,"suffix":""},{"dropping-particle":"","family":"Fan","given":"Shisuo","non-dropping-particle":"","parse-names":false,"suffix":""},{"dropping-particle":"","family":"Wang","given":"Zhen","non-dropping-particle":"","parse-names":false,"suffix":""},{"dropping-particle":"","family":"Wang","given":"Yi","non-dropping-particle":"","parse-names":false,"suffix":""}],"container-title":"International Journal of Environmental Research and Public Health","id":"ITEM-1","issue":"1","issued":{"date-parts":[["2018"]]},"title":"Biointeractions of herbicide atrazine with human serum albumin: UV-Vis, fluorescence and circular dichroism approaches","type":"article-journal","volume":"15"},"uris":["http://www.mendeley.com/documents/?uuid=871fa992-a654-44d1-bd9f-8576e35368eb"]}],"mendeley":{"formattedCitation":"[30]","plainTextFormattedCitation":"[30]","previouslyFormattedCitation":"[30]"},"properties":{"noteIndex":0},"schema":"https://github.com/citation-style-language/schema/raw/master/csl-citation.json"}</w:instrText>
      </w:r>
      <w:r w:rsidRPr="00A23882">
        <w:rPr>
          <w:rFonts w:eastAsia="SimSun"/>
          <w:b w:val="0"/>
          <w:sz w:val="24"/>
          <w:szCs w:val="24"/>
          <w:lang w:eastAsia="en-US"/>
        </w:rPr>
        <w:fldChar w:fldCharType="separate"/>
      </w:r>
      <w:r w:rsidRPr="00A23882">
        <w:rPr>
          <w:rFonts w:eastAsia="SimSun"/>
          <w:b w:val="0"/>
          <w:noProof/>
          <w:sz w:val="24"/>
          <w:szCs w:val="24"/>
          <w:lang w:eastAsia="en-US"/>
        </w:rPr>
        <w:t>[30]</w:t>
      </w:r>
      <w:r w:rsidRPr="00A23882">
        <w:rPr>
          <w:rFonts w:eastAsia="SimSun"/>
          <w:b w:val="0"/>
          <w:sz w:val="24"/>
          <w:szCs w:val="24"/>
          <w:lang w:eastAsia="en-US"/>
        </w:rPr>
        <w:fldChar w:fldCharType="end"/>
      </w:r>
      <w:r w:rsidRPr="00A23882">
        <w:rPr>
          <w:rFonts w:eastAsia="SimSun"/>
          <w:b w:val="0"/>
          <w:sz w:val="24"/>
          <w:szCs w:val="24"/>
          <w:lang w:eastAsia="en-US"/>
        </w:rPr>
        <w:t>. Figure 1 shows the absorption and emission spectrum of BSA together with the absorption of a natural DNA polynucleotide (calf thymus) and a DNA G-quadruplex.</w:t>
      </w:r>
    </w:p>
    <w:p w:rsidR="002A3793" w:rsidRPr="00A23882" w:rsidRDefault="003118E8" w:rsidP="00A23882">
      <w:pPr>
        <w:pStyle w:val="07-Heading-2"/>
        <w:spacing w:line="480" w:lineRule="auto"/>
        <w:rPr>
          <w:rFonts w:eastAsia="SimSun"/>
          <w:b w:val="0"/>
          <w:sz w:val="24"/>
          <w:szCs w:val="24"/>
          <w:lang w:eastAsia="en-US"/>
        </w:rPr>
      </w:pPr>
      <w:r>
        <w:rPr>
          <w:noProof/>
          <w:sz w:val="24"/>
          <w:szCs w:val="24"/>
        </w:rPr>
        <w:lastRenderedPageBreak/>
        <w:object w:dxaOrig="144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80" type="#_x0000_t75" style="position:absolute;left:0;text-align:left;margin-left:129.2pt;margin-top:-15.7pt;width:223.2pt;height:170.85pt;z-index:-251651584" wrapcoords="3697 2463 3697 18853 4929 19137 10800 19137 10075 19895 9930 20179 9930 20653 10438 20842 10655 20842 12177 20842 12395 20274 12032 19895 10800 19137 18918 19137 19281 18853 18628 17621 18628 2463 3697 2463">
            <v:imagedata r:id="rId9" o:title=""/>
            <w10:wrap type="tight"/>
          </v:shape>
          <o:OLEObject Type="Embed" ProgID="Origin50.Graph" ShapeID="_x0000_s1080" DrawAspect="Content" ObjectID="_1660750235" r:id="rId10"/>
        </w:object>
      </w:r>
    </w:p>
    <w:p w:rsidR="002A3793" w:rsidRPr="00A23882" w:rsidRDefault="002A3793" w:rsidP="00A23882">
      <w:pPr>
        <w:pStyle w:val="07-Heading-2"/>
        <w:spacing w:line="480" w:lineRule="auto"/>
        <w:rPr>
          <w:rFonts w:eastAsia="SimSun"/>
          <w:b w:val="0"/>
          <w:sz w:val="24"/>
          <w:szCs w:val="24"/>
          <w:lang w:eastAsia="en-US"/>
        </w:rPr>
      </w:pPr>
    </w:p>
    <w:p w:rsidR="002A3793" w:rsidRPr="00A23882" w:rsidRDefault="002A3793" w:rsidP="00A23882">
      <w:pPr>
        <w:pStyle w:val="07-Heading-2"/>
        <w:spacing w:line="480" w:lineRule="auto"/>
        <w:rPr>
          <w:rFonts w:eastAsia="SimSun"/>
          <w:b w:val="0"/>
          <w:sz w:val="24"/>
          <w:szCs w:val="24"/>
          <w:lang w:val="en-GB" w:eastAsia="en-US"/>
        </w:rPr>
      </w:pPr>
    </w:p>
    <w:p w:rsidR="002A3793" w:rsidRDefault="002A3793" w:rsidP="00A23882">
      <w:pPr>
        <w:pStyle w:val="07-Heading-2"/>
        <w:spacing w:line="480" w:lineRule="auto"/>
        <w:rPr>
          <w:rFonts w:eastAsia="SimSun"/>
          <w:b w:val="0"/>
          <w:sz w:val="24"/>
          <w:szCs w:val="24"/>
          <w:lang w:val="en-GB" w:eastAsia="en-US"/>
        </w:rPr>
      </w:pPr>
    </w:p>
    <w:p w:rsidR="00FB7579" w:rsidRPr="00A23882" w:rsidRDefault="00FB7579" w:rsidP="00A23882">
      <w:pPr>
        <w:pStyle w:val="07-Heading-2"/>
        <w:spacing w:line="480" w:lineRule="auto"/>
        <w:rPr>
          <w:rFonts w:eastAsia="SimSun"/>
          <w:b w:val="0"/>
          <w:sz w:val="24"/>
          <w:szCs w:val="24"/>
          <w:lang w:val="en-GB" w:eastAsia="en-US"/>
        </w:rPr>
      </w:pPr>
    </w:p>
    <w:p w:rsidR="002A3793" w:rsidRPr="00FB7579" w:rsidRDefault="002A3793" w:rsidP="00A23882">
      <w:pPr>
        <w:pStyle w:val="07-Heading-2"/>
        <w:spacing w:line="480" w:lineRule="auto"/>
        <w:rPr>
          <w:rFonts w:eastAsia="SimSun"/>
          <w:b w:val="0"/>
          <w:sz w:val="22"/>
          <w:szCs w:val="24"/>
          <w:lang w:val="en-GB" w:eastAsia="en-US"/>
        </w:rPr>
      </w:pPr>
      <w:r w:rsidRPr="00FB7579">
        <w:rPr>
          <w:rFonts w:eastAsia="SimSun"/>
          <w:sz w:val="22"/>
          <w:szCs w:val="24"/>
          <w:lang w:val="en-GB" w:eastAsia="en-US"/>
        </w:rPr>
        <w:t>Figure 1</w:t>
      </w:r>
      <w:r w:rsidRPr="00FB7579">
        <w:rPr>
          <w:rFonts w:eastAsia="SimSun"/>
          <w:b w:val="0"/>
          <w:sz w:val="22"/>
          <w:szCs w:val="24"/>
          <w:lang w:val="en-GB" w:eastAsia="en-US"/>
        </w:rPr>
        <w:t xml:space="preserve"> – Normalised absorption profiles of different biosubstrates (B-form double stranded natural DNA from calf thymus and CTA22 = 5’-AGGGCTAGGGCTAGGGCTAGGG-3’ antiparallel, human telomeric G-quadruplex). These are superimposed to the profiles of BSA absorption and fluorescence emission.</w:t>
      </w:r>
    </w:p>
    <w:p w:rsidR="002A3793" w:rsidRPr="00A23882" w:rsidRDefault="002A3793" w:rsidP="00A23882">
      <w:pPr>
        <w:pStyle w:val="07-Heading-2"/>
        <w:spacing w:line="480" w:lineRule="auto"/>
        <w:rPr>
          <w:rFonts w:eastAsia="SimSun"/>
          <w:b w:val="0"/>
          <w:sz w:val="24"/>
          <w:szCs w:val="24"/>
          <w:lang w:val="en-GB" w:eastAsia="en-US"/>
        </w:rPr>
      </w:pPr>
      <w:r w:rsidRPr="00A23882">
        <w:rPr>
          <w:rFonts w:eastAsia="SimSun"/>
          <w:b w:val="0"/>
          <w:sz w:val="24"/>
          <w:szCs w:val="24"/>
          <w:lang w:val="en-GB" w:eastAsia="en-US"/>
        </w:rPr>
        <w:t xml:space="preserve"> </w:t>
      </w:r>
    </w:p>
    <w:p w:rsidR="002A3793" w:rsidRDefault="002A3793" w:rsidP="00A23882">
      <w:pPr>
        <w:pStyle w:val="07-Heading-2"/>
        <w:spacing w:line="480" w:lineRule="auto"/>
        <w:rPr>
          <w:rFonts w:eastAsia="SimSun"/>
          <w:b w:val="0"/>
          <w:sz w:val="24"/>
          <w:szCs w:val="24"/>
          <w:lang w:eastAsia="en-US"/>
        </w:rPr>
      </w:pPr>
      <w:r w:rsidRPr="00A23882">
        <w:rPr>
          <w:rFonts w:eastAsia="SimSun"/>
          <w:b w:val="0"/>
          <w:sz w:val="24"/>
          <w:szCs w:val="24"/>
          <w:lang w:val="en-GB" w:eastAsia="en-US"/>
        </w:rPr>
        <w:t>When a titration is planned to obtain information on the binding reaction, the titrand is the species which signal we will focus on to follow the reaction. The titrant is the species which has ideally no signal at the designed wavelengths (</w:t>
      </w:r>
      <w:r w:rsidR="009E3352" w:rsidRPr="00A23882">
        <w:rPr>
          <w:rFonts w:eastAsia="SimSun"/>
          <w:b w:val="0"/>
          <w:sz w:val="24"/>
          <w:szCs w:val="24"/>
          <w:lang w:eastAsia="en-US"/>
        </w:rPr>
        <w:t>λ</w:t>
      </w:r>
      <w:r w:rsidRPr="00A23882">
        <w:rPr>
          <w:rFonts w:eastAsia="SimSun"/>
          <w:b w:val="0"/>
          <w:sz w:val="24"/>
          <w:szCs w:val="24"/>
          <w:vertAlign w:val="subscript"/>
          <w:lang w:val="en-GB" w:eastAsia="en-US"/>
        </w:rPr>
        <w:t>ex</w:t>
      </w:r>
      <w:r w:rsidR="005F79EE">
        <w:rPr>
          <w:rFonts w:eastAsia="SimSun"/>
          <w:b w:val="0"/>
          <w:sz w:val="24"/>
          <w:szCs w:val="24"/>
          <w:lang w:val="en-GB" w:eastAsia="en-US"/>
        </w:rPr>
        <w:t>/</w:t>
      </w:r>
      <w:r w:rsidR="009E3352" w:rsidRPr="00A23882">
        <w:rPr>
          <w:rFonts w:eastAsia="SimSun"/>
          <w:b w:val="0"/>
          <w:sz w:val="24"/>
          <w:szCs w:val="24"/>
          <w:lang w:eastAsia="en-US"/>
        </w:rPr>
        <w:t>λ</w:t>
      </w:r>
      <w:r w:rsidRPr="00A23882">
        <w:rPr>
          <w:rFonts w:eastAsia="SimSun"/>
          <w:b w:val="0"/>
          <w:sz w:val="24"/>
          <w:szCs w:val="24"/>
          <w:vertAlign w:val="subscript"/>
          <w:lang w:val="en-GB" w:eastAsia="en-US"/>
        </w:rPr>
        <w:t>em</w:t>
      </w:r>
      <w:r w:rsidRPr="00A23882">
        <w:rPr>
          <w:rFonts w:eastAsia="SimSun"/>
          <w:b w:val="0"/>
          <w:sz w:val="24"/>
          <w:szCs w:val="24"/>
          <w:lang w:val="en-GB" w:eastAsia="en-US"/>
        </w:rPr>
        <w:t xml:space="preserve">) and of which we can add an excess. Under these conditions, the signal change (titrand totally bound minus titrand totally unbound) at </w:t>
      </w:r>
      <w:r w:rsidRPr="0051736E">
        <w:rPr>
          <w:rFonts w:ascii="Symbol" w:eastAsia="SimSun" w:hAnsi="Symbol"/>
          <w:b w:val="0"/>
          <w:sz w:val="24"/>
          <w:szCs w:val="24"/>
          <w:lang w:val="en-GB" w:eastAsia="en-US"/>
        </w:rPr>
        <w:t></w:t>
      </w:r>
      <w:r w:rsidR="0051736E" w:rsidRPr="00A23882">
        <w:rPr>
          <w:rFonts w:eastAsia="SimSun"/>
          <w:b w:val="0"/>
          <w:sz w:val="24"/>
          <w:szCs w:val="24"/>
          <w:vertAlign w:val="subscript"/>
          <w:lang w:val="en-GB" w:eastAsia="en-US"/>
        </w:rPr>
        <w:t>em</w:t>
      </w:r>
      <w:r w:rsidRPr="0051736E">
        <w:rPr>
          <w:rFonts w:ascii="Symbol" w:eastAsia="SimSun" w:hAnsi="Symbol"/>
          <w:sz w:val="24"/>
          <w:szCs w:val="24"/>
          <w:lang w:val="en-GB" w:eastAsia="en-US"/>
        </w:rPr>
        <w:t></w:t>
      </w:r>
      <w:r w:rsidRPr="00A23882">
        <w:rPr>
          <w:rFonts w:eastAsia="SimSun"/>
          <w:b w:val="0"/>
          <w:sz w:val="24"/>
          <w:szCs w:val="24"/>
          <w:lang w:eastAsia="en-US"/>
        </w:rPr>
        <w:t xml:space="preserve">will be maximum. The opposite is very difficult to do, i.e. we should avoid adding a titrant with high signal under the experimental setup chosen because, as its amount is increased and excess is reached, a dramatic background signal will afflict our read on the bound species. In absorbance titrations, if the titrant contributes to the signal, differential titrations in a double-beam apparatus need to be done or at least the titrant contribution to signal change needs to be mathematically subtracted </w:t>
      </w:r>
      <w:r w:rsidRPr="00A23882">
        <w:rPr>
          <w:rFonts w:eastAsia="SimSun"/>
          <w:b w:val="0"/>
          <w:sz w:val="24"/>
          <w:szCs w:val="24"/>
          <w:lang w:eastAsia="en-US"/>
        </w:rPr>
        <w:fldChar w:fldCharType="begin" w:fldLock="1"/>
      </w:r>
      <w:r w:rsidRPr="00A23882">
        <w:rPr>
          <w:rFonts w:eastAsia="SimSun"/>
          <w:b w:val="0"/>
          <w:sz w:val="24"/>
          <w:szCs w:val="24"/>
          <w:lang w:eastAsia="en-US"/>
        </w:rPr>
        <w:instrText>ADDIN CSL_CITATION {"citationItems":[{"id":"ITEM-1","itemData":{"DOI":"10.1039/c5dt03831f","ISSN":"14779234","abstract":"A series of homoleptic bis(terpyridine)copper(ii) complexes of the type [Cu(L1-5)2]Cl2 (1-5), where L1-5 = 4′-(4-substituted)-2,2′:6′,2′′-terpyridines, have been synthesized and characterized. The molecular structure of complex 2 was confirmed by the single crystal XRD technique, and the geometry of the complexes is best described as distorted octahedral. Structural parameters from the crystallographic and DFT studies are in good agreement with each other. The small HOMO-LUMO energy gap supports bioefficacy of the complexes. DNA binding studies show high intrinsic binding constant values 1.53 ± 0.15, 1.62 ± 0.08 and 3.09 ± 0.12 × 105 M-1 for complexes 1, 2 and 3, respectively, with intercalative mode of binding to CT-DNA. The binding results were further supported by molecular docking studies. The experimental results indicate that the interaction between the complexes and BSA protein involves a static quenching mechanism. The molecular docking studies with c-Met tyrosine kinase receptors show hydrophobic and π-π interactions. All the complexes bring about hydroxyl radical mediated DNA cleavage in the presence of H2O2. In vitro cytotoxicities of the complexes (1-3) were tested against three cancerous cell lines, namely human breast adenocarcinoma (MCF-7), epithelioma (Hep-2) and cervical (HeLa) cell lines, and one non-tumorigenic human dermal fibroblast (NHDF) cell line by MTT reduction assay. The morphological assessment data obtained using Hoechst 33258 staining revealed that complex 3 induces apoptosis much more effectively than the other complexes.","author":[{"dropping-particle":"","family":"Mahendiran","given":"Dharmasivam","non-dropping-particle":"","parse-names":false,"suffix":""},{"dropping-particle":"","family":"Kumar","given":"Raju Senthil","non-dropping-particle":"","parse-names":false,"suffix":""},{"dropping-particle":"","family":"Viswanathan","given":"Vijayan","non-dropping-particle":"","parse-names":false,"suffix":""},{"dropping-particle":"","family":"Velmurugan","given":"Devadasan","non-dropping-particle":"","parse-names":false,"suffix":""},{"dropping-particle":"","family":"Rahiman","given":"Aziz Kalilur","non-dropping-particle":"","parse-names":false,"suffix":""}],"container-title":"Dalton Transactions","id":"ITEM-1","issue":"18","issued":{"date-parts":[["2016"]]},"page":"7794-7814","title":"Targeting of DNA molecules, BSA/: C -Met tyrosine kinase receptors and anti-proliferative activity of bis(terpyridine)copper(II) complexes","type":"article-journal","volume":"45"},"uris":["http://www.mendeley.com/documents/?uuid=df9a7cf7-93b6-4de0-842b-e30c9e3d6988"]}],"mendeley":{"formattedCitation":"[31]","plainTextFormattedCitation":"[31]","previouslyFormattedCitation":"[31]"},"properties":{"noteIndex":0},"schema":"https://github.com/citation-style-language/schema/raw/master/csl-citation.json"}</w:instrText>
      </w:r>
      <w:r w:rsidRPr="00A23882">
        <w:rPr>
          <w:rFonts w:eastAsia="SimSun"/>
          <w:b w:val="0"/>
          <w:sz w:val="24"/>
          <w:szCs w:val="24"/>
          <w:lang w:eastAsia="en-US"/>
        </w:rPr>
        <w:fldChar w:fldCharType="separate"/>
      </w:r>
      <w:r w:rsidRPr="00A23882">
        <w:rPr>
          <w:rFonts w:eastAsia="SimSun"/>
          <w:b w:val="0"/>
          <w:noProof/>
          <w:sz w:val="24"/>
          <w:szCs w:val="24"/>
          <w:lang w:eastAsia="en-US"/>
        </w:rPr>
        <w:t>[31]</w:t>
      </w:r>
      <w:r w:rsidRPr="00A23882">
        <w:rPr>
          <w:rFonts w:eastAsia="SimSun"/>
          <w:b w:val="0"/>
          <w:sz w:val="24"/>
          <w:szCs w:val="24"/>
          <w:lang w:eastAsia="en-US"/>
        </w:rPr>
        <w:fldChar w:fldCharType="end"/>
      </w:r>
      <w:r w:rsidRPr="00A23882">
        <w:rPr>
          <w:rFonts w:eastAsia="SimSun"/>
          <w:b w:val="0"/>
          <w:sz w:val="24"/>
          <w:szCs w:val="24"/>
          <w:lang w:eastAsia="en-US"/>
        </w:rPr>
        <w:t>,</w:t>
      </w:r>
      <w:r w:rsidRPr="00A23882">
        <w:rPr>
          <w:rFonts w:eastAsia="SimSun"/>
          <w:b w:val="0"/>
          <w:sz w:val="24"/>
          <w:szCs w:val="24"/>
          <w:lang w:eastAsia="en-US"/>
        </w:rPr>
        <w:fldChar w:fldCharType="begin" w:fldLock="1"/>
      </w:r>
      <w:r w:rsidRPr="00A23882">
        <w:rPr>
          <w:rFonts w:eastAsia="SimSun"/>
          <w:b w:val="0"/>
          <w:sz w:val="24"/>
          <w:szCs w:val="24"/>
          <w:lang w:eastAsia="en-US"/>
        </w:rPr>
        <w:instrText>ADDIN CSL_CITATION {"citationItems":[{"id":"ITEM-1","itemData":{"DOI":"10.1039/c9dt01645g","ISSN":"14779234","abstract":"The use of Pt(iv) complexes as potential anticancer drugs is attractive, because they have higher stability and less side effects than Pt(ii) compounds. Moreover, some Pt(iv) complexes can also be activated with light, opening an avenue to photochemotherapy. Our purpose is to widen the library of photoactivatable Pt(iv)-based prodrugs and here we report on the oxidation of the Pt(ii) compound [PtCl(4′-phenyl-2,2′:6′,2′′-Terpyridine)][CF3SO3] (1) with PhICl2 or H2O2. The synthetic procedure avoids the formation of multiple species: The treatment with PhICl2 produces the Pt(iv) complex with axial chlorides, [PtCl3(4′-phenyl-2,2′:6′,2′′-Terpyridine)][CF3SO3] (2), while H2O2 oxidation and post-synthesis carboxylation produce [Pt(OCOCH3)2Cl(4′-phenyl-2,2′:6′,2′′-Terpyridine)][CF3SO3] (3), bearing acetates in the axial positions. 2 and 3 are stable in physiological-like buffers and in DMSO in the dark, but undergo photoreduction to 1 upon irradiation at 365 nm. Their stability toward reduction is a fundamental parameter to consider: cyclic voltammetry experiments show that the 2 electron reduction Pt(iv) → Pt(ii) occurs at a more negative potential for 3, because of the greater stabilization provided by the acetate axial groups; noteworthily, 3 is stable for hours also in the presence of mM concentration of glutathione. The cytotoxicity of 2 and 3 toward A2780 and A2780cis cell lines reveals that 3 is the least toxic in the dark, but is able to produce cytotoxic effects far higher than cisplatin when irradiated. To shed light on the mechanistic aspects, the interaction with protein and DNA models has been explored through high-resolution mass spectrometry revealing that 2 and 3 behave as prodrugs, but are able to bind to biological targets only after irradiation.","author":[{"dropping-particle":"","family":"Canil","given":"Giovanni","non-dropping-particle":"","parse-names":false,"suffix":""},{"dropping-particle":"","family":"Braccini","given":"Simona","non-dropping-particle":"","parse-names":false,"suffix":""},{"dropping-particle":"","family":"Marzo","given":"Tiziano","non-dropping-particle":"","parse-names":false,"suffix":""},{"dropping-particle":"","family":"Marchetti","given":"Lorella","non-dropping-particle":"","parse-names":false,"suffix":""},{"dropping-particle":"","family":"Pratesi","given":"Alessandro","non-dropping-particle":"","parse-names":false,"suffix":""},{"dropping-particle":"","family":"Biver","given":"Tarita","non-dropping-particle":"","parse-names":false,"suffix":""},{"dropping-particle":"","family":"Funaioli","given":"Tiziana","non-dropping-particle":"","parse-names":false,"suffix":""},{"dropping-particle":"","family":"Chiellini","given":"Federica","non-dropping-particle":"","parse-names":false,"suffix":""},{"dropping-particle":"","family":"Hoeschele","given":"James D.","non-dropping-particle":"","parse-names":false,"suffix":""},{"dropping-particle":"","family":"Gabbiani","given":"Chiara","non-dropping-particle":"","parse-names":false,"suffix":""}],"container-title":"Dalton Transactions","id":"ITEM-1","issue":"29","issued":{"date-parts":[["2019"]]},"page":"10933-10944","publisher":"Royal Society of Chemistry","title":"Photocytotoxic Pt(iv) complexes as prospective anticancer agents","type":"article-journal","volume":"48"},"uris":["http://www.mendeley.com/documents/?uuid=676be2a9-91b4-43d0-91e3-20768221ffb5"]}],"mendeley":{"formattedCitation":"[32]","plainTextFormattedCitation":"[32]","previouslyFormattedCitation":"[32]"},"properties":{"noteIndex":0},"schema":"https://github.com/citation-style-language/schema/raw/master/csl-citation.json"}</w:instrText>
      </w:r>
      <w:r w:rsidRPr="00A23882">
        <w:rPr>
          <w:rFonts w:eastAsia="SimSun"/>
          <w:b w:val="0"/>
          <w:sz w:val="24"/>
          <w:szCs w:val="24"/>
          <w:lang w:eastAsia="en-US"/>
        </w:rPr>
        <w:fldChar w:fldCharType="separate"/>
      </w:r>
      <w:r w:rsidRPr="00A23882">
        <w:rPr>
          <w:rFonts w:eastAsia="SimSun"/>
          <w:b w:val="0"/>
          <w:noProof/>
          <w:sz w:val="24"/>
          <w:szCs w:val="24"/>
          <w:lang w:eastAsia="en-US"/>
        </w:rPr>
        <w:t>[32]</w:t>
      </w:r>
      <w:r w:rsidRPr="00A23882">
        <w:rPr>
          <w:rFonts w:eastAsia="SimSun"/>
          <w:b w:val="0"/>
          <w:sz w:val="24"/>
          <w:szCs w:val="24"/>
          <w:lang w:eastAsia="en-US"/>
        </w:rPr>
        <w:fldChar w:fldCharType="end"/>
      </w:r>
      <w:r w:rsidRPr="00A23882">
        <w:rPr>
          <w:rFonts w:eastAsia="SimSun"/>
          <w:b w:val="0"/>
          <w:sz w:val="24"/>
          <w:szCs w:val="24"/>
          <w:lang w:eastAsia="en-US"/>
        </w:rPr>
        <w:t>,</w:t>
      </w:r>
      <w:r w:rsidRPr="00A23882">
        <w:rPr>
          <w:rFonts w:eastAsia="SimSun"/>
          <w:b w:val="0"/>
          <w:sz w:val="24"/>
          <w:szCs w:val="24"/>
          <w:lang w:eastAsia="en-US"/>
        </w:rPr>
        <w:fldChar w:fldCharType="begin" w:fldLock="1"/>
      </w:r>
      <w:r w:rsidRPr="00A23882">
        <w:rPr>
          <w:rFonts w:eastAsia="SimSun"/>
          <w:b w:val="0"/>
          <w:sz w:val="24"/>
          <w:szCs w:val="24"/>
          <w:lang w:eastAsia="en-US"/>
        </w:rPr>
        <w:instrText>ADDIN CSL_CITATION {"citationItems":[{"id":"ITEM-1","itemData":{"DOI":"10.1039/c0dt01371d","ISBN":"3905022192","ISSN":"14779226","abstract":"Two new water-soluble gold nanoparticles (AO-TEG-Au and AO-PEG-Au NPs) are prepared and characterized. They are stabilized by thioalkylated oligoethylene glycols and functionalized with fluorescent Acridine Orange (AO) derivatives. Despite the different core sizes (11.8 and 3.9 nm respectively) and shell composition, they are both well dispersed and are stable in water, even if some self-aggregation is observed in the case of AO-TEG-Au NPs. However, AO-PEG-Au NPs show much lower emission efficiency with respect to AO-TEG-Au NPs. Spectrophotometric and spectrofluorometric experiments indicate that both types of nanoparticle are able to bind to calf thymus DNA, either by external binding or partial intercalation. Preliminary FACS flow cytometry tests seem to indicate that the AO-TEG-Au nanoparticle is able to cross the cell membrane where it is absorbed by Chinese hamster ovary (CHO) cells at the picomolar concentration level. © 2011 The Royal Society of Chemistry.","author":[{"dropping-particle":"","family":"Biver","given":"Tarita","non-dropping-particle":"","parse-names":false,"suffix":""},{"dropping-particle":"","family":"Eltugral","given":"Nurettin","non-dropping-particle":"","parse-names":false,"suffix":""},{"dropping-particle":"","family":"Pucci","given":"Andrea","non-dropping-particle":"","parse-names":false,"suffix":""},{"dropping-particle":"","family":"Ruggeri","given":"Giacomo","non-dropping-particle":"","parse-names":false,"suffix":""},{"dropping-particle":"","family":"Schena","given":"Alberto","non-dropping-particle":"","parse-names":false,"suffix":""},{"dropping-particle":"","family":"Secco","given":"Fernando","non-dropping-particle":"","parse-names":false,"suffix":""},{"dropping-particle":"","family":"Venturini","given":"Marcella","non-dropping-particle":"","parse-names":false,"suffix":""}],"container-title":"Dalton Transactions","id":"ITEM-1","issue":"16","issued":{"date-parts":[["2011"]]},"page":"4190-4199","title":"Synthesis, characterization, DNA interaction and potential applications of gold nanoparticles functionalized with Acridine Orange fluorophores","type":"article-journal","volume":"40"},"uris":["http://www.mendeley.com/documents/?uuid=01291035-e605-40c2-baf8-f571462a2097"]}],"mendeley":{"formattedCitation":"[33]","plainTextFormattedCitation":"[33]","previouslyFormattedCitation":"[33]"},"properties":{"noteIndex":0},"schema":"https://github.com/citation-style-language/schema/raw/master/csl-citation.json"}</w:instrText>
      </w:r>
      <w:r w:rsidRPr="00A23882">
        <w:rPr>
          <w:rFonts w:eastAsia="SimSun"/>
          <w:b w:val="0"/>
          <w:sz w:val="24"/>
          <w:szCs w:val="24"/>
          <w:lang w:eastAsia="en-US"/>
        </w:rPr>
        <w:fldChar w:fldCharType="separate"/>
      </w:r>
      <w:r w:rsidRPr="00A23882">
        <w:rPr>
          <w:rFonts w:eastAsia="SimSun"/>
          <w:b w:val="0"/>
          <w:noProof/>
          <w:sz w:val="24"/>
          <w:szCs w:val="24"/>
          <w:lang w:eastAsia="en-US"/>
        </w:rPr>
        <w:t>[33]</w:t>
      </w:r>
      <w:r w:rsidRPr="00A23882">
        <w:rPr>
          <w:rFonts w:eastAsia="SimSun"/>
          <w:b w:val="0"/>
          <w:sz w:val="24"/>
          <w:szCs w:val="24"/>
          <w:lang w:eastAsia="en-US"/>
        </w:rPr>
        <w:fldChar w:fldCharType="end"/>
      </w:r>
      <w:r w:rsidRPr="00A23882">
        <w:rPr>
          <w:rFonts w:eastAsia="SimSun"/>
          <w:b w:val="0"/>
          <w:sz w:val="24"/>
          <w:szCs w:val="24"/>
          <w:lang w:eastAsia="en-US"/>
        </w:rPr>
        <w:t xml:space="preserve">. The same holds in the case of fluorescence: in a </w:t>
      </w:r>
      <w:r w:rsidRPr="00A23882">
        <w:rPr>
          <w:rFonts w:eastAsia="SimSun"/>
          <w:sz w:val="24"/>
          <w:szCs w:val="24"/>
          <w:lang w:eastAsia="en-US"/>
        </w:rPr>
        <w:t>T</w:t>
      </w:r>
      <w:r w:rsidRPr="00A23882">
        <w:rPr>
          <w:rFonts w:eastAsia="SimSun"/>
          <w:b w:val="0"/>
          <w:sz w:val="24"/>
          <w:szCs w:val="24"/>
          <w:lang w:eastAsia="en-US"/>
        </w:rPr>
        <w:t xml:space="preserve"> + BSA </w:t>
      </w:r>
      <w:r w:rsidRPr="00A23882">
        <w:rPr>
          <w:rFonts w:eastAsia="SimSun"/>
          <w:b w:val="0"/>
          <w:sz w:val="24"/>
          <w:szCs w:val="24"/>
          <w:lang w:eastAsia="en-US"/>
        </w:rPr>
        <w:sym w:font="Wingdings 3" w:char="F044"/>
      </w:r>
      <w:r w:rsidRPr="00A23882">
        <w:rPr>
          <w:rFonts w:eastAsia="SimSun"/>
          <w:b w:val="0"/>
          <w:sz w:val="24"/>
          <w:szCs w:val="24"/>
          <w:lang w:eastAsia="en-US"/>
        </w:rPr>
        <w:t xml:space="preserve"> </w:t>
      </w:r>
      <w:r w:rsidRPr="00A23882">
        <w:rPr>
          <w:rFonts w:eastAsia="SimSun"/>
          <w:sz w:val="24"/>
          <w:szCs w:val="24"/>
          <w:lang w:eastAsia="en-US"/>
        </w:rPr>
        <w:t>T</w:t>
      </w:r>
      <w:r w:rsidRPr="00A23882">
        <w:rPr>
          <w:rFonts w:eastAsia="SimSun"/>
          <w:b w:val="0"/>
          <w:sz w:val="24"/>
          <w:szCs w:val="24"/>
          <w:lang w:eastAsia="en-US"/>
        </w:rPr>
        <w:t xml:space="preserve">-BSA process only the </w:t>
      </w:r>
      <w:r w:rsidRPr="00A23882">
        <w:rPr>
          <w:rFonts w:eastAsia="SimSun"/>
          <w:sz w:val="24"/>
          <w:szCs w:val="24"/>
          <w:lang w:eastAsia="en-US"/>
        </w:rPr>
        <w:t>T</w:t>
      </w:r>
      <w:r w:rsidRPr="00A23882">
        <w:rPr>
          <w:rFonts w:eastAsia="SimSun"/>
          <w:b w:val="0"/>
          <w:sz w:val="24"/>
          <w:szCs w:val="24"/>
          <w:lang w:eastAsia="en-US"/>
        </w:rPr>
        <w:t xml:space="preserve">-BSA adduct and one of the reagents are supposed to contribute to the fluorescence read at the chosen </w:t>
      </w:r>
      <w:r w:rsidRPr="0051736E">
        <w:rPr>
          <w:rFonts w:ascii="Symbol" w:eastAsia="SimSun" w:hAnsi="Symbol"/>
          <w:b w:val="0"/>
          <w:sz w:val="24"/>
          <w:szCs w:val="24"/>
          <w:lang w:eastAsia="en-US"/>
        </w:rPr>
        <w:t></w:t>
      </w:r>
      <w:r w:rsidRPr="0051736E">
        <w:rPr>
          <w:rFonts w:eastAsia="SimSun"/>
          <w:b w:val="0"/>
          <w:sz w:val="24"/>
          <w:szCs w:val="24"/>
          <w:vertAlign w:val="subscript"/>
          <w:lang w:eastAsia="en-US"/>
        </w:rPr>
        <w:t>ex</w:t>
      </w:r>
      <w:r w:rsidR="005F79EE">
        <w:rPr>
          <w:rFonts w:eastAsia="SimSun"/>
          <w:b w:val="0"/>
          <w:sz w:val="24"/>
          <w:szCs w:val="24"/>
          <w:lang w:eastAsia="en-US"/>
        </w:rPr>
        <w:t>/</w:t>
      </w:r>
      <w:r w:rsidRPr="0051736E">
        <w:rPr>
          <w:rFonts w:ascii="Symbol" w:eastAsia="SimSun" w:hAnsi="Symbol"/>
          <w:b w:val="0"/>
          <w:sz w:val="24"/>
          <w:szCs w:val="24"/>
          <w:lang w:eastAsia="en-US"/>
        </w:rPr>
        <w:t></w:t>
      </w:r>
      <w:r w:rsidRPr="00A23882">
        <w:rPr>
          <w:rFonts w:eastAsia="SimSun"/>
          <w:b w:val="0"/>
          <w:sz w:val="24"/>
          <w:szCs w:val="24"/>
          <w:vertAlign w:val="subscript"/>
          <w:lang w:eastAsia="en-US"/>
        </w:rPr>
        <w:t>em</w:t>
      </w:r>
      <w:r w:rsidRPr="00A23882">
        <w:rPr>
          <w:rFonts w:eastAsia="SimSun"/>
          <w:b w:val="0"/>
          <w:sz w:val="24"/>
          <w:szCs w:val="24"/>
          <w:lang w:eastAsia="en-US"/>
        </w:rPr>
        <w:t xml:space="preserve"> couple. If this is not the case and in the rare eventuality than no adequate </w:t>
      </w:r>
      <w:r w:rsidR="0051736E" w:rsidRPr="0051736E">
        <w:rPr>
          <w:rFonts w:ascii="Symbol" w:eastAsia="SimSun" w:hAnsi="Symbol"/>
          <w:b w:val="0"/>
          <w:sz w:val="24"/>
          <w:szCs w:val="24"/>
          <w:lang w:eastAsia="en-US"/>
        </w:rPr>
        <w:t></w:t>
      </w:r>
      <w:r w:rsidR="0051736E" w:rsidRPr="0051736E">
        <w:rPr>
          <w:rFonts w:eastAsia="SimSun"/>
          <w:b w:val="0"/>
          <w:sz w:val="24"/>
          <w:szCs w:val="24"/>
          <w:vertAlign w:val="subscript"/>
          <w:lang w:eastAsia="en-US"/>
        </w:rPr>
        <w:t>ex</w:t>
      </w:r>
      <w:r w:rsidR="005F79EE">
        <w:rPr>
          <w:rFonts w:eastAsia="SimSun"/>
          <w:b w:val="0"/>
          <w:sz w:val="24"/>
          <w:szCs w:val="24"/>
          <w:lang w:eastAsia="en-US"/>
        </w:rPr>
        <w:t>/</w:t>
      </w:r>
      <w:r w:rsidR="0051736E" w:rsidRPr="0051736E">
        <w:rPr>
          <w:rFonts w:ascii="Symbol" w:eastAsia="SimSun" w:hAnsi="Symbol"/>
          <w:b w:val="0"/>
          <w:sz w:val="24"/>
          <w:szCs w:val="24"/>
          <w:lang w:eastAsia="en-US"/>
        </w:rPr>
        <w:t></w:t>
      </w:r>
      <w:r w:rsidR="0051736E" w:rsidRPr="00A23882">
        <w:rPr>
          <w:rFonts w:eastAsia="SimSun"/>
          <w:b w:val="0"/>
          <w:sz w:val="24"/>
          <w:szCs w:val="24"/>
          <w:vertAlign w:val="subscript"/>
          <w:lang w:eastAsia="en-US"/>
        </w:rPr>
        <w:t>em</w:t>
      </w:r>
      <w:r w:rsidR="0051736E" w:rsidRPr="00A23882">
        <w:rPr>
          <w:rFonts w:eastAsia="SimSun"/>
          <w:b w:val="0"/>
          <w:sz w:val="24"/>
          <w:szCs w:val="24"/>
          <w:lang w:eastAsia="en-US"/>
        </w:rPr>
        <w:t xml:space="preserve"> </w:t>
      </w:r>
      <w:r w:rsidRPr="00A23882">
        <w:rPr>
          <w:rFonts w:eastAsia="SimSun"/>
          <w:b w:val="0"/>
          <w:sz w:val="24"/>
          <w:szCs w:val="24"/>
          <w:lang w:eastAsia="en-US"/>
        </w:rPr>
        <w:t xml:space="preserve">can be found, the absence of a double/reference beam in spectrofluorometers strongly complicates the way the signal can be de-convoluted. Most of the common equations would not hold under these circumstances. Also, mathematical subtraction will not be a robust process due to the possible </w:t>
      </w:r>
      <w:r w:rsidRPr="00A23882">
        <w:rPr>
          <w:rFonts w:eastAsia="SimSun"/>
          <w:b w:val="0"/>
          <w:sz w:val="24"/>
          <w:szCs w:val="24"/>
          <w:lang w:eastAsia="en-US"/>
        </w:rPr>
        <w:lastRenderedPageBreak/>
        <w:t>fluctuations in the light source (fluore</w:t>
      </w:r>
      <w:r w:rsidR="009A4942">
        <w:rPr>
          <w:rFonts w:eastAsia="SimSun"/>
          <w:b w:val="0"/>
          <w:sz w:val="24"/>
          <w:szCs w:val="24"/>
          <w:lang w:eastAsia="en-US"/>
        </w:rPr>
        <w:t xml:space="preserve">scence is in arbitrary units). </w:t>
      </w:r>
      <w:r w:rsidRPr="00A23882">
        <w:rPr>
          <w:rFonts w:eastAsia="SimSun"/>
          <w:b w:val="0"/>
          <w:sz w:val="24"/>
          <w:szCs w:val="24"/>
          <w:lang w:eastAsia="en-US"/>
        </w:rPr>
        <w:t xml:space="preserve">Given that this basic problem is avoided, fluorescence experiments can also be affected by a variety of tricky non-molecular mechanisms (inner filter effects), which thereby distort the obtained fluorescence data </w:t>
      </w:r>
      <w:r w:rsidRPr="00A23882">
        <w:rPr>
          <w:rFonts w:eastAsia="SimSun"/>
          <w:b w:val="0"/>
          <w:sz w:val="24"/>
          <w:szCs w:val="24"/>
          <w:lang w:eastAsia="en-US"/>
        </w:rPr>
        <w:fldChar w:fldCharType="begin" w:fldLock="1"/>
      </w:r>
      <w:r w:rsidRPr="00A23882">
        <w:rPr>
          <w:rFonts w:eastAsia="SimSun"/>
          <w:b w:val="0"/>
          <w:sz w:val="24"/>
          <w:szCs w:val="24"/>
          <w:lang w:eastAsia="en-US"/>
        </w:rPr>
        <w:instrText>ADDIN CSL_CITATION {"citationItems":[{"id":"ITEM-1","itemData":{"DOI":"10.1039/AN9941900417","ISSN":"00032654","abstract":"Recorded fluorescence intensity is in general not proportional to sample concentration owing to absorption of the incident and emitted light passing through the sample to and from the point inside the cell where the emission is detected. This well known inner-filter effect depends on sample absorption and on instrument geometry, and is usually significant even in samples with rather low absorption (the error is about 8% at an absorbance of 0.06 in a 1 cm square cell). In this work we show that a particular experimental set-up can be calibrated for the inner-filter effect from the absorption and fluorescence excitation spectra of a suitable standard. The calibration takes only a few minutes and provides correction with sufficient accuracy for most practical situations.","author":[{"dropping-particle":"","family":"Kubista","given":"Mikael","non-dropping-particle":"","parse-names":false,"suffix":""},{"dropping-particle":"","family":"Sjöback","given":"Robert","non-dropping-particle":"","parse-names":false,"suffix":""},{"dropping-particle":"","family":"Eriksson","given":"Svante","non-dropping-particle":"","parse-names":false,"suffix":""},{"dropping-particle":"","family":"Albinsson","given":"Bo","non-dropping-particle":"","parse-names":false,"suffix":""}],"container-title":"The Analyst","id":"ITEM-1","issue":"3","issued":{"date-parts":[["1994"]]},"page":"417-419","title":"Experimental correction for the inner-filter effect in fluorescence spectra","type":"article-journal","volume":"119"},"uris":["http://www.mendeley.com/documents/?uuid=6a235161-09f8-4d57-a244-7fd9c956e05e"]}],"mendeley":{"formattedCitation":"[34]","plainTextFormattedCitation":"[34]","previouslyFormattedCitation":"[34]"},"properties":{"noteIndex":0},"schema":"https://github.com/citation-style-language/schema/raw/master/csl-citation.json"}</w:instrText>
      </w:r>
      <w:r w:rsidRPr="00A23882">
        <w:rPr>
          <w:rFonts w:eastAsia="SimSun"/>
          <w:b w:val="0"/>
          <w:sz w:val="24"/>
          <w:szCs w:val="24"/>
          <w:lang w:eastAsia="en-US"/>
        </w:rPr>
        <w:fldChar w:fldCharType="separate"/>
      </w:r>
      <w:r w:rsidRPr="00A23882">
        <w:rPr>
          <w:rFonts w:eastAsia="SimSun"/>
          <w:b w:val="0"/>
          <w:noProof/>
          <w:sz w:val="24"/>
          <w:szCs w:val="24"/>
          <w:lang w:eastAsia="en-US"/>
        </w:rPr>
        <w:t>[34]</w:t>
      </w:r>
      <w:r w:rsidRPr="00A23882">
        <w:rPr>
          <w:rFonts w:eastAsia="SimSun"/>
          <w:b w:val="0"/>
          <w:sz w:val="24"/>
          <w:szCs w:val="24"/>
          <w:lang w:eastAsia="en-US"/>
        </w:rPr>
        <w:fldChar w:fldCharType="end"/>
      </w:r>
      <w:r w:rsidRPr="00A23882">
        <w:rPr>
          <w:rFonts w:eastAsia="SimSun"/>
          <w:b w:val="0"/>
          <w:sz w:val="24"/>
          <w:szCs w:val="24"/>
          <w:lang w:eastAsia="en-US"/>
        </w:rPr>
        <w:t xml:space="preserve">. If the target molecule </w:t>
      </w:r>
      <w:r w:rsidRPr="00A23882">
        <w:rPr>
          <w:rFonts w:eastAsia="SimSun"/>
          <w:sz w:val="24"/>
          <w:szCs w:val="24"/>
          <w:lang w:eastAsia="en-US"/>
        </w:rPr>
        <w:t>T</w:t>
      </w:r>
      <w:r w:rsidRPr="00A23882">
        <w:rPr>
          <w:rFonts w:eastAsia="SimSun"/>
          <w:b w:val="0"/>
          <w:sz w:val="24"/>
          <w:szCs w:val="24"/>
          <w:lang w:eastAsia="en-US"/>
        </w:rPr>
        <w:t xml:space="preserve"> possesses its absorbance and fluorescence in the visible range, far away from the BSA range, we will focus on </w:t>
      </w:r>
      <w:r w:rsidRPr="00A23882">
        <w:rPr>
          <w:rFonts w:eastAsia="SimSun"/>
          <w:sz w:val="24"/>
          <w:szCs w:val="24"/>
          <w:lang w:eastAsia="en-US"/>
        </w:rPr>
        <w:t>T</w:t>
      </w:r>
      <w:r w:rsidRPr="00A23882">
        <w:rPr>
          <w:rFonts w:eastAsia="SimSun"/>
          <w:b w:val="0"/>
          <w:sz w:val="24"/>
          <w:szCs w:val="24"/>
          <w:lang w:eastAsia="en-US"/>
        </w:rPr>
        <w:t xml:space="preserve"> signal (</w:t>
      </w:r>
      <w:r w:rsidRPr="00A23882">
        <w:rPr>
          <w:rFonts w:eastAsia="SimSun"/>
          <w:sz w:val="24"/>
          <w:szCs w:val="24"/>
          <w:lang w:eastAsia="en-US"/>
        </w:rPr>
        <w:t>T</w:t>
      </w:r>
      <w:r w:rsidRPr="00A23882">
        <w:rPr>
          <w:rFonts w:eastAsia="SimSun"/>
          <w:b w:val="0"/>
          <w:sz w:val="24"/>
          <w:szCs w:val="24"/>
          <w:lang w:eastAsia="en-US"/>
        </w:rPr>
        <w:t xml:space="preserve"> = titrand, BSA = titrant). These are the best conditions and should be preferred: a BSA excess can be added with no inner-filter problem on the recorded signal </w:t>
      </w:r>
      <w:r w:rsidRPr="00A23882">
        <w:rPr>
          <w:rFonts w:eastAsia="SimSun"/>
          <w:b w:val="0"/>
          <w:sz w:val="24"/>
          <w:szCs w:val="24"/>
          <w:lang w:eastAsia="en-US"/>
        </w:rPr>
        <w:fldChar w:fldCharType="begin" w:fldLock="1"/>
      </w:r>
      <w:r w:rsidRPr="00A23882">
        <w:rPr>
          <w:rFonts w:eastAsia="SimSun"/>
          <w:b w:val="0"/>
          <w:sz w:val="24"/>
          <w:szCs w:val="24"/>
          <w:lang w:eastAsia="en-US"/>
        </w:rPr>
        <w:instrText>ADDIN CSL_CITATION {"citationItems":[{"id":"ITEM-1","itemData":{"DOI":"10.1002/(SICI)1099-1409(200003)4:2&lt;147::AID-JPP163&gt;3.0.CO;2-Z","ISSN":"10884246","abstract":"The binding of meso-tetrakis[4-(carboxymethyleneoxy)phenyl]porphyrin (T4CPP), meso-tetrakis[3-(carboxymethyleneoxy)phenyl]porphyrin (T3CPP) and meso-tetrakis[3,4-bis(carboxymethyleneoxy)phenyl]porphyrin (T3, 4BCPP) with bovine serum albumin (BSA) at pH 7.4 has been studied at 420 nm in detail. The results show hypochromicity along with a red shift in the Soret band of the porphyrins. This suggests that these porphyrins bind to BSA as monomers. Further analysis of these data supports the non-interactive binding of T4CPP and T3CPP with BSA and the cooperative binding of T3, 4BCPP with BSA. These binding data have been interpreted in terms of one specific binding site and several non-specific binding sites on BSA for the porphyrins. The absorption spectral changes of the porphyrins between 400 and 450 nm when titrated with BSA suggest that there is another specific binding site on BSA for the porphyrins. These two specific binding sites have also been supported by circular dichroism (CD) studies. The absorption spectral and CD studies on the interactions of the porphyrins with BSA further suggest that these interactions are dependent on the number and configuration of substituents in the phenyl groups of the porphyrins. The contact energy transfer from the aromatic amino acid residues tryptophan and tyrosine of BSA to the porphyrins in the BSA-porphyrin complexes has also been studied using fluorescence spectroscopy. These energy transfer data show the energy transfer from tryptophan to the porphyrins for their binding to site I of BSA and from tyrosine to the porphyrins for their binding to site II of BSA. Unfolding studies of the BSA-porphyrin systems indicate that the tertiary structure is essential for the binding of the porphyrins. A correlation between the accumulation of 99mTc-labelled T4CPP and T3, 4BCPP in tumour tissue and their binding at site II of BSA is possible. The interaction of the porphyrins can also be used as a model for mitochondrial interactions. Copyright (C) 2000 John Wiley and Sons, Ltd.","author":[{"dropping-particle":"","family":"Chatterjee","given":"S.","non-dropping-particle":"","parse-names":false,"suffix":""},{"dropping-particle":"","family":"Srivastava","given":"T. S.","non-dropping-particle":"","parse-names":false,"suffix":""}],"container-title":"Journal of Porphyrins and Phthalocyanines","id":"ITEM-1","issue":"2","issued":{"date-parts":[["2000"]]},"page":"147-157","title":"Spectral investigations of the interaction of some porphyrins with bovine serum albumin","type":"article-journal","volume":"4"},"uris":["http://www.mendeley.com/documents/?uuid=3b2a17d8-9f0b-48c3-bd89-f99a85d183e4"]}],"mendeley":{"formattedCitation":"[35]","plainTextFormattedCitation":"[35]","previouslyFormattedCitation":"[35]"},"properties":{"noteIndex":0},"schema":"https://github.com/citation-style-language/schema/raw/master/csl-citation.json"}</w:instrText>
      </w:r>
      <w:r w:rsidRPr="00A23882">
        <w:rPr>
          <w:rFonts w:eastAsia="SimSun"/>
          <w:b w:val="0"/>
          <w:sz w:val="24"/>
          <w:szCs w:val="24"/>
          <w:lang w:eastAsia="en-US"/>
        </w:rPr>
        <w:fldChar w:fldCharType="separate"/>
      </w:r>
      <w:r w:rsidRPr="00A23882">
        <w:rPr>
          <w:rFonts w:eastAsia="SimSun"/>
          <w:b w:val="0"/>
          <w:noProof/>
          <w:sz w:val="24"/>
          <w:szCs w:val="24"/>
          <w:lang w:eastAsia="en-US"/>
        </w:rPr>
        <w:t>[35]</w:t>
      </w:r>
      <w:r w:rsidRPr="00A23882">
        <w:rPr>
          <w:rFonts w:eastAsia="SimSun"/>
          <w:b w:val="0"/>
          <w:sz w:val="24"/>
          <w:szCs w:val="24"/>
          <w:lang w:eastAsia="en-US"/>
        </w:rPr>
        <w:fldChar w:fldCharType="end"/>
      </w:r>
      <w:r w:rsidRPr="00A23882">
        <w:rPr>
          <w:rFonts w:eastAsia="SimSun"/>
          <w:b w:val="0"/>
          <w:sz w:val="24"/>
          <w:szCs w:val="24"/>
          <w:lang w:eastAsia="en-US"/>
        </w:rPr>
        <w:t xml:space="preserve">. Unfortunately, it often occurs that </w:t>
      </w:r>
      <w:r w:rsidRPr="00A23882">
        <w:rPr>
          <w:rFonts w:eastAsia="SimSun"/>
          <w:sz w:val="24"/>
          <w:szCs w:val="24"/>
          <w:lang w:eastAsia="en-US"/>
        </w:rPr>
        <w:t>T</w:t>
      </w:r>
      <w:r w:rsidRPr="00A23882">
        <w:rPr>
          <w:rFonts w:eastAsia="SimSun"/>
          <w:b w:val="0"/>
          <w:sz w:val="24"/>
          <w:szCs w:val="24"/>
          <w:lang w:eastAsia="en-US"/>
        </w:rPr>
        <w:t xml:space="preserve"> is a non-fluorescent species with absorbance in the UV-range only. This is true for instance in the case of metal complexes that deserve biomedical interest </w:t>
      </w:r>
      <w:r w:rsidRPr="00A23882">
        <w:rPr>
          <w:rFonts w:eastAsia="SimSun"/>
          <w:b w:val="0"/>
          <w:sz w:val="24"/>
          <w:szCs w:val="24"/>
          <w:lang w:eastAsia="en-US"/>
        </w:rPr>
        <w:fldChar w:fldCharType="begin" w:fldLock="1"/>
      </w:r>
      <w:r w:rsidRPr="00A23882">
        <w:rPr>
          <w:rFonts w:eastAsia="SimSun"/>
          <w:b w:val="0"/>
          <w:sz w:val="24"/>
          <w:szCs w:val="24"/>
          <w:lang w:eastAsia="en-US"/>
        </w:rPr>
        <w:instrText>ADDIN CSL_CITATION {"citationItems":[{"id":"ITEM-1","itemData":{"DOI":"10.15386/cjmed-357","ISSN":"20668872","abstract":"The continuous search for new molecules with therapeutic abilities has led to the synthesis and characterization of a large number of metal complexes, proven to exhibit potential as pharmacological agents through their antibacterial, antiviral, antifungal and antineoplastic properties. As serum albumins play a key role in drug pharmacokinetics and pharmacodynamics, the study of coordination compounds affinity towards this class of proteins, as well as understanding the mechanism through which they interact is crucial. The aim of this review is to focus on the structure and biological functions of bovine serum albumin, the design of metal complexes that are able to bind to the biomolecule, as well as the experimental techniques employed in the study and evaluation of these interactions.","author":[{"dropping-particle":"","family":"Topală","given":"Tamara","non-dropping-particle":"","parse-names":false,"suffix":""},{"dropping-particle":"","family":"Bodoki","given":"Andreea","non-dropping-particle":"","parse-names":false,"suffix":""},{"dropping-particle":"","family":"Oprean","given":"Luminiţa","non-dropping-particle":"","parse-names":false,"suffix":""},{"dropping-particle":"","family":"Oprean","given":"Radu","non-dropping-particle":"","parse-names":false,"suffix":""}],"container-title":"Clujul Medical","id":"ITEM-1","issue":"4","issued":{"date-parts":[["2014"]]},"page":"5","title":"Bovine serum albumin interactions with metal complexes","type":"article-journal","volume":"87"},"uris":["http://www.mendeley.com/documents/?uuid=1ff14d2d-255d-4468-a380-e1b0843f0c8e"]}],"mendeley":{"formattedCitation":"[28]","plainTextFormattedCitation":"[28]","previouslyFormattedCitation":"[28]"},"properties":{"noteIndex":0},"schema":"https://github.com/citation-style-language/schema/raw/master/csl-citation.json"}</w:instrText>
      </w:r>
      <w:r w:rsidRPr="00A23882">
        <w:rPr>
          <w:rFonts w:eastAsia="SimSun"/>
          <w:b w:val="0"/>
          <w:sz w:val="24"/>
          <w:szCs w:val="24"/>
          <w:lang w:eastAsia="en-US"/>
        </w:rPr>
        <w:fldChar w:fldCharType="separate"/>
      </w:r>
      <w:r w:rsidRPr="00A23882">
        <w:rPr>
          <w:rFonts w:eastAsia="SimSun"/>
          <w:b w:val="0"/>
          <w:noProof/>
          <w:sz w:val="24"/>
          <w:szCs w:val="24"/>
          <w:lang w:eastAsia="en-US"/>
        </w:rPr>
        <w:t>[28]</w:t>
      </w:r>
      <w:r w:rsidRPr="00A23882">
        <w:rPr>
          <w:rFonts w:eastAsia="SimSun"/>
          <w:b w:val="0"/>
          <w:sz w:val="24"/>
          <w:szCs w:val="24"/>
          <w:lang w:eastAsia="en-US"/>
        </w:rPr>
        <w:fldChar w:fldCharType="end"/>
      </w:r>
      <w:r w:rsidRPr="00A23882">
        <w:rPr>
          <w:rFonts w:eastAsia="SimSun"/>
          <w:b w:val="0"/>
          <w:sz w:val="24"/>
          <w:szCs w:val="24"/>
          <w:lang w:eastAsia="en-US"/>
        </w:rPr>
        <w:t>,</w:t>
      </w:r>
      <w:r w:rsidRPr="00A23882">
        <w:rPr>
          <w:rFonts w:eastAsia="SimSun"/>
          <w:b w:val="0"/>
          <w:sz w:val="24"/>
          <w:szCs w:val="24"/>
          <w:lang w:eastAsia="en-US"/>
        </w:rPr>
        <w:fldChar w:fldCharType="begin" w:fldLock="1"/>
      </w:r>
      <w:r w:rsidRPr="00A23882">
        <w:rPr>
          <w:rFonts w:eastAsia="SimSun"/>
          <w:b w:val="0"/>
          <w:sz w:val="24"/>
          <w:szCs w:val="24"/>
          <w:lang w:eastAsia="en-US"/>
        </w:rPr>
        <w:instrText>ADDIN CSL_CITATION {"citationItems":[{"id":"ITEM-1","itemData":{"DOI":"10.1002/chem.201902885","ISSN":"15213765","PMID":"31441186","abstract":"Although ferrocene derivatives have attracted considerable attention as possible anticancer agents, the medicinal potential of diiron complexes has remained largely unexplored. Herein, we describe the straightforward multigram-scale synthesis and the antiproliferative activity of a series of diiron cyclopentadienyl complexes containing bridging vinyliminium ligands. IC50 values in the low-to-mid micromolar range were determined against cisplatin sensitive and resistant human ovarian carcinoma (A2780 and A2780cisR) cell lines. Notable selectivity towards the cancerous cells lines compared to the non-tumoral human embryonic kidney (HEK-293) cell line was observed for selected compounds. The activity seems to be multimodal, involving reactive oxygen species (ROS) generation and, in some cases, a fragmentation process to afford monoiron derivatives. The large structural variability, amphiphilic character and good stability in aqueous media of the diiron vinyliminium complexes provide favorable properties compared to other widely studied classes of iron-based anticancer candidates.","author":[{"dropping-particle":"","family":"Rocco","given":"Dalila","non-dropping-particle":"","parse-names":false,"suffix":""},{"dropping-particle":"","family":"Batchelor","given":"Lucinda K.","non-dropping-particle":"","parse-names":false,"suffix":""},{"dropping-particle":"","family":"Agonigi","given":"Gabriele","non-dropping-particle":"","parse-names":false,"suffix":""},{"dropping-particle":"","family":"Braccini","given":"Simona","non-dropping-particle":"","parse-names":false,"suffix":""},{"dropping-particle":"","family":"Chiellini","given":"Federica","non-dropping-particle":"","parse-names":false,"suffix":""},{"dropping-particle":"","family":"Schoch","given":"Silvia","non-dropping-particle":"","parse-names":false,"suffix":""},{"dropping-particle":"","family":"Biver","given":"Tarita","non-dropping-particle":"","parse-names":false,"suffix":""},{"dropping-particle":"","family":"Funaioli","given":"Tiziana","non-dropping-particle":"","parse-names":false,"suffix":""},{"dropping-particle":"","family":"Zacchini","given":"Stefano","non-dropping-particle":"","parse-names":false,"suffix":""},{"dropping-particle":"","family":"Biancalana","given":"Lorenzo","non-dropping-particle":"","parse-names":false,"suffix":""},{"dropping-particle":"","family":"Ruggeri","given":"Marina","non-dropping-particle":"","parse-names":false,"suffix":""},{"dropping-particle":"","family":"Pampaloni","given":"Guido","non-dropping-particle":"","parse-names":false,"suffix":""},{"dropping-particle":"","family":"Dyson","given":"Paul J.","non-dropping-particle":"","parse-names":false,"suffix":""},{"dropping-particle":"","family":"Marchetti","given":"Fabio","non-dropping-particle":"","parse-names":false,"suffix":""}],"container-title":"Chemistry - A European Journal","id":"ITEM-1","issued":{"date-parts":[["2019"]]},"page":"1-17","title":"Anticancer Potential of Diiron Vinyliminium Complexes","type":"article-journal"},"uris":["http://www.mendeley.com/documents/?uuid=725ecf6e-2d1e-4a33-a873-e9bd913f5111"]}],"mendeley":{"formattedCitation":"[36]","plainTextFormattedCitation":"[36]","previouslyFormattedCitation":"[36]"},"properties":{"noteIndex":0},"schema":"https://github.com/citation-style-language/schema/raw/master/csl-citation.json"}</w:instrText>
      </w:r>
      <w:r w:rsidRPr="00A23882">
        <w:rPr>
          <w:rFonts w:eastAsia="SimSun"/>
          <w:b w:val="0"/>
          <w:sz w:val="24"/>
          <w:szCs w:val="24"/>
          <w:lang w:eastAsia="en-US"/>
        </w:rPr>
        <w:fldChar w:fldCharType="separate"/>
      </w:r>
      <w:r w:rsidRPr="00A23882">
        <w:rPr>
          <w:rFonts w:eastAsia="SimSun"/>
          <w:b w:val="0"/>
          <w:noProof/>
          <w:sz w:val="24"/>
          <w:szCs w:val="24"/>
          <w:lang w:eastAsia="en-US"/>
        </w:rPr>
        <w:t>[36]</w:t>
      </w:r>
      <w:r w:rsidRPr="00A23882">
        <w:rPr>
          <w:rFonts w:eastAsia="SimSun"/>
          <w:b w:val="0"/>
          <w:sz w:val="24"/>
          <w:szCs w:val="24"/>
          <w:lang w:eastAsia="en-US"/>
        </w:rPr>
        <w:fldChar w:fldCharType="end"/>
      </w:r>
      <w:r w:rsidRPr="00A23882">
        <w:rPr>
          <w:rFonts w:eastAsia="SimSun"/>
          <w:b w:val="0"/>
          <w:sz w:val="24"/>
          <w:szCs w:val="24"/>
          <w:lang w:eastAsia="en-US"/>
        </w:rPr>
        <w:t>,</w:t>
      </w:r>
      <w:r w:rsidRPr="00A23882">
        <w:rPr>
          <w:rFonts w:eastAsia="SimSun"/>
          <w:b w:val="0"/>
          <w:sz w:val="24"/>
          <w:szCs w:val="24"/>
          <w:lang w:eastAsia="en-US"/>
        </w:rPr>
        <w:fldChar w:fldCharType="begin" w:fldLock="1"/>
      </w:r>
      <w:r w:rsidRPr="00A23882">
        <w:rPr>
          <w:rFonts w:eastAsia="SimSun"/>
          <w:b w:val="0"/>
          <w:sz w:val="24"/>
          <w:szCs w:val="24"/>
          <w:lang w:eastAsia="en-US"/>
        </w:rPr>
        <w:instrText>ADDIN CSL_CITATION {"citationItems":[{"id":"ITEM-1","itemData":{"DOI":"10.1021/acs.organomet.9b00681","ISSN":"15206041","abstract":"A series of diiron complexes based on the [Fe2Cp2(CO)x] skeleton (Cp = η5-C5H5, x = 2, 3; η4-C5H5Ph in place of one Cp in one case) and containing different bridging hydrocarbyl ligands (aminocarbyne, thiocarbyne, allenyl) were preliminarily investigated for their anticancer potential. The water solubility, stability in water and in the presence of a cell culture medium, and octanol/water partition coefficient were evaluated by spectroscopic techniques. The cytotoxicity was assessed in vitro toward the human ovarian carcinoma cell line A2780, the human triple negative breast cancer cell line MDA-MB-231, and the human vascular smooth muscle cell line SMC. Some aminocarbyne complexes exhibited a potent cytotoxicity, with IC50 values in the low micromolar/nanomolar range, and a strong selectivity for the A2780 cells in comparison to the SMC cell line. Several experiments were carried out in order to give insight into the mode of action of selected compounds, including an assessment of catalytic NADH oxidation and ROS production and studies of binding with DNA and with a model protein.","author":[{"dropping-particle":"","family":"Agonigi","given":"Gabriele","non-dropping-particle":"","parse-names":false,"suffix":""},{"dropping-particle":"","family":"Biancalana","given":"Lorenzo","non-dropping-particle":"","parse-names":false,"suffix":""},{"dropping-particle":"","family":"Lupo","given":"Maria Giovanna","non-dropping-particle":"","parse-names":false,"suffix":""},{"dropping-particle":"","family":"Montopoli","given":"Monica","non-dropping-particle":"","parse-names":false,"suffix":""},{"dropping-particle":"","family":"Ferri","given":"Nicola","non-dropping-particle":"","parse-names":false,"suffix":""},{"dropping-particle":"","family":"Zacchini","given":"Stefano","non-dropping-particle":"","parse-names":false,"suffix":""},{"dropping-particle":"","family":"Binacchi","given":"Francesca","non-dropping-particle":"","parse-names":false,"suffix":""},{"dropping-particle":"","family":"Biver","given":"Tarita","non-dropping-particle":"","parse-names":false,"suffix":""},{"dropping-particle":"","family":"Campanella","given":"Beatrice","non-dropping-particle":"","parse-names":false,"suffix":""},{"dropping-particle":"","family":"Pampaloni","given":"Guido","non-dropping-particle":"","parse-names":false,"suffix":""},{"dropping-particle":"","family":"Zanotti","given":"Valerio","non-dropping-particle":"","parse-names":false,"suffix":""},{"dropping-particle":"","family":"Marchetti","given":"Fabio","non-dropping-particle":"","parse-names":false,"suffix":""}],"container-title":"Organometallics","id":"ITEM-1","issue":"5","issued":{"date-parts":[["2020"]]},"page":"645-657","title":"Exploring the anticancer potential of diiron bis-cyclopentadienyl complexes with bridging hydrocarbyl ligands: Behavior in aqueous media and in vitro cytotoxicity","type":"article-journal","volume":"39"},"uris":["http://www.mendeley.com/documents/?uuid=b9a8eaae-892e-4d99-9aea-20a37e02328a"]}],"mendeley":{"formattedCitation":"[37]","plainTextFormattedCitation":"[37]","previouslyFormattedCitation":"[37]"},"properties":{"noteIndex":0},"schema":"https://github.com/citation-style-language/schema/raw/master/csl-citation.json"}</w:instrText>
      </w:r>
      <w:r w:rsidRPr="00A23882">
        <w:rPr>
          <w:rFonts w:eastAsia="SimSun"/>
          <w:b w:val="0"/>
          <w:sz w:val="24"/>
          <w:szCs w:val="24"/>
          <w:lang w:eastAsia="en-US"/>
        </w:rPr>
        <w:fldChar w:fldCharType="separate"/>
      </w:r>
      <w:r w:rsidRPr="00A23882">
        <w:rPr>
          <w:rFonts w:eastAsia="SimSun"/>
          <w:b w:val="0"/>
          <w:noProof/>
          <w:sz w:val="24"/>
          <w:szCs w:val="24"/>
          <w:lang w:eastAsia="en-US"/>
        </w:rPr>
        <w:t>[37]</w:t>
      </w:r>
      <w:r w:rsidRPr="00A23882">
        <w:rPr>
          <w:rFonts w:eastAsia="SimSun"/>
          <w:b w:val="0"/>
          <w:sz w:val="24"/>
          <w:szCs w:val="24"/>
          <w:lang w:eastAsia="en-US"/>
        </w:rPr>
        <w:fldChar w:fldCharType="end"/>
      </w:r>
      <w:r w:rsidRPr="00A23882">
        <w:rPr>
          <w:rFonts w:eastAsia="SimSun"/>
          <w:b w:val="0"/>
          <w:sz w:val="24"/>
          <w:szCs w:val="24"/>
          <w:lang w:eastAsia="en-US"/>
        </w:rPr>
        <w:t>,</w:t>
      </w:r>
      <w:r w:rsidRPr="00A23882">
        <w:rPr>
          <w:rFonts w:eastAsia="SimSun"/>
          <w:b w:val="0"/>
          <w:sz w:val="24"/>
          <w:szCs w:val="24"/>
          <w:lang w:eastAsia="en-US"/>
        </w:rPr>
        <w:fldChar w:fldCharType="begin" w:fldLock="1"/>
      </w:r>
      <w:r w:rsidRPr="00A23882">
        <w:rPr>
          <w:rFonts w:eastAsia="SimSun"/>
          <w:b w:val="0"/>
          <w:sz w:val="24"/>
          <w:szCs w:val="24"/>
          <w:lang w:eastAsia="en-US"/>
        </w:rPr>
        <w:instrText>ADDIN CSL_CITATION {"citationItems":[{"id":"ITEM-1","itemData":{"DOI":"10.1080/13102818.2014.915077","ISSN":"13102818","abstract":"The binding mechanisms of the interaction of three dihydromyricetin (DMY)-metal complexes (DMY-Cu (II) complex, DMY-Mn (II) complex, DMY-Zn (II) complex) and DMY with bovine serum albumin (BSA) were investigated using fluorescence and ultraviolet spectroscopy at different temperatures. The results indicated some differences in the binding process between different DMY-metal complexes and BSA compared with that of free DMY. All of the complexes and DMY quenched the fluorescence of BSA based on static mode combined with radiationless energy transfer, yet having different binding distance based on the Förster theory. Different DMY-metal complexes can change the binding constants. The binding constants increase for DMY-Cu (II) and DMY-Mn (II) complexes, whereas the opposite is true for the DMY-Zn (II) complex compared to the one with free DMY. The DMY-metal complexes can also affect the types of the interaction. The van der Waals forces and hydrogen bonding may play a major role in the interaction of free DMY with BSA, while for the three complexes, the nature of the binding forces lies in hydrophobic forces and hydrogen bonding based on the thermodynamic parameters. © 2014 The Author(s). Published by Taylor &amp; Francis.","author":[{"dropping-particle":"","family":"Guo","given":"Qingquan","non-dropping-particle":"","parse-names":false,"suffix":""},{"dropping-particle":"","family":"Yuan","given":"Juan","non-dropping-particle":"","parse-names":false,"suffix":""},{"dropping-particle":"","family":"Zeng","given":"Jinhua","non-dropping-particle":"","parse-names":false,"suffix":""}],"container-title":"Biotechnology and Biotechnological Equipment","id":"ITEM-1","issue":"2","issued":{"date-parts":[["2014"]]},"page":"333-341","title":"Binding of dihydromyricetin and its metal ion complexes with bovine serum albumin","type":"article-journal","volume":"28"},"uris":["http://www.mendeley.com/documents/?uuid=8e3e38f8-2d97-4951-8c35-0703a16b36b8"]}],"mendeley":{"formattedCitation":"[38]","plainTextFormattedCitation":"[38]","previouslyFormattedCitation":"[38]"},"properties":{"noteIndex":0},"schema":"https://github.com/citation-style-language/schema/raw/master/csl-citation.json"}</w:instrText>
      </w:r>
      <w:r w:rsidRPr="00A23882">
        <w:rPr>
          <w:rFonts w:eastAsia="SimSun"/>
          <w:b w:val="0"/>
          <w:sz w:val="24"/>
          <w:szCs w:val="24"/>
          <w:lang w:eastAsia="en-US"/>
        </w:rPr>
        <w:fldChar w:fldCharType="separate"/>
      </w:r>
      <w:r w:rsidRPr="00A23882">
        <w:rPr>
          <w:rFonts w:eastAsia="SimSun"/>
          <w:b w:val="0"/>
          <w:noProof/>
          <w:sz w:val="24"/>
          <w:szCs w:val="24"/>
          <w:lang w:eastAsia="en-US"/>
        </w:rPr>
        <w:t>[38]</w:t>
      </w:r>
      <w:r w:rsidRPr="00A23882">
        <w:rPr>
          <w:rFonts w:eastAsia="SimSun"/>
          <w:b w:val="0"/>
          <w:sz w:val="24"/>
          <w:szCs w:val="24"/>
          <w:lang w:eastAsia="en-US"/>
        </w:rPr>
        <w:fldChar w:fldCharType="end"/>
      </w:r>
      <w:r w:rsidRPr="00A23882">
        <w:rPr>
          <w:rFonts w:eastAsia="SimSun"/>
          <w:b w:val="0"/>
          <w:sz w:val="24"/>
          <w:szCs w:val="24"/>
          <w:lang w:eastAsia="en-US"/>
        </w:rPr>
        <w:t xml:space="preserve">. Under these circumstances, the signal to be followed is necessarily that of BSA fluorescence, which will undergo some quenching upon binding with </w:t>
      </w:r>
      <w:r w:rsidRPr="00A23882">
        <w:rPr>
          <w:rFonts w:eastAsia="SimSun"/>
          <w:sz w:val="24"/>
          <w:szCs w:val="24"/>
          <w:lang w:eastAsia="en-US"/>
        </w:rPr>
        <w:t>T</w:t>
      </w:r>
      <w:r w:rsidRPr="00A23882">
        <w:rPr>
          <w:rFonts w:eastAsia="SimSun"/>
          <w:b w:val="0"/>
          <w:sz w:val="24"/>
          <w:szCs w:val="24"/>
          <w:lang w:eastAsia="en-US"/>
        </w:rPr>
        <w:t xml:space="preserve">. If the amount of </w:t>
      </w:r>
      <w:r w:rsidRPr="00A23882">
        <w:rPr>
          <w:rFonts w:eastAsia="SimSun"/>
          <w:sz w:val="24"/>
          <w:szCs w:val="24"/>
          <w:lang w:eastAsia="en-US"/>
        </w:rPr>
        <w:t>T</w:t>
      </w:r>
      <w:r w:rsidRPr="00A23882">
        <w:rPr>
          <w:rFonts w:eastAsia="SimSun"/>
          <w:b w:val="0"/>
          <w:sz w:val="24"/>
          <w:szCs w:val="24"/>
          <w:lang w:eastAsia="en-US"/>
        </w:rPr>
        <w:t xml:space="preserve"> added (which varies at each step of the titration) is so that the incident light is non-negligibly adsorbed and subtracted to BSA, an inner filter effect will occur. The inner filter effect causes a downward curvature in the binding isotherm (higher fluorescence decrease) that is not ascribable to the </w:t>
      </w:r>
      <w:r w:rsidRPr="00A23882">
        <w:rPr>
          <w:rFonts w:eastAsia="SimSun"/>
          <w:sz w:val="24"/>
          <w:szCs w:val="24"/>
          <w:lang w:eastAsia="en-US"/>
        </w:rPr>
        <w:t>T</w:t>
      </w:r>
      <w:r w:rsidRPr="00A23882">
        <w:rPr>
          <w:rFonts w:eastAsia="SimSun"/>
          <w:b w:val="0"/>
          <w:sz w:val="24"/>
          <w:szCs w:val="24"/>
          <w:lang w:eastAsia="en-US"/>
        </w:rPr>
        <w:t xml:space="preserve">-BSA interaction (Figure 2). </w:t>
      </w:r>
    </w:p>
    <w:p w:rsidR="009A4942" w:rsidRPr="00A23882" w:rsidRDefault="003118E8" w:rsidP="00A23882">
      <w:pPr>
        <w:pStyle w:val="07-Heading-2"/>
        <w:spacing w:line="480" w:lineRule="auto"/>
        <w:rPr>
          <w:rFonts w:eastAsia="SimSun"/>
          <w:b w:val="0"/>
          <w:sz w:val="24"/>
          <w:szCs w:val="24"/>
          <w:lang w:eastAsia="en-US"/>
        </w:rPr>
      </w:pPr>
      <w:r>
        <w:rPr>
          <w:rFonts w:eastAsia="SimSun"/>
          <w:b w:val="0"/>
          <w:noProof/>
          <w:sz w:val="24"/>
          <w:szCs w:val="24"/>
          <w:lang w:val="en-GB" w:eastAsia="en-GB"/>
        </w:rPr>
        <w:object w:dxaOrig="1440" w:dyaOrig="1440">
          <v:shape id="_x0000_s1081" type="#_x0000_t75" style="position:absolute;left:0;text-align:left;margin-left:134.6pt;margin-top:13.4pt;width:222.7pt;height:164.3pt;z-index:-251650560" wrapcoords="2182 2071 2182 2564 3200 3649 3709 3649 3709 6805 2982 7397 2109 8285 1309 9962 1309 10356 3127 11540 3709 11540 3709 13118 2182 13907 2182 14597 3709 14696 3491 19036 3855 19134 10764 19430 9236 19923 9091 20121 9091 20811 13018 20811 13236 20219 12800 19923 10764 19430 18764 19134 19200 18937 18618 17852 18764 2367 3491 2071 2182 2071" o:allowoverlap="f">
            <v:imagedata r:id="rId11" o:title=""/>
            <w10:wrap type="tight"/>
          </v:shape>
          <o:OLEObject Type="Embed" ProgID="Origin50.Graph" ShapeID="_x0000_s1081" DrawAspect="Content" ObjectID="_1660750236" r:id="rId12"/>
        </w:object>
      </w:r>
    </w:p>
    <w:p w:rsidR="002A3793" w:rsidRPr="00A23882" w:rsidRDefault="002A3793" w:rsidP="00A23882">
      <w:pPr>
        <w:pStyle w:val="07-Heading-2"/>
        <w:spacing w:line="480" w:lineRule="auto"/>
        <w:rPr>
          <w:rFonts w:eastAsia="SimSun"/>
          <w:sz w:val="24"/>
          <w:szCs w:val="24"/>
          <w:lang w:val="en-GB" w:eastAsia="en-US"/>
        </w:rPr>
      </w:pPr>
    </w:p>
    <w:p w:rsidR="002A3793" w:rsidRPr="00A23882" w:rsidRDefault="002A3793" w:rsidP="00A23882">
      <w:pPr>
        <w:pStyle w:val="07-Heading-2"/>
        <w:spacing w:line="480" w:lineRule="auto"/>
        <w:rPr>
          <w:rFonts w:eastAsia="SimSun"/>
          <w:sz w:val="24"/>
          <w:szCs w:val="24"/>
          <w:lang w:val="en-GB" w:eastAsia="en-US"/>
        </w:rPr>
      </w:pPr>
    </w:p>
    <w:p w:rsidR="002A3793" w:rsidRPr="00A23882" w:rsidRDefault="002A3793" w:rsidP="00A23882">
      <w:pPr>
        <w:pStyle w:val="07-Heading-2"/>
        <w:spacing w:line="480" w:lineRule="auto"/>
        <w:rPr>
          <w:rFonts w:eastAsia="SimSun"/>
          <w:sz w:val="24"/>
          <w:szCs w:val="24"/>
          <w:lang w:val="en-GB" w:eastAsia="en-US"/>
        </w:rPr>
      </w:pPr>
    </w:p>
    <w:p w:rsidR="002A3793" w:rsidRPr="00A23882" w:rsidRDefault="002A3793" w:rsidP="00A23882">
      <w:pPr>
        <w:pStyle w:val="07-Heading-2"/>
        <w:spacing w:line="480" w:lineRule="auto"/>
        <w:rPr>
          <w:rFonts w:eastAsia="SimSun"/>
          <w:sz w:val="24"/>
          <w:szCs w:val="24"/>
          <w:lang w:val="en-GB" w:eastAsia="en-US"/>
        </w:rPr>
      </w:pPr>
    </w:p>
    <w:p w:rsidR="00FB7579" w:rsidRDefault="00FB7579" w:rsidP="00A23882">
      <w:pPr>
        <w:pStyle w:val="07-Heading-2"/>
        <w:spacing w:line="480" w:lineRule="auto"/>
        <w:rPr>
          <w:rFonts w:eastAsia="SimSun"/>
          <w:sz w:val="24"/>
          <w:szCs w:val="24"/>
          <w:lang w:val="en-GB" w:eastAsia="en-US"/>
        </w:rPr>
      </w:pPr>
    </w:p>
    <w:p w:rsidR="002A3793" w:rsidRPr="00FB7579" w:rsidRDefault="002A3793" w:rsidP="00A23882">
      <w:pPr>
        <w:pStyle w:val="07-Heading-2"/>
        <w:spacing w:line="480" w:lineRule="auto"/>
        <w:rPr>
          <w:rFonts w:eastAsia="SimSun"/>
          <w:b w:val="0"/>
          <w:sz w:val="22"/>
          <w:szCs w:val="24"/>
          <w:lang w:val="en-GB" w:eastAsia="en-US"/>
        </w:rPr>
      </w:pPr>
      <w:r w:rsidRPr="00FB7579">
        <w:rPr>
          <w:rFonts w:eastAsia="SimSun"/>
          <w:sz w:val="22"/>
          <w:szCs w:val="24"/>
          <w:lang w:val="en-GB" w:eastAsia="en-US"/>
        </w:rPr>
        <w:t>Figure 2</w:t>
      </w:r>
      <w:r w:rsidRPr="00FB7579">
        <w:rPr>
          <w:rFonts w:eastAsia="SimSun"/>
          <w:b w:val="0"/>
          <w:sz w:val="22"/>
          <w:szCs w:val="24"/>
          <w:lang w:val="en-GB" w:eastAsia="en-US"/>
        </w:rPr>
        <w:t xml:space="preserve"> – Example of fluorescence correction according to Eq.(1). Data are relevant to an anticancer diiron [Fe</w:t>
      </w:r>
      <w:r w:rsidRPr="00FB7579">
        <w:rPr>
          <w:rFonts w:eastAsia="SimSun"/>
          <w:b w:val="0"/>
          <w:sz w:val="22"/>
          <w:szCs w:val="24"/>
          <w:vertAlign w:val="subscript"/>
          <w:lang w:val="en-GB" w:eastAsia="en-US"/>
        </w:rPr>
        <w:t>2</w:t>
      </w:r>
      <w:r w:rsidRPr="00FB7579">
        <w:rPr>
          <w:rFonts w:eastAsia="SimSun"/>
          <w:b w:val="0"/>
          <w:sz w:val="22"/>
          <w:szCs w:val="24"/>
          <w:lang w:val="en-GB" w:eastAsia="en-US"/>
        </w:rPr>
        <w:t>Cp</w:t>
      </w:r>
      <w:r w:rsidRPr="00FB7579">
        <w:rPr>
          <w:rFonts w:eastAsia="SimSun"/>
          <w:b w:val="0"/>
          <w:sz w:val="22"/>
          <w:szCs w:val="24"/>
          <w:vertAlign w:val="subscript"/>
          <w:lang w:val="en-GB" w:eastAsia="en-US"/>
        </w:rPr>
        <w:t>2</w:t>
      </w:r>
      <w:r w:rsidRPr="00FB7579">
        <w:rPr>
          <w:rFonts w:eastAsia="SimSun"/>
          <w:b w:val="0"/>
          <w:sz w:val="22"/>
          <w:szCs w:val="24"/>
          <w:lang w:val="en-GB" w:eastAsia="en-US"/>
        </w:rPr>
        <w:t>L(CO)</w:t>
      </w:r>
      <w:r w:rsidRPr="00FB7579">
        <w:rPr>
          <w:rFonts w:eastAsia="SimSun"/>
          <w:b w:val="0"/>
          <w:sz w:val="22"/>
          <w:szCs w:val="24"/>
          <w:vertAlign w:val="subscript"/>
          <w:lang w:val="en-GB" w:eastAsia="en-US"/>
        </w:rPr>
        <w:t>3</w:t>
      </w:r>
      <w:r w:rsidRPr="00FB7579">
        <w:rPr>
          <w:rFonts w:eastAsia="SimSun"/>
          <w:b w:val="0"/>
          <w:sz w:val="22"/>
          <w:szCs w:val="24"/>
          <w:lang w:val="en-GB" w:eastAsia="en-US"/>
        </w:rPr>
        <w:t>] (Cp = η</w:t>
      </w:r>
      <w:r w:rsidRPr="00FB7579">
        <w:rPr>
          <w:rFonts w:eastAsia="SimSun"/>
          <w:b w:val="0"/>
          <w:sz w:val="22"/>
          <w:szCs w:val="24"/>
          <w:vertAlign w:val="superscript"/>
          <w:lang w:val="en-GB" w:eastAsia="en-US"/>
        </w:rPr>
        <w:t>5</w:t>
      </w:r>
      <w:r w:rsidRPr="00FB7579">
        <w:rPr>
          <w:rFonts w:eastAsia="SimSun"/>
          <w:b w:val="0"/>
          <w:sz w:val="22"/>
          <w:szCs w:val="24"/>
          <w:lang w:val="en-GB" w:eastAsia="en-US"/>
        </w:rPr>
        <w:t>-C</w:t>
      </w:r>
      <w:r w:rsidRPr="00FB7579">
        <w:rPr>
          <w:rFonts w:eastAsia="SimSun"/>
          <w:b w:val="0"/>
          <w:sz w:val="22"/>
          <w:szCs w:val="24"/>
          <w:vertAlign w:val="subscript"/>
          <w:lang w:val="en-GB" w:eastAsia="en-US"/>
        </w:rPr>
        <w:t>5</w:t>
      </w:r>
      <w:r w:rsidRPr="00FB7579">
        <w:rPr>
          <w:rFonts w:eastAsia="SimSun"/>
          <w:b w:val="0"/>
          <w:sz w:val="22"/>
          <w:szCs w:val="24"/>
          <w:lang w:val="en-GB" w:eastAsia="en-US"/>
        </w:rPr>
        <w:t>H</w:t>
      </w:r>
      <w:r w:rsidRPr="00FB7579">
        <w:rPr>
          <w:rFonts w:eastAsia="SimSun"/>
          <w:b w:val="0"/>
          <w:sz w:val="22"/>
          <w:szCs w:val="24"/>
          <w:vertAlign w:val="subscript"/>
          <w:lang w:val="en-GB" w:eastAsia="en-US"/>
        </w:rPr>
        <w:t>5</w:t>
      </w:r>
      <w:r w:rsidRPr="00FB7579">
        <w:rPr>
          <w:rFonts w:eastAsia="SimSun"/>
          <w:b w:val="0"/>
          <w:sz w:val="22"/>
          <w:szCs w:val="24"/>
          <w:lang w:val="en-GB" w:eastAsia="en-US"/>
        </w:rPr>
        <w:t xml:space="preserve"> L = aminocarbyne 2,6-C</w:t>
      </w:r>
      <w:r w:rsidRPr="00FB7579">
        <w:rPr>
          <w:rFonts w:eastAsia="SimSun"/>
          <w:b w:val="0"/>
          <w:sz w:val="22"/>
          <w:szCs w:val="24"/>
          <w:vertAlign w:val="subscript"/>
          <w:lang w:val="en-GB" w:eastAsia="en-US"/>
        </w:rPr>
        <w:t>6</w:t>
      </w:r>
      <w:r w:rsidRPr="00FB7579">
        <w:rPr>
          <w:rFonts w:eastAsia="SimSun"/>
          <w:b w:val="0"/>
          <w:sz w:val="22"/>
          <w:szCs w:val="24"/>
          <w:lang w:val="en-GB" w:eastAsia="en-US"/>
        </w:rPr>
        <w:t>H</w:t>
      </w:r>
      <w:r w:rsidRPr="00FB7579">
        <w:rPr>
          <w:rFonts w:eastAsia="SimSun"/>
          <w:b w:val="0"/>
          <w:sz w:val="22"/>
          <w:szCs w:val="24"/>
          <w:vertAlign w:val="subscript"/>
          <w:lang w:val="en-GB" w:eastAsia="en-US"/>
        </w:rPr>
        <w:t>3</w:t>
      </w:r>
      <w:r w:rsidRPr="00FB7579">
        <w:rPr>
          <w:rFonts w:eastAsia="SimSun"/>
          <w:b w:val="0"/>
          <w:sz w:val="22"/>
          <w:szCs w:val="24"/>
          <w:lang w:val="en-GB" w:eastAsia="en-US"/>
        </w:rPr>
        <w:t>Me</w:t>
      </w:r>
      <w:r w:rsidRPr="00FB7579">
        <w:rPr>
          <w:rFonts w:eastAsia="SimSun"/>
          <w:b w:val="0"/>
          <w:sz w:val="22"/>
          <w:szCs w:val="24"/>
          <w:vertAlign w:val="subscript"/>
          <w:lang w:val="en-GB" w:eastAsia="en-US"/>
        </w:rPr>
        <w:t>2</w:t>
      </w:r>
      <w:r w:rsidRPr="00FB7579">
        <w:rPr>
          <w:rFonts w:eastAsia="SimSun"/>
          <w:b w:val="0"/>
          <w:sz w:val="22"/>
          <w:szCs w:val="24"/>
          <w:lang w:val="en-GB" w:eastAsia="en-US"/>
        </w:rPr>
        <w:t>)/BSA system;</w:t>
      </w:r>
      <w:r w:rsidRPr="00FB7579">
        <w:rPr>
          <w:b w:val="0"/>
          <w:sz w:val="22"/>
          <w:szCs w:val="24"/>
        </w:rPr>
        <w:t xml:space="preserve"> C</w:t>
      </w:r>
      <w:r w:rsidRPr="00FB7579">
        <w:rPr>
          <w:b w:val="0"/>
          <w:sz w:val="22"/>
          <w:szCs w:val="24"/>
          <w:vertAlign w:val="subscript"/>
        </w:rPr>
        <w:t>BSA</w:t>
      </w:r>
      <w:r w:rsidRPr="00FB7579">
        <w:rPr>
          <w:b w:val="0"/>
          <w:sz w:val="22"/>
          <w:szCs w:val="24"/>
        </w:rPr>
        <w:t xml:space="preserve"> = 3.1×10</w:t>
      </w:r>
      <w:r w:rsidRPr="00FB7579">
        <w:rPr>
          <w:b w:val="0"/>
          <w:sz w:val="22"/>
          <w:szCs w:val="24"/>
          <w:vertAlign w:val="superscript"/>
        </w:rPr>
        <w:t>-7</w:t>
      </w:r>
      <w:r w:rsidRPr="00FB7579">
        <w:rPr>
          <w:b w:val="0"/>
          <w:sz w:val="22"/>
          <w:szCs w:val="24"/>
        </w:rPr>
        <w:t xml:space="preserve"> M, </w:t>
      </w:r>
      <w:r w:rsidRPr="00FB7579">
        <w:rPr>
          <w:rFonts w:eastAsia="SimSun"/>
          <w:b w:val="0"/>
          <w:sz w:val="22"/>
          <w:szCs w:val="24"/>
          <w:lang w:val="en-GB" w:eastAsia="en-US"/>
        </w:rPr>
        <w:t xml:space="preserve">[NaCl] = 0.1 M, [NaCac] = 2.5 mM, pH 7.0, 25.0 °C, </w:t>
      </w:r>
      <w:r w:rsidRPr="0051736E">
        <w:rPr>
          <w:rFonts w:ascii="Symbol" w:eastAsia="SimSun" w:hAnsi="Symbol"/>
          <w:b w:val="0"/>
          <w:sz w:val="22"/>
          <w:szCs w:val="24"/>
          <w:lang w:eastAsia="en-US"/>
        </w:rPr>
        <w:t></w:t>
      </w:r>
      <w:r w:rsidRPr="00FB7579">
        <w:rPr>
          <w:rFonts w:eastAsia="SimSun"/>
          <w:b w:val="0"/>
          <w:sz w:val="22"/>
          <w:szCs w:val="24"/>
          <w:vertAlign w:val="subscript"/>
          <w:lang w:eastAsia="en-US"/>
        </w:rPr>
        <w:t xml:space="preserve">ex </w:t>
      </w:r>
      <w:r w:rsidRPr="00FB7579">
        <w:rPr>
          <w:rFonts w:eastAsia="SimSun"/>
          <w:b w:val="0"/>
          <w:sz w:val="22"/>
          <w:szCs w:val="24"/>
          <w:lang w:eastAsia="en-US"/>
        </w:rPr>
        <w:t xml:space="preserve">= 280 nm, </w:t>
      </w:r>
      <w:r w:rsidR="0051736E" w:rsidRPr="0051736E">
        <w:rPr>
          <w:rFonts w:ascii="Symbol" w:eastAsia="SimSun" w:hAnsi="Symbol"/>
          <w:b w:val="0"/>
          <w:sz w:val="22"/>
          <w:szCs w:val="24"/>
          <w:lang w:eastAsia="en-US"/>
        </w:rPr>
        <w:t></w:t>
      </w:r>
      <w:r w:rsidRPr="00FB7579">
        <w:rPr>
          <w:rFonts w:eastAsia="SimSun"/>
          <w:b w:val="0"/>
          <w:sz w:val="22"/>
          <w:szCs w:val="24"/>
          <w:vertAlign w:val="subscript"/>
          <w:lang w:eastAsia="en-US"/>
        </w:rPr>
        <w:t>em</w:t>
      </w:r>
      <w:r w:rsidRPr="00FB7579">
        <w:rPr>
          <w:rFonts w:eastAsia="SimSun"/>
          <w:b w:val="0"/>
          <w:sz w:val="22"/>
          <w:szCs w:val="24"/>
          <w:lang w:val="en-GB" w:eastAsia="en-US"/>
        </w:rPr>
        <w:t xml:space="preserve"> = 345 nm, molar extinction coefficient of the iron complex 1.03×10</w:t>
      </w:r>
      <w:r w:rsidRPr="00FB7579">
        <w:rPr>
          <w:rFonts w:eastAsia="SimSun"/>
          <w:b w:val="0"/>
          <w:sz w:val="22"/>
          <w:szCs w:val="24"/>
          <w:vertAlign w:val="superscript"/>
          <w:lang w:val="en-GB" w:eastAsia="en-US"/>
        </w:rPr>
        <w:t>4</w:t>
      </w:r>
      <w:r w:rsidRPr="00FB7579">
        <w:rPr>
          <w:rFonts w:eastAsia="SimSun"/>
          <w:b w:val="0"/>
          <w:sz w:val="22"/>
          <w:szCs w:val="24"/>
          <w:lang w:val="en-GB" w:eastAsia="en-US"/>
        </w:rPr>
        <w:t xml:space="preserve"> at 280 nm and 5.46×10</w:t>
      </w:r>
      <w:r w:rsidRPr="00FB7579">
        <w:rPr>
          <w:rFonts w:eastAsia="SimSun"/>
          <w:b w:val="0"/>
          <w:sz w:val="22"/>
          <w:szCs w:val="24"/>
          <w:vertAlign w:val="superscript"/>
          <w:lang w:val="en-GB" w:eastAsia="en-US"/>
        </w:rPr>
        <w:t>3</w:t>
      </w:r>
      <w:r w:rsidRPr="00FB7579">
        <w:rPr>
          <w:rFonts w:eastAsia="SimSun"/>
          <w:b w:val="0"/>
          <w:sz w:val="22"/>
          <w:szCs w:val="24"/>
          <w:lang w:val="en-GB" w:eastAsia="en-US"/>
        </w:rPr>
        <w:t xml:space="preserve"> at 330 nm </w:t>
      </w:r>
      <w:r w:rsidRPr="00FB7579">
        <w:rPr>
          <w:rFonts w:eastAsia="SimSun"/>
          <w:b w:val="0"/>
          <w:sz w:val="22"/>
          <w:szCs w:val="24"/>
          <w:lang w:val="en-GB" w:eastAsia="en-US"/>
        </w:rPr>
        <w:fldChar w:fldCharType="begin" w:fldLock="1"/>
      </w:r>
      <w:r w:rsidRPr="00FB7579">
        <w:rPr>
          <w:rFonts w:eastAsia="SimSun"/>
          <w:b w:val="0"/>
          <w:sz w:val="22"/>
          <w:szCs w:val="24"/>
          <w:lang w:val="en-GB" w:eastAsia="en-US"/>
        </w:rPr>
        <w:instrText>ADDIN CSL_CITATION {"citationItems":[{"id":"ITEM-1","itemData":{"DOI":"10.1021/acs.organomet.9b00681","ISSN":"15206041","abstract":"A series of diiron complexes based on the [Fe2Cp2(CO)x] skeleton (Cp = η5-C5H5, x = 2, 3; η4-C5H5Ph in place of one Cp in one case) and containing different bridging hydrocarbyl ligands (aminocarbyne, thiocarbyne, allenyl) were preliminarily investigated for their anticancer potential. The water solubility, stability in water and in the presence of a cell culture medium, and octanol/water partition coefficient were evaluated by spectroscopic techniques. The cytotoxicity was assessed in vitro toward the human ovarian carcinoma cell line A2780, the human triple negative breast cancer cell line MDA-MB-231, and the human vascular smooth muscle cell line SMC. Some aminocarbyne complexes exhibited a potent cytotoxicity, with IC50 values in the low micromolar/nanomolar range, and a strong selectivity for the A2780 cells in comparison to the SMC cell line. Several experiments were carried out in order to give insight into the mode of action of selected compounds, including an assessment of catalytic NADH oxidation and ROS production and studies of binding with DNA and with a model protein.","author":[{"dropping-particle":"","family":"Agonigi","given":"Gabriele","non-dropping-particle":"","parse-names":false,"suffix":""},{"dropping-particle":"","family":"Biancalana","given":"Lorenzo","non-dropping-particle":"","parse-names":false,"suffix":""},{"dropping-particle":"","family":"Lupo","given":"Maria Giovanna","non-dropping-particle":"","parse-names":false,"suffix":""},{"dropping-particle":"","family":"Montopoli","given":"Monica","non-dropping-particle":"","parse-names":false,"suffix":""},{"dropping-particle":"","family":"Ferri","given":"Nicola","non-dropping-particle":"","parse-names":false,"suffix":""},{"dropping-particle":"","family":"Zacchini","given":"Stefano","non-dropping-particle":"","parse-names":false,"suffix":""},{"dropping-particle":"","family":"Binacchi","given":"Francesca","non-dropping-particle":"","parse-names":false,"suffix":""},{"dropping-particle":"","family":"Biver","given":"Tarita","non-dropping-particle":"","parse-names":false,"suffix":""},{"dropping-particle":"","family":"Campanella","given":"Beatrice","non-dropping-particle":"","parse-names":false,"suffix":""},{"dropping-particle":"","family":"Pampaloni","given":"Guido","non-dropping-particle":"","parse-names":false,"suffix":""},{"dropping-particle":"","family":"Zanotti","given":"Valerio","non-dropping-particle":"","parse-names":false,"suffix":""},{"dropping-particle":"","family":"Marchetti","given":"Fabio","non-dropping-particle":"","parse-names":false,"suffix":""}],"container-title":"Organometallics","id":"ITEM-1","issue":"5","issued":{"date-parts":[["2020"]]},"page":"645-657","title":"Exploring the anticancer potential of diiron bis-cyclopentadienyl complexes with bridging hydrocarbyl ligands: Behavior in aqueous media and in vitro cytotoxicity","type":"article-journal","volume":"39"},"uris":["http://www.mendeley.com/documents/?uuid=b9a8eaae-892e-4d99-9aea-20a37e02328a"]}],"mendeley":{"formattedCitation":"[37]","plainTextFormattedCitation":"[37]","previouslyFormattedCitation":"[37]"},"properties":{"noteIndex":0},"schema":"https://github.com/citation-style-language/schema/raw/master/csl-citation.json"}</w:instrText>
      </w:r>
      <w:r w:rsidRPr="00FB7579">
        <w:rPr>
          <w:rFonts w:eastAsia="SimSun"/>
          <w:b w:val="0"/>
          <w:sz w:val="22"/>
          <w:szCs w:val="24"/>
          <w:lang w:val="en-GB" w:eastAsia="en-US"/>
        </w:rPr>
        <w:fldChar w:fldCharType="separate"/>
      </w:r>
      <w:r w:rsidRPr="00FB7579">
        <w:rPr>
          <w:rFonts w:eastAsia="SimSun"/>
          <w:b w:val="0"/>
          <w:noProof/>
          <w:sz w:val="22"/>
          <w:szCs w:val="24"/>
          <w:lang w:val="en-GB" w:eastAsia="en-US"/>
        </w:rPr>
        <w:t>[37]</w:t>
      </w:r>
      <w:r w:rsidRPr="00FB7579">
        <w:rPr>
          <w:rFonts w:eastAsia="SimSun"/>
          <w:b w:val="0"/>
          <w:sz w:val="22"/>
          <w:szCs w:val="24"/>
          <w:lang w:val="en-GB" w:eastAsia="en-US"/>
        </w:rPr>
        <w:fldChar w:fldCharType="end"/>
      </w:r>
      <w:r w:rsidRPr="00FB7579">
        <w:rPr>
          <w:rFonts w:eastAsia="SimSun"/>
          <w:b w:val="0"/>
          <w:sz w:val="22"/>
          <w:szCs w:val="24"/>
          <w:lang w:val="en-GB" w:eastAsia="en-US"/>
        </w:rPr>
        <w:t>.</w:t>
      </w:r>
    </w:p>
    <w:p w:rsidR="001F1458" w:rsidRDefault="001F1458" w:rsidP="009A4942">
      <w:pPr>
        <w:pStyle w:val="07-Heading-2"/>
        <w:spacing w:before="0" w:after="0" w:line="480" w:lineRule="auto"/>
        <w:rPr>
          <w:rFonts w:eastAsia="SimSun"/>
          <w:b w:val="0"/>
          <w:sz w:val="24"/>
          <w:szCs w:val="24"/>
          <w:lang w:eastAsia="en-US"/>
        </w:rPr>
      </w:pPr>
      <w:r w:rsidRPr="00A23882">
        <w:rPr>
          <w:rFonts w:eastAsia="SimSun"/>
          <w:b w:val="0"/>
          <w:sz w:val="24"/>
          <w:szCs w:val="24"/>
          <w:lang w:eastAsia="en-US"/>
        </w:rPr>
        <w:lastRenderedPageBreak/>
        <w:t xml:space="preserve">Therefore, to avoid a wrong estimation of the binding parameters, it is important to verify if the inner filter effects are significant or not. Inner filter effects can be corrected as follows </w:t>
      </w:r>
      <w:r w:rsidRPr="00A23882">
        <w:rPr>
          <w:rFonts w:eastAsia="SimSun"/>
          <w:b w:val="0"/>
          <w:sz w:val="24"/>
          <w:szCs w:val="24"/>
          <w:lang w:eastAsia="en-US"/>
        </w:rPr>
        <w:fldChar w:fldCharType="begin" w:fldLock="1"/>
      </w:r>
      <w:r w:rsidRPr="00A23882">
        <w:rPr>
          <w:rFonts w:eastAsia="SimSun"/>
          <w:b w:val="0"/>
          <w:sz w:val="24"/>
          <w:szCs w:val="24"/>
          <w:lang w:eastAsia="en-US"/>
        </w:rPr>
        <w:instrText>ADDIN CSL_CITATION {"citationItems":[{"id":"ITEM-1","itemData":{"DOI":"10.1007/978-0-387-46312-4","ISBN":"0387312781","abstract":"The third edition of the established classic text reference, Principles of Fluorescence Spectroscopy, will enhance upon the earlier editions' successes. Organized as a textbook for the learning student or the researcher needing to acquire the core competencies, Principles of Fluorescence Spectroscopy, 3e will maintain the emphasis on basics, while updating the examples to include recent results from the literature. The third edition also includes new chapters on single molecule detection, fluorescence correlation spectroscopy, novel probes and radiative decay engineering.This full-color textbook features the following: Problem sets following every chapter Glossaries of commonly used acronyms and mathematical symbols Appendices containing a list of recommended books which expand on various specialized topics Sections describing advanced topics will indicate as such, to allow these sections to be skipped in an introductory course, allowing the text to be used for classes of different levels Includes CD-ROM of all figures in a low-res format, perfect for use in instruction and presentations Principles of Fluorescence Spectroscopy, 3rd edition, is an essential volume for students, researchers, and industry professionals in biophysics, biochemistry, biotechnology, bioengineering, biology and medicine. About the Author: Dr. Joseph R. Lakowicz is Professor of Biochemistry at the University of Maryland School of Medicine, Baltimore, and Director of the Center for Fluorescence Spectroscopy. Dr. Lakowicz has published over 400 scientific articles, has edited numerous books, holds 16 issued patents, and is the author of the widely used text, Principles of Fluorescence Spectroscopy now in its 3rd edition. © 2006, 1999, 1983 Springer Science+Business Media, LLC.","author":[{"dropping-particle":"","family":"Lakowicz","given":"Joseph R.","non-dropping-particle":"","parse-names":false,"suffix":""}],"container-title":"Principles of Fluorescence Spectroscopy","id":"ITEM-1","issued":{"date-parts":[["2006"]]},"number-of-pages":"1-954","title":"Principles of fluorescence spectroscopy","type":"book"},"uris":["http://www.mendeley.com/documents/?uuid=ac19533f-e015-4e0f-82a3-335464256930"]}],"mendeley":{"formattedCitation":"[29]","plainTextFormattedCitation":"[29]","previouslyFormattedCitation":"[29]"},"properties":{"noteIndex":0},"schema":"https://github.com/citation-style-language/schema/raw/master/csl-citation.json"}</w:instrText>
      </w:r>
      <w:r w:rsidRPr="00A23882">
        <w:rPr>
          <w:rFonts w:eastAsia="SimSun"/>
          <w:b w:val="0"/>
          <w:sz w:val="24"/>
          <w:szCs w:val="24"/>
          <w:lang w:eastAsia="en-US"/>
        </w:rPr>
        <w:fldChar w:fldCharType="separate"/>
      </w:r>
      <w:r w:rsidRPr="00A23882">
        <w:rPr>
          <w:rFonts w:eastAsia="SimSun"/>
          <w:b w:val="0"/>
          <w:noProof/>
          <w:sz w:val="24"/>
          <w:szCs w:val="24"/>
          <w:lang w:eastAsia="en-US"/>
        </w:rPr>
        <w:t>[29]</w:t>
      </w:r>
      <w:r w:rsidRPr="00A23882">
        <w:rPr>
          <w:rFonts w:eastAsia="SimSun"/>
          <w:b w:val="0"/>
          <w:sz w:val="24"/>
          <w:szCs w:val="24"/>
          <w:lang w:eastAsia="en-US"/>
        </w:rPr>
        <w:fldChar w:fldCharType="end"/>
      </w:r>
      <w:r w:rsidRPr="00A23882">
        <w:rPr>
          <w:rFonts w:eastAsia="SimSun"/>
          <w:b w:val="0"/>
          <w:sz w:val="24"/>
          <w:szCs w:val="24"/>
          <w:lang w:eastAsia="en-US"/>
        </w:rPr>
        <w:t>:</w:t>
      </w:r>
    </w:p>
    <w:p w:rsidR="009A4942" w:rsidRDefault="009A4942" w:rsidP="009A4942">
      <w:pPr>
        <w:pStyle w:val="07-Heading-2"/>
        <w:spacing w:before="0" w:after="0" w:line="480" w:lineRule="auto"/>
        <w:rPr>
          <w:rFonts w:eastAsia="SimSun"/>
          <w:b w:val="0"/>
          <w:sz w:val="24"/>
          <w:szCs w:val="24"/>
          <w:lang w:eastAsia="en-US"/>
        </w:rPr>
      </w:pPr>
    </w:p>
    <w:p w:rsidR="001F1458" w:rsidRDefault="001F1458" w:rsidP="009A4942">
      <w:pPr>
        <w:pStyle w:val="07-Heading-2"/>
        <w:spacing w:before="0" w:after="0" w:line="480" w:lineRule="auto"/>
        <w:rPr>
          <w:rFonts w:eastAsia="SimSun"/>
          <w:b w:val="0"/>
          <w:sz w:val="24"/>
          <w:szCs w:val="24"/>
          <w:lang w:eastAsia="en-US"/>
        </w:rPr>
      </w:pPr>
      <w:r w:rsidRPr="00A23882">
        <w:rPr>
          <w:rFonts w:eastAsia="SimSun"/>
          <w:b w:val="0"/>
          <w:sz w:val="24"/>
          <w:szCs w:val="24"/>
          <w:lang w:eastAsia="en-US"/>
        </w:rPr>
        <w:t>F</w:t>
      </w:r>
      <w:r w:rsidRPr="00A23882">
        <w:rPr>
          <w:rFonts w:eastAsia="SimSun"/>
          <w:b w:val="0"/>
          <w:sz w:val="24"/>
          <w:szCs w:val="24"/>
          <w:vertAlign w:val="subscript"/>
          <w:lang w:eastAsia="en-US"/>
        </w:rPr>
        <w:t>corr</w:t>
      </w:r>
      <w:r w:rsidRPr="00A23882">
        <w:rPr>
          <w:rFonts w:eastAsia="SimSun"/>
          <w:b w:val="0"/>
          <w:sz w:val="24"/>
          <w:szCs w:val="24"/>
          <w:lang w:eastAsia="en-US"/>
        </w:rPr>
        <w:t xml:space="preserve"> = F</w:t>
      </w:r>
      <w:r w:rsidRPr="00A23882">
        <w:rPr>
          <w:rFonts w:eastAsia="SimSun"/>
          <w:b w:val="0"/>
          <w:sz w:val="24"/>
          <w:szCs w:val="24"/>
          <w:vertAlign w:val="subscript"/>
          <w:lang w:eastAsia="en-US"/>
        </w:rPr>
        <w:t xml:space="preserve">obs </w:t>
      </w:r>
      <w:r w:rsidRPr="00A23882">
        <w:rPr>
          <w:rFonts w:eastAsia="SimSun"/>
          <w:b w:val="0"/>
          <w:sz w:val="24"/>
          <w:szCs w:val="24"/>
          <w:lang w:eastAsia="en-US"/>
        </w:rPr>
        <w:t>× 10</w:t>
      </w:r>
      <w:r w:rsidRPr="00A23882">
        <w:rPr>
          <w:rFonts w:eastAsia="SimSun"/>
          <w:b w:val="0"/>
          <w:sz w:val="24"/>
          <w:szCs w:val="24"/>
          <w:vertAlign w:val="superscript"/>
          <w:lang w:eastAsia="en-US"/>
        </w:rPr>
        <w:t>(</w:t>
      </w:r>
      <w:r w:rsidR="00E822E2">
        <w:rPr>
          <w:rFonts w:eastAsia="SimSun"/>
          <w:b w:val="0"/>
          <w:sz w:val="24"/>
          <w:szCs w:val="24"/>
          <w:vertAlign w:val="superscript"/>
          <w:lang w:eastAsia="en-US"/>
        </w:rPr>
        <w:t>(</w:t>
      </w:r>
      <w:r w:rsidRPr="00A23882">
        <w:rPr>
          <w:rFonts w:eastAsia="SimSun"/>
          <w:b w:val="0"/>
          <w:sz w:val="24"/>
          <w:szCs w:val="24"/>
          <w:vertAlign w:val="superscript"/>
          <w:lang w:eastAsia="en-US"/>
        </w:rPr>
        <w:t xml:space="preserve">Aλem+Aλex)/2) </w:t>
      </w:r>
      <w:r w:rsidRPr="00A23882">
        <w:rPr>
          <w:rFonts w:eastAsia="SimSun"/>
          <w:b w:val="0"/>
          <w:sz w:val="24"/>
          <w:szCs w:val="24"/>
          <w:lang w:eastAsia="en-US"/>
        </w:rPr>
        <w:tab/>
      </w:r>
      <w:r w:rsidRPr="00A23882">
        <w:rPr>
          <w:rFonts w:eastAsia="SimSun"/>
          <w:b w:val="0"/>
          <w:sz w:val="24"/>
          <w:szCs w:val="24"/>
          <w:lang w:eastAsia="en-US"/>
        </w:rPr>
        <w:tab/>
      </w:r>
      <w:r w:rsidRPr="00A23882">
        <w:rPr>
          <w:rFonts w:eastAsia="SimSun"/>
          <w:b w:val="0"/>
          <w:sz w:val="24"/>
          <w:szCs w:val="24"/>
          <w:lang w:eastAsia="en-US"/>
        </w:rPr>
        <w:tab/>
      </w:r>
      <w:r w:rsidRPr="00A23882">
        <w:rPr>
          <w:rFonts w:eastAsia="SimSun"/>
          <w:b w:val="0"/>
          <w:sz w:val="24"/>
          <w:szCs w:val="24"/>
          <w:lang w:eastAsia="en-US"/>
        </w:rPr>
        <w:tab/>
        <w:t>(1)</w:t>
      </w:r>
    </w:p>
    <w:p w:rsidR="009A4942" w:rsidRPr="00A23882" w:rsidRDefault="009A4942" w:rsidP="009A4942">
      <w:pPr>
        <w:pStyle w:val="07-Heading-2"/>
        <w:spacing w:before="0" w:after="0" w:line="480" w:lineRule="auto"/>
        <w:rPr>
          <w:rFonts w:eastAsia="SimSun"/>
          <w:b w:val="0"/>
          <w:sz w:val="24"/>
          <w:szCs w:val="24"/>
          <w:lang w:eastAsia="en-US"/>
        </w:rPr>
      </w:pPr>
    </w:p>
    <w:p w:rsidR="002A3793" w:rsidRDefault="001F1458" w:rsidP="009A4942">
      <w:pPr>
        <w:pStyle w:val="07-Heading-2"/>
        <w:spacing w:before="0" w:after="0" w:line="480" w:lineRule="auto"/>
        <w:rPr>
          <w:rFonts w:eastAsia="SimSun"/>
          <w:b w:val="0"/>
          <w:sz w:val="24"/>
          <w:szCs w:val="24"/>
          <w:lang w:eastAsia="en-US"/>
        </w:rPr>
      </w:pPr>
      <w:r w:rsidRPr="00A23882">
        <w:rPr>
          <w:rFonts w:eastAsia="SimSun"/>
          <w:b w:val="0"/>
          <w:sz w:val="24"/>
          <w:szCs w:val="24"/>
          <w:lang w:eastAsia="en-US"/>
        </w:rPr>
        <w:t>where F</w:t>
      </w:r>
      <w:r w:rsidRPr="00A23882">
        <w:rPr>
          <w:rFonts w:eastAsia="SimSun"/>
          <w:b w:val="0"/>
          <w:sz w:val="24"/>
          <w:szCs w:val="24"/>
          <w:vertAlign w:val="subscript"/>
          <w:lang w:eastAsia="en-US"/>
        </w:rPr>
        <w:t>corr</w:t>
      </w:r>
      <w:r w:rsidRPr="00A23882">
        <w:rPr>
          <w:rFonts w:eastAsia="SimSun"/>
          <w:b w:val="0"/>
          <w:sz w:val="24"/>
          <w:szCs w:val="24"/>
          <w:lang w:eastAsia="en-US"/>
        </w:rPr>
        <w:t xml:space="preserve"> and F</w:t>
      </w:r>
      <w:r w:rsidRPr="00A23882">
        <w:rPr>
          <w:rFonts w:eastAsia="SimSun"/>
          <w:b w:val="0"/>
          <w:sz w:val="24"/>
          <w:szCs w:val="24"/>
          <w:vertAlign w:val="subscript"/>
          <w:lang w:eastAsia="en-US"/>
        </w:rPr>
        <w:t>obs</w:t>
      </w:r>
      <w:r w:rsidRPr="00A23882">
        <w:rPr>
          <w:rFonts w:eastAsia="SimSun"/>
          <w:b w:val="0"/>
          <w:sz w:val="24"/>
          <w:szCs w:val="24"/>
          <w:lang w:eastAsia="en-US"/>
        </w:rPr>
        <w:t xml:space="preserve"> are respectively the corrected and the observed fluorescence intensities, while A</w:t>
      </w:r>
      <w:r w:rsidRPr="00A23882">
        <w:rPr>
          <w:rFonts w:eastAsia="SimSun"/>
          <w:b w:val="0"/>
          <w:sz w:val="24"/>
          <w:szCs w:val="24"/>
          <w:vertAlign w:val="subscript"/>
          <w:lang w:eastAsia="en-US"/>
        </w:rPr>
        <w:t>λem</w:t>
      </w:r>
      <w:r w:rsidRPr="00A23882">
        <w:rPr>
          <w:rFonts w:eastAsia="SimSun"/>
          <w:b w:val="0"/>
          <w:sz w:val="24"/>
          <w:szCs w:val="24"/>
          <w:lang w:eastAsia="en-US"/>
        </w:rPr>
        <w:t xml:space="preserve"> and A</w:t>
      </w:r>
      <w:r w:rsidRPr="00A23882">
        <w:rPr>
          <w:rFonts w:eastAsia="SimSun"/>
          <w:b w:val="0"/>
          <w:sz w:val="24"/>
          <w:szCs w:val="24"/>
          <w:vertAlign w:val="subscript"/>
          <w:lang w:eastAsia="en-US"/>
        </w:rPr>
        <w:t>λex</w:t>
      </w:r>
      <w:r w:rsidRPr="00A23882">
        <w:rPr>
          <w:rFonts w:eastAsia="SimSun"/>
          <w:b w:val="0"/>
          <w:sz w:val="24"/>
          <w:szCs w:val="24"/>
          <w:lang w:eastAsia="en-US"/>
        </w:rPr>
        <w:t xml:space="preserve"> are the absorbance values respectively at the emission and excitation wavelengths for the absorbing species.</w:t>
      </w:r>
      <w:r>
        <w:rPr>
          <w:rFonts w:eastAsia="SimSun"/>
          <w:b w:val="0"/>
          <w:sz w:val="24"/>
          <w:szCs w:val="24"/>
          <w:lang w:eastAsia="en-US"/>
        </w:rPr>
        <w:t xml:space="preserve"> </w:t>
      </w:r>
      <w:r w:rsidR="002A3793" w:rsidRPr="00A23882">
        <w:rPr>
          <w:rFonts w:eastAsia="SimSun"/>
          <w:b w:val="0"/>
          <w:sz w:val="24"/>
          <w:szCs w:val="24"/>
          <w:lang w:eastAsia="en-US"/>
        </w:rPr>
        <w:t xml:space="preserve">An optimum discussion on the quantification of the bias due to the inner-filter effect can be found in the paper of van de Weert and Stella </w:t>
      </w:r>
      <w:r w:rsidR="002A3793" w:rsidRPr="00A23882">
        <w:rPr>
          <w:rFonts w:eastAsia="SimSun"/>
          <w:b w:val="0"/>
          <w:sz w:val="24"/>
          <w:szCs w:val="24"/>
          <w:lang w:eastAsia="en-US"/>
        </w:rPr>
        <w:fldChar w:fldCharType="begin" w:fldLock="1"/>
      </w:r>
      <w:r w:rsidR="002A3793" w:rsidRPr="00A23882">
        <w:rPr>
          <w:rFonts w:eastAsia="SimSun"/>
          <w:b w:val="0"/>
          <w:sz w:val="24"/>
          <w:szCs w:val="24"/>
          <w:lang w:eastAsia="en-US"/>
        </w:rPr>
        <w:instrText>ADDIN CSL_CITATION {"citationItems":[{"id":"ITEM-1","itemData":{"DOI":"10.1016/j.molstruc.2011.05.023","ISSN":"00222860","abstract":"In recent years fluorescence quenching has become a popular tool to investigate various aspects of ligand binding. Unfortunately, various pitfalls are often overlooked in a large number of papers, published in many different journals. In this criticism we discuss a number of possible mistakes and show how they may affect the data and their analysis. Moreover, we point to problems in the understanding of the fundamentals of fluorescence quenching, and show direct contradictions within many of these papers. This review hopefully contributes to a re-appraisal of the published literature and to a more appropriate use of fluorescence quenching to study ligand binding. © 2011 Elsevier B.V. All rights reserved.","author":[{"dropping-particle":"","family":"Weert","given":"Marco","non-dropping-particle":"Van De","parse-names":false,"suffix":""},{"dropping-particle":"","family":"Stella","given":"Lorenzo","non-dropping-particle":"","parse-names":false,"suffix":""}],"container-title":"Journal of Molecular Structure","id":"ITEM-1","issue":"1-3","issued":{"date-parts":[["2011"]]},"page":"144-150","publisher":"Elsevier B.V.","title":"Fluorescence quenching and ligand binding: A critical discussion of a popular methodology","type":"article-journal","volume":"998"},"uris":["http://www.mendeley.com/documents/?uuid=fa7c363a-c615-4c13-9a8c-2cdf799baf88"]}],"mendeley":{"formattedCitation":"[39]","plainTextFormattedCitation":"[39]","previouslyFormattedCitation":"[39]"},"properties":{"noteIndex":0},"schema":"https://github.com/citation-style-language/schema/raw/master/csl-citation.json"}</w:instrText>
      </w:r>
      <w:r w:rsidR="002A3793" w:rsidRPr="00A23882">
        <w:rPr>
          <w:rFonts w:eastAsia="SimSun"/>
          <w:b w:val="0"/>
          <w:sz w:val="24"/>
          <w:szCs w:val="24"/>
          <w:lang w:eastAsia="en-US"/>
        </w:rPr>
        <w:fldChar w:fldCharType="separate"/>
      </w:r>
      <w:r w:rsidR="002A3793" w:rsidRPr="00A23882">
        <w:rPr>
          <w:rFonts w:eastAsia="SimSun"/>
          <w:b w:val="0"/>
          <w:noProof/>
          <w:sz w:val="24"/>
          <w:szCs w:val="24"/>
          <w:lang w:eastAsia="en-US"/>
        </w:rPr>
        <w:t>[39]</w:t>
      </w:r>
      <w:r w:rsidR="002A3793" w:rsidRPr="00A23882">
        <w:rPr>
          <w:rFonts w:eastAsia="SimSun"/>
          <w:b w:val="0"/>
          <w:sz w:val="24"/>
          <w:szCs w:val="24"/>
          <w:lang w:eastAsia="en-US"/>
        </w:rPr>
        <w:fldChar w:fldCharType="end"/>
      </w:r>
      <w:r w:rsidR="002A3793" w:rsidRPr="00A23882">
        <w:rPr>
          <w:rFonts w:eastAsia="SimSun"/>
          <w:b w:val="0"/>
          <w:sz w:val="24"/>
          <w:szCs w:val="24"/>
          <w:lang w:eastAsia="en-US"/>
        </w:rPr>
        <w:t xml:space="preserve">. In the same paper, it is also clarified that Eq (1) holds in the shown form only for 1 cm path length and supposing that the light beam is focused in the centre of the cuvette; if this is not the case more sophisticated corrections are needed </w:t>
      </w:r>
      <w:r w:rsidR="002A3793" w:rsidRPr="00A23882">
        <w:rPr>
          <w:rFonts w:eastAsia="SimSun"/>
          <w:b w:val="0"/>
          <w:sz w:val="24"/>
          <w:szCs w:val="24"/>
          <w:lang w:eastAsia="en-US"/>
        </w:rPr>
        <w:fldChar w:fldCharType="begin" w:fldLock="1"/>
      </w:r>
      <w:r w:rsidR="002A3793" w:rsidRPr="00A23882">
        <w:rPr>
          <w:rFonts w:eastAsia="SimSun"/>
          <w:b w:val="0"/>
          <w:sz w:val="24"/>
          <w:szCs w:val="24"/>
          <w:lang w:eastAsia="en-US"/>
        </w:rPr>
        <w:instrText>ADDIN CSL_CITATION {"citationItems":[{"id":"ITEM-1","itemData":{"DOI":"10.1021/ac801676j","ISSN":"00032700","abstract":"The most widely used correction of fluorescence intensities for inner filter effects in conventional (90°) fluorimeters fails at high absorbance values. We have critically examined this failure, which is caused by the difference between the geometrical parameters (GPs) of the excitation and emission beams in the typical instrument (focused beams) and in the theoretical picture on which the correction is based (collimated beams). We provide two types of experimental measurement of GPs and show that their substitution in the correction equations leads to significant improvements in the linear range of corrected fluorescence. We also demonstrate that mathematical optimizations give greater improvements and that the optimizations yield GPs consistent with experimental measurements. For solutions exhibiting primary inner filter effect only, we have extended the range of linearity of corrected fluorescence to aex (absorbance per cm) up to 5.3; for systems with both primary and secondary inner filter effects we have achieved linearity for aex + aem = 6.7. In all cases linear fits have slopes which agree well with the dilute limit. Different series of one- and two-solute solutions were used to demonstrate effectiveness of our correction methods. We also provide a rationale for the unexpected independence of GPs on excitation and emission bandwidths. © 2009 American Chemical Society.","author":[{"dropping-particle":"","family":"Gu","given":"Qun","non-dropping-particle":"","parse-names":false,"suffix":""},{"dropping-particle":"","family":"Kenny","given":"Jonathan E.","non-dropping-particle":"","parse-names":false,"suffix":""}],"container-title":"Analytical Chemistry","id":"ITEM-1","issue":"1","issued":{"date-parts":[["2009"]]},"page":"420-426","title":"Improvement of inner filter effect correction based on determination of effective geometric parameters using a conventional fluorimeter","type":"article-journal","volume":"81"},"uris":["http://www.mendeley.com/documents/?uuid=917ab6c1-0a02-4ea2-ab55-a4b36ad4a790"]}],"mendeley":{"formattedCitation":"[40]","plainTextFormattedCitation":"[40]","previouslyFormattedCitation":"[40]"},"properties":{"noteIndex":0},"schema":"https://github.com/citation-style-language/schema/raw/master/csl-citation.json"}</w:instrText>
      </w:r>
      <w:r w:rsidR="002A3793" w:rsidRPr="00A23882">
        <w:rPr>
          <w:rFonts w:eastAsia="SimSun"/>
          <w:b w:val="0"/>
          <w:sz w:val="24"/>
          <w:szCs w:val="24"/>
          <w:lang w:eastAsia="en-US"/>
        </w:rPr>
        <w:fldChar w:fldCharType="separate"/>
      </w:r>
      <w:r w:rsidR="002A3793" w:rsidRPr="00A23882">
        <w:rPr>
          <w:rFonts w:eastAsia="SimSun"/>
          <w:b w:val="0"/>
          <w:noProof/>
          <w:sz w:val="24"/>
          <w:szCs w:val="24"/>
          <w:lang w:eastAsia="en-US"/>
        </w:rPr>
        <w:t>[40]</w:t>
      </w:r>
      <w:r w:rsidR="002A3793" w:rsidRPr="00A23882">
        <w:rPr>
          <w:rFonts w:eastAsia="SimSun"/>
          <w:b w:val="0"/>
          <w:sz w:val="24"/>
          <w:szCs w:val="24"/>
          <w:lang w:eastAsia="en-US"/>
        </w:rPr>
        <w:fldChar w:fldCharType="end"/>
      </w:r>
      <w:r w:rsidR="009A4942">
        <w:rPr>
          <w:rFonts w:eastAsia="SimSun"/>
          <w:b w:val="0"/>
          <w:sz w:val="24"/>
          <w:szCs w:val="24"/>
          <w:lang w:eastAsia="en-US"/>
        </w:rPr>
        <w:t xml:space="preserve">. </w:t>
      </w:r>
      <w:r w:rsidR="002A3793" w:rsidRPr="00A23882">
        <w:rPr>
          <w:rFonts w:eastAsia="SimSun"/>
          <w:b w:val="0"/>
          <w:sz w:val="24"/>
          <w:szCs w:val="24"/>
          <w:lang w:eastAsia="en-US"/>
        </w:rPr>
        <w:t xml:space="preserve">However, this mathematical correction can be intended as robust only in the presence of small signal distortion due to the inner-filter effect. In the presence of highly perturbed signals, the use of Eq. (1) might not solve the problem and the precision on the determination of the equilibrium constant (K) will be lowered. This needs to be considered when producing K with a certain number of </w:t>
      </w:r>
      <w:r w:rsidR="002A3793" w:rsidRPr="00A23882">
        <w:rPr>
          <w:b w:val="0"/>
          <w:bCs/>
          <w:sz w:val="24"/>
          <w:szCs w:val="24"/>
        </w:rPr>
        <w:t>significant digits.</w:t>
      </w:r>
      <w:r w:rsidR="002A3793" w:rsidRPr="00A23882">
        <w:rPr>
          <w:rFonts w:eastAsia="SimSun"/>
          <w:b w:val="0"/>
          <w:sz w:val="24"/>
          <w:szCs w:val="24"/>
          <w:lang w:eastAsia="en-US"/>
        </w:rPr>
        <w:t xml:space="preserve"> Control in particular of the light absorbance at </w:t>
      </w:r>
      <w:r w:rsidR="00A82A57" w:rsidRPr="0051736E">
        <w:rPr>
          <w:rFonts w:ascii="Symbol" w:eastAsia="SimSun" w:hAnsi="Symbol"/>
          <w:b w:val="0"/>
          <w:sz w:val="22"/>
          <w:szCs w:val="24"/>
          <w:lang w:eastAsia="en-US"/>
        </w:rPr>
        <w:t></w:t>
      </w:r>
      <w:r w:rsidR="002A3793" w:rsidRPr="00A23882">
        <w:rPr>
          <w:rFonts w:eastAsia="SimSun"/>
          <w:b w:val="0"/>
          <w:sz w:val="24"/>
          <w:szCs w:val="24"/>
          <w:vertAlign w:val="subscript"/>
          <w:lang w:eastAsia="en-US"/>
        </w:rPr>
        <w:t>ex</w:t>
      </w:r>
      <w:r w:rsidR="002A3793" w:rsidRPr="00A23882">
        <w:rPr>
          <w:rFonts w:eastAsia="SimSun"/>
          <w:b w:val="0"/>
          <w:sz w:val="24"/>
          <w:szCs w:val="24"/>
          <w:lang w:eastAsia="en-US"/>
        </w:rPr>
        <w:t xml:space="preserve"> by </w:t>
      </w:r>
      <w:r w:rsidR="002A3793" w:rsidRPr="00A23882">
        <w:rPr>
          <w:rFonts w:eastAsia="SimSun"/>
          <w:sz w:val="24"/>
          <w:szCs w:val="24"/>
          <w:lang w:eastAsia="en-US"/>
        </w:rPr>
        <w:t>T</w:t>
      </w:r>
      <w:r w:rsidR="002A3793" w:rsidRPr="00A23882">
        <w:rPr>
          <w:rFonts w:eastAsia="SimSun"/>
          <w:b w:val="0"/>
          <w:sz w:val="24"/>
          <w:szCs w:val="24"/>
          <w:lang w:eastAsia="en-US"/>
        </w:rPr>
        <w:t xml:space="preserve"> is needed. For instance, a rough threshold for </w:t>
      </w:r>
      <w:r w:rsidR="002A3793" w:rsidRPr="00A23882">
        <w:rPr>
          <w:rFonts w:eastAsia="SimSun"/>
          <w:sz w:val="24"/>
          <w:szCs w:val="24"/>
          <w:lang w:eastAsia="en-US"/>
        </w:rPr>
        <w:t>T</w:t>
      </w:r>
      <w:r w:rsidR="002A3793" w:rsidRPr="00A23882">
        <w:rPr>
          <w:rFonts w:eastAsia="SimSun"/>
          <w:b w:val="0"/>
          <w:sz w:val="24"/>
          <w:szCs w:val="24"/>
          <w:lang w:eastAsia="en-US"/>
        </w:rPr>
        <w:t xml:space="preserve"> maximum concentration during the titrations might be A &lt; 0.1, where A is the absorbance of </w:t>
      </w:r>
      <w:r w:rsidR="002A3793" w:rsidRPr="00A23882">
        <w:rPr>
          <w:rFonts w:eastAsia="SimSun"/>
          <w:sz w:val="24"/>
          <w:szCs w:val="24"/>
          <w:lang w:eastAsia="en-US"/>
        </w:rPr>
        <w:t>T</w:t>
      </w:r>
      <w:r w:rsidR="002A3793" w:rsidRPr="00A23882">
        <w:rPr>
          <w:rFonts w:eastAsia="SimSun"/>
          <w:b w:val="0"/>
          <w:sz w:val="24"/>
          <w:szCs w:val="24"/>
          <w:lang w:eastAsia="en-US"/>
        </w:rPr>
        <w:t xml:space="preserve"> at </w:t>
      </w:r>
      <w:r w:rsidR="00A82A57" w:rsidRPr="0051736E">
        <w:rPr>
          <w:rFonts w:ascii="Symbol" w:eastAsia="SimSun" w:hAnsi="Symbol"/>
          <w:b w:val="0"/>
          <w:sz w:val="22"/>
          <w:szCs w:val="24"/>
          <w:lang w:eastAsia="en-US"/>
        </w:rPr>
        <w:t></w:t>
      </w:r>
      <w:r w:rsidR="002A3793" w:rsidRPr="00A23882">
        <w:rPr>
          <w:rFonts w:eastAsia="SimSun"/>
          <w:b w:val="0"/>
          <w:sz w:val="24"/>
          <w:szCs w:val="24"/>
          <w:vertAlign w:val="subscript"/>
          <w:lang w:eastAsia="en-US"/>
        </w:rPr>
        <w:t>ex</w:t>
      </w:r>
      <w:r w:rsidR="002A3793" w:rsidRPr="00A23882">
        <w:rPr>
          <w:rFonts w:eastAsia="SimSun"/>
          <w:b w:val="0"/>
          <w:sz w:val="24"/>
          <w:szCs w:val="24"/>
          <w:lang w:eastAsia="en-US"/>
        </w:rPr>
        <w:t xml:space="preserve">. If this holds, only 10% maximum of the incident beam for exciting BSA is disturbed by the presence of </w:t>
      </w:r>
      <w:r w:rsidR="002A3793" w:rsidRPr="00A23882">
        <w:rPr>
          <w:rFonts w:eastAsia="SimSun"/>
          <w:sz w:val="24"/>
          <w:szCs w:val="24"/>
          <w:lang w:eastAsia="en-US"/>
        </w:rPr>
        <w:t>T</w:t>
      </w:r>
      <w:r w:rsidR="002A3793" w:rsidRPr="00A23882">
        <w:rPr>
          <w:rFonts w:eastAsia="SimSun"/>
          <w:b w:val="0"/>
          <w:sz w:val="24"/>
          <w:szCs w:val="24"/>
          <w:lang w:eastAsia="en-US"/>
        </w:rPr>
        <w:t xml:space="preserve">. Inner filter effects might occur even if the emitted light by BSA is re-adsorbed by </w:t>
      </w:r>
      <w:r w:rsidR="002A3793" w:rsidRPr="00A23882">
        <w:rPr>
          <w:rFonts w:eastAsia="SimSun"/>
          <w:sz w:val="24"/>
          <w:szCs w:val="24"/>
          <w:lang w:eastAsia="en-US"/>
        </w:rPr>
        <w:t xml:space="preserve">T </w:t>
      </w:r>
      <w:r w:rsidR="002A3793" w:rsidRPr="00A23882">
        <w:rPr>
          <w:rFonts w:eastAsia="SimSun"/>
          <w:b w:val="0"/>
          <w:sz w:val="24"/>
          <w:szCs w:val="24"/>
          <w:lang w:eastAsia="en-US"/>
        </w:rPr>
        <w:t xml:space="preserve">excess (Figure 3). However, if </w:t>
      </w:r>
      <w:r w:rsidR="002A3793" w:rsidRPr="00A23882">
        <w:rPr>
          <w:rFonts w:eastAsia="SimSun"/>
          <w:sz w:val="24"/>
          <w:szCs w:val="24"/>
          <w:lang w:eastAsia="en-US"/>
        </w:rPr>
        <w:t>T</w:t>
      </w:r>
      <w:r w:rsidR="002A3793" w:rsidRPr="00A23882">
        <w:rPr>
          <w:rFonts w:eastAsia="SimSun"/>
          <w:b w:val="0"/>
          <w:sz w:val="24"/>
          <w:szCs w:val="24"/>
          <w:lang w:eastAsia="en-US"/>
        </w:rPr>
        <w:t xml:space="preserve"> (as it usually happens) is a UV-absorbing (&lt; 300 nm) non-fluorescent species, the problem on </w:t>
      </w:r>
      <w:r w:rsidR="00A82A57" w:rsidRPr="0051736E">
        <w:rPr>
          <w:rFonts w:ascii="Symbol" w:eastAsia="SimSun" w:hAnsi="Symbol"/>
          <w:b w:val="0"/>
          <w:sz w:val="22"/>
          <w:szCs w:val="24"/>
          <w:lang w:eastAsia="en-US"/>
        </w:rPr>
        <w:t></w:t>
      </w:r>
      <w:r w:rsidR="002A3793" w:rsidRPr="00A23882">
        <w:rPr>
          <w:rFonts w:eastAsia="SimSun"/>
          <w:b w:val="0"/>
          <w:sz w:val="24"/>
          <w:szCs w:val="24"/>
          <w:vertAlign w:val="subscript"/>
          <w:lang w:eastAsia="en-US"/>
        </w:rPr>
        <w:t>em</w:t>
      </w:r>
      <w:r w:rsidR="002A3793" w:rsidRPr="00A23882">
        <w:rPr>
          <w:rFonts w:eastAsia="SimSun"/>
          <w:b w:val="0"/>
          <w:sz w:val="24"/>
          <w:szCs w:val="24"/>
          <w:lang w:eastAsia="en-US"/>
        </w:rPr>
        <w:t xml:space="preserve"> (and its contribution to the correction according to Eq. (1)) will be much l</w:t>
      </w:r>
      <w:r w:rsidR="005F79EE">
        <w:rPr>
          <w:rFonts w:eastAsia="SimSun"/>
          <w:b w:val="0"/>
          <w:sz w:val="24"/>
          <w:szCs w:val="24"/>
          <w:lang w:eastAsia="en-US"/>
        </w:rPr>
        <w:t xml:space="preserve">ess critical than the check on </w:t>
      </w:r>
      <w:r w:rsidR="005F79EE" w:rsidRPr="0051736E">
        <w:rPr>
          <w:rFonts w:ascii="Symbol" w:eastAsia="SimSun" w:hAnsi="Symbol"/>
          <w:b w:val="0"/>
          <w:sz w:val="22"/>
          <w:szCs w:val="24"/>
          <w:lang w:eastAsia="en-US"/>
        </w:rPr>
        <w:t></w:t>
      </w:r>
      <w:r w:rsidR="002A3793" w:rsidRPr="00A23882">
        <w:rPr>
          <w:rFonts w:eastAsia="SimSun"/>
          <w:b w:val="0"/>
          <w:sz w:val="24"/>
          <w:szCs w:val="24"/>
          <w:vertAlign w:val="subscript"/>
          <w:lang w:eastAsia="en-US"/>
        </w:rPr>
        <w:t>ex</w:t>
      </w:r>
      <w:r w:rsidR="002A3793" w:rsidRPr="00A23882">
        <w:rPr>
          <w:rFonts w:eastAsia="SimSun"/>
          <w:b w:val="0"/>
          <w:sz w:val="24"/>
          <w:szCs w:val="24"/>
          <w:lang w:eastAsia="en-US"/>
        </w:rPr>
        <w:t xml:space="preserve"> (see Figure 1). </w:t>
      </w:r>
    </w:p>
    <w:p w:rsidR="009A4942" w:rsidRPr="00A23882" w:rsidRDefault="009A4942" w:rsidP="009A4942">
      <w:pPr>
        <w:pStyle w:val="07-Heading-2"/>
        <w:spacing w:before="0" w:after="0" w:line="480" w:lineRule="auto"/>
        <w:rPr>
          <w:rFonts w:eastAsia="SimSun"/>
          <w:b w:val="0"/>
          <w:sz w:val="24"/>
          <w:szCs w:val="24"/>
          <w:lang w:eastAsia="en-US"/>
        </w:rPr>
      </w:pPr>
    </w:p>
    <w:p w:rsidR="002A3793" w:rsidRPr="00A23882" w:rsidRDefault="002A3793" w:rsidP="00A23882">
      <w:pPr>
        <w:pStyle w:val="07-Heading-2"/>
        <w:spacing w:line="480" w:lineRule="auto"/>
        <w:rPr>
          <w:rFonts w:eastAsia="SimSun"/>
          <w:b w:val="0"/>
          <w:sz w:val="24"/>
          <w:szCs w:val="24"/>
          <w:lang w:eastAsia="en-US"/>
        </w:rPr>
      </w:pPr>
    </w:p>
    <w:p w:rsidR="002A3793" w:rsidRPr="00A23882" w:rsidRDefault="002A3793" w:rsidP="00A23882">
      <w:pPr>
        <w:pStyle w:val="07-Heading-2"/>
        <w:spacing w:line="480" w:lineRule="auto"/>
        <w:rPr>
          <w:rFonts w:eastAsia="SimSun"/>
          <w:sz w:val="24"/>
          <w:szCs w:val="24"/>
          <w:lang w:val="en-GB" w:eastAsia="en-US"/>
        </w:rPr>
      </w:pPr>
    </w:p>
    <w:p w:rsidR="002A3793" w:rsidRDefault="003118E8" w:rsidP="00A23882">
      <w:pPr>
        <w:pStyle w:val="07-Heading-2"/>
        <w:spacing w:line="480" w:lineRule="auto"/>
        <w:rPr>
          <w:rFonts w:eastAsia="SimSun"/>
          <w:sz w:val="24"/>
          <w:szCs w:val="24"/>
          <w:lang w:val="en-GB" w:eastAsia="en-US"/>
        </w:rPr>
      </w:pPr>
      <w:r>
        <w:rPr>
          <w:rFonts w:eastAsia="SimSun"/>
          <w:noProof/>
          <w:sz w:val="24"/>
          <w:szCs w:val="24"/>
          <w:lang w:val="en-GB" w:eastAsia="en-GB"/>
        </w:rPr>
        <w:lastRenderedPageBreak/>
        <w:object w:dxaOrig="1440" w:dyaOrig="1440">
          <v:shape id="_x0000_s1085" type="#_x0000_t75" style="position:absolute;left:0;text-align:left;margin-left:118.3pt;margin-top:-25.4pt;width:228.05pt;height:174.35pt;z-index:-251647488" wrapcoords="2061 2048 2061 2700 2984 3538 3695 3538 3695 5028 2345 5679 1989 5959 2061 6517 3695 8007 1137 8566 995 9031 1492 9497 995 9590 1066 11824 3695 12476 1989 13686 2061 14245 2771 14897 3695 15455 3695 16945 2984 17503 2984 18062 4476 18434 4476 19179 7318 19924 10232 20390 10658 20390 12150 20390 12292 19924 15134 19924 19184 19086 19113 18434 19966 18062 19895 17317 18616 16945 18758 15455 19966 14152 19966 13966 21174 13314 21032 12476 20747 12476 21032 11824 20534 10986 20961 10614 20889 10055 20392 9497 20889 9217 21032 6890 19895 6517 20037 6052 19824 5772 18616 5028 18616 3538 19042 3538 19966 2514 19895 2048 2061 2048">
            <v:imagedata r:id="rId13" o:title=""/>
            <w10:wrap type="tight"/>
          </v:shape>
          <o:OLEObject Type="Embed" ProgID="Origin50.Graph" ShapeID="_x0000_s1085" DrawAspect="Content" ObjectID="_1660750237" r:id="rId14"/>
        </w:object>
      </w:r>
    </w:p>
    <w:p w:rsidR="00FB7579" w:rsidRPr="00A23882" w:rsidRDefault="00FB7579" w:rsidP="00A23882">
      <w:pPr>
        <w:pStyle w:val="07-Heading-2"/>
        <w:spacing w:line="480" w:lineRule="auto"/>
        <w:rPr>
          <w:rFonts w:eastAsia="SimSun"/>
          <w:sz w:val="24"/>
          <w:szCs w:val="24"/>
          <w:lang w:val="en-GB" w:eastAsia="en-US"/>
        </w:rPr>
      </w:pPr>
    </w:p>
    <w:p w:rsidR="002A3793" w:rsidRPr="00A23882" w:rsidRDefault="002A3793" w:rsidP="00A23882">
      <w:pPr>
        <w:pStyle w:val="07-Heading-2"/>
        <w:spacing w:line="480" w:lineRule="auto"/>
        <w:rPr>
          <w:rFonts w:eastAsia="SimSun"/>
          <w:sz w:val="24"/>
          <w:szCs w:val="24"/>
          <w:lang w:val="en-GB" w:eastAsia="en-US"/>
        </w:rPr>
      </w:pPr>
    </w:p>
    <w:p w:rsidR="002A3793" w:rsidRPr="00A23882" w:rsidRDefault="002A3793" w:rsidP="00A23882">
      <w:pPr>
        <w:pStyle w:val="07-Heading-2"/>
        <w:spacing w:line="480" w:lineRule="auto"/>
        <w:rPr>
          <w:rFonts w:eastAsia="SimSun"/>
          <w:sz w:val="24"/>
          <w:szCs w:val="24"/>
          <w:lang w:val="en-GB" w:eastAsia="en-US"/>
        </w:rPr>
      </w:pPr>
    </w:p>
    <w:p w:rsidR="009A4942" w:rsidRDefault="009A4942" w:rsidP="00A23882">
      <w:pPr>
        <w:pStyle w:val="07-Heading-2"/>
        <w:spacing w:line="480" w:lineRule="auto"/>
        <w:rPr>
          <w:rFonts w:eastAsia="SimSun"/>
          <w:sz w:val="22"/>
          <w:szCs w:val="24"/>
          <w:lang w:val="en-GB" w:eastAsia="en-US"/>
        </w:rPr>
      </w:pPr>
    </w:p>
    <w:p w:rsidR="002A3793" w:rsidRPr="00FB7579" w:rsidRDefault="002A3793" w:rsidP="00A23882">
      <w:pPr>
        <w:pStyle w:val="07-Heading-2"/>
        <w:spacing w:line="480" w:lineRule="auto"/>
        <w:rPr>
          <w:rFonts w:eastAsia="SimSun"/>
          <w:b w:val="0"/>
          <w:sz w:val="22"/>
          <w:szCs w:val="24"/>
          <w:lang w:val="en-GB" w:eastAsia="en-US"/>
        </w:rPr>
      </w:pPr>
      <w:r w:rsidRPr="00FB7579">
        <w:rPr>
          <w:rFonts w:eastAsia="SimSun"/>
          <w:sz w:val="22"/>
          <w:szCs w:val="24"/>
          <w:lang w:val="en-GB" w:eastAsia="en-US"/>
        </w:rPr>
        <w:t>Figure 3</w:t>
      </w:r>
      <w:r w:rsidRPr="00FB7579">
        <w:rPr>
          <w:rFonts w:eastAsia="SimSun"/>
          <w:b w:val="0"/>
          <w:sz w:val="22"/>
          <w:szCs w:val="24"/>
          <w:lang w:val="en-GB" w:eastAsia="en-US"/>
        </w:rPr>
        <w:t xml:space="preserve"> – Fluorescence titration for the diquat pesticide/BSA system (unpublished results by the authors);</w:t>
      </w:r>
      <w:r w:rsidRPr="00FB7579">
        <w:rPr>
          <w:b w:val="0"/>
          <w:sz w:val="22"/>
          <w:szCs w:val="24"/>
        </w:rPr>
        <w:t xml:space="preserve"> C</w:t>
      </w:r>
      <w:r w:rsidRPr="00FB7579">
        <w:rPr>
          <w:b w:val="0"/>
          <w:sz w:val="22"/>
          <w:szCs w:val="24"/>
          <w:vertAlign w:val="subscript"/>
        </w:rPr>
        <w:t>BSA</w:t>
      </w:r>
      <w:r w:rsidRPr="00FB7579">
        <w:rPr>
          <w:b w:val="0"/>
          <w:sz w:val="22"/>
          <w:szCs w:val="24"/>
        </w:rPr>
        <w:t xml:space="preserve"> = 3.1×10</w:t>
      </w:r>
      <w:r w:rsidRPr="00FB7579">
        <w:rPr>
          <w:b w:val="0"/>
          <w:sz w:val="22"/>
          <w:szCs w:val="24"/>
          <w:vertAlign w:val="superscript"/>
        </w:rPr>
        <w:t>-7</w:t>
      </w:r>
      <w:r w:rsidRPr="00FB7579">
        <w:rPr>
          <w:b w:val="0"/>
          <w:sz w:val="22"/>
          <w:szCs w:val="24"/>
        </w:rPr>
        <w:t xml:space="preserve"> M, Cdiquat from 0 to 3.33×10</w:t>
      </w:r>
      <w:r w:rsidRPr="00FB7579">
        <w:rPr>
          <w:b w:val="0"/>
          <w:sz w:val="22"/>
          <w:szCs w:val="24"/>
          <w:vertAlign w:val="superscript"/>
        </w:rPr>
        <w:t>-5</w:t>
      </w:r>
      <w:r w:rsidRPr="00FB7579">
        <w:rPr>
          <w:b w:val="0"/>
          <w:sz w:val="22"/>
          <w:szCs w:val="24"/>
        </w:rPr>
        <w:t xml:space="preserve"> M (arrow is </w:t>
      </w:r>
      <w:r w:rsidRPr="00FB7579">
        <w:rPr>
          <w:sz w:val="22"/>
          <w:szCs w:val="24"/>
        </w:rPr>
        <w:t>T</w:t>
      </w:r>
      <w:r w:rsidRPr="00FB7579">
        <w:rPr>
          <w:b w:val="0"/>
          <w:sz w:val="22"/>
          <w:szCs w:val="24"/>
        </w:rPr>
        <w:t xml:space="preserve"> increase), </w:t>
      </w:r>
      <w:r w:rsidRPr="00FB7579">
        <w:rPr>
          <w:rFonts w:eastAsia="SimSun"/>
          <w:b w:val="0"/>
          <w:sz w:val="22"/>
          <w:szCs w:val="24"/>
          <w:lang w:val="en-GB" w:eastAsia="en-US"/>
        </w:rPr>
        <w:t xml:space="preserve">[NaCl] = 0.1 M, [NaCac] = 2.5 mM, pH 7.0, 25.0 °C, </w:t>
      </w:r>
      <w:r w:rsidR="005F79EE" w:rsidRPr="0051736E">
        <w:rPr>
          <w:rFonts w:ascii="Symbol" w:eastAsia="SimSun" w:hAnsi="Symbol"/>
          <w:b w:val="0"/>
          <w:sz w:val="22"/>
          <w:szCs w:val="24"/>
          <w:lang w:eastAsia="en-US"/>
        </w:rPr>
        <w:t></w:t>
      </w:r>
      <w:r w:rsidRPr="00FB7579">
        <w:rPr>
          <w:rFonts w:eastAsia="SimSun"/>
          <w:b w:val="0"/>
          <w:sz w:val="22"/>
          <w:szCs w:val="24"/>
          <w:vertAlign w:val="subscript"/>
          <w:lang w:eastAsia="en-US"/>
        </w:rPr>
        <w:t xml:space="preserve">ex </w:t>
      </w:r>
      <w:r w:rsidRPr="00FB7579">
        <w:rPr>
          <w:rFonts w:eastAsia="SimSun"/>
          <w:b w:val="0"/>
          <w:sz w:val="22"/>
          <w:szCs w:val="24"/>
          <w:lang w:eastAsia="en-US"/>
        </w:rPr>
        <w:t xml:space="preserve">= 280 nm, </w:t>
      </w:r>
      <w:r w:rsidR="005F79EE" w:rsidRPr="0051736E">
        <w:rPr>
          <w:rFonts w:ascii="Symbol" w:eastAsia="SimSun" w:hAnsi="Symbol"/>
          <w:b w:val="0"/>
          <w:sz w:val="22"/>
          <w:szCs w:val="24"/>
          <w:lang w:eastAsia="en-US"/>
        </w:rPr>
        <w:t></w:t>
      </w:r>
      <w:r w:rsidRPr="00FB7579">
        <w:rPr>
          <w:rFonts w:eastAsia="SimSun"/>
          <w:b w:val="0"/>
          <w:sz w:val="22"/>
          <w:szCs w:val="24"/>
          <w:vertAlign w:val="subscript"/>
          <w:lang w:eastAsia="en-US"/>
        </w:rPr>
        <w:t>em</w:t>
      </w:r>
      <w:r w:rsidRPr="00FB7579">
        <w:rPr>
          <w:rFonts w:eastAsia="SimSun"/>
          <w:b w:val="0"/>
          <w:sz w:val="22"/>
          <w:szCs w:val="24"/>
          <w:lang w:val="en-GB" w:eastAsia="en-US"/>
        </w:rPr>
        <w:t xml:space="preserve"> = 330 nm. Right axis and blue dashed spectrum refer to the molar extinction coefficient of diquat whose addition produces BSA emission spectrum distortion (grey area).</w:t>
      </w:r>
    </w:p>
    <w:p w:rsidR="002A3793" w:rsidRPr="00A23882" w:rsidRDefault="002A3793" w:rsidP="00A23882">
      <w:pPr>
        <w:pStyle w:val="07-Heading-2"/>
        <w:spacing w:line="480" w:lineRule="auto"/>
        <w:rPr>
          <w:rFonts w:eastAsia="SimSun"/>
          <w:b w:val="0"/>
          <w:sz w:val="24"/>
          <w:szCs w:val="24"/>
          <w:lang w:eastAsia="en-US"/>
        </w:rPr>
      </w:pPr>
    </w:p>
    <w:p w:rsidR="002A3793" w:rsidRPr="00A23882" w:rsidRDefault="002A3793" w:rsidP="00A23882">
      <w:pPr>
        <w:pStyle w:val="06-Heading-1"/>
        <w:spacing w:line="480" w:lineRule="auto"/>
        <w:rPr>
          <w:sz w:val="24"/>
          <w:szCs w:val="24"/>
        </w:rPr>
      </w:pPr>
      <w:r w:rsidRPr="00A23882">
        <w:rPr>
          <w:sz w:val="24"/>
          <w:szCs w:val="24"/>
        </w:rPr>
        <w:t>3. COLLISIONAL and non-collisional quenching</w:t>
      </w:r>
    </w:p>
    <w:p w:rsidR="002A3793" w:rsidRDefault="002A3793" w:rsidP="009A4942">
      <w:pPr>
        <w:pStyle w:val="05-ArticleText"/>
        <w:spacing w:after="0" w:line="480" w:lineRule="auto"/>
        <w:rPr>
          <w:sz w:val="24"/>
          <w:szCs w:val="24"/>
        </w:rPr>
      </w:pPr>
      <w:r w:rsidRPr="00A23882">
        <w:rPr>
          <w:sz w:val="24"/>
          <w:szCs w:val="24"/>
        </w:rPr>
        <w:t xml:space="preserve">Protein fluorescence can be quenched by a ligand when the distance between the ligand and the protein’s fluorophore is smaller than 10 nm </w:t>
      </w:r>
      <w:r w:rsidRPr="00A23882">
        <w:rPr>
          <w:sz w:val="24"/>
          <w:szCs w:val="24"/>
        </w:rPr>
        <w:fldChar w:fldCharType="begin" w:fldLock="1"/>
      </w:r>
      <w:r w:rsidRPr="00A23882">
        <w:rPr>
          <w:sz w:val="24"/>
          <w:szCs w:val="24"/>
        </w:rPr>
        <w:instrText>ADDIN CSL_CITATION {"citationItems":[{"id":"ITEM-1","itemData":{"DOI":"10.1002/3527600248","ISBN":"352729919X","PMID":"3385","abstract":"Today, fluorescence spectroscopy is an important tool of investigation in many areas. In analytical sciences, its advantage is extremely high sensitivity and selectivity - even single molecules can be detected - and it achieves a high spatial resolution and time resolution in combination with microscopic techniques or laser techniques, respectively. In material sciences, this is used to study structure and dynamics of surfaces. Particularly in the areas of biochemistry and molecular genetics, fluorescence spectroscopy has become a dominating technique. Together with the latest imaging techniques, fluorescence spectroscopy allows a real-time observation of the dynamics of intact biological systems with an unprecedented resolution. This book offers a comprehensive introduction to and survey of fluorescence spectroscopy. It is written for newcomers and active researchers alike who are learning to apply fluorescence methods in the areas of chemistry, physical chemistry, polymers, materials, colloids, biochemistry, biology, medical and pharmaceutical research.","author":[{"dropping-particle":"","family":"Valeur","given":"Bernard","non-dropping-particle":"","parse-names":false,"suffix":""}],"container-title":"Methods","id":"ITEM-1","issued":{"date-parts":[["2001"]]},"title":"Molecular Fluorescence - Principles and Applications","type":"book"},"uris":["http://www.mendeley.com/documents/?uuid=84e31858-ad6e-4052-bbc4-0de0a567a43c"]}],"mendeley":{"formattedCitation":"[41]","plainTextFormattedCitation":"[41]","previouslyFormattedCitation":"[41]"},"properties":{"noteIndex":0},"schema":"https://github.com/citation-style-language/schema/raw/master/csl-citation.json"}</w:instrText>
      </w:r>
      <w:r w:rsidRPr="00A23882">
        <w:rPr>
          <w:sz w:val="24"/>
          <w:szCs w:val="24"/>
        </w:rPr>
        <w:fldChar w:fldCharType="separate"/>
      </w:r>
      <w:r w:rsidRPr="00A23882">
        <w:rPr>
          <w:noProof/>
          <w:sz w:val="24"/>
          <w:szCs w:val="24"/>
        </w:rPr>
        <w:t>[41]</w:t>
      </w:r>
      <w:r w:rsidRPr="00A23882">
        <w:rPr>
          <w:sz w:val="24"/>
          <w:szCs w:val="24"/>
        </w:rPr>
        <w:fldChar w:fldCharType="end"/>
      </w:r>
      <w:r w:rsidRPr="00A23882">
        <w:rPr>
          <w:sz w:val="24"/>
          <w:szCs w:val="24"/>
        </w:rPr>
        <w:t xml:space="preserve">. Therefore, a decrease in the fluorescence intensity of BSA upon the addition of </w:t>
      </w:r>
      <w:r w:rsidRPr="00A23882">
        <w:rPr>
          <w:b/>
          <w:sz w:val="24"/>
          <w:szCs w:val="24"/>
        </w:rPr>
        <w:t>T</w:t>
      </w:r>
      <w:r w:rsidRPr="00A23882">
        <w:rPr>
          <w:sz w:val="24"/>
          <w:szCs w:val="24"/>
        </w:rPr>
        <w:t xml:space="preserve"> </w:t>
      </w:r>
      <w:r w:rsidRPr="00A23882">
        <w:rPr>
          <w:i/>
          <w:sz w:val="24"/>
          <w:szCs w:val="24"/>
        </w:rPr>
        <w:t xml:space="preserve">may </w:t>
      </w:r>
      <w:r w:rsidRPr="00A23882">
        <w:rPr>
          <w:sz w:val="24"/>
          <w:szCs w:val="24"/>
        </w:rPr>
        <w:t xml:space="preserve">indicate that interaction does occur. Moreover, shifts in the emission maximum are related to changes in the hydrophobicity of the environment around the tryptophan residues </w:t>
      </w:r>
      <w:r w:rsidRPr="00A23882">
        <w:rPr>
          <w:sz w:val="24"/>
          <w:szCs w:val="24"/>
        </w:rPr>
        <w:fldChar w:fldCharType="begin" w:fldLock="1"/>
      </w:r>
      <w:r w:rsidRPr="00A23882">
        <w:rPr>
          <w:sz w:val="24"/>
          <w:szCs w:val="24"/>
        </w:rPr>
        <w:instrText>ADDIN CSL_CITATION {"citationItems":[{"id":"ITEM-1","itemData":{"DOI":"10.1016/j.saa.2012.02.060","ISSN":"13861425","abstract":"It has been spectroscopically monitored that a mononuclear nickel(II)-Schiff base complex {[NiL]·CH 3OH = NSC} exhibits greater binding affinity for bovine serum albumin (BSA) than that of its human counterpart (HSA). Moreover the modes of binding of NSC with the two serum albumins also differ significantly. Docking studies predict a relatively rare type of 'superficial binding' of NSC at domain IIB of HSA with certain mobility whereas for BSA such phenomena has not been detected. The mobile nature of NSC at domain IIB of HSA has been well correlated with the spectroscopic results. It is to be noted that thermodynamic parameters for the NSC interaction also differ for the two serum albumins. Occurrence of energy transfer between the donor (Trp of BSA and HSA) and acceptor (NSC) has been obtained by means of Förster resonance energy transfer (FRET). The protein stability on NSC binding has also been experimented by the GuHCl-induced protein unfolding studies. Interestingly it has been found that NSC-HSA interaction enhances the protein stability whereas NSC-BSA binding has no such impact. Such observations are indicative of the fact that the conformation of NSC is responsible in recognizing the two serum albumins and selectively enhancing protein stability. © 2012 Elsevier B.V. All rights reserved.","author":[{"dropping-particle":"","family":"Ray","given":"Aurkie","non-dropping-particle":"","parse-names":false,"suffix":""},{"dropping-particle":"","family":"Koley Seth","given":"Banabithi","non-dropping-particle":"","parse-names":false,"suffix":""},{"dropping-particle":"","family":"Pal","given":"Uttam","non-dropping-particle":"","parse-names":false,"suffix":""},{"dropping-particle":"","family":"Basu","given":"Samita","non-dropping-particle":"","parse-names":false,"suffix":""}],"container-title":"Spectrochimica Acta - Part A: Molecular and Biomolecular Spectroscopy","id":"ITEM-1","issued":{"date-parts":[["2012"]]},"page":"164-174","publisher":"Elsevier B.V.","title":"Nickel(II)-Schiff base complex recognizing domain II of bovine and human serum albumin: Spectroscopic and docking studies","type":"article-journal","volume":"92"},"uris":["http://www.mendeley.com/documents/?uuid=7d053855-57b2-4934-a100-031b505d87eb"]}],"mendeley":{"formattedCitation":"[42]","plainTextFormattedCitation":"[42]","previouslyFormattedCitation":"[42]"},"properties":{"noteIndex":0},"schema":"https://github.com/citation-style-language/schema/raw/master/csl-citation.json"}</w:instrText>
      </w:r>
      <w:r w:rsidRPr="00A23882">
        <w:rPr>
          <w:sz w:val="24"/>
          <w:szCs w:val="24"/>
        </w:rPr>
        <w:fldChar w:fldCharType="separate"/>
      </w:r>
      <w:r w:rsidRPr="00A23882">
        <w:rPr>
          <w:noProof/>
          <w:sz w:val="24"/>
          <w:szCs w:val="24"/>
        </w:rPr>
        <w:t>[42]</w:t>
      </w:r>
      <w:r w:rsidRPr="00A23882">
        <w:rPr>
          <w:sz w:val="24"/>
          <w:szCs w:val="24"/>
        </w:rPr>
        <w:fldChar w:fldCharType="end"/>
      </w:r>
      <w:r w:rsidRPr="00A23882">
        <w:rPr>
          <w:sz w:val="24"/>
          <w:szCs w:val="24"/>
        </w:rPr>
        <w:t xml:space="preserve">. No change in the position of the emission signal indicates no alteration in the local dielectric environment of BSA </w:t>
      </w:r>
      <w:r w:rsidRPr="00A23882">
        <w:rPr>
          <w:sz w:val="24"/>
          <w:szCs w:val="24"/>
        </w:rPr>
        <w:fldChar w:fldCharType="begin" w:fldLock="1"/>
      </w:r>
      <w:r w:rsidRPr="00A23882">
        <w:rPr>
          <w:sz w:val="24"/>
          <w:szCs w:val="24"/>
        </w:rPr>
        <w:instrText>ADDIN CSL_CITATION {"citationItems":[{"id":"ITEM-1","itemData":{"DOI":"10.1016/j.jlumin.2011.10.023","ISSN":"00222313","abstract":"The interaction between the imidazole derivative 2-(2,4-difluorophenyl)-1- phenyl-1H-imidazo[4,5-f][1,10]phenanthroline (dfppip) and bovine serum albumin (BSA) was investigated by fluorescence and UVvis absorbance spectroscopy. From the experimental results, it was found that the imidazole derivative has strong ability to quench the intrinsic fluorescence of BSA by forming complexes. Electrostatic interactions play an important role to stabilize the complex. The binding constants and the number of binding sites have been determined in detail. The distance (r) between the donor and the acceptor was obtained according to fluorescence resonance energy transfer (FRET). Conformational changes of BSA were observed from synchronous fluorescence spectroscopy. The effect of metal ions such as Cu 2, Zn 2, Ca 2, Mg 2, Ni 2, Co 2 and Fe 2 on the binding constants between the imidazole derivative and BSA were also studied. © 2011 Elsevier B.V. All rights reserved.","author":[{"dropping-particle":"","family":"Jayabharathi","given":"Jayaraman","non-dropping-particle":"","parse-names":false,"suffix":""},{"dropping-particle":"","family":"Thanikachalam","given":"Venugopal","non-dropping-particle":"","parse-names":false,"suffix":""},{"dropping-particle":"","family":"Venkatesh Perumal","given":"Marimuthu","non-dropping-particle":"","parse-names":false,"suffix":""}],"container-title":"Journal of Luminescence","id":"ITEM-1","issue":"3","issued":{"date-parts":[["2012"]]},"page":"707-712","publisher":"Elsevier","title":"A study on the binding interaction between the imidazole derivative and bovine serum albumin by fluorescence spectroscopy","type":"article-journal","volume":"132"},"uris":["http://www.mendeley.com/documents/?uuid=7a2fb002-3165-4f5d-a94b-57a70654c27a"]}],"mendeley":{"formattedCitation":"[43]","plainTextFormattedCitation":"[43]","previouslyFormattedCitation":"[43]"},"properties":{"noteIndex":0},"schema":"https://github.com/citation-style-language/schema/raw/master/csl-citation.json"}</w:instrText>
      </w:r>
      <w:r w:rsidRPr="00A23882">
        <w:rPr>
          <w:sz w:val="24"/>
          <w:szCs w:val="24"/>
        </w:rPr>
        <w:fldChar w:fldCharType="separate"/>
      </w:r>
      <w:r w:rsidRPr="00A23882">
        <w:rPr>
          <w:noProof/>
          <w:sz w:val="24"/>
          <w:szCs w:val="24"/>
        </w:rPr>
        <w:t>[43]</w:t>
      </w:r>
      <w:r w:rsidRPr="00A23882">
        <w:rPr>
          <w:sz w:val="24"/>
          <w:szCs w:val="24"/>
        </w:rPr>
        <w:fldChar w:fldCharType="end"/>
      </w:r>
      <w:r w:rsidRPr="00A23882">
        <w:rPr>
          <w:sz w:val="24"/>
          <w:szCs w:val="24"/>
        </w:rPr>
        <w:t xml:space="preserve">. However, light emission decrease is non-necessarily an indication of a </w:t>
      </w:r>
      <w:r w:rsidRPr="00A23882">
        <w:rPr>
          <w:b/>
          <w:sz w:val="24"/>
          <w:szCs w:val="24"/>
        </w:rPr>
        <w:t>T</w:t>
      </w:r>
      <w:r w:rsidRPr="00A23882">
        <w:rPr>
          <w:sz w:val="24"/>
          <w:szCs w:val="24"/>
        </w:rPr>
        <w:t xml:space="preserve">-BSA complex formation. If fluorescence quenching can be due to the formation of ligand-protein complexes with lower fluorescence yields, the fluorophore can also return to the ground state because of diffusive collisions with the quencher and, in this case, the molecules are not chemically altered (collisional quenching) </w:t>
      </w:r>
      <w:r w:rsidRPr="00A23882">
        <w:rPr>
          <w:sz w:val="24"/>
          <w:szCs w:val="24"/>
        </w:rPr>
        <w:fldChar w:fldCharType="begin" w:fldLock="1"/>
      </w:r>
      <w:r w:rsidRPr="00A23882">
        <w:rPr>
          <w:sz w:val="24"/>
          <w:szCs w:val="24"/>
        </w:rPr>
        <w:instrText>ADDIN CSL_CITATION {"citationItems":[{"id":"ITEM-1","itemData":{"DOI":"10.1021/ed069p424","ISSN":"00219584","author":[{"dropping-particle":"","family":"Fraiji","given":"Lee K.","non-dropping-particle":"","parse-names":false,"suffix":""},{"dropping-particle":"","family":"Hayes","given":"David M.","non-dropping-particle":"","parse-names":false,"suffix":""},{"dropping-particle":"","family":"Werner","given":"T. C.","non-dropping-particle":"","parse-names":false,"suffix":""}],"container-title":"Journal of Chemical Education","id":"ITEM-1","issue":"5","issued":{"date-parts":[["1992"]]},"page":"424-428","title":"Static and dynamic fluorescence quenching experiments for the physical chemistry laboratory","type":"article-journal","volume":"69"},"uris":["http://www.mendeley.com/documents/?uuid=4f8e9b5d-b047-467a-ac99-26e0597cb151"]}],"mendeley":{"formattedCitation":"[44]","plainTextFormattedCitation":"[44]","previouslyFormattedCitation":"[44]"},"properties":{"noteIndex":0},"schema":"https://github.com/citation-style-language/schema/raw/master/csl-citation.json"}</w:instrText>
      </w:r>
      <w:r w:rsidRPr="00A23882">
        <w:rPr>
          <w:sz w:val="24"/>
          <w:szCs w:val="24"/>
        </w:rPr>
        <w:fldChar w:fldCharType="separate"/>
      </w:r>
      <w:r w:rsidRPr="00A23882">
        <w:rPr>
          <w:noProof/>
          <w:sz w:val="24"/>
          <w:szCs w:val="24"/>
        </w:rPr>
        <w:t>[44]</w:t>
      </w:r>
      <w:r w:rsidRPr="00A23882">
        <w:rPr>
          <w:sz w:val="24"/>
          <w:szCs w:val="24"/>
        </w:rPr>
        <w:fldChar w:fldCharType="end"/>
      </w:r>
      <w:r w:rsidRPr="00A23882">
        <w:rPr>
          <w:sz w:val="24"/>
          <w:szCs w:val="24"/>
        </w:rPr>
        <w:t xml:space="preserve">. Note that dynamic quenching refers to any non-radiative process where the quencher interacts with the excited state of the fluorophore. Dynamic quenching and collisional quenching do not coincide. Collisional quenching is only one of the dynamic quenching processes possible: photoinduced electron transfer (PET) and Förster Resonance Energy Transfer (FRET) also belong to dynamic quenching. In PET and FRET, no </w:t>
      </w:r>
      <w:r w:rsidRPr="00A23882">
        <w:rPr>
          <w:sz w:val="24"/>
          <w:szCs w:val="24"/>
        </w:rPr>
        <w:lastRenderedPageBreak/>
        <w:t>contact is needed. On the other hand, in static quenching light emission by the excited complex is inhibited and the fraction of free fluorophore is the only specie</w:t>
      </w:r>
      <w:r w:rsidR="009A4942">
        <w:rPr>
          <w:sz w:val="24"/>
          <w:szCs w:val="24"/>
        </w:rPr>
        <w:t xml:space="preserve">s contributing to fluorescence. </w:t>
      </w:r>
      <w:r w:rsidRPr="00A23882">
        <w:rPr>
          <w:sz w:val="24"/>
          <w:szCs w:val="24"/>
        </w:rPr>
        <w:t>The fundamental point is that a fluorescence decrease cannot be unequivocally taken as a binding process because collisional quenching only can be at work. Therefore, first of all, the presence of quenching processes other than collisional ones need to be checked and carefully demonstrated. The collisional quenching process can be describe</w:t>
      </w:r>
      <w:r w:rsidR="005F79EE">
        <w:rPr>
          <w:sz w:val="24"/>
          <w:szCs w:val="24"/>
        </w:rPr>
        <w:t>d by the Stern-Volmer equation:</w:t>
      </w:r>
    </w:p>
    <w:p w:rsidR="009A4942" w:rsidRPr="00A23882" w:rsidRDefault="009A4942" w:rsidP="009A4942">
      <w:pPr>
        <w:pStyle w:val="05-ArticleText"/>
        <w:spacing w:after="0" w:line="480" w:lineRule="auto"/>
        <w:rPr>
          <w:sz w:val="24"/>
          <w:szCs w:val="24"/>
        </w:rPr>
      </w:pPr>
    </w:p>
    <w:p w:rsidR="002A3793" w:rsidRDefault="002A3793" w:rsidP="009A4942">
      <w:pPr>
        <w:pStyle w:val="05-ArticleText"/>
        <w:spacing w:after="0" w:line="480" w:lineRule="auto"/>
        <w:rPr>
          <w:sz w:val="24"/>
          <w:szCs w:val="24"/>
        </w:rPr>
      </w:pPr>
      <w:r w:rsidRPr="00A23882">
        <w:rPr>
          <w:sz w:val="24"/>
          <w:szCs w:val="24"/>
        </w:rPr>
        <w:t>F</w:t>
      </w:r>
      <w:r w:rsidRPr="00A23882">
        <w:rPr>
          <w:sz w:val="24"/>
          <w:szCs w:val="24"/>
          <w:vertAlign w:val="subscript"/>
        </w:rPr>
        <w:t>0</w:t>
      </w:r>
      <w:r w:rsidRPr="00A23882">
        <w:rPr>
          <w:sz w:val="24"/>
          <w:szCs w:val="24"/>
        </w:rPr>
        <w:t>/F = 1 + k</w:t>
      </w:r>
      <w:r w:rsidRPr="00A23882">
        <w:rPr>
          <w:sz w:val="24"/>
          <w:szCs w:val="24"/>
          <w:vertAlign w:val="subscript"/>
        </w:rPr>
        <w:t>q</w:t>
      </w:r>
      <w:r w:rsidRPr="00A23882">
        <w:rPr>
          <w:sz w:val="24"/>
          <w:szCs w:val="24"/>
        </w:rPr>
        <w:t>τ</w:t>
      </w:r>
      <w:r w:rsidRPr="00A23882">
        <w:rPr>
          <w:sz w:val="24"/>
          <w:szCs w:val="24"/>
          <w:vertAlign w:val="subscript"/>
        </w:rPr>
        <w:t>0</w:t>
      </w:r>
      <w:r w:rsidRPr="00A23882">
        <w:rPr>
          <w:sz w:val="24"/>
          <w:szCs w:val="24"/>
        </w:rPr>
        <w:t>[Q</w:t>
      </w:r>
      <w:r w:rsidRPr="00A23882">
        <w:rPr>
          <w:sz w:val="24"/>
          <w:szCs w:val="24"/>
          <w:vertAlign w:val="subscript"/>
        </w:rPr>
        <w:t>TOT</w:t>
      </w:r>
      <w:r w:rsidRPr="00A23882">
        <w:rPr>
          <w:sz w:val="24"/>
          <w:szCs w:val="24"/>
        </w:rPr>
        <w:t>] = 1 + K</w:t>
      </w:r>
      <w:r w:rsidRPr="00A23882">
        <w:rPr>
          <w:sz w:val="24"/>
          <w:szCs w:val="24"/>
          <w:vertAlign w:val="subscript"/>
        </w:rPr>
        <w:t>C</w:t>
      </w:r>
      <w:r w:rsidRPr="00A23882">
        <w:rPr>
          <w:sz w:val="24"/>
          <w:szCs w:val="24"/>
        </w:rPr>
        <w:t>[Q</w:t>
      </w:r>
      <w:r w:rsidRPr="00A23882">
        <w:rPr>
          <w:sz w:val="24"/>
          <w:szCs w:val="24"/>
          <w:vertAlign w:val="subscript"/>
        </w:rPr>
        <w:t>TOT</w:t>
      </w:r>
      <w:r w:rsidRPr="00A23882">
        <w:rPr>
          <w:sz w:val="24"/>
          <w:szCs w:val="24"/>
        </w:rPr>
        <w:t>]</w:t>
      </w:r>
      <w:r w:rsidRPr="00A23882">
        <w:rPr>
          <w:sz w:val="24"/>
          <w:szCs w:val="24"/>
        </w:rPr>
        <w:tab/>
      </w:r>
      <w:r w:rsidRPr="00A23882">
        <w:rPr>
          <w:sz w:val="24"/>
          <w:szCs w:val="24"/>
        </w:rPr>
        <w:tab/>
      </w:r>
      <w:r w:rsidR="005F79EE">
        <w:rPr>
          <w:sz w:val="24"/>
          <w:szCs w:val="24"/>
        </w:rPr>
        <w:tab/>
      </w:r>
      <w:r w:rsidR="005F79EE">
        <w:rPr>
          <w:sz w:val="24"/>
          <w:szCs w:val="24"/>
        </w:rPr>
        <w:tab/>
      </w:r>
      <w:r w:rsidR="005F79EE">
        <w:rPr>
          <w:sz w:val="24"/>
          <w:szCs w:val="24"/>
        </w:rPr>
        <w:tab/>
      </w:r>
      <w:r w:rsidR="005F79EE">
        <w:rPr>
          <w:sz w:val="24"/>
          <w:szCs w:val="24"/>
        </w:rPr>
        <w:tab/>
      </w:r>
      <w:r w:rsidR="005F79EE">
        <w:rPr>
          <w:sz w:val="24"/>
          <w:szCs w:val="24"/>
        </w:rPr>
        <w:tab/>
      </w:r>
      <w:r w:rsidRPr="00A23882">
        <w:rPr>
          <w:sz w:val="24"/>
          <w:szCs w:val="24"/>
        </w:rPr>
        <w:t>(2)</w:t>
      </w:r>
    </w:p>
    <w:p w:rsidR="009A4942" w:rsidRPr="00A23882" w:rsidRDefault="009A4942" w:rsidP="009A4942">
      <w:pPr>
        <w:pStyle w:val="05-ArticleText"/>
        <w:spacing w:after="0" w:line="480" w:lineRule="auto"/>
        <w:rPr>
          <w:sz w:val="24"/>
          <w:szCs w:val="24"/>
        </w:rPr>
      </w:pPr>
    </w:p>
    <w:p w:rsidR="002A3793" w:rsidRPr="00A23882" w:rsidRDefault="002A3793" w:rsidP="009A4942">
      <w:pPr>
        <w:pStyle w:val="05-ArticleText"/>
        <w:spacing w:after="0" w:line="480" w:lineRule="auto"/>
        <w:rPr>
          <w:sz w:val="24"/>
          <w:szCs w:val="24"/>
        </w:rPr>
      </w:pPr>
      <w:r w:rsidRPr="00A23882">
        <w:rPr>
          <w:sz w:val="24"/>
          <w:szCs w:val="24"/>
        </w:rPr>
        <w:t>where F</w:t>
      </w:r>
      <w:r w:rsidRPr="00A23882">
        <w:rPr>
          <w:sz w:val="24"/>
          <w:szCs w:val="24"/>
          <w:vertAlign w:val="subscript"/>
        </w:rPr>
        <w:t>0</w:t>
      </w:r>
      <w:r w:rsidRPr="00A23882">
        <w:rPr>
          <w:sz w:val="24"/>
          <w:szCs w:val="24"/>
        </w:rPr>
        <w:t>/F corresponds to the ratio between the BSA fluorescence intensity in the absence and the presence of the quencher respectively, K</w:t>
      </w:r>
      <w:r w:rsidRPr="00A23882">
        <w:rPr>
          <w:sz w:val="24"/>
          <w:szCs w:val="24"/>
          <w:vertAlign w:val="subscript"/>
        </w:rPr>
        <w:t>C</w:t>
      </w:r>
      <w:r w:rsidRPr="00A23882">
        <w:rPr>
          <w:sz w:val="24"/>
          <w:szCs w:val="24"/>
        </w:rPr>
        <w:t xml:space="preserve"> represents the Stern-Volmer constant for collisional quenching, [Q] is the total molar concentration of the quencher (</w:t>
      </w:r>
      <w:r w:rsidRPr="00A23882">
        <w:rPr>
          <w:rFonts w:eastAsia="SimSun"/>
          <w:b/>
          <w:sz w:val="24"/>
          <w:szCs w:val="24"/>
          <w:lang w:eastAsia="en-US"/>
        </w:rPr>
        <w:t>T</w:t>
      </w:r>
      <w:r w:rsidRPr="00A23882">
        <w:rPr>
          <w:sz w:val="24"/>
          <w:szCs w:val="24"/>
        </w:rPr>
        <w:t>), k</w:t>
      </w:r>
      <w:r w:rsidRPr="00A23882">
        <w:rPr>
          <w:sz w:val="24"/>
          <w:szCs w:val="24"/>
          <w:vertAlign w:val="subscript"/>
        </w:rPr>
        <w:t>q</w:t>
      </w:r>
      <w:r w:rsidRPr="00A23882">
        <w:rPr>
          <w:sz w:val="24"/>
          <w:szCs w:val="24"/>
        </w:rPr>
        <w:t xml:space="preserve"> is the bimolecular quenching constant and τ</w:t>
      </w:r>
      <w:r w:rsidRPr="00A23882">
        <w:rPr>
          <w:sz w:val="24"/>
          <w:szCs w:val="24"/>
          <w:vertAlign w:val="subscript"/>
        </w:rPr>
        <w:t>0</w:t>
      </w:r>
      <w:r w:rsidRPr="00A23882">
        <w:rPr>
          <w:sz w:val="24"/>
          <w:szCs w:val="24"/>
        </w:rPr>
        <w:t xml:space="preserve"> corresponds to the average lifetime of the protein in the absence of quencher. Note that the F values must be corrected for dilution and if necessary for inner-filter contributions before to be used. Also note that </w:t>
      </w:r>
      <w:r w:rsidRPr="00A23882">
        <w:rPr>
          <w:rFonts w:eastAsia="SimSun"/>
          <w:b/>
          <w:sz w:val="24"/>
          <w:szCs w:val="24"/>
          <w:lang w:eastAsia="en-US"/>
        </w:rPr>
        <w:t>T</w:t>
      </w:r>
      <w:r w:rsidRPr="00A23882">
        <w:rPr>
          <w:sz w:val="24"/>
          <w:szCs w:val="24"/>
        </w:rPr>
        <w:t xml:space="preserve"> is intended as a non-fluorescent species, at least at the chosen </w:t>
      </w:r>
      <w:r w:rsidR="005F79EE" w:rsidRPr="0051736E">
        <w:rPr>
          <w:rFonts w:ascii="Symbol" w:eastAsia="SimSun" w:hAnsi="Symbol"/>
          <w:sz w:val="22"/>
          <w:szCs w:val="24"/>
          <w:lang w:eastAsia="en-US"/>
        </w:rPr>
        <w:t></w:t>
      </w:r>
      <w:r w:rsidRPr="00A23882">
        <w:rPr>
          <w:rFonts w:eastAsia="SimSun"/>
          <w:sz w:val="24"/>
          <w:szCs w:val="24"/>
          <w:vertAlign w:val="subscript"/>
          <w:lang w:eastAsia="en-US"/>
        </w:rPr>
        <w:t>ex</w:t>
      </w:r>
      <w:r w:rsidR="005F79EE">
        <w:rPr>
          <w:rFonts w:eastAsia="SimSun"/>
          <w:sz w:val="24"/>
          <w:szCs w:val="24"/>
          <w:lang w:eastAsia="en-US"/>
        </w:rPr>
        <w:t>/</w:t>
      </w:r>
      <w:r w:rsidR="005F79EE" w:rsidRPr="0051736E">
        <w:rPr>
          <w:rFonts w:ascii="Symbol" w:eastAsia="SimSun" w:hAnsi="Symbol"/>
          <w:sz w:val="22"/>
          <w:szCs w:val="24"/>
          <w:lang w:eastAsia="en-US"/>
        </w:rPr>
        <w:t></w:t>
      </w:r>
      <w:r w:rsidRPr="00A23882">
        <w:rPr>
          <w:rFonts w:eastAsia="SimSun"/>
          <w:sz w:val="24"/>
          <w:szCs w:val="24"/>
          <w:vertAlign w:val="subscript"/>
          <w:lang w:eastAsia="en-US"/>
        </w:rPr>
        <w:t>em</w:t>
      </w:r>
      <w:r w:rsidRPr="00A23882">
        <w:rPr>
          <w:sz w:val="24"/>
          <w:szCs w:val="24"/>
        </w:rPr>
        <w:t xml:space="preserve"> couple. For static quenching, K</w:t>
      </w:r>
      <w:r w:rsidRPr="00A23882">
        <w:rPr>
          <w:sz w:val="24"/>
          <w:szCs w:val="24"/>
          <w:vertAlign w:val="subscript"/>
        </w:rPr>
        <w:t>C</w:t>
      </w:r>
      <w:r w:rsidRPr="00A23882">
        <w:rPr>
          <w:sz w:val="24"/>
          <w:szCs w:val="24"/>
        </w:rPr>
        <w:t xml:space="preserve"> will be equal to the binding constant for complex formation (if the complex is non-fluorescent) and called K</w:t>
      </w:r>
      <w:r w:rsidRPr="00A23882">
        <w:rPr>
          <w:sz w:val="24"/>
          <w:szCs w:val="24"/>
          <w:vertAlign w:val="subscript"/>
        </w:rPr>
        <w:t>SV</w:t>
      </w:r>
      <w:r w:rsidRPr="00A23882">
        <w:rPr>
          <w:sz w:val="24"/>
          <w:szCs w:val="24"/>
        </w:rPr>
        <w:t>, whereas [Q</w:t>
      </w:r>
      <w:r w:rsidRPr="00A23882">
        <w:rPr>
          <w:sz w:val="24"/>
          <w:szCs w:val="24"/>
          <w:vertAlign w:val="subscript"/>
        </w:rPr>
        <w:t>TOT</w:t>
      </w:r>
      <w:r w:rsidRPr="00A23882">
        <w:rPr>
          <w:sz w:val="24"/>
          <w:szCs w:val="24"/>
        </w:rPr>
        <w:t>] needs to be changed into [Q</w:t>
      </w:r>
      <w:r w:rsidRPr="00A23882">
        <w:rPr>
          <w:sz w:val="24"/>
          <w:szCs w:val="24"/>
          <w:vertAlign w:val="subscript"/>
        </w:rPr>
        <w:t>free</w:t>
      </w:r>
      <w:r w:rsidRPr="00A23882">
        <w:rPr>
          <w:sz w:val="24"/>
          <w:szCs w:val="24"/>
        </w:rPr>
        <w:t xml:space="preserve">]. </w:t>
      </w:r>
      <w:r w:rsidRPr="00A23882">
        <w:rPr>
          <w:spacing w:val="-4"/>
          <w:sz w:val="24"/>
          <w:szCs w:val="24"/>
        </w:rPr>
        <w:t>[Q</w:t>
      </w:r>
      <w:r w:rsidRPr="00A23882">
        <w:rPr>
          <w:sz w:val="24"/>
          <w:szCs w:val="24"/>
          <w:vertAlign w:val="subscript"/>
        </w:rPr>
        <w:t>free</w:t>
      </w:r>
      <w:r w:rsidRPr="00A23882">
        <w:rPr>
          <w:spacing w:val="-4"/>
          <w:sz w:val="24"/>
          <w:szCs w:val="24"/>
        </w:rPr>
        <w:t xml:space="preserve">] is the molar concentration of free quencher. The correct use of the amount of </w:t>
      </w:r>
      <w:r w:rsidRPr="00A23882">
        <w:rPr>
          <w:b/>
          <w:spacing w:val="-4"/>
          <w:sz w:val="24"/>
          <w:szCs w:val="24"/>
        </w:rPr>
        <w:t>T</w:t>
      </w:r>
      <w:r w:rsidRPr="00A23882">
        <w:rPr>
          <w:spacing w:val="-4"/>
          <w:sz w:val="24"/>
          <w:szCs w:val="24"/>
        </w:rPr>
        <w:t xml:space="preserve"> added </w:t>
      </w:r>
      <w:r w:rsidRPr="00A23882">
        <w:rPr>
          <w:sz w:val="24"/>
          <w:szCs w:val="24"/>
        </w:rPr>
        <w:t>is a check that is not done in many papers and that may produce biased results. [Q</w:t>
      </w:r>
      <w:r w:rsidRPr="00A23882">
        <w:rPr>
          <w:sz w:val="24"/>
          <w:szCs w:val="24"/>
          <w:vertAlign w:val="subscript"/>
        </w:rPr>
        <w:t>TOT</w:t>
      </w:r>
      <w:r w:rsidRPr="00A23882">
        <w:rPr>
          <w:sz w:val="24"/>
          <w:szCs w:val="24"/>
        </w:rPr>
        <w:t>] and [Q</w:t>
      </w:r>
      <w:r w:rsidRPr="00A23882">
        <w:rPr>
          <w:sz w:val="24"/>
          <w:szCs w:val="24"/>
          <w:vertAlign w:val="subscript"/>
        </w:rPr>
        <w:t>free</w:t>
      </w:r>
      <w:r w:rsidRPr="00A23882">
        <w:rPr>
          <w:sz w:val="24"/>
          <w:szCs w:val="24"/>
        </w:rPr>
        <w:t xml:space="preserve">] will coincide only in the presence of </w:t>
      </w:r>
      <w:r w:rsidRPr="00A23882">
        <w:rPr>
          <w:b/>
          <w:sz w:val="24"/>
          <w:szCs w:val="24"/>
        </w:rPr>
        <w:t>T</w:t>
      </w:r>
      <w:r w:rsidRPr="00A23882">
        <w:rPr>
          <w:sz w:val="24"/>
          <w:szCs w:val="24"/>
        </w:rPr>
        <w:t xml:space="preserve"> excess, which is not always the case. The evaluation of Q</w:t>
      </w:r>
      <w:r w:rsidRPr="00A23882">
        <w:rPr>
          <w:sz w:val="24"/>
          <w:szCs w:val="24"/>
          <w:vertAlign w:val="subscript"/>
        </w:rPr>
        <w:t>free</w:t>
      </w:r>
      <w:r w:rsidRPr="00A23882">
        <w:rPr>
          <w:sz w:val="24"/>
          <w:szCs w:val="24"/>
        </w:rPr>
        <w:t xml:space="preserve"> requires an iterative procedure (see also subsequent paragraph). A linear correlation of F</w:t>
      </w:r>
      <w:r w:rsidRPr="00A23882">
        <w:rPr>
          <w:sz w:val="24"/>
          <w:szCs w:val="24"/>
          <w:vertAlign w:val="subscript"/>
        </w:rPr>
        <w:t>0</w:t>
      </w:r>
      <w:r w:rsidRPr="00A23882">
        <w:rPr>
          <w:sz w:val="24"/>
          <w:szCs w:val="24"/>
        </w:rPr>
        <w:t>/F and [Q</w:t>
      </w:r>
      <w:r w:rsidRPr="00A23882">
        <w:rPr>
          <w:sz w:val="24"/>
          <w:szCs w:val="24"/>
          <w:vertAlign w:val="subscript"/>
        </w:rPr>
        <w:t>TOT</w:t>
      </w:r>
      <w:r w:rsidRPr="00A23882">
        <w:rPr>
          <w:sz w:val="24"/>
          <w:szCs w:val="24"/>
        </w:rPr>
        <w:t>] (or [Q</w:t>
      </w:r>
      <w:r w:rsidRPr="00A23882">
        <w:rPr>
          <w:sz w:val="24"/>
          <w:szCs w:val="24"/>
          <w:vertAlign w:val="subscript"/>
        </w:rPr>
        <w:t>free</w:t>
      </w:r>
      <w:r w:rsidRPr="00A23882">
        <w:rPr>
          <w:sz w:val="24"/>
          <w:szCs w:val="24"/>
        </w:rPr>
        <w:t xml:space="preserve">]) indicates that only one type of quenching is involved, whereas upward curving Stern-Volmer plots reveal the concomitant contribution of the static and the dynamic quenching processes </w:t>
      </w:r>
      <w:r w:rsidRPr="00A23882">
        <w:rPr>
          <w:sz w:val="24"/>
          <w:szCs w:val="24"/>
        </w:rPr>
        <w:fldChar w:fldCharType="begin" w:fldLock="1"/>
      </w:r>
      <w:r w:rsidRPr="00A23882">
        <w:rPr>
          <w:sz w:val="24"/>
          <w:szCs w:val="24"/>
        </w:rPr>
        <w:instrText>ADDIN CSL_CITATION {"citationItems":[{"id":"ITEM-1","itemData":{"DOI":"10.1016/0003-2697(81)90474-7","ISSN":"10960309","PMID":"7030122","abstract":"A review is presented on the use of the technique of solute fluorescence quenching to study the structure and dynamics of proteins. A number of factors are discussed that must be considered in analyzing such data. Among these factors are the efficiency of the quenching process, the relative importance of static quenching, the heterogeneity of the emission, and the tendency of the quencher to interact with the protein. © 1981.","author":[{"dropping-particle":"","family":"Eftink","given":"Maurice R.","non-dropping-particle":"","parse-names":false,"suffix":""},{"dropping-particle":"","family":"Ghiron","given":"Camillo A.","non-dropping-particle":"","parse-names":false,"suffix":""}],"container-title":"Analytical Biochemistry","id":"ITEM-1","issue":"2","issued":{"date-parts":[["1981"]]},"page":"199-227","title":"Fluorescence quenching studies with proteins","type":"article-journal","volume":"114"},"uris":["http://www.mendeley.com/documents/?uuid=05ca8b0b-c0c2-4b43-9ebb-560bfe09d24e"]}],"mendeley":{"formattedCitation":"[45]","plainTextFormattedCitation":"[45]","previouslyFormattedCitation":"[45]"},"properties":{"noteIndex":0},"schema":"https://github.com/citation-style-language/schema/raw/master/csl-citation.json"}</w:instrText>
      </w:r>
      <w:r w:rsidRPr="00A23882">
        <w:rPr>
          <w:sz w:val="24"/>
          <w:szCs w:val="24"/>
        </w:rPr>
        <w:fldChar w:fldCharType="separate"/>
      </w:r>
      <w:r w:rsidRPr="00A23882">
        <w:rPr>
          <w:noProof/>
          <w:sz w:val="24"/>
          <w:szCs w:val="24"/>
        </w:rPr>
        <w:t>[45]</w:t>
      </w:r>
      <w:r w:rsidRPr="00A23882">
        <w:rPr>
          <w:sz w:val="24"/>
          <w:szCs w:val="24"/>
        </w:rPr>
        <w:fldChar w:fldCharType="end"/>
      </w:r>
      <w:r w:rsidRPr="00A23882">
        <w:rPr>
          <w:sz w:val="24"/>
          <w:szCs w:val="24"/>
        </w:rPr>
        <w:t>,</w:t>
      </w:r>
      <w:r w:rsidRPr="00A23882">
        <w:rPr>
          <w:sz w:val="24"/>
          <w:szCs w:val="24"/>
        </w:rPr>
        <w:fldChar w:fldCharType="begin" w:fldLock="1"/>
      </w:r>
      <w:r w:rsidRPr="00A23882">
        <w:rPr>
          <w:sz w:val="24"/>
          <w:szCs w:val="24"/>
        </w:rPr>
        <w:instrText>ADDIN CSL_CITATION {"citationItems":[{"id":"ITEM-1","itemData":{"DOI":"10.1016/j.saa.2018.12.040","ISSN":"13861425","abstract":"Benazepril, a common ACE inhibitor, widely used in the treatment of arterial hypertension and congestive heart failure. In this study, We evaluated the characteristics of the interaction between benazepril and BSA under the simulated physiological condition (pH 7.4) through various spectroscopic and molecular docking methods. Fluorescence and absorption spectroscopy results showed benazepril quenched the intrinsic fluorescence of BSA through a combined dynamic and static quenching mechanism. The number of binding sites (n) and the binding constant (K b ) of benazepril–BSA complex were circa 1 and 6.81 × 10 3 M −1 at 298 K, respectively, indicating that the binding affinity between benazepril and BSA was moderate. The displacement experiments confirmed that benazepril binding to the site I of BSA, which was quite in accordance with molecular docking. The values of the Gibbs free energy (ΔG 0 ), enthalpic change (ΔH 0 ) and entropic change (ΔS 0 ) were negative, verifying that van der Waals force and hydrogen bonding interaction played a predominant roles in the process of spontaneous bonding. Furthermore, a slight change of the conformation in BSA upon benazepril interaction was proved through SF, 3-DF and FTIR spectroscopy results.","author":[{"dropping-particle":"","family":"Wang","given":"Bao Li","non-dropping-particle":"","parse-names":false,"suffix":""},{"dropping-particle":"","family":"Pan","given":"Dong Qi","non-dropping-particle":"","parse-names":false,"suffix":""},{"dropping-particle":"","family":"Zhou","given":"Kai Li","non-dropping-particle":"","parse-names":false,"suffix":""},{"dropping-particle":"","family":"Lou","given":"Yan Yue","non-dropping-particle":"","parse-names":false,"suffix":""},{"dropping-particle":"","family":"Shi","given":"Jie Hua","non-dropping-particle":"","parse-names":false,"suffix":""}],"container-title":"Spectrochimica Acta - Part A: Molecular and Biomolecular Spectroscopy","id":"ITEM-1","issued":{"date-parts":[["2019"]]},"page":"15-24","publisher":"Elsevier B.V","title":"Multi-spectroscopic approaches and molecular simulation research of the intermolecular interaction between the angiotensin-converting enzyme inhibitor (ACE inhibitor) benazepril and bovine serum albumin (BSA)","type":"article-journal","volume":"212"},"uris":["http://www.mendeley.com/documents/?uuid=2b856b50-a3ba-466d-8a76-cd8132af4828"]}],"mendeley":{"formattedCitation":"[46]","plainTextFormattedCitation":"[46]","previouslyFormattedCitation":"[46]"},"properties":{"noteIndex":0},"schema":"https://github.com/citation-style-language/schema/raw/master/csl-citation.json"}</w:instrText>
      </w:r>
      <w:r w:rsidRPr="00A23882">
        <w:rPr>
          <w:sz w:val="24"/>
          <w:szCs w:val="24"/>
        </w:rPr>
        <w:fldChar w:fldCharType="separate"/>
      </w:r>
      <w:r w:rsidRPr="00A23882">
        <w:rPr>
          <w:noProof/>
          <w:sz w:val="24"/>
          <w:szCs w:val="24"/>
        </w:rPr>
        <w:t>[46]</w:t>
      </w:r>
      <w:r w:rsidRPr="00A23882">
        <w:rPr>
          <w:sz w:val="24"/>
          <w:szCs w:val="24"/>
        </w:rPr>
        <w:fldChar w:fldCharType="end"/>
      </w:r>
      <w:r w:rsidRPr="00A23882">
        <w:rPr>
          <w:sz w:val="24"/>
          <w:szCs w:val="24"/>
        </w:rPr>
        <w:t xml:space="preserve">. Downward curvatures in the Stern-Volmer plots can, instead, occur when a system contains fluorophores within different environments or binding sites with different accessibility to the quencher </w:t>
      </w:r>
      <w:r w:rsidRPr="00A23882">
        <w:rPr>
          <w:sz w:val="24"/>
          <w:szCs w:val="24"/>
        </w:rPr>
        <w:fldChar w:fldCharType="begin" w:fldLock="1"/>
      </w:r>
      <w:r w:rsidRPr="00A23882">
        <w:rPr>
          <w:sz w:val="24"/>
          <w:szCs w:val="24"/>
        </w:rPr>
        <w:instrText>ADDIN CSL_CITATION {"citationItems":[{"id":"ITEM-1","itemData":{"DOI":"10.1016/j.jlumin.2015.06.040","ISBN":"9844303001","ISSN":"00222313","abstract":"Abstract The fluorescence quenching study of two boronic acid derivatives 5-chloro-2-methoxy phenyl boronic acid (5CMPBA) and 4-fluoro-2-methoxyphenyl boronic acid (4FMPBA) in alcohols of varying viscosities is carried out at room temperature by steady state fluorescence measurements. Aniline is used as quencher. The negative deviation in the Stern-Volmer (S-V) plots has been observed for both the molecules with moderate quencher concentration. The downward curvature in the S-V plot is interpreted in terms of existence of different conformers of the solutes in the ground state. The formation of intermolecular and intramolecular hydrogen bonding in alcohol environments is taken to be responsible for the conformational changes in the ground state of the solutes. The modified Stern-Volmer equation or Lehrer equation is used to calculate Stern-Volmer constant (K&lt;inf&gt;SV&lt;/inf&gt;) and it is found to be above 100 for most of the solvents used.","author":[{"dropping-particle":"","family":"Geethanjali","given":"H. S.","non-dropping-particle":"","parse-names":false,"suffix":""},{"dropping-particle":"","family":"Nagaraja","given":"D.","non-dropping-particle":"","parse-names":false,"suffix":""},{"dropping-particle":"","family":"Melavanki","given":"R. M.","non-dropping-particle":"","parse-names":false,"suffix":""},{"dropping-particle":"","family":"Kusanur","given":"R. A.","non-dropping-particle":"","parse-names":false,"suffix":""}],"container-title":"Journal of Luminescence","id":"ITEM-1","issued":{"date-parts":[["2015"]]},"page":"216-221","publisher":"Elsevier","title":"Fluorescence quenching of boronic acid derivatives by aniline in alcohols - A Negative deviation from Stern-Volmer equation","type":"article-journal","volume":"167"},"uris":["http://www.mendeley.com/documents/?uuid=22df97c8-c986-4300-acaa-e36edd4a1798"]}],"mendeley":{"formattedCitation":"[47]","plainTextFormattedCitation":"[47]","previouslyFormattedCitation":"[47]"},"properties":{"noteIndex":0},"schema":"https://github.com/citation-style-language/schema/raw/master/csl-citation.json"}</w:instrText>
      </w:r>
      <w:r w:rsidRPr="00A23882">
        <w:rPr>
          <w:sz w:val="24"/>
          <w:szCs w:val="24"/>
        </w:rPr>
        <w:fldChar w:fldCharType="separate"/>
      </w:r>
      <w:r w:rsidRPr="00A23882">
        <w:rPr>
          <w:noProof/>
          <w:sz w:val="24"/>
          <w:szCs w:val="24"/>
        </w:rPr>
        <w:t>[47]</w:t>
      </w:r>
      <w:r w:rsidRPr="00A23882">
        <w:rPr>
          <w:sz w:val="24"/>
          <w:szCs w:val="24"/>
        </w:rPr>
        <w:fldChar w:fldCharType="end"/>
      </w:r>
      <w:r w:rsidRPr="00A23882">
        <w:rPr>
          <w:sz w:val="24"/>
          <w:szCs w:val="24"/>
        </w:rPr>
        <w:t xml:space="preserve">. Polar or charged quenchers can be unable to penetrate in the hydrophobic interior </w:t>
      </w:r>
      <w:r w:rsidRPr="00A23882">
        <w:rPr>
          <w:sz w:val="24"/>
          <w:szCs w:val="24"/>
        </w:rPr>
        <w:lastRenderedPageBreak/>
        <w:t xml:space="preserve">of BSA. In such cases, a downward curvature will indicate that only the fluorescent residues on the outer surface can be attained. The detailed discussion on the different types of modified Stern-Volmer plots and relevant fitting equations is out of the practical focus of this review. The interested reader can refer for instance to the book of Lackovicz </w:t>
      </w:r>
      <w:r w:rsidRPr="00A23882">
        <w:rPr>
          <w:sz w:val="24"/>
          <w:szCs w:val="24"/>
        </w:rPr>
        <w:fldChar w:fldCharType="begin" w:fldLock="1"/>
      </w:r>
      <w:r w:rsidRPr="00A23882">
        <w:rPr>
          <w:sz w:val="24"/>
          <w:szCs w:val="24"/>
        </w:rPr>
        <w:instrText>ADDIN CSL_CITATION {"citationItems":[{"id":"ITEM-1","itemData":{"DOI":"10.1007/978-0-387-46312-4","ISBN":"0387312781","abstract":"The third edition of the established classic text reference, Principles of Fluorescence Spectroscopy, will enhance upon the earlier editions' successes. Organized as a textbook for the learning student or the researcher needing to acquire the core competencies, Principles of Fluorescence Spectroscopy, 3e will maintain the emphasis on basics, while updating the examples to include recent results from the literature. The third edition also includes new chapters on single molecule detection, fluorescence correlation spectroscopy, novel probes and radiative decay engineering.This full-color textbook features the following: Problem sets following every chapter Glossaries of commonly used acronyms and mathematical symbols Appendices containing a list of recommended books which expand on various specialized topics Sections describing advanced topics will indicate as such, to allow these sections to be skipped in an introductory course, allowing the text to be used for classes of different levels Includes CD-ROM of all figures in a low-res format, perfect for use in instruction and presentations Principles of Fluorescence Spectroscopy, 3rd edition, is an essential volume for students, researchers, and industry professionals in biophysics, biochemistry, biotechnology, bioengineering, biology and medicine. About the Author: Dr. Joseph R. Lakowicz is Professor of Biochemistry at the University of Maryland School of Medicine, Baltimore, and Director of the Center for Fluorescence Spectroscopy. Dr. Lakowicz has published over 400 scientific articles, has edited numerous books, holds 16 issued patents, and is the author of the widely used text, Principles of Fluorescence Spectroscopy now in its 3rd edition. © 2006, 1999, 1983 Springer Science+Business Media, LLC.","author":[{"dropping-particle":"","family":"Lakowicz","given":"Joseph R.","non-dropping-particle":"","parse-names":false,"suffix":""}],"container-title":"Principles of Fluorescence Spectroscopy","id":"ITEM-1","issued":{"date-parts":[["2006"]]},"number-of-pages":"1-954","title":"Principles of fluorescence spectroscopy","type":"book"},"uris":["http://www.mendeley.com/documents/?uuid=ac19533f-e015-4e0f-82a3-335464256930"]}],"mendeley":{"formattedCitation":"[29]","plainTextFormattedCitation":"[29]","previouslyFormattedCitation":"[29]"},"properties":{"noteIndex":0},"schema":"https://github.com/citation-style-language/schema/raw/master/csl-citation.json"}</w:instrText>
      </w:r>
      <w:r w:rsidRPr="00A23882">
        <w:rPr>
          <w:sz w:val="24"/>
          <w:szCs w:val="24"/>
        </w:rPr>
        <w:fldChar w:fldCharType="separate"/>
      </w:r>
      <w:r w:rsidRPr="00A23882">
        <w:rPr>
          <w:noProof/>
          <w:sz w:val="24"/>
          <w:szCs w:val="24"/>
        </w:rPr>
        <w:t>[29]</w:t>
      </w:r>
      <w:r w:rsidRPr="00A23882">
        <w:rPr>
          <w:sz w:val="24"/>
          <w:szCs w:val="24"/>
        </w:rPr>
        <w:fldChar w:fldCharType="end"/>
      </w:r>
      <w:r w:rsidRPr="00A23882">
        <w:rPr>
          <w:sz w:val="24"/>
          <w:szCs w:val="24"/>
        </w:rPr>
        <w:t xml:space="preserve">. How to proceed from a practical point of view? Static and collisional quenching can be distinguished by their different dependence on temperature, the viscosity of the medium </w:t>
      </w:r>
      <w:r w:rsidRPr="00A23882">
        <w:rPr>
          <w:sz w:val="24"/>
          <w:szCs w:val="24"/>
        </w:rPr>
        <w:fldChar w:fldCharType="begin" w:fldLock="1"/>
      </w:r>
      <w:r w:rsidRPr="00A23882">
        <w:rPr>
          <w:sz w:val="24"/>
          <w:szCs w:val="24"/>
        </w:rPr>
        <w:instrText>ADDIN CSL_CITATION {"citationItems":[{"id":"ITEM-1","itemData":{"DOI":"10.1016/0003-2697(81)90474-7","ISSN":"10960309","PMID":"7030122","abstract":"A review is presented on the use of the technique of solute fluorescence quenching to study the structure and dynamics of proteins. A number of factors are discussed that must be considered in analyzing such data. Among these factors are the efficiency of the quenching process, the relative importance of static quenching, the heterogeneity of the emission, and the tendency of the quencher to interact with the protein. © 1981.","author":[{"dropping-particle":"","family":"Eftink","given":"Maurice R.","non-dropping-particle":"","parse-names":false,"suffix":""},{"dropping-particle":"","family":"Ghiron","given":"Camillo A.","non-dropping-particle":"","parse-names":false,"suffix":""}],"container-title":"Analytical Biochemistry","id":"ITEM-1","issue":"2","issued":{"date-parts":[["1981"]]},"page":"199-227","title":"Fluorescence quenching studies with proteins","type":"article-journal","volume":"114"},"uris":["http://www.mendeley.com/documents/?uuid=05ca8b0b-c0c2-4b43-9ebb-560bfe09d24e"]}],"mendeley":{"formattedCitation":"[45]","plainTextFormattedCitation":"[45]","previouslyFormattedCitation":"[45]"},"properties":{"noteIndex":0},"schema":"https://github.com/citation-style-language/schema/raw/master/csl-citation.json"}</w:instrText>
      </w:r>
      <w:r w:rsidRPr="00A23882">
        <w:rPr>
          <w:sz w:val="24"/>
          <w:szCs w:val="24"/>
        </w:rPr>
        <w:fldChar w:fldCharType="separate"/>
      </w:r>
      <w:r w:rsidRPr="00A23882">
        <w:rPr>
          <w:noProof/>
          <w:sz w:val="24"/>
          <w:szCs w:val="24"/>
        </w:rPr>
        <w:t>[45]</w:t>
      </w:r>
      <w:r w:rsidRPr="00A23882">
        <w:rPr>
          <w:sz w:val="24"/>
          <w:szCs w:val="24"/>
        </w:rPr>
        <w:fldChar w:fldCharType="end"/>
      </w:r>
      <w:r w:rsidRPr="00A23882">
        <w:rPr>
          <w:sz w:val="24"/>
          <w:szCs w:val="24"/>
        </w:rPr>
        <w:t xml:space="preserve"> or by life-time measurements </w:t>
      </w:r>
      <w:r w:rsidRPr="00A23882">
        <w:rPr>
          <w:sz w:val="24"/>
          <w:szCs w:val="24"/>
        </w:rPr>
        <w:fldChar w:fldCharType="begin" w:fldLock="1"/>
      </w:r>
      <w:r w:rsidRPr="00A23882">
        <w:rPr>
          <w:sz w:val="24"/>
          <w:szCs w:val="24"/>
        </w:rPr>
        <w:instrText>ADDIN CSL_CITATION {"citationItems":[{"id":"ITEM-1","itemData":{"DOI":"10.1016/j.saa.2016.05.033","ISSN":"13861425","abstract":"The interaction between chlorophyll (Chl) and silver nanoparticles (AgNPs) was evaluated by analyzing the optical behavior of Chl molecules surrounded by different concentrations of AgNPs (10, 60, and 100 nm of diameter). UV-Vis absorption, steady state and time-resolved fluorescence measurements were performed for Chl in the presence and absence of these nanoparticles. AgNPs strongly suppressed the Chl fluorescence intensity at 678 nm. The Stern-Volmer constant (KSV) showed that fluorescence suppression is driven by the dynamic quenching process. In particular, KSV was nanoparticle size-dependent with an exponential decrease as a function of the nanoparticle diameter. Finally, changes in the Chl fluorescence lifetime in the presence of nanoparticles demonstrated that the fluorescence quenching may be induced by the excited electron transfer from the Chl molecules to the metal nanoparticles.","author":[{"dropping-particle":"","family":"Queiroz","given":"A. M.","non-dropping-particle":"","parse-names":false,"suffix":""},{"dropping-particle":"V.","family":"Mezacasa","given":"A.","non-dropping-particle":"","parse-names":false,"suffix":""},{"dropping-particle":"","family":"Graciano","given":"D. E.","non-dropping-particle":"","parse-names":false,"suffix":""},{"dropping-particle":"","family":"Falco","given":"W. F.","non-dropping-particle":"","parse-names":false,"suffix":""},{"dropping-particle":"","family":"M'Peko","given":"J. C.","non-dropping-particle":"","parse-names":false,"suffix":""},{"dropping-particle":"","family":"Guimarães","given":"F. E.G.","non-dropping-particle":"","parse-names":false,"suffix":""},{"dropping-particle":"","family":"Lawson","given":"T.","non-dropping-particle":"","parse-names":false,"suffix":""},{"dropping-particle":"","family":"Colbeck","given":"I.","non-dropping-particle":"","parse-names":false,"suffix":""},{"dropping-particle":"","family":"Oliveira","given":"S. L.","non-dropping-particle":"","parse-names":false,"suffix":""},{"dropping-particle":"","family":"Caires","given":"A. R.L.","non-dropping-particle":"","parse-names":false,"suffix":""}],"container-title":"Spectrochimica Acta - Part A: Molecular and Biomolecular Spectroscopy","id":"ITEM-1","issued":{"date-parts":[["2016"]]},"page":"73-77","publisher":"Elsevier B.V.","title":"Quenching of chlorophyll fluorescence induced by silver nanoparticles","type":"article-journal","volume":"168"},"uris":["http://www.mendeley.com/documents/?uuid=fea0bf43-70a9-4ac0-902b-cedefed0bfc0"]}],"mendeley":{"formattedCitation":"[48]","plainTextFormattedCitation":"[48]","previouslyFormattedCitation":"[48]"},"properties":{"noteIndex":0},"schema":"https://github.com/citation-style-language/schema/raw/master/csl-citation.json"}</w:instrText>
      </w:r>
      <w:r w:rsidRPr="00A23882">
        <w:rPr>
          <w:sz w:val="24"/>
          <w:szCs w:val="24"/>
        </w:rPr>
        <w:fldChar w:fldCharType="separate"/>
      </w:r>
      <w:r w:rsidRPr="00A23882">
        <w:rPr>
          <w:noProof/>
          <w:sz w:val="24"/>
          <w:szCs w:val="24"/>
        </w:rPr>
        <w:t>[48]</w:t>
      </w:r>
      <w:r w:rsidRPr="00A23882">
        <w:rPr>
          <w:sz w:val="24"/>
          <w:szCs w:val="24"/>
        </w:rPr>
        <w:fldChar w:fldCharType="end"/>
      </w:r>
      <w:r w:rsidRPr="00A23882">
        <w:rPr>
          <w:sz w:val="24"/>
          <w:szCs w:val="24"/>
        </w:rPr>
        <w:t>. In this work, only the former case, which requires the same apparatus and no additional techniques, will be taken into account. The researcher will thus have to repeat the titration at different temperatures and compare the K</w:t>
      </w:r>
      <w:r w:rsidRPr="00A23882">
        <w:rPr>
          <w:sz w:val="24"/>
          <w:szCs w:val="24"/>
          <w:vertAlign w:val="subscript"/>
        </w:rPr>
        <w:t>C</w:t>
      </w:r>
      <w:r w:rsidRPr="00A23882">
        <w:rPr>
          <w:sz w:val="24"/>
          <w:szCs w:val="24"/>
        </w:rPr>
        <w:t>/K</w:t>
      </w:r>
      <w:r w:rsidRPr="00A23882">
        <w:rPr>
          <w:sz w:val="24"/>
          <w:szCs w:val="24"/>
          <w:vertAlign w:val="subscript"/>
        </w:rPr>
        <w:t>SV</w:t>
      </w:r>
      <w:r w:rsidRPr="00A23882">
        <w:rPr>
          <w:sz w:val="24"/>
          <w:szCs w:val="24"/>
        </w:rPr>
        <w:t xml:space="preserve"> values obtained. The higher is the temperature, the faster is diffusion and more numerous are collisions: plots’ slope increase with temperature indicates collisional quenching </w:t>
      </w:r>
      <w:r w:rsidRPr="00A23882">
        <w:rPr>
          <w:sz w:val="24"/>
          <w:szCs w:val="24"/>
        </w:rPr>
        <w:fldChar w:fldCharType="begin" w:fldLock="1"/>
      </w:r>
      <w:r w:rsidRPr="00A23882">
        <w:rPr>
          <w:sz w:val="24"/>
          <w:szCs w:val="24"/>
        </w:rPr>
        <w:instrText>ADDIN CSL_CITATION {"citationItems":[{"id":"ITEM-1","itemData":{"DOI":"10.1016/j.molstruc.2004.11.062","ISSN":"00222860","abstract":"The interaction between anti-tumor drug, 1-hexylcarbamoyl-5-fluorouracil (Carmofur), and bovine serum albumin (BSA) were studied by spectroscopic methods including fluorescence spectroscopy, circular dichroism (CD) and UV-Visible absorption spectrum. The quenching mechanism of fluorescence of BSA by Carmofur was discussed. The number of binding sites n and apparent binding constant Kb was measured by fluorescence quenching method. The thermodynamic parameters ΔH, ΔG, ΔS at different temperatures were calculated and the results indicate the binding reaction is mainly entropy-driven and hydrophobic forces played major role in the reaction. The distance r between donor (BSA) and acceptor (Carmofur) was obtained according to Förster theory of non-radiation energy transfer. CD spectrum were used to investigate the structural change of BSA molecules with addition of Carmofur, the result indicates that the secondary structure of BSA molecules is changed in the presence of Carmofur. © 2004 Elsevier B.V. All rights reserved.","author":[{"dropping-particle":"","family":"Hu","given":"Yan Jun","non-dropping-particle":"","parse-names":false,"suffix":""},{"dropping-particle":"","family":"Liu","given":"Yi","non-dropping-particle":"","parse-names":false,"suffix":""},{"dropping-particle":"","family":"Shen","given":"Xue Song","non-dropping-particle":"","parse-names":false,"suffix":""},{"dropping-particle":"","family":"Fang","given":"Xian Yang","non-dropping-particle":"","parse-names":false,"suffix":""},{"dropping-particle":"","family":"Qu","given":"Song Sheng","non-dropping-particle":"","parse-names":false,"suffix":""}],"container-title":"Journal of Molecular Structure","id":"ITEM-1","issue":"1-3","issued":{"date-parts":[["2005"]]},"page":"143-147","title":"Studies on the interaction between 1-hexylcarbamoyl-5-fluorouracil and bovine serum albumin","type":"article-journal","volume":"738"},"uris":["http://www.mendeley.com/documents/?uuid=005a0b77-7ac3-4d69-a17e-6a14b1849a48"]}],"mendeley":{"formattedCitation":"[49]","plainTextFormattedCitation":"[49]","previouslyFormattedCitation":"[49]"},"properties":{"noteIndex":0},"schema":"https://github.com/citation-style-language/schema/raw/master/csl-citation.json"}</w:instrText>
      </w:r>
      <w:r w:rsidRPr="00A23882">
        <w:rPr>
          <w:sz w:val="24"/>
          <w:szCs w:val="24"/>
        </w:rPr>
        <w:fldChar w:fldCharType="separate"/>
      </w:r>
      <w:r w:rsidRPr="00A23882">
        <w:rPr>
          <w:noProof/>
          <w:sz w:val="24"/>
          <w:szCs w:val="24"/>
        </w:rPr>
        <w:t>[49]</w:t>
      </w:r>
      <w:r w:rsidRPr="00A23882">
        <w:rPr>
          <w:sz w:val="24"/>
          <w:szCs w:val="24"/>
        </w:rPr>
        <w:fldChar w:fldCharType="end"/>
      </w:r>
      <w:r w:rsidRPr="00A23882">
        <w:rPr>
          <w:sz w:val="24"/>
          <w:szCs w:val="24"/>
        </w:rPr>
        <w:t>. On the contrary, weakly bound complexes will typically dissociate at higher temperatures: K</w:t>
      </w:r>
      <w:r w:rsidRPr="00A23882">
        <w:rPr>
          <w:sz w:val="24"/>
          <w:szCs w:val="24"/>
          <w:vertAlign w:val="subscript"/>
        </w:rPr>
        <w:t>SV</w:t>
      </w:r>
      <w:r w:rsidRPr="00A23882">
        <w:rPr>
          <w:sz w:val="24"/>
          <w:szCs w:val="24"/>
        </w:rPr>
        <w:t xml:space="preserve"> values decrease when the temperature increases </w:t>
      </w:r>
      <w:r w:rsidRPr="00A23882">
        <w:rPr>
          <w:sz w:val="24"/>
          <w:szCs w:val="24"/>
        </w:rPr>
        <w:fldChar w:fldCharType="begin" w:fldLock="1"/>
      </w:r>
      <w:r w:rsidRPr="00A23882">
        <w:rPr>
          <w:sz w:val="24"/>
          <w:szCs w:val="24"/>
        </w:rPr>
        <w:instrText>ADDIN CSL_CITATION {"citationItems":[{"id":"ITEM-1","itemData":{"DOI":"10.1080/13102818.2014.915077","ISSN":"13102818","abstract":"The binding mechanisms of the interaction of three dihydromyricetin (DMY)-metal complexes (DMY-Cu (II) complex, DMY-Mn (II) complex, DMY-Zn (II) complex) and DMY with bovine serum albumin (BSA) were investigated using fluorescence and ultraviolet spectroscopy at different temperatures. The results indicated some differences in the binding process between different DMY-metal complexes and BSA compared with that of free DMY. All of the complexes and DMY quenched the fluorescence of BSA based on static mode combined with radiationless energy transfer, yet having different binding distance based on the Förster theory. Different DMY-metal complexes can change the binding constants. The binding constants increase for DMY-Cu (II) and DMY-Mn (II) complexes, whereas the opposite is true for the DMY-Zn (II) complex compared to the one with free DMY. The DMY-metal complexes can also affect the types of the interaction. The van der Waals forces and hydrogen bonding may play a major role in the interaction of free DMY with BSA, while for the three complexes, the nature of the binding forces lies in hydrophobic forces and hydrogen bonding based on the thermodynamic parameters. © 2014 The Author(s). Published by Taylor &amp; Francis.","author":[{"dropping-particle":"","family":"Guo","given":"Qingquan","non-dropping-particle":"","parse-names":false,"suffix":""},{"dropping-particle":"","family":"Yuan","given":"Juan","non-dropping-particle":"","parse-names":false,"suffix":""},{"dropping-particle":"","family":"Zeng","given":"Jinhua","non-dropping-particle":"","parse-names":false,"suffix":""}],"container-title":"Biotechnology and Biotechnological Equipment","id":"ITEM-1","issue":"2","issued":{"date-parts":[["2014"]]},"page":"333-341","title":"Binding of dihydromyricetin and its metal ion complexes with bovine serum albumin","type":"article-journal","volume":"28"},"uris":["http://www.mendeley.com/documents/?uuid=8e3e38f8-2d97-4951-8c35-0703a16b36b8"]}],"mendeley":{"formattedCitation":"[38]","plainTextFormattedCitation":"[38]","previouslyFormattedCitation":"[38]"},"properties":{"noteIndex":0},"schema":"https://github.com/citation-style-language/schema/raw/master/csl-citation.json"}</w:instrText>
      </w:r>
      <w:r w:rsidRPr="00A23882">
        <w:rPr>
          <w:sz w:val="24"/>
          <w:szCs w:val="24"/>
        </w:rPr>
        <w:fldChar w:fldCharType="separate"/>
      </w:r>
      <w:r w:rsidRPr="00A23882">
        <w:rPr>
          <w:noProof/>
          <w:sz w:val="24"/>
          <w:szCs w:val="24"/>
        </w:rPr>
        <w:t>[38]</w:t>
      </w:r>
      <w:r w:rsidRPr="00A23882">
        <w:rPr>
          <w:sz w:val="24"/>
          <w:szCs w:val="24"/>
        </w:rPr>
        <w:fldChar w:fldCharType="end"/>
      </w:r>
      <w:r w:rsidRPr="00A23882">
        <w:rPr>
          <w:b/>
          <w:sz w:val="24"/>
          <w:szCs w:val="24"/>
        </w:rPr>
        <w:t>,</w:t>
      </w:r>
      <w:r w:rsidRPr="00A23882">
        <w:rPr>
          <w:b/>
          <w:sz w:val="24"/>
          <w:szCs w:val="24"/>
        </w:rPr>
        <w:fldChar w:fldCharType="begin" w:fldLock="1"/>
      </w:r>
      <w:r w:rsidRPr="00A23882">
        <w:rPr>
          <w:b/>
          <w:sz w:val="24"/>
          <w:szCs w:val="24"/>
        </w:rPr>
        <w:instrText>ADDIN CSL_CITATION {"citationItems":[{"id":"ITEM-1","itemData":{"DOI":"10.3390/ijms21010249","ISSN":"14220067","PMID":"31905871","abstract":"Cloxyquin is a potential therapeutic compound possessing various bioactivities, especially antibacterial, antifungal, cardioprotective, and pain relief activities. Herein, the interaction mechanism between cloxyquin and bovine serum albumin (BSA) has been elucidated in order to fulfill its pharmacokinetic and pharmacodynamic gaps essential for further development as a therapeutic drug. Multi-spectroscopic and biophysical model analysis suggested that cloxyquin interacts with BSA via a static process by ground-state complex formation. Its binding behavior emerged as a biphasic fashion with a moderate binding constant at the level of 104 M−1. Thermodynamic analysis and molecular docking simulation concurrently revealed that hydrophobic interaction is a major driving force for BSA–cloxyquin complexation. Binding of cloxyquin tends to slightly enlarge the monomeric size of BSA without a significant increase of aggregate fraction. Cloxyquin preferentially binds into the fatty acid binding site 5 (FA5) of the BSA via hydrophobic interaction amongst its quinoline scaffold and Phe550, Leu531, and Leu574 residues of BSA. The quinoline ring and hydroxyl moiety of cloxyquin also form the π–π interaction and the hydrogen bond with Phe506. Our data indicate a potential function of serum albumin as a carrier of cloxyquin in blood circulation.","author":[{"dropping-particle":"","family":"Phopin","given":"Kamonrat","non-dropping-particle":"","parse-names":false,"suffix":""},{"dropping-particle":"","family":"Ruankham","given":"Waralee","non-dropping-particle":"","parse-names":false,"suffix":""},{"dropping-particle":"","family":"Prachayasittikul","given":"Supaluk","non-dropping-particle":"","parse-names":false,"suffix":""},{"dropping-particle":"","family":"Prachayasittikul","given":"Virapong","non-dropping-particle":"","parse-names":false,"suffix":""},{"dropping-particle":"","family":"Tantimongcolwat","given":"Tanawut","non-dropping-particle":"","parse-names":false,"suffix":""}],"container-title":"International Journal of Molecular Sciences","id":"ITEM-1","issue":"1","issued":{"date-parts":[["2020"]]},"title":"Insight into the molecular interaction of cloxyquin (5-chloro-8-hydroxyquinoline) with bovine serum albumin: Biophysical analysis and computational simulation","type":"article-journal","volume":"21"},"uris":["http://www.mendeley.com/documents/?uuid=7d977f82-6fc1-4b37-966c-e7214d8ced42"]}],"mendeley":{"formattedCitation":"[50]","plainTextFormattedCitation":"[50]","previouslyFormattedCitation":"[50]"},"properties":{"noteIndex":0},"schema":"https://github.com/citation-style-language/schema/raw/master/csl-citation.json"}</w:instrText>
      </w:r>
      <w:r w:rsidRPr="00A23882">
        <w:rPr>
          <w:b/>
          <w:sz w:val="24"/>
          <w:szCs w:val="24"/>
        </w:rPr>
        <w:fldChar w:fldCharType="separate"/>
      </w:r>
      <w:r w:rsidRPr="00A23882">
        <w:rPr>
          <w:noProof/>
          <w:sz w:val="24"/>
          <w:szCs w:val="24"/>
        </w:rPr>
        <w:t>[50]</w:t>
      </w:r>
      <w:r w:rsidRPr="00A23882">
        <w:rPr>
          <w:b/>
          <w:sz w:val="24"/>
          <w:szCs w:val="24"/>
        </w:rPr>
        <w:fldChar w:fldCharType="end"/>
      </w:r>
      <w:r w:rsidRPr="00A23882">
        <w:rPr>
          <w:sz w:val="24"/>
          <w:szCs w:val="24"/>
        </w:rPr>
        <w:t xml:space="preserve"> or at least stay constant, in particular if the complex is not so weak. The latter was found to occur for instance in the case of perilene pesticides-BSA (Figure 4) or diiron vinyliminium-BSA complexes where the binding constants K (see below Eq. (5)) are of the magnitude order of 10</w:t>
      </w:r>
      <w:r w:rsidRPr="00A23882">
        <w:rPr>
          <w:sz w:val="24"/>
          <w:szCs w:val="24"/>
          <w:vertAlign w:val="superscript"/>
        </w:rPr>
        <w:t xml:space="preserve">5 </w:t>
      </w:r>
      <w:r w:rsidRPr="00A23882">
        <w:rPr>
          <w:sz w:val="24"/>
          <w:szCs w:val="24"/>
          <w:vertAlign w:val="superscript"/>
        </w:rPr>
        <w:fldChar w:fldCharType="begin" w:fldLock="1"/>
      </w:r>
      <w:r w:rsidRPr="00A23882">
        <w:rPr>
          <w:sz w:val="24"/>
          <w:szCs w:val="24"/>
          <w:vertAlign w:val="superscript"/>
        </w:rPr>
        <w:instrText>ADDIN CSL_CITATION {"citationItems":[{"id":"ITEM-1","itemData":{"DOI":"10.1016/j.saa.2019.117313","ISSN":"13861425","abstract":"The binding to biosubstrates and micellar systems of pollutants as the polycyclic aromatic hydrocarbon (PAH) derivatives 1-aminopyrene (1-PyNH2) and 1-hydroxymethylpyrene (1-PyMeOH) and the carbamate-pesticides 1-naphthyl-N-methylcarbamate (carbaryl, CA) and methyl benzimidazol-2-ylcarbamate (carbendazim, CBZ) was analysed through an integrated strategy combining spectroscopy and quantum chemistry. As biosubstrates, natural DNA and bovine serum albumin (BSA) were taken into account for a thermodynamic analysis of the binding features through spectrophotometric and spectrofluorometric techniques. In all cases, a strong DNA interaction is present and intercalation is supposed as the major binding mode. For the PAH derivatives, DNA binding is found to be favoured under high salt conditions and BSA static quenching and binding with 1:1 stoichiometry occurs. The molecular structure and optical properties of 1-PyNH2, CA and CBZ together with their intercalated adducts in DNA were studied also by means of quantum chemical approach. The (TD)DFT calculations on intercalated dye/DNA adducts quantitatively reproduce the experimentally observed spectroscopic changes, thus confirming the intercalation hypothesis. The theoretical approach also provides information on the adducts' geometries and on the amount of charge transfer with DNA. Moreover, ultrafiltration tests in the presence of anionic (SDS), cationic (DTAC) and neutral (Triton X) micellar aggregates and liposomes provided insights into lipophilicity and cellular membrane affinity. PAH derivatives show high retention coefficient in all cases, whereas in the case of carbamate-pesticides micellar retention might be significantly reduced and is very limited in the case of liposomes.","author":[{"dropping-particle":"","family":"Macii","given":"Francesca","non-dropping-particle":"","parse-names":false,"suffix":""},{"dropping-particle":"","family":"Salvadori","given":"Giacomo","non-dropping-particle":"","parse-names":false,"suffix":""},{"dropping-particle":"","family":"Bonini","given":"Rachele","non-dropping-particle":"","parse-names":false,"suffix":""},{"dropping-particle":"","family":"Giannarelli","given":"Stefania","non-dropping-particle":"","parse-names":false,"suffix":""},{"dropping-particle":"","family":"Mennucci","given":"Benedetta","non-dropping-particle":"","parse-names":false,"suffix":""},{"dropping-particle":"","family":"Biver","given":"Tarita","non-dropping-particle":"","parse-names":false,"suffix":""}],"container-title":"Spectrochimica Acta - Part A: Molecular and Biomolecular Spectroscopy","id":"ITEM-1","issued":{"date-parts":[["2019"]]},"page":"117313","publisher":"Elsevier B.V.","title":"Binding of model polycyclic aromatic hydrocarbons and carbamate-pesticides to DNA, BSA, micelles and liposomes","type":"article-journal","volume":"223"},"uris":["http://www.mendeley.com/documents/?uuid=dff550f9-2f7e-4a36-9d7c-95651e6d0c8f"]}],"mendeley":{"formattedCitation":"[51]","plainTextFormattedCitation":"[51]","previouslyFormattedCitation":"[51]"},"properties":{"noteIndex":0},"schema":"https://github.com/citation-style-language/schema/raw/master/csl-citation.json"}</w:instrText>
      </w:r>
      <w:r w:rsidRPr="00A23882">
        <w:rPr>
          <w:sz w:val="24"/>
          <w:szCs w:val="24"/>
          <w:vertAlign w:val="superscript"/>
        </w:rPr>
        <w:fldChar w:fldCharType="separate"/>
      </w:r>
      <w:r w:rsidRPr="00A23882">
        <w:rPr>
          <w:noProof/>
          <w:sz w:val="24"/>
          <w:szCs w:val="24"/>
        </w:rPr>
        <w:t>[51]</w:t>
      </w:r>
      <w:r w:rsidRPr="00A23882">
        <w:rPr>
          <w:sz w:val="24"/>
          <w:szCs w:val="24"/>
          <w:vertAlign w:val="superscript"/>
        </w:rPr>
        <w:fldChar w:fldCharType="end"/>
      </w:r>
      <w:r w:rsidRPr="00A23882">
        <w:rPr>
          <w:sz w:val="24"/>
          <w:szCs w:val="24"/>
        </w:rPr>
        <w:t>,</w:t>
      </w:r>
      <w:r w:rsidRPr="00A23882">
        <w:rPr>
          <w:sz w:val="24"/>
          <w:szCs w:val="24"/>
        </w:rPr>
        <w:fldChar w:fldCharType="begin" w:fldLock="1"/>
      </w:r>
      <w:r w:rsidRPr="00A23882">
        <w:rPr>
          <w:sz w:val="24"/>
          <w:szCs w:val="24"/>
        </w:rPr>
        <w:instrText>ADDIN CSL_CITATION {"citationItems":[{"id":"ITEM-1","itemData":{"DOI":"10.1002/chem.201902885","ISSN":"15213765","PMID":"31441186","abstract":"Although ferrocene derivatives have attracted considerable attention as possible anticancer agents, the medicinal potential of diiron complexes has remained largely unexplored. Herein, we describe the straightforward multigram-scale synthesis and the antiproliferative activity of a series of diiron cyclopentadienyl complexes containing bridging vinyliminium ligands. IC50 values in the low-to-mid micromolar range were determined against cisplatin sensitive and resistant human ovarian carcinoma (A2780 and A2780cisR) cell lines. Notable selectivity towards the cancerous cells lines compared to the non-tumoral human embryonic kidney (HEK-293) cell line was observed for selected compounds. The activity seems to be multimodal, involving reactive oxygen species (ROS) generation and, in some cases, a fragmentation process to afford monoiron derivatives. The large structural variability, amphiphilic character and good stability in aqueous media of the diiron vinyliminium complexes provide favorable properties compared to other widely studied classes of iron-based anticancer candidates.","author":[{"dropping-particle":"","family":"Rocco","given":"Dalila","non-dropping-particle":"","parse-names":false,"suffix":""},{"dropping-particle":"","family":"Batchelor","given":"Lucinda K.","non-dropping-particle":"","parse-names":false,"suffix":""},{"dropping-particle":"","family":"Agonigi","given":"Gabriele","non-dropping-particle":"","parse-names":false,"suffix":""},{"dropping-particle":"","family":"Braccini","given":"Simona","non-dropping-particle":"","parse-names":false,"suffix":""},{"dropping-particle":"","family":"Chiellini","given":"Federica","non-dropping-particle":"","parse-names":false,"suffix":""},{"dropping-particle":"","family":"Schoch","given":"Silvia","non-dropping-particle":"","parse-names":false,"suffix":""},{"dropping-particle":"","family":"Biver","given":"Tarita","non-dropping-particle":"","parse-names":false,"suffix":""},{"dropping-particle":"","family":"Funaioli","given":"Tiziana","non-dropping-particle":"","parse-names":false,"suffix":""},{"dropping-particle":"","family":"Zacchini","given":"Stefano","non-dropping-particle":"","parse-names":false,"suffix":""},{"dropping-particle":"","family":"Biancalana","given":"Lorenzo","non-dropping-particle":"","parse-names":false,"suffix":""},{"dropping-particle":"","family":"Ruggeri","given":"Marina","non-dropping-particle":"","parse-names":false,"suffix":""},{"dropping-particle":"","family":"Pampaloni","given":"Guido","non-dropping-particle":"","parse-names":false,"suffix":""},{"dropping-particle":"","family":"Dyson","given":"Paul J.","non-dropping-particle":"","parse-names":false,"suffix":""},{"dropping-particle":"","family":"Marchetti","given":"Fabio","non-dropping-particle":"","parse-names":false,"suffix":""}],"container-title":"Chemistry - A European Journal","id":"ITEM-1","issued":{"date-parts":[["2019"]]},"page":"1-17","title":"Anticancer Potential of Diiron Vinyliminium Complexes","type":"article-journal"},"uris":["http://www.mendeley.com/documents/?uuid=725ecf6e-2d1e-4a33-a873-e9bd913f5111"]}],"mendeley":{"formattedCitation":"[36]","plainTextFormattedCitation":"[36]","previouslyFormattedCitation":"[36]"},"properties":{"noteIndex":0},"schema":"https://github.com/citation-style-language/schema/raw/master/csl-citation.json"}</w:instrText>
      </w:r>
      <w:r w:rsidRPr="00A23882">
        <w:rPr>
          <w:sz w:val="24"/>
          <w:szCs w:val="24"/>
        </w:rPr>
        <w:fldChar w:fldCharType="separate"/>
      </w:r>
      <w:r w:rsidRPr="00A23882">
        <w:rPr>
          <w:noProof/>
          <w:sz w:val="24"/>
          <w:szCs w:val="24"/>
        </w:rPr>
        <w:t>[36]</w:t>
      </w:r>
      <w:r w:rsidRPr="00A23882">
        <w:rPr>
          <w:sz w:val="24"/>
          <w:szCs w:val="24"/>
        </w:rPr>
        <w:fldChar w:fldCharType="end"/>
      </w:r>
      <w:r w:rsidRPr="00A23882">
        <w:rPr>
          <w:sz w:val="24"/>
          <w:szCs w:val="24"/>
        </w:rPr>
        <w:t>.</w:t>
      </w:r>
      <w:r w:rsidR="005F79EE">
        <w:rPr>
          <w:sz w:val="24"/>
          <w:szCs w:val="24"/>
        </w:rPr>
        <w:t xml:space="preserve"> </w:t>
      </w:r>
    </w:p>
    <w:p w:rsidR="002A3793" w:rsidRPr="00A23882" w:rsidRDefault="003118E8" w:rsidP="00A23882">
      <w:pPr>
        <w:pStyle w:val="05-ArticleText"/>
        <w:spacing w:line="480" w:lineRule="auto"/>
        <w:rPr>
          <w:sz w:val="24"/>
          <w:szCs w:val="24"/>
        </w:rPr>
      </w:pPr>
      <w:r>
        <w:rPr>
          <w:noProof/>
          <w:sz w:val="24"/>
          <w:szCs w:val="24"/>
          <w:lang w:val="en-GB" w:eastAsia="en-GB"/>
        </w:rPr>
        <w:object w:dxaOrig="1440" w:dyaOrig="1440">
          <v:shape id="_x0000_s1082" type="#_x0000_t75" style="position:absolute;left:0;text-align:left;margin-left:131.95pt;margin-top:.05pt;width:216.25pt;height:165.75pt;z-index:-251649536" wrapcoords="2400 2150 2400 2737 3150 3714 3675 3714 3675 5278 2400 5962 2400 6646 3675 6842 3675 8405 1500 9285 1350 9578 1425 10947 2250 11533 3675 11533 3675 13097 2475 13781 2475 14270 3675 14661 3675 16224 2325 17690 2325 18961 4650 19352 10800 19352 9225 19938 9075 20134 9075 20818 13050 20818 13275 20232 12675 19841 10800 19352 18600 19157 19125 19059 18600 17788 18750 2443 18150 2346 3600 2150 2400 2150">
            <v:imagedata r:id="rId15" o:title=""/>
            <w10:wrap type="tight"/>
          </v:shape>
          <o:OLEObject Type="Embed" ProgID="Origin50.Graph" ShapeID="_x0000_s1082" DrawAspect="Content" ObjectID="_1660750238" r:id="rId16"/>
        </w:object>
      </w:r>
    </w:p>
    <w:p w:rsidR="002A3793" w:rsidRDefault="002A3793" w:rsidP="00A23882">
      <w:pPr>
        <w:pStyle w:val="07-Heading-2"/>
        <w:spacing w:line="480" w:lineRule="auto"/>
        <w:rPr>
          <w:b w:val="0"/>
          <w:sz w:val="24"/>
          <w:szCs w:val="24"/>
        </w:rPr>
      </w:pPr>
    </w:p>
    <w:p w:rsidR="00FB7579" w:rsidRPr="00A23882" w:rsidRDefault="00FB7579" w:rsidP="00A23882">
      <w:pPr>
        <w:pStyle w:val="07-Heading-2"/>
        <w:spacing w:line="480" w:lineRule="auto"/>
        <w:rPr>
          <w:rFonts w:eastAsia="SimSun"/>
          <w:sz w:val="24"/>
          <w:szCs w:val="24"/>
          <w:lang w:val="en-GB" w:eastAsia="en-US"/>
        </w:rPr>
      </w:pPr>
    </w:p>
    <w:p w:rsidR="002A3793" w:rsidRDefault="002A3793" w:rsidP="00A23882">
      <w:pPr>
        <w:pStyle w:val="07-Heading-2"/>
        <w:spacing w:line="480" w:lineRule="auto"/>
        <w:rPr>
          <w:rFonts w:eastAsia="SimSun"/>
          <w:sz w:val="24"/>
          <w:szCs w:val="24"/>
          <w:lang w:val="en-GB" w:eastAsia="en-US"/>
        </w:rPr>
      </w:pPr>
    </w:p>
    <w:p w:rsidR="00FB7579" w:rsidRPr="00A23882" w:rsidRDefault="00FB7579" w:rsidP="00A23882">
      <w:pPr>
        <w:pStyle w:val="07-Heading-2"/>
        <w:spacing w:line="480" w:lineRule="auto"/>
        <w:rPr>
          <w:rFonts w:eastAsia="SimSun"/>
          <w:sz w:val="24"/>
          <w:szCs w:val="24"/>
          <w:lang w:val="en-GB" w:eastAsia="en-US"/>
        </w:rPr>
      </w:pPr>
    </w:p>
    <w:p w:rsidR="002A3793" w:rsidRPr="00FB7579" w:rsidRDefault="002A3793" w:rsidP="00A23882">
      <w:pPr>
        <w:pStyle w:val="07-Heading-2"/>
        <w:spacing w:line="480" w:lineRule="auto"/>
        <w:rPr>
          <w:rFonts w:eastAsia="SimSun"/>
          <w:b w:val="0"/>
          <w:sz w:val="22"/>
          <w:szCs w:val="24"/>
          <w:lang w:val="en-GB" w:eastAsia="en-US"/>
        </w:rPr>
      </w:pPr>
      <w:r w:rsidRPr="00FB7579">
        <w:rPr>
          <w:rFonts w:eastAsia="SimSun"/>
          <w:sz w:val="22"/>
          <w:szCs w:val="24"/>
          <w:lang w:val="en-GB" w:eastAsia="en-US"/>
        </w:rPr>
        <w:t>Figure 4</w:t>
      </w:r>
      <w:r w:rsidRPr="00FB7579">
        <w:rPr>
          <w:rFonts w:eastAsia="SimSun"/>
          <w:b w:val="0"/>
          <w:sz w:val="22"/>
          <w:szCs w:val="24"/>
          <w:lang w:val="en-GB" w:eastAsia="en-US"/>
        </w:rPr>
        <w:t xml:space="preserve"> – Stern-Volmer plots according to Eq.(2) at different temperatures for the anticancer diiron vinyliminium complex</w:t>
      </w:r>
      <w:r w:rsidRPr="00FB7579">
        <w:rPr>
          <w:sz w:val="22"/>
          <w:szCs w:val="24"/>
        </w:rPr>
        <w:t xml:space="preserve"> </w:t>
      </w:r>
      <w:r w:rsidRPr="00FB7579">
        <w:rPr>
          <w:rFonts w:eastAsia="SimSun"/>
          <w:b w:val="0"/>
          <w:sz w:val="22"/>
          <w:szCs w:val="24"/>
          <w:lang w:val="en-GB" w:eastAsia="en-US"/>
        </w:rPr>
        <w:t>[Fe</w:t>
      </w:r>
      <w:r w:rsidRPr="00FB7579">
        <w:rPr>
          <w:rFonts w:eastAsia="SimSun"/>
          <w:b w:val="0"/>
          <w:sz w:val="22"/>
          <w:szCs w:val="24"/>
          <w:vertAlign w:val="subscript"/>
          <w:lang w:val="en-GB" w:eastAsia="en-US"/>
        </w:rPr>
        <w:t>2</w:t>
      </w:r>
      <w:r w:rsidRPr="00FB7579">
        <w:rPr>
          <w:rFonts w:eastAsia="SimSun"/>
          <w:b w:val="0"/>
          <w:sz w:val="22"/>
          <w:szCs w:val="24"/>
          <w:lang w:val="en-GB" w:eastAsia="en-US"/>
        </w:rPr>
        <w:t>Cp</w:t>
      </w:r>
      <w:r w:rsidRPr="00FB7579">
        <w:rPr>
          <w:rFonts w:eastAsia="SimSun"/>
          <w:b w:val="0"/>
          <w:sz w:val="22"/>
          <w:szCs w:val="24"/>
          <w:vertAlign w:val="subscript"/>
          <w:lang w:val="en-GB" w:eastAsia="en-US"/>
        </w:rPr>
        <w:t>2</w:t>
      </w:r>
      <w:r w:rsidRPr="00FB7579">
        <w:rPr>
          <w:rFonts w:eastAsia="SimSun"/>
          <w:b w:val="0"/>
          <w:sz w:val="22"/>
          <w:szCs w:val="24"/>
          <w:lang w:val="en-GB" w:eastAsia="en-US"/>
        </w:rPr>
        <w:t>(CO)(µ-CO){µ-η</w:t>
      </w:r>
      <w:r w:rsidRPr="00FB7579">
        <w:rPr>
          <w:rFonts w:eastAsia="SimSun"/>
          <w:b w:val="0"/>
          <w:sz w:val="22"/>
          <w:szCs w:val="24"/>
          <w:vertAlign w:val="superscript"/>
          <w:lang w:val="en-GB" w:eastAsia="en-US"/>
        </w:rPr>
        <w:t>1</w:t>
      </w:r>
      <w:r w:rsidRPr="00FB7579">
        <w:rPr>
          <w:rFonts w:eastAsia="SimSun"/>
          <w:b w:val="0"/>
          <w:sz w:val="22"/>
          <w:szCs w:val="24"/>
          <w:lang w:val="en-GB" w:eastAsia="en-US"/>
        </w:rPr>
        <w:t>: η</w:t>
      </w:r>
      <w:r w:rsidRPr="00FB7579">
        <w:rPr>
          <w:rFonts w:eastAsia="SimSun"/>
          <w:b w:val="0"/>
          <w:sz w:val="22"/>
          <w:szCs w:val="24"/>
          <w:vertAlign w:val="superscript"/>
          <w:lang w:val="en-GB" w:eastAsia="en-US"/>
        </w:rPr>
        <w:t>3</w:t>
      </w:r>
      <w:r w:rsidRPr="00FB7579">
        <w:rPr>
          <w:rFonts w:eastAsia="SimSun"/>
          <w:b w:val="0"/>
          <w:sz w:val="22"/>
          <w:szCs w:val="24"/>
          <w:lang w:val="en-GB" w:eastAsia="en-US"/>
        </w:rPr>
        <w:t>-C</w:t>
      </w:r>
      <w:r w:rsidRPr="00FB7579">
        <w:rPr>
          <w:rFonts w:eastAsia="SimSun"/>
          <w:b w:val="0"/>
          <w:sz w:val="22"/>
          <w:szCs w:val="24"/>
          <w:vertAlign w:val="superscript"/>
          <w:lang w:val="en-GB" w:eastAsia="en-US"/>
        </w:rPr>
        <w:t>3</w:t>
      </w:r>
      <w:r w:rsidRPr="00FB7579">
        <w:rPr>
          <w:rFonts w:eastAsia="SimSun"/>
          <w:b w:val="0"/>
          <w:sz w:val="22"/>
          <w:szCs w:val="24"/>
          <w:lang w:val="en-GB" w:eastAsia="en-US"/>
        </w:rPr>
        <w:t>(2-naphthyl)C</w:t>
      </w:r>
      <w:r w:rsidRPr="00FB7579">
        <w:rPr>
          <w:rFonts w:eastAsia="SimSun"/>
          <w:b w:val="0"/>
          <w:sz w:val="22"/>
          <w:szCs w:val="24"/>
          <w:vertAlign w:val="superscript"/>
          <w:lang w:val="en-GB" w:eastAsia="en-US"/>
        </w:rPr>
        <w:t>2</w:t>
      </w:r>
      <w:r w:rsidRPr="00FB7579">
        <w:rPr>
          <w:rFonts w:eastAsia="SimSun"/>
          <w:b w:val="0"/>
          <w:sz w:val="22"/>
          <w:szCs w:val="24"/>
          <w:lang w:val="en-GB" w:eastAsia="en-US"/>
        </w:rPr>
        <w:t>(H)C</w:t>
      </w:r>
      <w:r w:rsidRPr="00FB7579">
        <w:rPr>
          <w:rFonts w:eastAsia="SimSun"/>
          <w:b w:val="0"/>
          <w:sz w:val="22"/>
          <w:szCs w:val="24"/>
          <w:vertAlign w:val="superscript"/>
          <w:lang w:val="en-GB" w:eastAsia="en-US"/>
        </w:rPr>
        <w:t>1</w:t>
      </w:r>
      <w:r w:rsidRPr="00FB7579">
        <w:rPr>
          <w:rFonts w:eastAsia="SimSun"/>
          <w:b w:val="0"/>
          <w:sz w:val="22"/>
          <w:szCs w:val="24"/>
          <w:lang w:val="en-GB" w:eastAsia="en-US"/>
        </w:rPr>
        <w:t>NMe</w:t>
      </w:r>
      <w:r w:rsidRPr="00FB7579">
        <w:rPr>
          <w:rFonts w:eastAsia="SimSun"/>
          <w:b w:val="0"/>
          <w:sz w:val="22"/>
          <w:szCs w:val="24"/>
          <w:vertAlign w:val="subscript"/>
          <w:lang w:val="en-GB" w:eastAsia="en-US"/>
        </w:rPr>
        <w:t>2</w:t>
      </w:r>
      <w:r w:rsidRPr="00FB7579">
        <w:rPr>
          <w:rFonts w:eastAsia="SimSun"/>
          <w:b w:val="0"/>
          <w:sz w:val="22"/>
          <w:szCs w:val="24"/>
          <w:lang w:val="en-GB" w:eastAsia="en-US"/>
        </w:rPr>
        <w:t>}]</w:t>
      </w:r>
      <w:r w:rsidRPr="00FB7579">
        <w:rPr>
          <w:rFonts w:eastAsia="SimSun"/>
          <w:b w:val="0"/>
          <w:sz w:val="22"/>
          <w:szCs w:val="24"/>
          <w:vertAlign w:val="superscript"/>
          <w:lang w:val="en-GB" w:eastAsia="en-US"/>
        </w:rPr>
        <w:t>+</w:t>
      </w:r>
      <w:r w:rsidRPr="00FB7579">
        <w:rPr>
          <w:rFonts w:eastAsia="SimSun"/>
          <w:b w:val="0"/>
          <w:sz w:val="22"/>
          <w:szCs w:val="24"/>
          <w:lang w:val="en-GB" w:eastAsia="en-US"/>
        </w:rPr>
        <w:t>/BSA system;</w:t>
      </w:r>
      <w:r w:rsidRPr="00FB7579">
        <w:rPr>
          <w:sz w:val="22"/>
          <w:szCs w:val="24"/>
        </w:rPr>
        <w:t xml:space="preserve"> </w:t>
      </w:r>
      <w:r w:rsidRPr="00FB7579">
        <w:rPr>
          <w:b w:val="0"/>
          <w:sz w:val="22"/>
          <w:szCs w:val="24"/>
        </w:rPr>
        <w:t>C</w:t>
      </w:r>
      <w:r w:rsidRPr="00FB7579">
        <w:rPr>
          <w:b w:val="0"/>
          <w:sz w:val="22"/>
          <w:szCs w:val="24"/>
          <w:vertAlign w:val="subscript"/>
        </w:rPr>
        <w:t>BSA</w:t>
      </w:r>
      <w:r w:rsidRPr="00FB7579">
        <w:rPr>
          <w:b w:val="0"/>
          <w:sz w:val="22"/>
          <w:szCs w:val="24"/>
        </w:rPr>
        <w:t xml:space="preserve"> = 4.6×10</w:t>
      </w:r>
      <w:r w:rsidRPr="00FB7579">
        <w:rPr>
          <w:b w:val="0"/>
          <w:sz w:val="22"/>
          <w:szCs w:val="24"/>
          <w:vertAlign w:val="superscript"/>
        </w:rPr>
        <w:t>-6</w:t>
      </w:r>
      <w:r w:rsidRPr="00FB7579">
        <w:rPr>
          <w:b w:val="0"/>
          <w:sz w:val="22"/>
          <w:szCs w:val="24"/>
        </w:rPr>
        <w:t xml:space="preserve"> M</w:t>
      </w:r>
      <w:r w:rsidRPr="00FB7579">
        <w:rPr>
          <w:rFonts w:eastAsia="SimSun"/>
          <w:b w:val="0"/>
          <w:sz w:val="22"/>
          <w:szCs w:val="24"/>
          <w:lang w:val="en-GB" w:eastAsia="en-US"/>
        </w:rPr>
        <w:t xml:space="preserve"> [NaCl] = 0.1M, [NaCac] = 0.01 M, pH 7.0, </w:t>
      </w:r>
      <w:r w:rsidR="005F79EE" w:rsidRPr="0051736E">
        <w:rPr>
          <w:rFonts w:ascii="Symbol" w:eastAsia="SimSun" w:hAnsi="Symbol"/>
          <w:b w:val="0"/>
          <w:sz w:val="22"/>
          <w:szCs w:val="24"/>
          <w:lang w:eastAsia="en-US"/>
        </w:rPr>
        <w:t></w:t>
      </w:r>
      <w:r w:rsidRPr="00FB7579">
        <w:rPr>
          <w:rFonts w:eastAsia="SimSun"/>
          <w:b w:val="0"/>
          <w:sz w:val="22"/>
          <w:szCs w:val="24"/>
          <w:vertAlign w:val="subscript"/>
          <w:lang w:eastAsia="en-US"/>
        </w:rPr>
        <w:t xml:space="preserve">ex </w:t>
      </w:r>
      <w:r w:rsidRPr="00FB7579">
        <w:rPr>
          <w:rFonts w:eastAsia="SimSun"/>
          <w:b w:val="0"/>
          <w:sz w:val="22"/>
          <w:szCs w:val="24"/>
          <w:lang w:eastAsia="en-US"/>
        </w:rPr>
        <w:t xml:space="preserve">= 280 nm, </w:t>
      </w:r>
      <w:r w:rsidR="005F79EE" w:rsidRPr="0051736E">
        <w:rPr>
          <w:rFonts w:ascii="Symbol" w:eastAsia="SimSun" w:hAnsi="Symbol"/>
          <w:b w:val="0"/>
          <w:sz w:val="22"/>
          <w:szCs w:val="24"/>
          <w:lang w:eastAsia="en-US"/>
        </w:rPr>
        <w:t></w:t>
      </w:r>
      <w:r w:rsidRPr="00FB7579">
        <w:rPr>
          <w:rFonts w:eastAsia="SimSun"/>
          <w:b w:val="0"/>
          <w:sz w:val="22"/>
          <w:szCs w:val="24"/>
          <w:vertAlign w:val="subscript"/>
          <w:lang w:eastAsia="en-US"/>
        </w:rPr>
        <w:t>em</w:t>
      </w:r>
      <w:r w:rsidRPr="00FB7579">
        <w:rPr>
          <w:rFonts w:eastAsia="SimSun"/>
          <w:b w:val="0"/>
          <w:sz w:val="22"/>
          <w:szCs w:val="24"/>
          <w:lang w:val="en-GB" w:eastAsia="en-US"/>
        </w:rPr>
        <w:t xml:space="preserve"> = 345 nm </w:t>
      </w:r>
      <w:r w:rsidRPr="00FB7579">
        <w:rPr>
          <w:rFonts w:eastAsia="SimSun"/>
          <w:b w:val="0"/>
          <w:sz w:val="22"/>
          <w:szCs w:val="24"/>
          <w:lang w:val="en-GB" w:eastAsia="en-US"/>
        </w:rPr>
        <w:fldChar w:fldCharType="begin" w:fldLock="1"/>
      </w:r>
      <w:r w:rsidRPr="00FB7579">
        <w:rPr>
          <w:rFonts w:eastAsia="SimSun"/>
          <w:b w:val="0"/>
          <w:sz w:val="22"/>
          <w:szCs w:val="24"/>
          <w:lang w:val="en-GB" w:eastAsia="en-US"/>
        </w:rPr>
        <w:instrText>ADDIN CSL_CITATION {"citationItems":[{"id":"ITEM-1","itemData":{"DOI":"10.1002/chem.201902885","ISSN":"15213765","PMID":"31441186","abstract":"Although ferrocene derivatives have attracted considerable attention as possible anticancer agents, the medicinal potential of diiron complexes has remained largely unexplored. Herein, we describe the straightforward multigram-scale synthesis and the antiproliferative activity of a series of diiron cyclopentadienyl complexes containing bridging vinyliminium ligands. IC50 values in the low-to-mid micromolar range were determined against cisplatin sensitive and resistant human ovarian carcinoma (A2780 and A2780cisR) cell lines. Notable selectivity towards the cancerous cells lines compared to the non-tumoral human embryonic kidney (HEK-293) cell line was observed for selected compounds. The activity seems to be multimodal, involving reactive oxygen species (ROS) generation and, in some cases, a fragmentation process to afford monoiron derivatives. The large structural variability, amphiphilic character and good stability in aqueous media of the diiron vinyliminium complexes provide favorable properties compared to other widely studied classes of iron-based anticancer candidates.","author":[{"dropping-particle":"","family":"Rocco","given":"Dalila","non-dropping-particle":"","parse-names":false,"suffix":""},{"dropping-particle":"","family":"Batchelor","given":"Lucinda K.","non-dropping-particle":"","parse-names":false,"suffix":""},{"dropping-particle":"","family":"Agonigi","given":"Gabriele","non-dropping-particle":"","parse-names":false,"suffix":""},{"dropping-particle":"","family":"Braccini","given":"Simona","non-dropping-particle":"","parse-names":false,"suffix":""},{"dropping-particle":"","family":"Chiellini","given":"Federica","non-dropping-particle":"","parse-names":false,"suffix":""},{"dropping-particle":"","family":"Schoch","given":"Silvia","non-dropping-particle":"","parse-names":false,"suffix":""},{"dropping-particle":"","family":"Biver","given":"Tarita","non-dropping-particle":"","parse-names":false,"suffix":""},{"dropping-particle":"","family":"Funaioli","given":"Tiziana","non-dropping-particle":"","parse-names":false,"suffix":""},{"dropping-particle":"","family":"Zacchini","given":"Stefano","non-dropping-particle":"","parse-names":false,"suffix":""},{"dropping-particle":"","family":"Biancalana","given":"Lorenzo","non-dropping-particle":"","parse-names":false,"suffix":""},{"dropping-particle":"","family":"Ruggeri","given":"Marina","non-dropping-particle":"","parse-names":false,"suffix":""},{"dropping-particle":"","family":"Pampaloni","given":"Guido","non-dropping-particle":"","parse-names":false,"suffix":""},{"dropping-particle":"","family":"Dyson","given":"Paul J.","non-dropping-particle":"","parse-names":false,"suffix":""},{"dropping-particle":"","family":"Marchetti","given":"Fabio","non-dropping-particle":"","parse-names":false,"suffix":""}],"container-title":"Chemistry - A European Journal","id":"ITEM-1","issued":{"date-parts":[["2019"]]},"page":"1-17","title":"Anticancer Potential of Diiron Vinyliminium Complexes","type":"article-journal"},"uris":["http://www.mendeley.com/documents/?uuid=725ecf6e-2d1e-4a33-a873-e9bd913f5111"]}],"mendeley":{"formattedCitation":"[36]","plainTextFormattedCitation":"[36]","previouslyFormattedCitation":"[36]"},"properties":{"noteIndex":0},"schema":"https://github.com/citation-style-language/schema/raw/master/csl-citation.json"}</w:instrText>
      </w:r>
      <w:r w:rsidRPr="00FB7579">
        <w:rPr>
          <w:rFonts w:eastAsia="SimSun"/>
          <w:b w:val="0"/>
          <w:sz w:val="22"/>
          <w:szCs w:val="24"/>
          <w:lang w:val="en-GB" w:eastAsia="en-US"/>
        </w:rPr>
        <w:fldChar w:fldCharType="separate"/>
      </w:r>
      <w:r w:rsidRPr="00FB7579">
        <w:rPr>
          <w:rFonts w:eastAsia="SimSun"/>
          <w:b w:val="0"/>
          <w:noProof/>
          <w:sz w:val="22"/>
          <w:szCs w:val="24"/>
          <w:lang w:val="en-GB" w:eastAsia="en-US"/>
        </w:rPr>
        <w:t>[36]</w:t>
      </w:r>
      <w:r w:rsidRPr="00FB7579">
        <w:rPr>
          <w:rFonts w:eastAsia="SimSun"/>
          <w:b w:val="0"/>
          <w:sz w:val="22"/>
          <w:szCs w:val="24"/>
          <w:lang w:val="en-GB" w:eastAsia="en-US"/>
        </w:rPr>
        <w:fldChar w:fldCharType="end"/>
      </w:r>
      <w:r w:rsidRPr="00FB7579">
        <w:rPr>
          <w:rFonts w:eastAsia="SimSun"/>
          <w:b w:val="0"/>
          <w:sz w:val="22"/>
          <w:szCs w:val="24"/>
          <w:lang w:val="en-GB" w:eastAsia="en-US"/>
        </w:rPr>
        <w:t>. The slope is roughly constant and equal to 8.7×10</w:t>
      </w:r>
      <w:r w:rsidRPr="00FB7579">
        <w:rPr>
          <w:rFonts w:eastAsia="SimSun"/>
          <w:b w:val="0"/>
          <w:sz w:val="22"/>
          <w:szCs w:val="24"/>
          <w:vertAlign w:val="superscript"/>
          <w:lang w:val="en-GB" w:eastAsia="en-US"/>
        </w:rPr>
        <w:t>4</w:t>
      </w:r>
      <w:r w:rsidRPr="00FB7579">
        <w:rPr>
          <w:rFonts w:eastAsia="SimSun"/>
          <w:b w:val="0"/>
          <w:sz w:val="22"/>
          <w:szCs w:val="24"/>
          <w:lang w:val="en-GB" w:eastAsia="en-US"/>
        </w:rPr>
        <w:t xml:space="preserve"> M</w:t>
      </w:r>
      <w:r w:rsidRPr="00FB7579">
        <w:rPr>
          <w:rFonts w:eastAsia="SimSun"/>
          <w:b w:val="0"/>
          <w:sz w:val="22"/>
          <w:szCs w:val="24"/>
          <w:vertAlign w:val="superscript"/>
          <w:lang w:val="en-GB" w:eastAsia="en-US"/>
        </w:rPr>
        <w:t>-1</w:t>
      </w:r>
      <w:r w:rsidRPr="00FB7579">
        <w:rPr>
          <w:rFonts w:eastAsia="SimSun"/>
          <w:b w:val="0"/>
          <w:sz w:val="22"/>
          <w:szCs w:val="24"/>
          <w:lang w:val="en-GB" w:eastAsia="en-US"/>
        </w:rPr>
        <w:t xml:space="preserve">: both the numerical value and the absence of slope increase at increasing temperatures exclude collisional quenching. </w:t>
      </w:r>
    </w:p>
    <w:p w:rsidR="002A3793" w:rsidRPr="00A23882" w:rsidRDefault="009A4942" w:rsidP="009A4942">
      <w:pPr>
        <w:pStyle w:val="05-ArticleText"/>
        <w:spacing w:line="480" w:lineRule="auto"/>
        <w:rPr>
          <w:sz w:val="24"/>
          <w:szCs w:val="24"/>
        </w:rPr>
      </w:pPr>
      <w:r w:rsidRPr="00A23882">
        <w:rPr>
          <w:sz w:val="24"/>
          <w:szCs w:val="24"/>
        </w:rPr>
        <w:lastRenderedPageBreak/>
        <w:t>Alternatively, another very important but even simpler check is often done. The value of k</w:t>
      </w:r>
      <w:r w:rsidRPr="00A23882">
        <w:rPr>
          <w:sz w:val="24"/>
          <w:szCs w:val="24"/>
          <w:vertAlign w:val="subscript"/>
        </w:rPr>
        <w:t>q</w:t>
      </w:r>
      <w:r w:rsidRPr="00A23882">
        <w:rPr>
          <w:sz w:val="24"/>
          <w:szCs w:val="24"/>
        </w:rPr>
        <w:t xml:space="preserve"> has an upper limit: approximately k</w:t>
      </w:r>
      <w:r w:rsidRPr="00A23882">
        <w:rPr>
          <w:sz w:val="24"/>
          <w:szCs w:val="24"/>
          <w:vertAlign w:val="subscript"/>
        </w:rPr>
        <w:t>q</w:t>
      </w:r>
      <w:r w:rsidRPr="00A23882">
        <w:rPr>
          <w:sz w:val="24"/>
          <w:szCs w:val="24"/>
        </w:rPr>
        <w:t xml:space="preserve"> = 1÷3 × 10</w:t>
      </w:r>
      <w:r w:rsidRPr="00A23882">
        <w:rPr>
          <w:sz w:val="24"/>
          <w:szCs w:val="24"/>
          <w:vertAlign w:val="superscript"/>
        </w:rPr>
        <w:t>10</w:t>
      </w:r>
      <w:r w:rsidRPr="00A23882">
        <w:rPr>
          <w:sz w:val="24"/>
          <w:szCs w:val="24"/>
        </w:rPr>
        <w:t xml:space="preserve"> M</w:t>
      </w:r>
      <w:r w:rsidRPr="00A23882">
        <w:rPr>
          <w:sz w:val="24"/>
          <w:szCs w:val="24"/>
          <w:vertAlign w:val="superscript"/>
        </w:rPr>
        <w:t>-1</w:t>
      </w:r>
      <w:r w:rsidRPr="00A23882">
        <w:rPr>
          <w:sz w:val="24"/>
          <w:szCs w:val="24"/>
        </w:rPr>
        <w:t>s</w:t>
      </w:r>
      <w:r w:rsidRPr="00A23882">
        <w:rPr>
          <w:sz w:val="24"/>
          <w:szCs w:val="24"/>
          <w:vertAlign w:val="superscript"/>
        </w:rPr>
        <w:t>-1</w:t>
      </w:r>
      <w:r w:rsidRPr="00A23882">
        <w:rPr>
          <w:sz w:val="24"/>
          <w:szCs w:val="24"/>
        </w:rPr>
        <w:t xml:space="preserve"> is considered as the largest possible value for collisional quenching in aqueous solution </w:t>
      </w:r>
      <w:r w:rsidRPr="00A23882">
        <w:rPr>
          <w:sz w:val="24"/>
          <w:szCs w:val="24"/>
        </w:rPr>
        <w:fldChar w:fldCharType="begin" w:fldLock="1"/>
      </w:r>
      <w:r w:rsidRPr="00A23882">
        <w:rPr>
          <w:sz w:val="24"/>
          <w:szCs w:val="24"/>
        </w:rPr>
        <w:instrText>ADDIN CSL_CITATION {"citationItems":[{"id":"ITEM-1","itemData":{"DOI":"10.1021/j100809a020","ISSN":"00223654","abstract":"Unusually large Stern-Volmer constants for the quenching of fluorescence of aromatic hydrocarbons by oxygen in solution are well known. The rate constants for the quenching reaction have been determined by fluorescence lifetime measurements for several hydrocarbons in a series of solvents covering a wide range of viscosities. The diffusion coefficient for oxygen in several solvents also was determined. The rate constants are consistent with a diffusion-controlled reaction when the unusually large diffusion coefficient for oxygen is taken into account.","author":[{"dropping-particle":"","family":"Ware","given":"William R.","non-dropping-particle":"","parse-names":false,"suffix":""}],"container-title":"Journal of Physical Chemistry","id":"ITEM-1","issue":"3","issued":{"date-parts":[["1962"]]},"page":"455-458","title":"Oxygen quenching of fluorescence in solution: An experimental study of the diffusion process","type":"article-journal","volume":"66"},"uris":["http://www.mendeley.com/documents/?uuid=f4d26a29-db01-45f0-a9ba-88bb7472d3db"]}],"mendeley":{"formattedCitation":"[52]","plainTextFormattedCitation":"[52]","previouslyFormattedCitation":"[52]"},"properties":{"noteIndex":0},"schema":"https://github.com/citation-style-language/schema/raw/master/csl-citation.json"}</w:instrText>
      </w:r>
      <w:r w:rsidRPr="00A23882">
        <w:rPr>
          <w:sz w:val="24"/>
          <w:szCs w:val="24"/>
        </w:rPr>
        <w:fldChar w:fldCharType="separate"/>
      </w:r>
      <w:r w:rsidRPr="00A23882">
        <w:rPr>
          <w:noProof/>
          <w:sz w:val="24"/>
          <w:szCs w:val="24"/>
        </w:rPr>
        <w:t>[52]</w:t>
      </w:r>
      <w:r w:rsidRPr="00A23882">
        <w:rPr>
          <w:sz w:val="24"/>
          <w:szCs w:val="24"/>
        </w:rPr>
        <w:fldChar w:fldCharType="end"/>
      </w:r>
      <w:r w:rsidRPr="00A23882">
        <w:rPr>
          <w:sz w:val="24"/>
          <w:szCs w:val="24"/>
        </w:rPr>
        <w:t xml:space="preserve">. On the other hand, the average life-time of a protein is in the nanosecond order </w:t>
      </w:r>
      <w:r w:rsidRPr="00A23882">
        <w:rPr>
          <w:sz w:val="24"/>
          <w:szCs w:val="24"/>
        </w:rPr>
        <w:fldChar w:fldCharType="begin" w:fldLock="1"/>
      </w:r>
      <w:r w:rsidRPr="00A23882">
        <w:rPr>
          <w:sz w:val="24"/>
          <w:szCs w:val="24"/>
        </w:rPr>
        <w:instrText>ADDIN CSL_CITATION {"citationItems":[{"id":"ITEM-1","itemData":{"DOI":"10.1007/978-0-387-46312-4","ISBN":"0387312781","abstract":"The third edition of the established classic text reference, Principles of Fluorescence Spectroscopy, will enhance upon the earlier editions' successes. Organized as a textbook for the learning student or the researcher needing to acquire the core competencies, Principles of Fluorescence Spectroscopy, 3e will maintain the emphasis on basics, while updating the examples to include recent results from the literature. The third edition also includes new chapters on single molecule detection, fluorescence correlation spectroscopy, novel probes and radiative decay engineering.This full-color textbook features the following: Problem sets following every chapter Glossaries of commonly used acronyms and mathematical symbols Appendices containing a list of recommended books which expand on various specialized topics Sections describing advanced topics will indicate as such, to allow these sections to be skipped in an introductory course, allowing the text to be used for classes of different levels Includes CD-ROM of all figures in a low-res format, perfect for use in instruction and presentations Principles of Fluorescence Spectroscopy, 3rd edition, is an essential volume for students, researchers, and industry professionals in biophysics, biochemistry, biotechnology, bioengineering, biology and medicine. About the Author: Dr. Joseph R. Lakowicz is Professor of Biochemistry at the University of Maryland School of Medicine, Baltimore, and Director of the Center for Fluorescence Spectroscopy. Dr. Lakowicz has published over 400 scientific articles, has edited numerous books, holds 16 issued patents, and is the author of the widely used text, Principles of Fluorescence Spectroscopy now in its 3rd edition. © 2006, 1999, 1983 Springer Science+Business Media, LLC.","author":[{"dropping-particle":"","family":"Lakowicz","given":"Joseph R.","non-dropping-particle":"","parse-names":false,"suffix":""}],"container-title":"Principles of Fluorescence Spectroscopy","id":"ITEM-1","issued":{"date-parts":[["2006"]]},"number-of-pages":"1-954","title":"Principles of fluorescence spectroscopy","type":"book"},"uris":["http://www.mendeley.com/documents/?uuid=ac19533f-e015-4e0f-82a3-335464256930"]}],"mendeley":{"formattedCitation":"[29]","plainTextFormattedCitation":"[29]","previouslyFormattedCitation":"[29]"},"properties":{"noteIndex":0},"schema":"https://github.com/citation-style-language/schema/raw/master/csl-citation.json"}</w:instrText>
      </w:r>
      <w:r w:rsidRPr="00A23882">
        <w:rPr>
          <w:sz w:val="24"/>
          <w:szCs w:val="24"/>
        </w:rPr>
        <w:fldChar w:fldCharType="separate"/>
      </w:r>
      <w:r w:rsidRPr="00A23882">
        <w:rPr>
          <w:noProof/>
          <w:sz w:val="24"/>
          <w:szCs w:val="24"/>
        </w:rPr>
        <w:t>[29]</w:t>
      </w:r>
      <w:r w:rsidRPr="00A23882">
        <w:rPr>
          <w:sz w:val="24"/>
          <w:szCs w:val="24"/>
        </w:rPr>
        <w:fldChar w:fldCharType="end"/>
      </w:r>
      <w:r w:rsidRPr="00A23882">
        <w:rPr>
          <w:sz w:val="24"/>
          <w:szCs w:val="24"/>
        </w:rPr>
        <w:t>: for tryptophan in BSA τ</w:t>
      </w:r>
      <w:r w:rsidRPr="00A23882">
        <w:rPr>
          <w:sz w:val="24"/>
          <w:szCs w:val="24"/>
          <w:vertAlign w:val="subscript"/>
        </w:rPr>
        <w:t>0</w:t>
      </w:r>
      <w:r w:rsidRPr="00A23882">
        <w:rPr>
          <w:sz w:val="24"/>
          <w:szCs w:val="24"/>
        </w:rPr>
        <w:t xml:space="preserve"> = 7 ns </w:t>
      </w:r>
      <w:r w:rsidRPr="00A23882">
        <w:rPr>
          <w:sz w:val="24"/>
          <w:szCs w:val="24"/>
        </w:rPr>
        <w:fldChar w:fldCharType="begin" w:fldLock="1"/>
      </w:r>
      <w:r w:rsidRPr="00A23882">
        <w:rPr>
          <w:sz w:val="24"/>
          <w:szCs w:val="24"/>
        </w:rPr>
        <w:instrText>ADDIN CSL_CITATION {"citationItems":[{"id":"ITEM-1","itemData":{"DOI":"10.1016/j.jpba.2009.03.015","ISSN":"07317085","abstract":"Static quenching and time-resolved emission spectra of tryptophan residues of BSA (2 Trp residues) and HSA (1 Trp residue) were performed in the presence of high concentrations of calcofluor white, a fluorophore that is specific to both carbohydrate residues and to hydrophobic sites in proteins. In the absence of calcofluor white, BSA and HSA emit with a maximum at 340 and 330 nm, respectively. Also, tryptophan residues in both proteins fluoresce with three identical lifetimes. Time-resolved spectra of HSA show that the three lifetimes emit at a maximum equal to 330 nm while spectra obtained from BSA show different peak positions for the three lifetimes. At high calcofluor concentrations, steady-state fluorescence emission spectrum of BSA displays a maximum at 330 nm instead of 340 nm in the absence of calcofluor. Fluorescence excitation spectra of the protein recorded in the absence and presence of calcofluor indicate the absence of protein conformational modification upon calcofluor white binding. Time-resolved emission spectra of the three lifetimes show identical peaks equal to 330 nm. Steady-state and time-resolved emission spectra performed on HSA in the presence of calcofluor do not show any modification in the emission peak (330 nm) indicating the absence of any conformational change and confirming the fact that the shift observed for tryptophan residues emission in BSA is the result of fluorescence quenching of Trp-134 residue. © 2009.","author":[{"dropping-particle":"","family":"Tayeh","given":"Nadim","non-dropping-particle":"","parse-names":false,"suffix":""},{"dropping-particle":"","family":"Rungassamy","given":"Tévamie","non-dropping-particle":"","parse-names":false,"suffix":""},{"dropping-particle":"","family":"Albani","given":"Jihad René","non-dropping-particle":"","parse-names":false,"suffix":""}],"container-title":"Journal of Pharmaceutical and Biomedical Analysis","id":"ITEM-1","issue":"2","issued":{"date-parts":[["2009"]]},"page":"107-116","title":"Fluorescence spectral resolution of tryptophan residues in bovine and human serum albumins","type":"article-journal","volume":"50"},"uris":["http://www.mendeley.com/documents/?uuid=6a427a74-ac82-4724-8a73-6e0720d9883c"]}],"mendeley":{"formattedCitation":"[53]","plainTextFormattedCitation":"[53]","previouslyFormattedCitation":"[53]"},"properties":{"noteIndex":0},"schema":"https://github.com/citation-style-language/schema/raw/master/csl-citation.json"}</w:instrText>
      </w:r>
      <w:r w:rsidRPr="00A23882">
        <w:rPr>
          <w:sz w:val="24"/>
          <w:szCs w:val="24"/>
        </w:rPr>
        <w:fldChar w:fldCharType="separate"/>
      </w:r>
      <w:r w:rsidRPr="00A23882">
        <w:rPr>
          <w:noProof/>
          <w:sz w:val="24"/>
          <w:szCs w:val="24"/>
        </w:rPr>
        <w:t>[53]</w:t>
      </w:r>
      <w:r w:rsidRPr="00A23882">
        <w:rPr>
          <w:sz w:val="24"/>
          <w:szCs w:val="24"/>
        </w:rPr>
        <w:fldChar w:fldCharType="end"/>
      </w:r>
      <w:r w:rsidRPr="00A23882">
        <w:rPr>
          <w:sz w:val="24"/>
          <w:szCs w:val="24"/>
        </w:rPr>
        <w:t>. This means that, roughly, k</w:t>
      </w:r>
      <w:r w:rsidRPr="00A23882">
        <w:rPr>
          <w:sz w:val="24"/>
          <w:szCs w:val="24"/>
          <w:vertAlign w:val="subscript"/>
        </w:rPr>
        <w:t>q</w:t>
      </w:r>
      <w:r w:rsidRPr="00A23882">
        <w:rPr>
          <w:sz w:val="24"/>
          <w:szCs w:val="24"/>
        </w:rPr>
        <w:t>τ</w:t>
      </w:r>
      <w:r w:rsidRPr="00A23882">
        <w:rPr>
          <w:sz w:val="24"/>
          <w:szCs w:val="24"/>
          <w:vertAlign w:val="subscript"/>
        </w:rPr>
        <w:t>0</w:t>
      </w:r>
      <w:r w:rsidRPr="00A23882">
        <w:rPr>
          <w:sz w:val="24"/>
          <w:szCs w:val="24"/>
        </w:rPr>
        <w:t xml:space="preserve"> ≤  200.</w:t>
      </w:r>
      <w:r>
        <w:rPr>
          <w:sz w:val="24"/>
          <w:szCs w:val="24"/>
        </w:rPr>
        <w:t xml:space="preserve"> </w:t>
      </w:r>
      <w:r w:rsidRPr="00A23882">
        <w:rPr>
          <w:sz w:val="24"/>
          <w:szCs w:val="24"/>
        </w:rPr>
        <w:t xml:space="preserve">Even if supposing that this threshold may undergo some distortion in very peculiar conditions </w:t>
      </w:r>
      <w:r w:rsidRPr="00A23882">
        <w:rPr>
          <w:sz w:val="24"/>
          <w:szCs w:val="24"/>
        </w:rPr>
        <w:fldChar w:fldCharType="begin" w:fldLock="1"/>
      </w:r>
      <w:r w:rsidRPr="00A23882">
        <w:rPr>
          <w:sz w:val="24"/>
          <w:szCs w:val="24"/>
        </w:rPr>
        <w:instrText>ADDIN CSL_CITATION {"citationItems":[{"id":"ITEM-1","itemData":{"DOI":"10.1016/S0006-3495(87)83384-2","ISSN":"00063495","PMID":"3580486","abstract":"The fluorescence lifetime value of tryptophan residues varies by more than a factor of 100 in different proteins and is determined by several factors, which include solvent exposure and interactions with other elements of the protein matrix. Because of the variety of different elements that can alter the lifetime value and the sensitivity to the particular environment of the tryptophan residue, it is likely that non-unique lifetime values result in protein systems. The emission decay of most proteins can be satisfactorily described only using several exponential components. Here it is proposed that continuous lifetime distributions can better represent the observed decay. An approach based on protein dynamics is presented, which provides fluorescence lifetime distribution functions for single tryptophan residue proteins. First, lifetime distributions for proteins interconverting between two conformations, each characterized by a different lifetime value, are derived. The evolution of the lifetime values as a function of the interconversion rate is studied. In this case lifetime distributions can be obtained from a distribution of rates of interconversion between the two conformations. Second, the existence of a continuum of energy substates within a given conformation was considered. The occupation of a particular energy substate at a given temperature is proportional to the Boltzmann factor. The density of energy states of the potential well depends upon the width of the well, which determines the degree of freedom the residue can move in the conformational space. Lifetime distributions can be obtained by association of each energy substate with a different lifetime value and assuming that the average conformation can change as the energy of the substate is increased.(ABSTRACT TRUNCATED AT 250 WORDS) © 1987, The Biophysical Society. All rights reserved.","author":[{"dropping-particle":"","family":"Alcala","given":"J. R.","non-dropping-particle":"","parse-names":false,"suffix":""},{"dropping-particle":"","family":"Gratton","given":"E.","non-dropping-particle":"","parse-names":false,"suffix":""},{"dropping-particle":"","family":"Prendergast","given":"F. G.","non-dropping-particle":"","parse-names":false,"suffix":""}],"container-title":"Biophysical Journal","id":"ITEM-1","issue":"4","issued":{"date-parts":[["1987"]]},"page":"597-604","publisher":"Elsevier","title":"Fluorescence lifetime distributions in proteins","type":"article-journal","volume":"51"},"uris":["http://www.mendeley.com/documents/?uuid=4d9dafb5-a058-4f2c-9d02-e13169d2a7b5"]}],"mendeley":{"formattedCitation":"[54]","plainTextFormattedCitation":"[54]","previouslyFormattedCitation":"[54]"},"properties":{"noteIndex":0},"schema":"https://github.com/citation-style-language/schema/raw/master/csl-citation.json"}</w:instrText>
      </w:r>
      <w:r w:rsidRPr="00A23882">
        <w:rPr>
          <w:sz w:val="24"/>
          <w:szCs w:val="24"/>
        </w:rPr>
        <w:fldChar w:fldCharType="separate"/>
      </w:r>
      <w:r w:rsidRPr="00A23882">
        <w:rPr>
          <w:noProof/>
          <w:sz w:val="24"/>
          <w:szCs w:val="24"/>
        </w:rPr>
        <w:t>[54]</w:t>
      </w:r>
      <w:r w:rsidRPr="00A23882">
        <w:rPr>
          <w:sz w:val="24"/>
          <w:szCs w:val="24"/>
        </w:rPr>
        <w:fldChar w:fldCharType="end"/>
      </w:r>
      <w:r w:rsidRPr="00A23882">
        <w:rPr>
          <w:sz w:val="24"/>
          <w:szCs w:val="24"/>
        </w:rPr>
        <w:t>,</w:t>
      </w:r>
      <w:r w:rsidRPr="00A23882">
        <w:rPr>
          <w:sz w:val="24"/>
          <w:szCs w:val="24"/>
        </w:rPr>
        <w:fldChar w:fldCharType="begin" w:fldLock="1"/>
      </w:r>
      <w:r w:rsidRPr="00A23882">
        <w:rPr>
          <w:sz w:val="24"/>
          <w:szCs w:val="24"/>
        </w:rPr>
        <w:instrText>ADDIN CSL_CITATION {"citationItems":[{"id":"ITEM-1","itemData":{"author":[{"dropping-particle":"","family":"Beechem","given":"Joseph M","non-dropping-particle":"","parse-names":false,"suffix":""},{"dropping-particle":"","family":"Brand","given":"Ludwig","non-dropping-particle":"","parse-names":false,"suffix":""}],"container-title":"Ann. Rev. Biochem.","id":"ITEM-1","issued":{"date-parts":[["1985"]]},"page":"43-71","title":"Time Resolved Fluorescence of Proteins","type":"article-journal","volume":"54"},"uris":["http://www.mendeley.com/documents/?uuid=84ab0b74-e36c-4cb2-807a-2398a85c068d"]}],"mendeley":{"formattedCitation":"[55]","plainTextFormattedCitation":"[55]","previouslyFormattedCitation":"[55]"},"properties":{"noteIndex":0},"schema":"https://github.com/citation-style-language/schema/raw/master/csl-citation.json"}</w:instrText>
      </w:r>
      <w:r w:rsidRPr="00A23882">
        <w:rPr>
          <w:sz w:val="24"/>
          <w:szCs w:val="24"/>
        </w:rPr>
        <w:fldChar w:fldCharType="separate"/>
      </w:r>
      <w:r w:rsidRPr="00A23882">
        <w:rPr>
          <w:noProof/>
          <w:sz w:val="24"/>
          <w:szCs w:val="24"/>
        </w:rPr>
        <w:t>[55]</w:t>
      </w:r>
      <w:r w:rsidRPr="00A23882">
        <w:rPr>
          <w:sz w:val="24"/>
          <w:szCs w:val="24"/>
        </w:rPr>
        <w:fldChar w:fldCharType="end"/>
      </w:r>
      <w:r w:rsidRPr="00A23882">
        <w:rPr>
          <w:sz w:val="24"/>
          <w:szCs w:val="24"/>
        </w:rPr>
        <w:t>, a slope of Stern-Volmer plots of 1000 or even higher would necessarily be related to the presence of some non-collisional quenching.</w:t>
      </w:r>
      <w:r>
        <w:rPr>
          <w:sz w:val="24"/>
          <w:szCs w:val="24"/>
        </w:rPr>
        <w:t xml:space="preserve"> </w:t>
      </w:r>
      <w:r w:rsidR="002A3793" w:rsidRPr="00A23882">
        <w:rPr>
          <w:sz w:val="24"/>
          <w:szCs w:val="24"/>
        </w:rPr>
        <w:t>Therefore, high values of the slope of the Stern Volmer’s plot, besides any temperature dependence study, already indicate complex formation</w:t>
      </w:r>
      <w:r w:rsidR="00A347B8">
        <w:rPr>
          <w:sz w:val="24"/>
          <w:szCs w:val="24"/>
        </w:rPr>
        <w:t xml:space="preserve"> </w:t>
      </w:r>
      <w:r w:rsidR="00DD5357">
        <w:rPr>
          <w:sz w:val="24"/>
          <w:szCs w:val="24"/>
        </w:rPr>
        <w:fldChar w:fldCharType="begin" w:fldLock="1"/>
      </w:r>
      <w:r w:rsidR="00DD5357">
        <w:rPr>
          <w:sz w:val="24"/>
          <w:szCs w:val="24"/>
        </w:rPr>
        <w:instrText>ADDIN CSL_CITATION {"citationItems":[{"id":"ITEM-1","itemData":{"DOI":"10.1016/j.jinorgbio.2020.111158","ISSN":"18733344","abstract":"Three new dinuclear palladium(II) complexes with general formula [{Pd(en)Cl}2(μ-L)]2+ (L is pyridine-based bridging ligand 4,4′-bipyridine (4,4′-bipy, 1), 1,2-bis(4-pyridyl)ethane (bpa, 2), 1,2-bis(4-pyridyl)ethylene (bpe, 3) and en is bidentate coordinated ethylenediamine) were synthesized and characterized by elemental microanalyses, NMR (1H and 13C), IR and UV–Vis spectroscopy. In vitro cytotoxic activity of these complexes against human A549 and murine LLC1 lung cancer cells, as well as two human HCT116 and SW480 and one murine CT26 colon cancer cells was investigated using MTT assay (MTT is 3-(4,5-dimethylthiazol-2-yl)-2,5-diphenyltetrazolium bromide). The potential of complexes 1–3 to induce apoptosis was tested by flow cytometric analysis of Annexin V and propidium iodide stained treated cells, while their antiproliferative activity was analyzed by detection of Ki67 expression in treated cancer cells. The DNA binding affinity of complexes 1–3 was evaluated by UV–Vis, fluorescence emission spectroscopy and by viscosity measurements in aqueous phosphate buffer solution at pH 7.40. Furthermore, interaction of these complexes with bovine serum albumin was investigated by fluorescence spectrometry. The present study showed that the nature of pyridine-based bridging ligand (L) in dinuclear [{Pd(en)Cl}2(μ-L)]2+ complex has an influence on the complex preference for the cytotoxic activity and CT-DNA/BSA (CT-DNA is calf thymus DNA and BSA is bovine serum albumin) binding affinity.","author":[{"dropping-particle":"","family":"Franich","given":"Andjela A.","non-dropping-particle":"","parse-names":false,"suffix":""},{"dropping-particle":"","family":"Živković","given":"Marija D.","non-dropping-particle":"","parse-names":false,"suffix":""},{"dropping-particle":"","family":"Milovanović","given":"Jelena","non-dropping-particle":"","parse-names":false,"suffix":""},{"dropping-particle":"","family":"Arsenijević","given":"Dragana","non-dropping-particle":"","parse-names":false,"suffix":""},{"dropping-particle":"","family":"Arsenijević","given":"Aleksandar","non-dropping-particle":"","parse-names":false,"suffix":""},{"dropping-particle":"","family":"Milovanović","given":"Marija","non-dropping-particle":"","parse-names":false,"suffix":""},{"dropping-particle":"","family":"Djuran","given":"Miloš I.","non-dropping-particle":"","parse-names":false,"suffix":""},{"dropping-particle":"","family":"Rajković","given":"Snežana","non-dropping-particle":"","parse-names":false,"suffix":""}],"container-title":"Journal of Inorganic Biochemistry","id":"ITEM-1","issue":"April","issued":{"date-parts":[["2020"]]},"page":"111158","publisher":"Elsevier","title":"In vitro cytotoxic activities, DNA- and BSA-binding studies of dinuclear palladium(II) complexes with different pyridine-based bridging ligands","type":"article-journal","volume":"210"},"uris":["http://www.mendeley.com/documents/?uuid=383b5f3d-0f7e-49ab-a1d6-ea7a0c1cac60"]}],"mendeley":{"formattedCitation":"[56]","plainTextFormattedCitation":"[56]","previouslyFormattedCitation":"[56]"},"properties":{"noteIndex":0},"schema":"https://github.com/citation-style-language/schema/raw/master/csl-citation.json"}</w:instrText>
      </w:r>
      <w:r w:rsidR="00DD5357">
        <w:rPr>
          <w:sz w:val="24"/>
          <w:szCs w:val="24"/>
        </w:rPr>
        <w:fldChar w:fldCharType="separate"/>
      </w:r>
      <w:r w:rsidR="00DD5357" w:rsidRPr="00DD5357">
        <w:rPr>
          <w:noProof/>
          <w:sz w:val="24"/>
          <w:szCs w:val="24"/>
        </w:rPr>
        <w:t>[56]</w:t>
      </w:r>
      <w:r w:rsidR="00DD5357">
        <w:rPr>
          <w:sz w:val="24"/>
          <w:szCs w:val="24"/>
        </w:rPr>
        <w:fldChar w:fldCharType="end"/>
      </w:r>
      <w:r w:rsidR="00DD5357">
        <w:rPr>
          <w:sz w:val="24"/>
          <w:szCs w:val="24"/>
        </w:rPr>
        <w:t>,</w:t>
      </w:r>
      <w:r w:rsidR="00DD5357">
        <w:rPr>
          <w:sz w:val="24"/>
          <w:szCs w:val="24"/>
        </w:rPr>
        <w:fldChar w:fldCharType="begin" w:fldLock="1"/>
      </w:r>
      <w:r w:rsidR="00DD5357">
        <w:rPr>
          <w:sz w:val="24"/>
          <w:szCs w:val="24"/>
        </w:rPr>
        <w:instrText>ADDIN CSL_CITATION {"citationItems":[{"id":"ITEM-1","itemData":{"DOI":"10.1016/j.jinorgbio.2019.110823","ISSN":"18733344","PMID":"31706181","abstract":"Mixed divalent Cu, Co, Ni and Zn complexes containing the new sulfonamide ligand N–(2–(pyridin–2–yl)ethyl)quinoline–8–sulfonamide (HQSEP) were prepared and characterized by physico-chemical techniques. The tetracoordinate [Cu(QSEP)X] [X = Br (1), Cl (2)] compounds present a seesaw geometry (τ4 = 0.56 (1) and 0.50 (2)). The Cu(II) in the [Cu(QSEP)(NO3)(MeOH)] (3) complex is five coordinate with a slightly distorted SP geometry (τ = 0.11). The [M(QSEP)(benz)] [M = Cu(II) (4), Ni(II) (5), Co(II) (6) and Zn(II) (7); benz = benzoate] compounds are configurationally isotypic. The coordination geometries of the M(II) ions can be best described as distorted SP (τ = 0.29, 0.15, 0.34 and 0.18 for 4, 5, 6 and 7, respectively). The interaction of the compounds with CT–DNA was studied by different techniques. Notably, these studies indicated that the tetracoordinate complexes (1 and 2) present higher DNA affinity than pentacoordinate compounds (3–7). In line with the Irving–Williams order of stability, 5 presented higher propensity for DNA binding than 6. Interestingly, the cleavage activity of 1–4 in the presence of ascorbate/H2O2 follows the same trend as that found for DNA binding affinity, being the tetracoordinate 1 and 2 more effective as nucleases than the five coordinate 3 and 4. Also, the DNA cleavage reaction mechanism was investigated. DNA cleavage experiments upon irradiation indicated the important role of the aromatic nature of the coligand in the photocleavage activity of 1–4. Finally, the interaction of the compounds with bovine serum albumin (BSA) was studied and the binding constants were calculated.","author":[{"dropping-particle":"","family":"Tŏpala","given":"Tamara","non-dropping-particle":"","parse-names":false,"suffix":""},{"dropping-particle":"","family":"Pascual-Álvarez","given":"Alejandro","non-dropping-particle":"","parse-names":false,"suffix":""},{"dropping-particle":"","family":"Moldes-Tolosa","given":"M. Ángeles","non-dropping-particle":"","parse-names":false,"suffix":""},{"dropping-particle":"","family":"Bodoki","given":"Andreea","non-dropping-particle":"","parse-names":false,"suffix":""},{"dropping-particle":"","family":"Castiñeiras","given":"Alfonso","non-dropping-particle":"","parse-names":false,"suffix":""},{"dropping-particle":"","family":"Torres","given":"Javier","non-dropping-particle":"","parse-names":false,"suffix":""},{"dropping-particle":"","family":"Pozo","given":"Carlos","non-dropping-particle":"del","parse-names":false,"suffix":""},{"dropping-particle":"","family":"Borrás","given":"Joaquín","non-dropping-particle":"","parse-names":false,"suffix":""},{"dropping-particle":"","family":"Alzuet-Piña","given":"Gloria","non-dropping-particle":"","parse-names":false,"suffix":""}],"container-title":"Journal of Inorganic Biochemistry","id":"ITEM-1","issue":"July 2019","issued":{"date-parts":[["2020"]]},"page":"110823","publisher":"Elsevier","title":"New sulfonamide complexes with essential metal ions [Cu (II), Co (II), Ni (II) and Zn (II)]. Effect of the geometry and the metal ion on DNA binding and nuclease activity. BSA protein interaction","type":"article-journal","volume":"202"},"uris":["http://www.mendeley.com/documents/?uuid=a63b0675-af4c-4bca-a077-90d9ebe13aa6"]}],"mendeley":{"formattedCitation":"[57]","plainTextFormattedCitation":"[57]","previouslyFormattedCitation":"[57]"},"properties":{"noteIndex":0},"schema":"https://github.com/citation-style-language/schema/raw/master/csl-citation.json"}</w:instrText>
      </w:r>
      <w:r w:rsidR="00DD5357">
        <w:rPr>
          <w:sz w:val="24"/>
          <w:szCs w:val="24"/>
        </w:rPr>
        <w:fldChar w:fldCharType="separate"/>
      </w:r>
      <w:r w:rsidR="00DD5357" w:rsidRPr="00DD5357">
        <w:rPr>
          <w:noProof/>
          <w:sz w:val="24"/>
          <w:szCs w:val="24"/>
        </w:rPr>
        <w:t>[57]</w:t>
      </w:r>
      <w:r w:rsidR="00DD5357">
        <w:rPr>
          <w:sz w:val="24"/>
          <w:szCs w:val="24"/>
        </w:rPr>
        <w:fldChar w:fldCharType="end"/>
      </w:r>
      <w:r w:rsidR="002A3793" w:rsidRPr="00A23882">
        <w:rPr>
          <w:sz w:val="24"/>
          <w:szCs w:val="24"/>
        </w:rPr>
        <w:t>. The magnitude of the K</w:t>
      </w:r>
      <w:r w:rsidR="002A3793" w:rsidRPr="00A23882">
        <w:rPr>
          <w:sz w:val="24"/>
          <w:szCs w:val="24"/>
          <w:vertAlign w:val="subscript"/>
        </w:rPr>
        <w:t>SV</w:t>
      </w:r>
      <w:r w:rsidR="002A3793" w:rsidRPr="00A23882">
        <w:rPr>
          <w:sz w:val="24"/>
          <w:szCs w:val="24"/>
        </w:rPr>
        <w:t xml:space="preserve"> constants found is usually in the 10</w:t>
      </w:r>
      <w:r w:rsidR="002A3793" w:rsidRPr="00A23882">
        <w:rPr>
          <w:sz w:val="24"/>
          <w:szCs w:val="24"/>
          <w:vertAlign w:val="superscript"/>
        </w:rPr>
        <w:t>3</w:t>
      </w:r>
      <w:r w:rsidR="002A3793" w:rsidRPr="00A23882">
        <w:rPr>
          <w:sz w:val="24"/>
          <w:szCs w:val="24"/>
        </w:rPr>
        <w:t>-10</w:t>
      </w:r>
      <w:r w:rsidR="002A3793" w:rsidRPr="00A23882">
        <w:rPr>
          <w:sz w:val="24"/>
          <w:szCs w:val="24"/>
          <w:vertAlign w:val="superscript"/>
        </w:rPr>
        <w:t>5</w:t>
      </w:r>
      <w:r w:rsidR="002A3793" w:rsidRPr="00A23882">
        <w:rPr>
          <w:sz w:val="24"/>
          <w:szCs w:val="24"/>
        </w:rPr>
        <w:t xml:space="preserve"> range. The anticancer agent diacetyl malsinic acid was found to bind BSA and K</w:t>
      </w:r>
      <w:r w:rsidR="002A3793" w:rsidRPr="00A23882">
        <w:rPr>
          <w:sz w:val="24"/>
          <w:szCs w:val="24"/>
          <w:vertAlign w:val="subscript"/>
        </w:rPr>
        <w:t>SV</w:t>
      </w:r>
      <w:r w:rsidR="002A3793" w:rsidRPr="00A23882">
        <w:rPr>
          <w:sz w:val="24"/>
          <w:szCs w:val="24"/>
        </w:rPr>
        <w:t xml:space="preserve"> = 2.56 × 10</w:t>
      </w:r>
      <w:r w:rsidR="002A3793" w:rsidRPr="00A23882">
        <w:rPr>
          <w:sz w:val="24"/>
          <w:szCs w:val="24"/>
          <w:vertAlign w:val="superscript"/>
        </w:rPr>
        <w:t>3</w:t>
      </w:r>
      <w:r w:rsidR="002A3793" w:rsidRPr="00A23882">
        <w:rPr>
          <w:sz w:val="24"/>
          <w:szCs w:val="24"/>
        </w:rPr>
        <w:t xml:space="preserve"> M</w:t>
      </w:r>
      <w:r w:rsidR="002A3793" w:rsidRPr="00A23882">
        <w:rPr>
          <w:sz w:val="24"/>
          <w:szCs w:val="24"/>
          <w:vertAlign w:val="superscript"/>
        </w:rPr>
        <w:t xml:space="preserve">-1 </w:t>
      </w:r>
      <w:r w:rsidR="002A3793" w:rsidRPr="00A23882">
        <w:rPr>
          <w:sz w:val="24"/>
          <w:szCs w:val="24"/>
          <w:vertAlign w:val="superscript"/>
        </w:rPr>
        <w:fldChar w:fldCharType="begin" w:fldLock="1"/>
      </w:r>
      <w:r w:rsidR="00DD5357">
        <w:rPr>
          <w:sz w:val="24"/>
          <w:szCs w:val="24"/>
          <w:vertAlign w:val="superscript"/>
        </w:rPr>
        <w:instrText>ADDIN CSL_CITATION {"citationItems":[{"id":"ITEM-1","itemData":{"DOI":"10.1016/j.molliq.2015.04.050","ISSN":"01677322","abstract":"Steady-state and time-resolved fluorescence, as well as Fourier transform-infrared (FT-IR) spectroscopy studies were made to understand the interaction between diacetyl maslinic acid (DMA) and bovine serum albumin (BSA) at pH 7.4. A decrease in fluorescence intensity and a blue shift of the emission peak were observed in the DMA-BSA complex, which were attributed to changes in the microenvironment of the protein fluorophores. Spectroscopic analysis revealed that the fluorescence-quenching mechanism between DMA and BSA was a static procedure. Displacement experiments with site markers indicated that DMA binds to BSA at Sudlow's site I (subdomain IIA). Binding constants for the protein-drug interaction were determined at three different temperatures (298, 305, and 310 K). Enthalpy (ΔH&lt;inf&gt;0&lt;/inf&gt;) and entropy (ΔS&lt;inf&gt;0&lt;/inf&gt;) changes indicated that hydrophobic interactions were the dominant intermolecular forces in the binding of DMA to BSA. The interaction appears to be entropy-driven, and the process spontaneous and endothermic. Enthalpy-entropy compensation suggests that reorganization of water molecules plays an important role. Anisotropy and FT-IR experiments revealed that BSA loses its structure in the presence of DMA. The secondary structure compositions of free BSA and DMA-BSA complex were determined by FT-IR. The binding distance and transfer efficiency for DMA-BSA complex were calculated according to the Föster theory of non-radiative energy transfer.","author":[{"dropping-particle":"","family":"Molina-Bolívar","given":"J. A.","non-dropping-particle":"","parse-names":false,"suffix":""},{"dropping-particle":"","family":"Galisteo-González","given":"F.","non-dropping-particle":"","parse-names":false,"suffix":""},{"dropping-particle":"","family":"Carnero Ruiz","given":"C.","non-dropping-particle":"","parse-names":false,"suffix":""},{"dropping-particle":"","family":"Medina-O'Donnell","given":"M.","non-dropping-particle":"","parse-names":false,"suffix":""},{"dropping-particle":"","family":"Parra","given":"A.","non-dropping-particle":"","parse-names":false,"suffix":""}],"container-title":"Journal of Molecular Liquids","id":"ITEM-1","issued":{"date-parts":[["2015"]]},"page":"304-313","publisher":"Elsevier B.V.","title":"Interaction between the anti-cancer drug diacetyl maslinic acid and bovine serum albumin: A biophysical study","type":"article-journal","volume":"208"},"uris":["http://www.mendeley.com/documents/?uuid=afa77b52-7613-409f-953d-0c1a28ab1e49"]}],"mendeley":{"formattedCitation":"[58]","plainTextFormattedCitation":"[58]","previouslyFormattedCitation":"[58]"},"properties":{"noteIndex":0},"schema":"https://github.com/citation-style-language/schema/raw/master/csl-citation.json"}</w:instrText>
      </w:r>
      <w:r w:rsidR="002A3793" w:rsidRPr="00A23882">
        <w:rPr>
          <w:sz w:val="24"/>
          <w:szCs w:val="24"/>
          <w:vertAlign w:val="superscript"/>
        </w:rPr>
        <w:fldChar w:fldCharType="separate"/>
      </w:r>
      <w:r w:rsidR="00DD5357" w:rsidRPr="00DD5357">
        <w:rPr>
          <w:noProof/>
          <w:sz w:val="24"/>
          <w:szCs w:val="24"/>
        </w:rPr>
        <w:t>[58]</w:t>
      </w:r>
      <w:r w:rsidR="002A3793" w:rsidRPr="00A23882">
        <w:rPr>
          <w:sz w:val="24"/>
          <w:szCs w:val="24"/>
          <w:vertAlign w:val="superscript"/>
        </w:rPr>
        <w:fldChar w:fldCharType="end"/>
      </w:r>
      <w:r w:rsidR="002A3793" w:rsidRPr="00A23882">
        <w:rPr>
          <w:sz w:val="24"/>
          <w:szCs w:val="24"/>
        </w:rPr>
        <w:t>. Complex formation was also proved for dyes such as malachite green (K</w:t>
      </w:r>
      <w:r w:rsidR="002A3793" w:rsidRPr="00A23882">
        <w:rPr>
          <w:sz w:val="24"/>
          <w:szCs w:val="24"/>
          <w:vertAlign w:val="subscript"/>
        </w:rPr>
        <w:t>SV</w:t>
      </w:r>
      <w:r w:rsidR="002A3793" w:rsidRPr="00A23882">
        <w:rPr>
          <w:sz w:val="24"/>
          <w:szCs w:val="24"/>
        </w:rPr>
        <w:t xml:space="preserve"> = 5.45 × 10</w:t>
      </w:r>
      <w:r w:rsidR="002A3793" w:rsidRPr="00A23882">
        <w:rPr>
          <w:sz w:val="24"/>
          <w:szCs w:val="24"/>
          <w:vertAlign w:val="superscript"/>
        </w:rPr>
        <w:t>4</w:t>
      </w:r>
      <w:r w:rsidR="002A3793" w:rsidRPr="00A23882">
        <w:rPr>
          <w:sz w:val="24"/>
          <w:szCs w:val="24"/>
        </w:rPr>
        <w:t xml:space="preserve"> M</w:t>
      </w:r>
      <w:r w:rsidR="002A3793" w:rsidRPr="00A23882">
        <w:rPr>
          <w:sz w:val="24"/>
          <w:szCs w:val="24"/>
          <w:vertAlign w:val="superscript"/>
        </w:rPr>
        <w:t xml:space="preserve">-1 </w:t>
      </w:r>
      <w:r w:rsidR="002A3793" w:rsidRPr="00A23882">
        <w:rPr>
          <w:sz w:val="24"/>
          <w:szCs w:val="24"/>
          <w:vertAlign w:val="superscript"/>
        </w:rPr>
        <w:fldChar w:fldCharType="begin" w:fldLock="1"/>
      </w:r>
      <w:r w:rsidR="00DD5357">
        <w:rPr>
          <w:sz w:val="24"/>
          <w:szCs w:val="24"/>
          <w:vertAlign w:val="superscript"/>
        </w:rPr>
        <w:instrText>ADDIN CSL_CITATION {"citationItems":[{"id":"ITEM-1","itemData":{"DOI":"10.1016/j.jhazmat.2008.07.132","ISSN":"03043894","abstract":"The interaction between malachite green (MG) and bovine serum albumin (BSA) under simulative physiological conditions was investigated by the methods of fluorescence spectroscopy, UV-vis absorption and circular dichroism (CD) spectroscopy. Fluorescence data showed that the fluorescence quenching of BSA by MG was the result of the formation of the MG-BSA complex. According to the modified Stern-Volmer equation, the effective quenching constants (Ka) between MG and BSA at four different temperatures were obtained to be 3.734 × 104, 3.264 × 104, 2.718 × 104, and 2.164 × 104 L mol-1, respectively. The enthalpy change (ΔH) and entropy change (ΔS) were calculated to be -27.25 kJ mol-1 and -11.23 J mol-1 K-1, indicating that van der Waals force and hydrogen bonds were the dominant intermolecular force in stabilizing the complex. Site marker competitive experiments indicated that the binding of MG to BSA primarily took place in sub-domain IIA. The binding distance (r) between MG and the tryptophan residue of BSA was obtained to be 4.79 nm according to Förster theory of non-radioactive energy transfer. The conformational investigation showed that the presence of MG decreased the α-helical content of BSA (from 62.6% to 55.6%) and induced the slight unfolding of the polypeptides of protein, which confirmed some micro-environmental and conformational changes of BSA molecules. © 2008 Elsevier B.V. All rights reserved.","author":[{"dropping-particle":"","family":"Zhang","given":"Ye Zhong","non-dropping-particle":"","parse-names":false,"suffix":""},{"dropping-particle":"","family":"Zhou","given":"Bo","non-dropping-particle":"","parse-names":false,"suffix":""},{"dropping-particle":"","family":"Zhang","given":"Xiao Ping","non-dropping-particle":"","parse-names":false,"suffix":""},{"dropping-particle":"","family":"Huang","given":"Ping","non-dropping-particle":"","parse-names":false,"suffix":""},{"dropping-particle":"","family":"Li","given":"Chao Hong","non-dropping-particle":"","parse-names":false,"suffix":""},{"dropping-particle":"","family":"Liu","given":"Yi","non-dropping-particle":"","parse-names":false,"suffix":""}],"container-title":"Journal of Hazardous Materials","id":"ITEM-1","issue":"2-3","issued":{"date-parts":[["2009"]]},"page":"1345-1352","title":"Interaction of malachite green with bovine serum albumin: Determination of the binding mechanism and binding site by spectroscopic methods","type":"article-journal","volume":"163"},"uris":["http://www.mendeley.com/documents/?uuid=112878c2-6619-4dcd-be53-d99bb05f5c2d"]}],"mendeley":{"formattedCitation":"[59]","plainTextFormattedCitation":"[59]","previouslyFormattedCitation":"[59]"},"properties":{"noteIndex":0},"schema":"https://github.com/citation-style-language/schema/raw/master/csl-citation.json"}</w:instrText>
      </w:r>
      <w:r w:rsidR="002A3793" w:rsidRPr="00A23882">
        <w:rPr>
          <w:sz w:val="24"/>
          <w:szCs w:val="24"/>
          <w:vertAlign w:val="superscript"/>
        </w:rPr>
        <w:fldChar w:fldCharType="separate"/>
      </w:r>
      <w:r w:rsidR="00DD5357" w:rsidRPr="00DD5357">
        <w:rPr>
          <w:noProof/>
          <w:sz w:val="24"/>
          <w:szCs w:val="24"/>
        </w:rPr>
        <w:t>[59]</w:t>
      </w:r>
      <w:r w:rsidR="002A3793" w:rsidRPr="00A23882">
        <w:rPr>
          <w:sz w:val="24"/>
          <w:szCs w:val="24"/>
          <w:vertAlign w:val="superscript"/>
        </w:rPr>
        <w:fldChar w:fldCharType="end"/>
      </w:r>
      <w:r w:rsidR="002A3793" w:rsidRPr="00A23882">
        <w:rPr>
          <w:sz w:val="24"/>
          <w:szCs w:val="24"/>
        </w:rPr>
        <w:t>) and congo red (K</w:t>
      </w:r>
      <w:r w:rsidR="002A3793" w:rsidRPr="00A23882">
        <w:rPr>
          <w:sz w:val="24"/>
          <w:szCs w:val="24"/>
          <w:vertAlign w:val="subscript"/>
        </w:rPr>
        <w:t>SV</w:t>
      </w:r>
      <w:r w:rsidR="002A3793" w:rsidRPr="00A23882">
        <w:rPr>
          <w:sz w:val="24"/>
          <w:szCs w:val="24"/>
        </w:rPr>
        <w:t xml:space="preserve"> = 1.92 × 10</w:t>
      </w:r>
      <w:r w:rsidR="002A3793" w:rsidRPr="00A23882">
        <w:rPr>
          <w:sz w:val="24"/>
          <w:szCs w:val="24"/>
          <w:vertAlign w:val="superscript"/>
        </w:rPr>
        <w:t>5</w:t>
      </w:r>
      <w:r w:rsidR="002A3793" w:rsidRPr="00A23882">
        <w:rPr>
          <w:sz w:val="24"/>
          <w:szCs w:val="24"/>
        </w:rPr>
        <w:t xml:space="preserve"> M</w:t>
      </w:r>
      <w:r w:rsidR="002A3793" w:rsidRPr="00A23882">
        <w:rPr>
          <w:sz w:val="24"/>
          <w:szCs w:val="24"/>
          <w:vertAlign w:val="superscript"/>
        </w:rPr>
        <w:t xml:space="preserve">-1 </w:t>
      </w:r>
      <w:r w:rsidR="002A3793" w:rsidRPr="00A23882">
        <w:rPr>
          <w:sz w:val="24"/>
          <w:szCs w:val="24"/>
          <w:vertAlign w:val="superscript"/>
        </w:rPr>
        <w:fldChar w:fldCharType="begin" w:fldLock="1"/>
      </w:r>
      <w:r w:rsidR="00DD5357">
        <w:rPr>
          <w:sz w:val="24"/>
          <w:szCs w:val="24"/>
          <w:vertAlign w:val="superscript"/>
        </w:rPr>
        <w:instrText>ADDIN CSL_CITATION {"citationItems":[{"id":"ITEM-1","itemData":{"DOI":"10.1016/j.saa.2008.12.007","ISSN":"13861425","abstract":"The binding interaction of Congo Red (CGR) with bovine serum albumin (BSA) was investigated by spectroscopic techniques including fluorescence spectroscopy, UV-vis absorption, and circular dichroism (CD) spectroscopy under simulative physiological conditions. Fluorescence data revealed that the fluorescence quenching of BSA by CGR was the result of the formation of a BSA-CGR complex, and the corresponding binding constants (Ka) at the four different temperatures (292, 298, 304, and 310 K) were obtained according to the modified Stern-Volmer equation. The thermodynamic parameters ΔH and ΔS were calculated to be -12.67 kJ mol-1 and 58.60 J mol-1 K-1, respectively, which suggested that both hydrophobic force and hydrogen bond played major roles in stabilizing the BSA-CGR complex. Site marker competitive experiments showed that the binding of CGR to BSA primarily took place in site I of BSA. The distance r between CGR (acceptor) and tryptophan residues of BSA (donor) was calculated to be 3.89 nm based on Förster's non-radioactive energy transfer theory. The conformational investigation showed that the presence of CGR resulted in the change of BSA secondary structure and induced the slight unfolding of the polypeptides of protein, which confirmed some micro-environmental and conformational changes of BSA molecules. © 2008 Elsevier B.V. All rights reserved.","author":[{"dropping-particle":"","family":"Zhang","given":"Ye Zhong","non-dropping-particle":"","parse-names":false,"suffix":""},{"dropping-particle":"","family":"Xiang","given":"Xia","non-dropping-particle":"","parse-names":false,"suffix":""},{"dropping-particle":"","family":"Mei","given":"Ping","non-dropping-particle":"","parse-names":false,"suffix":""},{"dropping-particle":"","family":"Dai","given":"Jie","non-dropping-particle":"","parse-names":false,"suffix":""},{"dropping-particle":"","family":"Zhang","given":"Lin Lin","non-dropping-particle":"","parse-names":false,"suffix":""},{"dropping-particle":"","family":"Liu","given":"Yi","non-dropping-particle":"","parse-names":false,"suffix":""}],"container-title":"Spectrochimica Acta - Part A: Molecular and Biomolecular Spectroscopy","id":"ITEM-1","issue":"4","issued":{"date-parts":[["2009"]]},"page":"907-914","title":"Spectroscopic studies on the interaction of Congo Red with bovine serum albumin","type":"article-journal","volume":"72"},"uris":["http://www.mendeley.com/documents/?uuid=c8051eb3-5685-4b61-a728-5c9a9a3d2dab"]}],"mendeley":{"formattedCitation":"[60]","plainTextFormattedCitation":"[60]","previouslyFormattedCitation":"[60]"},"properties":{"noteIndex":0},"schema":"https://github.com/citation-style-language/schema/raw/master/csl-citation.json"}</w:instrText>
      </w:r>
      <w:r w:rsidR="002A3793" w:rsidRPr="00A23882">
        <w:rPr>
          <w:sz w:val="24"/>
          <w:szCs w:val="24"/>
          <w:vertAlign w:val="superscript"/>
        </w:rPr>
        <w:fldChar w:fldCharType="separate"/>
      </w:r>
      <w:r w:rsidR="00DD5357" w:rsidRPr="00DD5357">
        <w:rPr>
          <w:noProof/>
          <w:sz w:val="24"/>
          <w:szCs w:val="24"/>
        </w:rPr>
        <w:t>[60]</w:t>
      </w:r>
      <w:r w:rsidR="002A3793" w:rsidRPr="00A23882">
        <w:rPr>
          <w:sz w:val="24"/>
          <w:szCs w:val="24"/>
          <w:vertAlign w:val="superscript"/>
        </w:rPr>
        <w:fldChar w:fldCharType="end"/>
      </w:r>
      <w:r w:rsidR="002A3793" w:rsidRPr="00A23882">
        <w:rPr>
          <w:sz w:val="24"/>
          <w:szCs w:val="24"/>
        </w:rPr>
        <w:t>). K</w:t>
      </w:r>
      <w:r w:rsidR="002A3793" w:rsidRPr="00A23882">
        <w:rPr>
          <w:sz w:val="24"/>
          <w:szCs w:val="24"/>
          <w:vertAlign w:val="subscript"/>
        </w:rPr>
        <w:t>SV</w:t>
      </w:r>
      <w:r w:rsidR="002A3793" w:rsidRPr="00A23882">
        <w:rPr>
          <w:sz w:val="24"/>
          <w:szCs w:val="24"/>
        </w:rPr>
        <w:t xml:space="preserve"> values of 1.5  to 2.0 × 10</w:t>
      </w:r>
      <w:r w:rsidR="002A3793" w:rsidRPr="00A23882">
        <w:rPr>
          <w:sz w:val="24"/>
          <w:szCs w:val="24"/>
          <w:vertAlign w:val="superscript"/>
        </w:rPr>
        <w:t>5</w:t>
      </w:r>
      <w:r w:rsidR="002A3793" w:rsidRPr="00A23882">
        <w:rPr>
          <w:sz w:val="24"/>
          <w:szCs w:val="24"/>
        </w:rPr>
        <w:t xml:space="preserve"> M</w:t>
      </w:r>
      <w:r w:rsidR="002A3793" w:rsidRPr="00A23882">
        <w:rPr>
          <w:sz w:val="24"/>
          <w:szCs w:val="24"/>
          <w:vertAlign w:val="superscript"/>
        </w:rPr>
        <w:t>-1</w:t>
      </w:r>
      <w:r w:rsidR="002A3793" w:rsidRPr="00A23882">
        <w:rPr>
          <w:sz w:val="24"/>
          <w:szCs w:val="24"/>
        </w:rPr>
        <w:t xml:space="preserve">were found for hydrazone complexes of Ni(II), Co(II) and Cu(II) with significant antioxidant activity </w:t>
      </w:r>
      <w:r w:rsidR="002A3793" w:rsidRPr="00A23882">
        <w:rPr>
          <w:sz w:val="24"/>
          <w:szCs w:val="24"/>
        </w:rPr>
        <w:fldChar w:fldCharType="begin" w:fldLock="1"/>
      </w:r>
      <w:r w:rsidR="00DD5357">
        <w:rPr>
          <w:sz w:val="24"/>
          <w:szCs w:val="24"/>
        </w:rPr>
        <w:instrText>ADDIN CSL_CITATION {"citationItems":[{"id":"ITEM-1","itemData":{"DOI":"10.1016/j.ica.2011.11.033","ISSN":"00201693","abstract":"Three new transition metal complexes of the type ML 2 (where M = Ni(II), Co(II) or Cu(II); HL = N′-[phenyl(pyridin-2-yl)methylidene]furan- 2-carbohydrazide]) have been prepared by treating [NiCl 2(PPh 3) 2], [CoCl 2(PPh 3) 2] or [CuCl 2(PPh 3) 2] with N′-[phenyl(pyridin-2- yl)methylidene]furan-2-carbohydrazide derived from furoic acid hydrazide and 2-benzoyl pyridine wherein the hydrazone ligand (L) coordinated to the respective metal ions in 1:2 stoichiometry to mononuclear octahedral complex. The crystal structure of the complexes [NiL 2] (1), [CoL 2] (2) and [CuL 2] (3) solved using single crystals revealed a distorted octahedral geometry around the metal ion involving the coordination of an azomethine nitrogen, a pyridine nitrogen and an enolic oxygen derived from deprotonation of the ligand. From the bioinorganic application point of view, a detailed work on the binding of the complexes 1, 2 and 3 with CT DNA as well as BSA was undertaken along with DNA cleavage. In vitro assay on the antioxidant activity of the above complexes and hydrazone ligand revealed that they possess significant antioxidant activity. However, among the newly synthesized hydrazone complexes, complex 3 having coordinated Cu 2+ ion in its molecular structure exhibited superior activity in all the biological studies in comparison with the other two complexes possessing nickel and cobalt ions with same ligand (L). © 2011 Elsevier B.V. All rights reserved.","author":[{"dropping-particle":"","family":"Sathyadevi","given":"Palanisamy","non-dropping-particle":"","parse-names":false,"suffix":""},{"dropping-particle":"","family":"Krishnamoorthy","given":"Paramasivam","non-dropping-particle":"","parse-names":false,"suffix":""},{"dropping-particle":"","family":"Jayanthi","given":"Eswaran","non-dropping-particle":"","parse-names":false,"suffix":""},{"dropping-particle":"","family":"Butorac","given":"Rachel R.","non-dropping-particle":"","parse-names":false,"suffix":""},{"dropping-particle":"","family":"Cowley","given":"Alan H.","non-dropping-particle":"","parse-names":false,"suffix":""},{"dropping-particle":"","family":"Dharmaraj","given":"Nallasamy","non-dropping-particle":"","parse-names":false,"suffix":""}],"container-title":"Inorganica Chimica Acta","id":"ITEM-1","issued":{"date-parts":[["2012"]]},"page":"83-96","publisher":"Elsevier B.V.","title":"Studies on the effect of metal ions of hydrazone complexes on interaction with nucleic acids, bovine serum albumin and antioxidant properties","type":"article-journal","volume":"384"},"uris":["http://www.mendeley.com/documents/?uuid=affa5f19-a06d-4eec-9aff-eab9e59c330e"]}],"mendeley":{"formattedCitation":"[61]","plainTextFormattedCitation":"[61]","previouslyFormattedCitation":"[61]"},"properties":{"noteIndex":0},"schema":"https://github.com/citation-style-language/schema/raw/master/csl-citation.json"}</w:instrText>
      </w:r>
      <w:r w:rsidR="002A3793" w:rsidRPr="00A23882">
        <w:rPr>
          <w:sz w:val="24"/>
          <w:szCs w:val="24"/>
        </w:rPr>
        <w:fldChar w:fldCharType="separate"/>
      </w:r>
      <w:r w:rsidR="00DD5357" w:rsidRPr="00DD5357">
        <w:rPr>
          <w:noProof/>
          <w:sz w:val="24"/>
          <w:szCs w:val="24"/>
        </w:rPr>
        <w:t>[61]</w:t>
      </w:r>
      <w:r w:rsidR="002A3793" w:rsidRPr="00A23882">
        <w:rPr>
          <w:sz w:val="24"/>
          <w:szCs w:val="24"/>
        </w:rPr>
        <w:fldChar w:fldCharType="end"/>
      </w:r>
      <w:r w:rsidR="002A3793" w:rsidRPr="00A23882">
        <w:rPr>
          <w:sz w:val="24"/>
          <w:szCs w:val="24"/>
        </w:rPr>
        <w:t>. The potential therapeutic agent N’-(2-hydroxynaphthalenemethylene)-4-(2-hydroxylnaphthale nemethylenamine)benzoylhydrazine-Zn(II) complex binds BSA with K</w:t>
      </w:r>
      <w:r w:rsidR="002A3793" w:rsidRPr="00A23882">
        <w:rPr>
          <w:sz w:val="24"/>
          <w:szCs w:val="24"/>
          <w:vertAlign w:val="subscript"/>
        </w:rPr>
        <w:t>SV</w:t>
      </w:r>
      <w:r w:rsidR="002A3793" w:rsidRPr="00A23882">
        <w:rPr>
          <w:sz w:val="24"/>
          <w:szCs w:val="24"/>
        </w:rPr>
        <w:t xml:space="preserve"> of 3.6 × 10</w:t>
      </w:r>
      <w:r w:rsidR="002A3793" w:rsidRPr="00A23882">
        <w:rPr>
          <w:sz w:val="24"/>
          <w:szCs w:val="24"/>
          <w:vertAlign w:val="superscript"/>
        </w:rPr>
        <w:t>5</w:t>
      </w:r>
      <w:r w:rsidR="002A3793" w:rsidRPr="00A23882">
        <w:rPr>
          <w:sz w:val="24"/>
          <w:szCs w:val="24"/>
        </w:rPr>
        <w:t xml:space="preserve"> M</w:t>
      </w:r>
      <w:r w:rsidR="002A3793" w:rsidRPr="00A23882">
        <w:rPr>
          <w:sz w:val="24"/>
          <w:szCs w:val="24"/>
          <w:vertAlign w:val="superscript"/>
        </w:rPr>
        <w:t>-1</w:t>
      </w:r>
      <w:r w:rsidR="002A3793" w:rsidRPr="00A23882">
        <w:rPr>
          <w:sz w:val="24"/>
          <w:szCs w:val="24"/>
        </w:rPr>
        <w:t>, whereas K</w:t>
      </w:r>
      <w:r w:rsidR="002A3793" w:rsidRPr="00A23882">
        <w:rPr>
          <w:sz w:val="24"/>
          <w:szCs w:val="24"/>
          <w:vertAlign w:val="subscript"/>
        </w:rPr>
        <w:t>SV</w:t>
      </w:r>
      <w:r w:rsidR="002A3793" w:rsidRPr="00A23882">
        <w:rPr>
          <w:sz w:val="24"/>
          <w:szCs w:val="24"/>
        </w:rPr>
        <w:t xml:space="preserve"> values ca. 1 × 10</w:t>
      </w:r>
      <w:r w:rsidR="002A3793" w:rsidRPr="00A23882">
        <w:rPr>
          <w:sz w:val="24"/>
          <w:szCs w:val="24"/>
          <w:vertAlign w:val="superscript"/>
        </w:rPr>
        <w:t>5</w:t>
      </w:r>
      <w:r w:rsidR="002A3793" w:rsidRPr="00A23882">
        <w:rPr>
          <w:sz w:val="24"/>
          <w:szCs w:val="24"/>
        </w:rPr>
        <w:t xml:space="preserve"> M</w:t>
      </w:r>
      <w:r w:rsidR="002A3793" w:rsidRPr="00A23882">
        <w:rPr>
          <w:sz w:val="24"/>
          <w:szCs w:val="24"/>
          <w:vertAlign w:val="superscript"/>
        </w:rPr>
        <w:t>-1</w:t>
      </w:r>
      <w:r w:rsidR="002A3793" w:rsidRPr="00A23882">
        <w:rPr>
          <w:sz w:val="24"/>
          <w:szCs w:val="24"/>
        </w:rPr>
        <w:t xml:space="preserve"> were observed for the antitumoral Zn(II) dinuclear complexes with polypyridyl ligands </w:t>
      </w:r>
      <w:r w:rsidR="002A3793" w:rsidRPr="00A23882">
        <w:rPr>
          <w:sz w:val="24"/>
          <w:szCs w:val="24"/>
        </w:rPr>
        <w:fldChar w:fldCharType="begin" w:fldLock="1"/>
      </w:r>
      <w:r w:rsidR="00DD5357">
        <w:rPr>
          <w:sz w:val="24"/>
          <w:szCs w:val="24"/>
        </w:rPr>
        <w:instrText>ADDIN CSL_CITATION {"citationItems":[{"id":"ITEM-1","itemData":{"DOI":"10.1039/c2dt31306e","ISSN":"14779226","abstract":"Three new zinc(ii) complexes: [Zn2(L1) 2Cl2](ClO4)2·C 2H5OH (1) and [Zn2L2X 4]·2CH3CN (X = Br for 2, Cl for 3), utilizing two new and interrelated di-nucleating polypyridyl ligands (L1, L 2), have been synthesized and characterized by using various physico-chemical techniques. The interactions of three complexes with CT-DNA have been explored by using absorption, emission and CD spectral methods, which reveal that three complexes bind to CT-DNA by partial intercalation binding modes. Notably, in the presence of H2O2 as a revulsant or an activator, the cleavage abilities of all complexes are obviously enhanced. The hydrolytic mechanism was demonstrated by adding standard radical scavengers and anaerobic reaction. Further, the protein binding ability has been monitored by quenching of tryptophan emission in the presence of complexes using BSA as a model protein. The quenching mechanisms of BSA by the complexes are static procedures. In addition, the in vitro cytotoxicity of the complexes on three human tumor cells lines (HeLa, MCF-7 and RL952) and the apoptosis-inducing activity of 3 were assessed by MTT, Clonogenic assay, Hoechst 33342 staining, Cell cycle and Annexin V binding experiments. © 2012 The Royal Society of Chemistry.","author":[{"dropping-particle":"","family":"Gao","given":"Chun Yan","non-dropping-particle":"","parse-names":false,"suffix":""},{"dropping-particle":"","family":"Qiao","given":"Xin","non-dropping-particle":"","parse-names":false,"suffix":""},{"dropping-particle":"","family":"Ma","given":"Zhong Ying","non-dropping-particle":"","parse-names":false,"suffix":""},{"dropping-particle":"","family":"Wang","given":"Zhi Gang","non-dropping-particle":"","parse-names":false,"suffix":""},{"dropping-particle":"","family":"Lu","given":"Jing","non-dropping-particle":"","parse-names":false,"suffix":""},{"dropping-particle":"","family":"Tian","given":"Jin Lei","non-dropping-particle":"","parse-names":false,"suffix":""},{"dropping-particle":"","family":"Xu","given":"Jing Yuan","non-dropping-particle":"","parse-names":false,"suffix":""},{"dropping-particle":"","family":"Yan","given":"Shi Ping","non-dropping-particle":"","parse-names":false,"suffix":""}],"container-title":"Dalton Transactions","id":"ITEM-1","issue":"39","issued":{"date-parts":[["2012"]]},"page":"12220-12232","title":"Synthesis, characterization, DNA binding and cleavage, BSA interaction and anticancer activity of dinuclear zinc complexes","type":"article-journal","volume":"41"},"uris":["http://www.mendeley.com/documents/?uuid=6328f846-02af-48a4-a032-e51883769a16"]}],"mendeley":{"formattedCitation":"[62]","plainTextFormattedCitation":"[62]","previouslyFormattedCitation":"[62]"},"properties":{"noteIndex":0},"schema":"https://github.com/citation-style-language/schema/raw/master/csl-citation.json"}</w:instrText>
      </w:r>
      <w:r w:rsidR="002A3793" w:rsidRPr="00A23882">
        <w:rPr>
          <w:sz w:val="24"/>
          <w:szCs w:val="24"/>
        </w:rPr>
        <w:fldChar w:fldCharType="separate"/>
      </w:r>
      <w:r w:rsidR="00DD5357" w:rsidRPr="00DD5357">
        <w:rPr>
          <w:noProof/>
          <w:sz w:val="24"/>
          <w:szCs w:val="24"/>
        </w:rPr>
        <w:t>[62]</w:t>
      </w:r>
      <w:r w:rsidR="002A3793" w:rsidRPr="00A23882">
        <w:rPr>
          <w:sz w:val="24"/>
          <w:szCs w:val="24"/>
        </w:rPr>
        <w:fldChar w:fldCharType="end"/>
      </w:r>
      <w:r w:rsidR="002A3793" w:rsidRPr="00A23882">
        <w:rPr>
          <w:sz w:val="24"/>
          <w:szCs w:val="24"/>
        </w:rPr>
        <w:t>. Platinum(II) and Palladium(II) complexes containing adamantane weakly bound to BSA with K</w:t>
      </w:r>
      <w:r w:rsidR="002A3793" w:rsidRPr="00A23882">
        <w:rPr>
          <w:sz w:val="24"/>
          <w:szCs w:val="24"/>
          <w:vertAlign w:val="subscript"/>
        </w:rPr>
        <w:t>SV</w:t>
      </w:r>
      <w:r w:rsidR="002A3793" w:rsidRPr="00A23882">
        <w:rPr>
          <w:sz w:val="24"/>
          <w:szCs w:val="24"/>
        </w:rPr>
        <w:t xml:space="preserve"> values from 2 to 9 × 10</w:t>
      </w:r>
      <w:r w:rsidR="002A3793" w:rsidRPr="00A23882">
        <w:rPr>
          <w:sz w:val="24"/>
          <w:szCs w:val="24"/>
          <w:vertAlign w:val="superscript"/>
        </w:rPr>
        <w:t>3</w:t>
      </w:r>
      <w:r w:rsidR="002A3793" w:rsidRPr="00A23882">
        <w:rPr>
          <w:sz w:val="24"/>
          <w:szCs w:val="24"/>
        </w:rPr>
        <w:t xml:space="preserve"> M</w:t>
      </w:r>
      <w:r w:rsidR="002A3793" w:rsidRPr="00A23882">
        <w:rPr>
          <w:sz w:val="24"/>
          <w:szCs w:val="24"/>
          <w:vertAlign w:val="superscript"/>
        </w:rPr>
        <w:t>-1</w:t>
      </w:r>
      <w:r w:rsidR="002A3793" w:rsidRPr="00A23882">
        <w:rPr>
          <w:sz w:val="24"/>
          <w:szCs w:val="24"/>
        </w:rPr>
        <w:t xml:space="preserve"> </w:t>
      </w:r>
      <w:r w:rsidR="002A3793" w:rsidRPr="00A23882">
        <w:rPr>
          <w:sz w:val="24"/>
          <w:szCs w:val="24"/>
        </w:rPr>
        <w:fldChar w:fldCharType="begin" w:fldLock="1"/>
      </w:r>
      <w:r w:rsidR="00DD5357">
        <w:rPr>
          <w:sz w:val="24"/>
          <w:szCs w:val="24"/>
        </w:rPr>
        <w:instrText>ADDIN CSL_CITATION {"citationItems":[{"id":"ITEM-1","itemData":{"DOI":"10.1007/s00775-019-01719-5","ISBN":"0123456789","ISSN":"14321327","abstract":"Abstract: Synthesis of dinuclear oxadiazole–adamantane platinum(II) and palladium(II) complexes (PtO, PdO) and mononuclear thiazolidine derivative complexes (PtT, PdT) was described. Characterization was performed by elemental analysis, infrared, UV–visible, 1H, 13C, 195Pt NMR spectra, MS spectroscopy and single crystal X-ray diffraction. The cytotoxicity by MTT assay against tumor and normal cell lines with or without extracellular GSH was also investigated. In general, mononuclear complexes containing thiazolidine–adamantane ligands were more cytotoxic than oxadiazole–adamantane derivatives. PtT complex proved to be as active as cisplatin. Dinuclear compounds were considered inactive to cells in evaluated conditions, due to their high stability with ligands in a chelated and bridged way. Results suggest that GSH cannot be considered a target. DNA- and BSA-binding interactions were evaluated using UV–visible and fluorescence spectroscopy, intercalating dyes and molecular docking. Upon coordination to platinum(II), the cytotoxic effect was appreciably improved against tested cell lines, in comparison to free thiazolidine ligand. Comparing thiazolidine derivatives, it is noticeable that the less active compound (PdT) presents stronger interaction with BSA, while PtT has the weaker interaction with BSA and relatively strong binding to isolated DNA, resulting in the most cytotoxic complex. This work shows that the presence of metal is significant but it should be available for interaction. The high lability of palladium complex made this stay retainable in BSA and two metal atoms do not increase activity if it is not able to do any interaction. Graphic abstract: [Figure not available: see fulltext.]","author":[{"dropping-particle":"","family":"Andrade Querino","given":"Ana Luiza","non-dropping-particle":"de","parse-names":false,"suffix":""},{"dropping-particle":"","family":"Silva","given":"Jessika Thayanne","non-dropping-particle":"da","parse-names":false,"suffix":""},{"dropping-particle":"","family":"Silva","given":"Josiane Teixeira","non-dropping-particle":"","parse-names":false,"suffix":""},{"dropping-particle":"","family":"Alvarenga","given":"Gustavo Miguel","non-dropping-particle":"","parse-names":false,"suffix":""},{"dropping-particle":"","family":"Silveira","given":"Carolina Hahn","non-dropping-particle":"da","parse-names":false,"suffix":""},{"dropping-particle":"","family":"Magalhães","given":"Mariana Torquato Quezado","non-dropping-particle":"de","parse-names":false,"suffix":""},{"dropping-particle":"","family":"Chaves","given":"Otávio Augusto","non-dropping-particle":"","parse-names":false,"suffix":""},{"dropping-particle":"","family":"Iglesias","given":"Bernardo Almeida","non-dropping-particle":"","parse-names":false,"suffix":""},{"dropping-particle":"","family":"Diniz","given":"Renata","non-dropping-particle":"","parse-names":false,"suffix":""},{"dropping-particle":"","family":"Silva","given":"Heveline","non-dropping-particle":"","parse-names":false,"suffix":""}],"container-title":"Journal of Biological Inorganic Chemistry","id":"ITEM-1","issue":"7","issued":{"date-parts":[["2019"]]},"page":"1087-1103","publisher":"Springer Berlin Heidelberg","title":"Mono and dinuclear platinum and palladium complexes containing adamantane–azole ligands: DNA and BSA interaction and cytotoxicity","type":"article-journal","volume":"24"},"uris":["http://www.mendeley.com/documents/?uuid=54ec4713-5f0e-4189-9db2-aa67e0a33b82"]}],"mendeley":{"formattedCitation":"[63]","plainTextFormattedCitation":"[63]","previouslyFormattedCitation":"[63]"},"properties":{"noteIndex":0},"schema":"https://github.com/citation-style-language/schema/raw/master/csl-citation.json"}</w:instrText>
      </w:r>
      <w:r w:rsidR="002A3793" w:rsidRPr="00A23882">
        <w:rPr>
          <w:sz w:val="24"/>
          <w:szCs w:val="24"/>
        </w:rPr>
        <w:fldChar w:fldCharType="separate"/>
      </w:r>
      <w:r w:rsidR="00DD5357" w:rsidRPr="00DD5357">
        <w:rPr>
          <w:noProof/>
          <w:sz w:val="24"/>
          <w:szCs w:val="24"/>
        </w:rPr>
        <w:t>[63]</w:t>
      </w:r>
      <w:r w:rsidR="002A3793" w:rsidRPr="00A23882">
        <w:rPr>
          <w:sz w:val="24"/>
          <w:szCs w:val="24"/>
        </w:rPr>
        <w:fldChar w:fldCharType="end"/>
      </w:r>
      <w:r w:rsidR="002A3793" w:rsidRPr="00A23882">
        <w:rPr>
          <w:sz w:val="24"/>
          <w:szCs w:val="24"/>
        </w:rPr>
        <w:t>.</w:t>
      </w:r>
    </w:p>
    <w:p w:rsidR="002A3793" w:rsidRPr="00A23882" w:rsidRDefault="002A3793" w:rsidP="00A23882">
      <w:pPr>
        <w:pStyle w:val="06-Heading-1"/>
        <w:spacing w:line="480" w:lineRule="auto"/>
        <w:rPr>
          <w:spacing w:val="-4"/>
          <w:sz w:val="24"/>
          <w:szCs w:val="24"/>
        </w:rPr>
      </w:pPr>
    </w:p>
    <w:p w:rsidR="002A3793" w:rsidRPr="00A23882" w:rsidRDefault="002A3793" w:rsidP="00A23882">
      <w:pPr>
        <w:pStyle w:val="06-Heading-1"/>
        <w:spacing w:line="480" w:lineRule="auto"/>
        <w:rPr>
          <w:spacing w:val="-4"/>
          <w:sz w:val="24"/>
          <w:szCs w:val="24"/>
        </w:rPr>
      </w:pPr>
      <w:r w:rsidRPr="00A23882">
        <w:rPr>
          <w:spacing w:val="-4"/>
          <w:sz w:val="24"/>
          <w:szCs w:val="24"/>
        </w:rPr>
        <w:t>4. DETERMINATION OF BINDING AFFINITY AND NUMBER OF BINDING SITES</w:t>
      </w:r>
    </w:p>
    <w:p w:rsidR="002A3793" w:rsidRPr="00A23882" w:rsidRDefault="002A3793" w:rsidP="00A23882">
      <w:pPr>
        <w:pStyle w:val="05-ArticleText"/>
        <w:spacing w:after="0" w:line="480" w:lineRule="auto"/>
        <w:rPr>
          <w:spacing w:val="-4"/>
          <w:sz w:val="24"/>
          <w:szCs w:val="24"/>
        </w:rPr>
      </w:pPr>
      <w:r w:rsidRPr="00A23882">
        <w:rPr>
          <w:spacing w:val="-4"/>
          <w:sz w:val="24"/>
          <w:szCs w:val="24"/>
        </w:rPr>
        <w:t xml:space="preserve">Once the complex formation is confirmed, the thermodynamic parameters for binding can be calculated by different equations but again the work to be done is not easy as it might appear. The evaluation of the affinity is important, in particular for testing transport: the binding of a ligand to serum albumins should be strong enough to ensure that a significant amount of adduct is actually formed but, simultaneously, weak enough to permit the ligand’s release once reached the bio-target </w:t>
      </w:r>
      <w:r w:rsidRPr="00A23882">
        <w:rPr>
          <w:spacing w:val="-4"/>
          <w:sz w:val="24"/>
          <w:szCs w:val="24"/>
        </w:rPr>
        <w:fldChar w:fldCharType="begin" w:fldLock="1"/>
      </w:r>
      <w:r w:rsidRPr="00A23882">
        <w:rPr>
          <w:spacing w:val="-4"/>
          <w:sz w:val="24"/>
          <w:szCs w:val="24"/>
        </w:rPr>
        <w:instrText>ADDIN CSL_CITATION {"citationItems":[{"id":"ITEM-1","itemData":{"DOI":"10.15386/cjmed-357","ISSN":"20668872","abstract":"The continuous search for new molecules with therapeutic abilities has led to the synthesis and characterization of a large number of metal complexes, proven to exhibit potential as pharmacological agents through their antibacterial, antiviral, antifungal and antineoplastic properties. As serum albumins play a key role in drug pharmacokinetics and pharmacodynamics, the study of coordination compounds affinity towards this class of proteins, as well as understanding the mechanism through which they interact is crucial. The aim of this review is to focus on the structure and biological functions of bovine serum albumin, the design of metal complexes that are able to bind to the biomolecule, as well as the experimental techniques employed in the study and evaluation of these interactions.","author":[{"dropping-particle":"","family":"Topală","given":"Tamara","non-dropping-particle":"","parse-names":false,"suffix":""},{"dropping-particle":"","family":"Bodoki","given":"Andreea","non-dropping-particle":"","parse-names":false,"suffix":""},{"dropping-particle":"","family":"Oprean","given":"Luminiţa","non-dropping-particle":"","parse-names":false,"suffix":""},{"dropping-particle":"","family":"Oprean","given":"Radu","non-dropping-particle":"","parse-names":false,"suffix":""}],"container-title":"Clujul Medical","id":"ITEM-1","issue":"4","issued":{"date-parts":[["2014"]]},"page":"5","title":"Bovine serum albumin interactions with metal complexes","type":"article-journal","volume":"87"},"uris":["http://www.mendeley.com/documents/?uuid=1ff14d2d-255d-4468-a380-e1b0843f0c8e"]}],"mendeley":{"formattedCitation":"[28]","plainTextFormattedCitation":"[28]","previouslyFormattedCitation":"[28]"},"properties":{"noteIndex":0},"schema":"https://github.com/citation-style-language/schema/raw/master/csl-citation.json"}</w:instrText>
      </w:r>
      <w:r w:rsidRPr="00A23882">
        <w:rPr>
          <w:spacing w:val="-4"/>
          <w:sz w:val="24"/>
          <w:szCs w:val="24"/>
        </w:rPr>
        <w:fldChar w:fldCharType="separate"/>
      </w:r>
      <w:r w:rsidRPr="00A23882">
        <w:rPr>
          <w:noProof/>
          <w:spacing w:val="-4"/>
          <w:sz w:val="24"/>
          <w:szCs w:val="24"/>
        </w:rPr>
        <w:t>[28]</w:t>
      </w:r>
      <w:r w:rsidRPr="00A23882">
        <w:rPr>
          <w:spacing w:val="-4"/>
          <w:sz w:val="24"/>
          <w:szCs w:val="24"/>
        </w:rPr>
        <w:fldChar w:fldCharType="end"/>
      </w:r>
      <w:r w:rsidRPr="00A23882">
        <w:rPr>
          <w:spacing w:val="-4"/>
          <w:sz w:val="24"/>
          <w:szCs w:val="24"/>
        </w:rPr>
        <w:t xml:space="preserve">. Such an optimal K range is </w:t>
      </w:r>
      <w:r w:rsidRPr="00A23882">
        <w:rPr>
          <w:spacing w:val="-4"/>
          <w:sz w:val="24"/>
          <w:szCs w:val="24"/>
        </w:rPr>
        <w:lastRenderedPageBreak/>
        <w:t>considered to lie between 10</w:t>
      </w:r>
      <w:r w:rsidRPr="00A23882">
        <w:rPr>
          <w:spacing w:val="-4"/>
          <w:sz w:val="24"/>
          <w:szCs w:val="24"/>
          <w:vertAlign w:val="superscript"/>
        </w:rPr>
        <w:t>4</w:t>
      </w:r>
      <w:r w:rsidRPr="00A23882">
        <w:rPr>
          <w:spacing w:val="-4"/>
          <w:sz w:val="24"/>
          <w:szCs w:val="24"/>
        </w:rPr>
        <w:t xml:space="preserve"> and 10</w:t>
      </w:r>
      <w:r w:rsidRPr="00A23882">
        <w:rPr>
          <w:spacing w:val="-4"/>
          <w:sz w:val="24"/>
          <w:szCs w:val="24"/>
          <w:vertAlign w:val="superscript"/>
        </w:rPr>
        <w:t>6</w:t>
      </w:r>
      <w:r w:rsidRPr="00A23882">
        <w:rPr>
          <w:spacing w:val="-4"/>
          <w:sz w:val="24"/>
          <w:szCs w:val="24"/>
        </w:rPr>
        <w:t xml:space="preserve"> M</w:t>
      </w:r>
      <w:r w:rsidRPr="00A23882">
        <w:rPr>
          <w:spacing w:val="-4"/>
          <w:sz w:val="24"/>
          <w:szCs w:val="24"/>
          <w:vertAlign w:val="superscript"/>
        </w:rPr>
        <w:t>-1</w:t>
      </w:r>
      <w:r w:rsidRPr="00A23882">
        <w:rPr>
          <w:spacing w:val="-4"/>
          <w:sz w:val="24"/>
          <w:szCs w:val="24"/>
        </w:rPr>
        <w:t>. For example, the aromatic dye p-aminobenzene was found to bind BSA with K = 8.89 × 10</w:t>
      </w:r>
      <w:r w:rsidRPr="00A23882">
        <w:rPr>
          <w:spacing w:val="-4"/>
          <w:sz w:val="24"/>
          <w:szCs w:val="24"/>
          <w:vertAlign w:val="superscript"/>
        </w:rPr>
        <w:t>4</w:t>
      </w:r>
      <w:r w:rsidRPr="00A23882">
        <w:rPr>
          <w:spacing w:val="-4"/>
          <w:sz w:val="24"/>
          <w:szCs w:val="24"/>
        </w:rPr>
        <w:t xml:space="preserve"> M</w:t>
      </w:r>
      <w:r w:rsidRPr="00A23882">
        <w:rPr>
          <w:spacing w:val="-4"/>
          <w:sz w:val="24"/>
          <w:szCs w:val="24"/>
          <w:vertAlign w:val="superscript"/>
        </w:rPr>
        <w:t xml:space="preserve">-1 </w:t>
      </w:r>
      <w:r w:rsidRPr="00A23882">
        <w:rPr>
          <w:spacing w:val="-4"/>
          <w:sz w:val="24"/>
          <w:szCs w:val="24"/>
          <w:vertAlign w:val="superscript"/>
        </w:rPr>
        <w:fldChar w:fldCharType="begin" w:fldLock="1"/>
      </w:r>
      <w:r w:rsidR="00DD5357">
        <w:rPr>
          <w:spacing w:val="-4"/>
          <w:sz w:val="24"/>
          <w:szCs w:val="24"/>
          <w:vertAlign w:val="superscript"/>
        </w:rPr>
        <w:instrText>ADDIN CSL_CITATION {"citationItems":[{"id":"ITEM-1","itemData":{"DOI":"10.1007/s10895-007-0247-4","ISSN":"10530509","abstract":"In this paper, the interaction between p-aminoazobenzene (PAAB) and BSA was investigated mainly by fluorescence quenching spectra, circular dichroism (CD) and three-dimensional fluorescence spectra under simulative physiological conditions. It was proved that the fluorescence quenching of BSA by PAAB was mainly a result of the formation of a PAAB-BSA complex. The modified Stern-Volmer quenching constant K a and the corresponding thermodynamic parameters ΔH, ΔG and ΔS at different temperatures were calculated. The results indicated that van der Waals interactions and hydrogen bonds were the predominant intermolecular forces in stabilizing the complex. The distance r</w:instrText>
      </w:r>
      <w:r w:rsidR="00DD5357">
        <w:rPr>
          <w:rFonts w:ascii="Cambria Math" w:hAnsi="Cambria Math" w:cs="Cambria Math"/>
          <w:spacing w:val="-4"/>
          <w:sz w:val="24"/>
          <w:szCs w:val="24"/>
          <w:vertAlign w:val="superscript"/>
        </w:rPr>
        <w:instrText>∈</w:instrText>
      </w:r>
      <w:r w:rsidR="00DD5357">
        <w:rPr>
          <w:spacing w:val="-4"/>
          <w:sz w:val="24"/>
          <w:szCs w:val="24"/>
          <w:vertAlign w:val="superscript"/>
        </w:rPr>
        <w:instrText>=</w:instrText>
      </w:r>
      <w:r w:rsidR="00DD5357">
        <w:rPr>
          <w:rFonts w:ascii="Cambria Math" w:hAnsi="Cambria Math" w:cs="Cambria Math"/>
          <w:spacing w:val="-4"/>
          <w:sz w:val="24"/>
          <w:szCs w:val="24"/>
          <w:vertAlign w:val="superscript"/>
        </w:rPr>
        <w:instrText>∈</w:instrText>
      </w:r>
      <w:r w:rsidR="00DD5357">
        <w:rPr>
          <w:spacing w:val="-4"/>
          <w:sz w:val="24"/>
          <w:szCs w:val="24"/>
          <w:vertAlign w:val="superscript"/>
        </w:rPr>
        <w:instrText>4.33 nm between the donor (BSA) and acceptor (PAAB) was obtained according to Förster's non-radioactive energy transfer theory. The synchronous fluorescence, CD and three-dimensional fluorescence spectral results showed that the hydrophobicity of amino acid residues increased and the losing of α-helix content (from 63.57 to 51.83%) in the presence of PAAB. These revealed that the microenvironment and conformation of BSA were changed in the binding reaction. © 2007 Springer Science+Business Media, LLC.","author":[{"dropping-particle":"","family":"Liu","given":"Yi","non-dropping-particle":"","parse-names":false,"suffix":""},{"dropping-particle":"","family":"Zhang","given":"Ye Zhong","non-dropping-particle":"","parse-names":false,"suffix":""},{"dropping-particle":"","family":"Zhou","given":"Bo","non-dropping-particle":"","parse-names":false,"suffix":""},{"dropping-particle":"","family":"Zhou","given":"Chun Xia","non-dropping-particle":"","parse-names":false,"suffix":""},{"dropping-particle":"","family":"Ding","given":"Xin Liang","non-dropping-particle":"","parse-names":false,"suffix":""},{"dropping-particle":"","family":"Liu","given":"Yan Xia","non-dropping-particle":"","parse-names":false,"suffix":""}],"container-title":"Journal of Fluorescence","id":"ITEM-1","issue":"1","issued":{"date-parts":[["2008"]]},"page":"109-118","title":"Fluorescence study on the interaction of bovine serum albumin with P-aminoazobenzene","type":"article-journal","volume":"18"},"uris":["http://www.mendeley.com/documents/?uuid=c58c3b4b-f9cf-412c-9393-0f36015104f3"]}],"mendeley":{"formattedCitation":"[64]","plainTextFormattedCitation":"[64]","previouslyFormattedCitation":"[64]"},"properties":{"noteIndex":0},"schema":"https://github.com/citation-style-language/schema/raw/master/csl-citation.json"}</w:instrText>
      </w:r>
      <w:r w:rsidRPr="00A23882">
        <w:rPr>
          <w:spacing w:val="-4"/>
          <w:sz w:val="24"/>
          <w:szCs w:val="24"/>
          <w:vertAlign w:val="superscript"/>
        </w:rPr>
        <w:fldChar w:fldCharType="separate"/>
      </w:r>
      <w:r w:rsidR="00DD5357" w:rsidRPr="00DD5357">
        <w:rPr>
          <w:noProof/>
          <w:spacing w:val="-4"/>
          <w:sz w:val="24"/>
          <w:szCs w:val="24"/>
        </w:rPr>
        <w:t>[64]</w:t>
      </w:r>
      <w:r w:rsidRPr="00A23882">
        <w:rPr>
          <w:spacing w:val="-4"/>
          <w:sz w:val="24"/>
          <w:szCs w:val="24"/>
          <w:vertAlign w:val="superscript"/>
        </w:rPr>
        <w:fldChar w:fldCharType="end"/>
      </w:r>
      <w:r w:rsidRPr="00A23882">
        <w:rPr>
          <w:spacing w:val="-4"/>
          <w:sz w:val="24"/>
          <w:szCs w:val="24"/>
        </w:rPr>
        <w:t>, whereas for the flavonoid hesperidin a binding constant of K = 5.15 × 10</w:t>
      </w:r>
      <w:r w:rsidRPr="00A23882">
        <w:rPr>
          <w:spacing w:val="-4"/>
          <w:sz w:val="24"/>
          <w:szCs w:val="24"/>
          <w:vertAlign w:val="superscript"/>
        </w:rPr>
        <w:t>4</w:t>
      </w:r>
      <w:r w:rsidRPr="00A23882">
        <w:rPr>
          <w:spacing w:val="-4"/>
          <w:sz w:val="24"/>
          <w:szCs w:val="24"/>
        </w:rPr>
        <w:t xml:space="preserve"> M</w:t>
      </w:r>
      <w:r w:rsidRPr="00A23882">
        <w:rPr>
          <w:spacing w:val="-4"/>
          <w:sz w:val="24"/>
          <w:szCs w:val="24"/>
          <w:vertAlign w:val="superscript"/>
        </w:rPr>
        <w:noBreakHyphen/>
        <w:t xml:space="preserve">1 </w:t>
      </w:r>
      <w:r w:rsidRPr="00A23882">
        <w:rPr>
          <w:spacing w:val="-4"/>
          <w:sz w:val="24"/>
          <w:szCs w:val="24"/>
        </w:rPr>
        <w:t xml:space="preserve">was observed </w:t>
      </w:r>
      <w:r w:rsidRPr="00A23882">
        <w:rPr>
          <w:spacing w:val="-4"/>
          <w:sz w:val="24"/>
          <w:szCs w:val="24"/>
        </w:rPr>
        <w:fldChar w:fldCharType="begin" w:fldLock="1"/>
      </w:r>
      <w:r w:rsidR="00DD5357">
        <w:rPr>
          <w:spacing w:val="-4"/>
          <w:sz w:val="24"/>
          <w:szCs w:val="24"/>
        </w:rPr>
        <w:instrText>ADDIN CSL_CITATION {"citationItems":[{"id":"ITEM-1","itemData":{"DOI":"10.1016/j.jlumin.2006.06.013","ISSN":"00222313","abstract":"The interaction between the flavonoid hesperidin and bovine serum albumin (BSA) was investigated by fluorescence and UV/Vis absorption spectroscopy. The results revealed that hesperidin caused the fluorescence quenching of BSA through a static quenching procedure. The hydrophobic and electrostatic interactions play a major role in stabilizing the complex. The binding site number n, and apparent binding constant KA, corresponding thermodynamic parameters ΔGo, ΔHo, ΔSo at different temperatures were calculated. The distance r between donor (BSA) and acceptor (hesperidin) was obtained according to fluorescence resonance energy transfer. The effect of Cu2+, Zn2+, Ni2+, Co2+, and Mn2+ on the binding constants between hesperidin and BSA were studied. The effect of hesperidin on the conformation of BSA was analyzed using synchronous fluorescence spectroscopy and UV/Vis absorption spectroscopy. © 2006 Elsevier B.V. All rights reserved.","author":[{"dropping-particle":"","family":"Wang","given":"Yan Qing","non-dropping-particle":"","parse-names":false,"suffix":""},{"dropping-particle":"","family":"Zhang","given":"Hong Mei","non-dropping-particle":"","parse-names":false,"suffix":""},{"dropping-particle":"","family":"Zhang","given":"Gen Cheng","non-dropping-particle":"","parse-names":false,"suffix":""},{"dropping-particle":"","family":"Tao","given":"Wei Hua","non-dropping-particle":"","parse-names":false,"suffix":""},{"dropping-particle":"","family":"Tang","given":"Shu He","non-dropping-particle":"","parse-names":false,"suffix":""}],"container-title":"Journal of Luminescence","id":"ITEM-1","issue":"1","issued":{"date-parts":[["2007"]]},"page":"211-218","title":"Interaction of the flavonoid hesperidin with bovine serum albumin: A fluorescence quenching study","type":"article-journal","volume":"126"},"uris":["http://www.mendeley.com/documents/?uuid=754796b6-24e2-4b2d-b816-367a4f236d85"]}],"mendeley":{"formattedCitation":"[65]","plainTextFormattedCitation":"[65]","previouslyFormattedCitation":"[65]"},"properties":{"noteIndex":0},"schema":"https://github.com/citation-style-language/schema/raw/master/csl-citation.json"}</w:instrText>
      </w:r>
      <w:r w:rsidRPr="00A23882">
        <w:rPr>
          <w:spacing w:val="-4"/>
          <w:sz w:val="24"/>
          <w:szCs w:val="24"/>
        </w:rPr>
        <w:fldChar w:fldCharType="separate"/>
      </w:r>
      <w:r w:rsidR="00DD5357" w:rsidRPr="00DD5357">
        <w:rPr>
          <w:noProof/>
          <w:spacing w:val="-4"/>
          <w:sz w:val="24"/>
          <w:szCs w:val="24"/>
        </w:rPr>
        <w:t>[65]</w:t>
      </w:r>
      <w:r w:rsidRPr="00A23882">
        <w:rPr>
          <w:spacing w:val="-4"/>
          <w:sz w:val="24"/>
          <w:szCs w:val="24"/>
        </w:rPr>
        <w:fldChar w:fldCharType="end"/>
      </w:r>
      <w:r w:rsidRPr="00A23882">
        <w:rPr>
          <w:spacing w:val="-4"/>
          <w:sz w:val="24"/>
          <w:szCs w:val="24"/>
        </w:rPr>
        <w:t>. Anticancer drugs such as gefitinib, lapatinib and sunitinib bind BSA with binding constant values of 8.32 × 10</w:t>
      </w:r>
      <w:r w:rsidRPr="00A23882">
        <w:rPr>
          <w:spacing w:val="-4"/>
          <w:sz w:val="24"/>
          <w:szCs w:val="24"/>
          <w:vertAlign w:val="superscript"/>
        </w:rPr>
        <w:t>4</w:t>
      </w:r>
      <w:r w:rsidRPr="00A23882">
        <w:rPr>
          <w:spacing w:val="-4"/>
          <w:sz w:val="24"/>
          <w:szCs w:val="24"/>
        </w:rPr>
        <w:t xml:space="preserve"> M</w:t>
      </w:r>
      <w:r w:rsidRPr="00A23882">
        <w:rPr>
          <w:spacing w:val="-4"/>
          <w:sz w:val="24"/>
          <w:szCs w:val="24"/>
          <w:vertAlign w:val="superscript"/>
        </w:rPr>
        <w:noBreakHyphen/>
        <w:t>1</w:t>
      </w:r>
      <w:r w:rsidRPr="00A23882">
        <w:rPr>
          <w:spacing w:val="-4"/>
          <w:sz w:val="24"/>
          <w:szCs w:val="24"/>
        </w:rPr>
        <w:t>, 2.24 × 10</w:t>
      </w:r>
      <w:r w:rsidRPr="00A23882">
        <w:rPr>
          <w:spacing w:val="-4"/>
          <w:sz w:val="24"/>
          <w:szCs w:val="24"/>
          <w:vertAlign w:val="superscript"/>
        </w:rPr>
        <w:t>5</w:t>
      </w:r>
      <w:r w:rsidRPr="00A23882">
        <w:rPr>
          <w:spacing w:val="-4"/>
          <w:sz w:val="24"/>
          <w:szCs w:val="24"/>
        </w:rPr>
        <w:t xml:space="preserve"> M</w:t>
      </w:r>
      <w:r w:rsidRPr="00A23882">
        <w:rPr>
          <w:spacing w:val="-4"/>
          <w:sz w:val="24"/>
          <w:szCs w:val="24"/>
          <w:vertAlign w:val="superscript"/>
        </w:rPr>
        <w:noBreakHyphen/>
        <w:t>1</w:t>
      </w:r>
      <w:r w:rsidRPr="00A23882">
        <w:rPr>
          <w:spacing w:val="-4"/>
          <w:sz w:val="24"/>
          <w:szCs w:val="24"/>
        </w:rPr>
        <w:t xml:space="preserve"> and 1.32 × 10</w:t>
      </w:r>
      <w:r w:rsidRPr="00A23882">
        <w:rPr>
          <w:spacing w:val="-4"/>
          <w:sz w:val="24"/>
          <w:szCs w:val="24"/>
          <w:vertAlign w:val="superscript"/>
        </w:rPr>
        <w:t>5</w:t>
      </w:r>
      <w:r w:rsidRPr="00A23882">
        <w:rPr>
          <w:spacing w:val="-4"/>
          <w:sz w:val="24"/>
          <w:szCs w:val="24"/>
        </w:rPr>
        <w:t xml:space="preserve"> M</w:t>
      </w:r>
      <w:r w:rsidRPr="00A23882">
        <w:rPr>
          <w:spacing w:val="-4"/>
          <w:sz w:val="24"/>
          <w:szCs w:val="24"/>
          <w:vertAlign w:val="superscript"/>
        </w:rPr>
        <w:noBreakHyphen/>
        <w:t>1</w:t>
      </w:r>
      <w:r w:rsidRPr="00A23882">
        <w:rPr>
          <w:spacing w:val="-4"/>
          <w:sz w:val="24"/>
          <w:szCs w:val="24"/>
        </w:rPr>
        <w:t xml:space="preserve"> respectively </w:t>
      </w:r>
      <w:r w:rsidRPr="00A23882">
        <w:rPr>
          <w:spacing w:val="-4"/>
          <w:sz w:val="24"/>
          <w:szCs w:val="24"/>
        </w:rPr>
        <w:fldChar w:fldCharType="begin" w:fldLock="1"/>
      </w:r>
      <w:r w:rsidR="00DD5357">
        <w:rPr>
          <w:spacing w:val="-4"/>
          <w:sz w:val="24"/>
          <w:szCs w:val="24"/>
        </w:rPr>
        <w:instrText>ADDIN CSL_CITATION {"citationItems":[{"id":"ITEM-1","itemData":{"DOI":"10.1016/j.jphotobiol.2015.10.023","ISSN":"18732682","abstract":"The binding interactions of three kinds of tyrosine kinase inhibitors (TKIs), such as gefitinib, lapatinib and sunitinib, with bovine serum albumin (BSA) were studied using ultraviolet spectrophotometry, fluorescence spectroscopy, circular dichroism (CD), Fourier transform infrared spectroscopy (FT-IR) and molecular docking methods. The experimental results showed that the intrinsic fluorescence quenching of BSA induced by the three TKIs resulted from the formation of stable TKIs-BSA complexes through the binding interaction of TKIs with BSA. The stoichiometry of three stable TKIs-BSA complexes was 1:1 and the binding constants (Kb) of the three TKIs-BSA complexes were in the order of 104 M- 1 at 310 K, indicating that there was a strong binding interaction of the three TKIs with BSA. Based on the analysis of the signs and magnitudes of the free energy change (ΔG0), enthalpic change (ΔH0) and entropic change (ΔS0) in the binding process, it can be deduced that the binding process of the three TKIs with BSA was spontaneous and enthalpy-driven process, and the main interaction forces between the three TKIs and BSA were van der Waals force and hydrogen bonding interaction. Moreover, from the results of CD, FT-IR and molecular docking, it can be concluded that there was a significant difference between the three TKIs in the binding site on BSA, lapatinib was located on site II (m) of BSA while gefitinib and sunitinib were bound on site I of BSA, and there were some changes in the BSA conformation when binding three TKIs to BSA but BSA still retains its secondary structure α-helicity.","author":[{"dropping-particle":"","family":"Shen","given":"Guo Feng","non-dropping-particle":"","parse-names":false,"suffix":""},{"dropping-particle":"","family":"Liu","given":"Ting Ting","non-dropping-particle":"","parse-names":false,"suffix":""},{"dropping-particle":"","family":"Wang","given":"Qi","non-dropping-particle":"","parse-names":false,"suffix":""},{"dropping-particle":"","family":"Jiang","given":"Min","non-dropping-particle":"","parse-names":false,"suffix":""},{"dropping-particle":"","family":"Shi","given":"Jie Hua","non-dropping-particle":"","parse-names":false,"suffix":""}],"container-title":"Journal of Photochemistry and Photobiology B: Biology","id":"ITEM-1","issued":{"date-parts":[["2015"]]},"page":"380-390","title":"Spectroscopic and molecular docking studies of binding interaction of gefitinib, lapatinib and sunitinib with bovine serum albumin (BSA)","type":"article-journal","volume":"153"},"uris":["http://www.mendeley.com/documents/?uuid=b1d89a60-6a65-4ad0-bfcd-1abb3c9b2a7e"]}],"mendeley":{"formattedCitation":"[66]","plainTextFormattedCitation":"[66]","previouslyFormattedCitation":"[66]"},"properties":{"noteIndex":0},"schema":"https://github.com/citation-style-language/schema/raw/master/csl-citation.json"}</w:instrText>
      </w:r>
      <w:r w:rsidRPr="00A23882">
        <w:rPr>
          <w:spacing w:val="-4"/>
          <w:sz w:val="24"/>
          <w:szCs w:val="24"/>
        </w:rPr>
        <w:fldChar w:fldCharType="separate"/>
      </w:r>
      <w:r w:rsidR="00DD5357" w:rsidRPr="00DD5357">
        <w:rPr>
          <w:noProof/>
          <w:spacing w:val="-4"/>
          <w:sz w:val="24"/>
          <w:szCs w:val="24"/>
        </w:rPr>
        <w:t>[66]</w:t>
      </w:r>
      <w:r w:rsidRPr="00A23882">
        <w:rPr>
          <w:spacing w:val="-4"/>
          <w:sz w:val="24"/>
          <w:szCs w:val="24"/>
        </w:rPr>
        <w:fldChar w:fldCharType="end"/>
      </w:r>
      <w:r w:rsidRPr="00A23882">
        <w:rPr>
          <w:spacing w:val="-4"/>
          <w:sz w:val="24"/>
          <w:szCs w:val="24"/>
        </w:rPr>
        <w:t>. Chemotherapeutic drugs such as dicopper(II) complexes with oxamido-bridged ligand bind BSA with K values from 0.48 to 1.63 × 10</w:t>
      </w:r>
      <w:r w:rsidRPr="00A23882">
        <w:rPr>
          <w:spacing w:val="-4"/>
          <w:sz w:val="24"/>
          <w:szCs w:val="24"/>
          <w:vertAlign w:val="superscript"/>
        </w:rPr>
        <w:t>5</w:t>
      </w:r>
      <w:r w:rsidRPr="00A23882">
        <w:rPr>
          <w:spacing w:val="-4"/>
          <w:sz w:val="24"/>
          <w:szCs w:val="24"/>
        </w:rPr>
        <w:t xml:space="preserve"> M</w:t>
      </w:r>
      <w:r w:rsidRPr="00A23882">
        <w:rPr>
          <w:spacing w:val="-4"/>
          <w:sz w:val="24"/>
          <w:szCs w:val="24"/>
          <w:vertAlign w:val="superscript"/>
        </w:rPr>
        <w:noBreakHyphen/>
        <w:t>1</w:t>
      </w:r>
      <w:r w:rsidRPr="00A23882">
        <w:rPr>
          <w:spacing w:val="-4"/>
          <w:sz w:val="24"/>
          <w:szCs w:val="24"/>
        </w:rPr>
        <w:t xml:space="preserve"> </w:t>
      </w:r>
      <w:r w:rsidRPr="00A23882">
        <w:rPr>
          <w:spacing w:val="-4"/>
          <w:sz w:val="24"/>
          <w:szCs w:val="24"/>
        </w:rPr>
        <w:fldChar w:fldCharType="begin" w:fldLock="1"/>
      </w:r>
      <w:r w:rsidR="00DD5357">
        <w:rPr>
          <w:spacing w:val="-4"/>
          <w:sz w:val="24"/>
          <w:szCs w:val="24"/>
        </w:rPr>
        <w:instrText>ADDIN CSL_CITATION {"citationItems":[{"id":"ITEM-1","itemData":{"DOI":"10.1016/j.jinorgbio.2012.05.018","ISSN":"01620134","abstract":"New oxamido-bridged copper(II) complexes, [Cu2(oxbp)(H 2O)2(NCS)2] (1) and [Cu2(oxbp)(μ- DMSO)2(NCS)2][Cu2(oxbp)(DMSO) 2(NCS)2] (2) (H2oxbp = N,N′-bis(2- (diethylamino)ethyl)oxalamide), were synthesized and characterized by single-crystal X-ray diffraction, elemental analysis, IR, and electronic spectra. X-ray analysis revealed that complex 1 consists of neutral binuclear [Cu2(oxbp)(H2O)2(NCS)2] units which forms a two-dimensional network through intermolecular hydrogen bonds and complex 2 is constructed by neutral [Cu2(oxbp)(μ-DMSO) 2(NCS)2] (2a) and [Cu2(oxbp)(DMSO) 2(NCS)2] (2b) entities which alternately distribute to form a two-dimensional network by means of quasi μ-DMSO bridge and intermolecular hydrogen bonds. In both 1 and 2, bicopper centers are linked by the trans-form oxamido bridges with the distances of 5.272 Å for 1 and av. 5.296 Å for 2, respectively. The interaction of Cu(II) complexes with DNA was investigated by UV-visible, fluorescence emission spectrometry and agarose gel electrophoresis. The apparent binding constant (Kapp) values of 3.16 × 105 M-1 for 1 and 4.9 × 105 M-1 for 2 suggest moderate intercalative binding modes between the complexes and DNA. Complex 1 displayed efficient oxidative cleavage of supercoiled DNA, which might indicate that the underlying mechanism involves singlet oxygen (1O2) as reactive oxygen species. Complex 2 is characteristic of the involvement of a singlet oxygen-like entity and hydrogen peroxide in the cleavage process. In addition, our present work showed, by fluorescence spectrometry of BSA with complexes, both 1 and 2 bind to BSA with a medium affinity through a static mode which is tentatively assigned binding to Trp134 in BSA. © 2012 Elsevier Inc. All rights reserved.","author":[{"dropping-particle":"","family":"Xue","given":"Fei","non-dropping-particle":"","parse-names":false,"suffix":""},{"dropping-particle":"","family":"Xie","given":"Cheng Zhi","non-dropping-particle":"","parse-names":false,"suffix":""},{"dropping-particle":"","family":"Zhang","given":"Yan Wen","non-dropping-particle":"","parse-names":false,"suffix":""},{"dropping-particle":"","family":"Qiao","given":"Zheng","non-dropping-particle":"","parse-names":false,"suffix":""},{"dropping-particle":"","family":"Qiao","given":"Xin","non-dropping-particle":"","parse-names":false,"suffix":""},{"dropping-particle":"","family":"Xu","given":"Jing Yuan","non-dropping-particle":"","parse-names":false,"suffix":""},{"dropping-particle":"","family":"Yan","given":"Shi Ping","non-dropping-particle":"","parse-names":false,"suffix":""}],"container-title":"Journal of Inorganic Biochemistry","id":"ITEM-1","issued":{"date-parts":[["2012"]]},"page":"78-86","publisher":"Elsevier Inc.","title":"Two new dicopper(II) complexes with oxamido-bridged ligand: Synthesis, crystal structures, DNA binding/cleavage and BSA binding activity","type":"article-journal","volume":"115"},"uris":["http://www.mendeley.com/documents/?uuid=188b8cd3-4bf9-46ac-84cb-32a2611eb34b"]}],"mendeley":{"formattedCitation":"[67]","plainTextFormattedCitation":"[67]","previouslyFormattedCitation":"[67]"},"properties":{"noteIndex":0},"schema":"https://github.com/citation-style-language/schema/raw/master/csl-citation.json"}</w:instrText>
      </w:r>
      <w:r w:rsidRPr="00A23882">
        <w:rPr>
          <w:spacing w:val="-4"/>
          <w:sz w:val="24"/>
          <w:szCs w:val="24"/>
        </w:rPr>
        <w:fldChar w:fldCharType="separate"/>
      </w:r>
      <w:r w:rsidR="00DD5357" w:rsidRPr="00DD5357">
        <w:rPr>
          <w:noProof/>
          <w:spacing w:val="-4"/>
          <w:sz w:val="24"/>
          <w:szCs w:val="24"/>
        </w:rPr>
        <w:t>[67]</w:t>
      </w:r>
      <w:r w:rsidRPr="00A23882">
        <w:rPr>
          <w:spacing w:val="-4"/>
          <w:sz w:val="24"/>
          <w:szCs w:val="24"/>
        </w:rPr>
        <w:fldChar w:fldCharType="end"/>
      </w:r>
      <w:r w:rsidRPr="00A23882">
        <w:rPr>
          <w:spacing w:val="-4"/>
          <w:sz w:val="24"/>
          <w:szCs w:val="24"/>
        </w:rPr>
        <w:t>, whereas K values ranged from 5.67 × 10</w:t>
      </w:r>
      <w:r w:rsidRPr="00A23882">
        <w:rPr>
          <w:spacing w:val="-4"/>
          <w:sz w:val="24"/>
          <w:szCs w:val="24"/>
          <w:vertAlign w:val="superscript"/>
        </w:rPr>
        <w:t>5</w:t>
      </w:r>
      <w:r w:rsidRPr="00A23882">
        <w:rPr>
          <w:spacing w:val="-4"/>
          <w:sz w:val="24"/>
          <w:szCs w:val="24"/>
        </w:rPr>
        <w:t xml:space="preserve"> to 1.09 × 10</w:t>
      </w:r>
      <w:r w:rsidRPr="00A23882">
        <w:rPr>
          <w:spacing w:val="-4"/>
          <w:sz w:val="24"/>
          <w:szCs w:val="24"/>
          <w:vertAlign w:val="superscript"/>
        </w:rPr>
        <w:t xml:space="preserve">7 </w:t>
      </w:r>
      <w:r w:rsidRPr="00A23882">
        <w:rPr>
          <w:spacing w:val="-4"/>
          <w:sz w:val="24"/>
          <w:szCs w:val="24"/>
        </w:rPr>
        <w:t xml:space="preserve">for Zn(II) complexes containing hydrazone ligands </w:t>
      </w:r>
      <w:r w:rsidRPr="00A23882">
        <w:rPr>
          <w:spacing w:val="-4"/>
          <w:sz w:val="24"/>
          <w:szCs w:val="24"/>
        </w:rPr>
        <w:fldChar w:fldCharType="begin" w:fldLock="1"/>
      </w:r>
      <w:r w:rsidR="00DD5357">
        <w:rPr>
          <w:spacing w:val="-4"/>
          <w:sz w:val="24"/>
          <w:szCs w:val="24"/>
        </w:rPr>
        <w:instrText>ADDIN CSL_CITATION {"citationItems":[{"id":"ITEM-1","itemData":{"DOI":"10.1039/c1dt10767d","ISSN":"14779226","PMID":"21858314","abstract":"Four new bivalent nickel hydrazone complexes have been synthesised from the reactions of [NiCl 2(PPh 3) 2] with H 2L {L = dianion of the hydrazones derived from the condensation of salicylaldehyde or o-hydroxy acetophenone with p-toluic acid hydrazide (H 2L 1) (1), (H 2L 2) (2) and o-hydroxy acetophenone or o-hydroxy naphthaldehyde with benzhydrazide (H 2L 3) (3) and (H 2L 4) (4)} and formulated as [Ni(L 1)(PPh 3)] (5), [Ni(L 2)(PPh 3)] (6), [Ni(L 3)(PPh 3)] (7) and [Ni(L 4)(PPh 3)] (8). Structural characterization of complexes 5-8 were accomplished by using various physico-chemical techniques. In order to study the influence of substitution in the ligand and its planarity on the biological activity of complexes 5-8 containing them, suitable hydrazone ligands 1-4 have been selected in this study. Single crystal diffraction data of complexes 5, 7 and 8 proved the geometry of the complexes to be distorted square planar with a 1:1 ratio between the metal ion and the coordinated hydrazones. To provide more insight on the mode of action of complexes 5-8 under biological conditions, additional experiments involving their interaction with calf thymus DNA (CT DNA) and bovine serum albumin (BSA) were monitored by UV-visible and fluorescence titrations respectively. Further, the ligands 1-4 and corresponding nickel(ii) chelates 5-8 have been tested for their scavenging effect towards OH and O 2- radicals. The effect of complexes 5-8 to arrest the growth of HeLa and Hep-2 tumour cell lines has been studied along with the cell viability against the non-cancerous NIH 3T3 cells under in vitro conditions. © 2011 The Royal Society of Chemistry.","author":[{"dropping-particle":"","family":"Sathyadevi","given":"Palanisamy","non-dropping-particle":"","parse-names":false,"suffix":""},{"dropping-particle":"","family":"Krishnamoorthy","given":"Paramasivam","non-dropping-particle":"","parse-names":false,"suffix":""},{"dropping-particle":"","family":"Butorac","given":"Rachel R.","non-dropping-particle":"","parse-names":false,"suffix":""},{"dropping-particle":"","family":"Cowley","given":"Alan H.","non-dropping-particle":"","parse-names":false,"suffix":""},{"dropping-particle":"","family":"Bhuvanesh","given":"Nattamai S.P.","non-dropping-particle":"","parse-names":false,"suffix":""},{"dropping-particle":"","family":"Dharmaraj","given":"Nallasamy","non-dropping-particle":"","parse-names":false,"suffix":""}],"container-title":"Dalton Transactions","id":"ITEM-1","issue":"38","issued":{"date-parts":[["2011"]]},"page":"9690-9702","title":"Effect of substitution and planarity of the ligand on DNA/BSA interaction, free radical scavenging and cytotoxicity of diamagnetic Ni(ii) complexes: A systematic investigation","type":"article-journal","volume":"40"},"uris":["http://www.mendeley.com/documents/?uuid=5e028842-0cee-4d4e-b073-db0c4801b848"]}],"mendeley":{"formattedCitation":"[68]","plainTextFormattedCitation":"[68]","previouslyFormattedCitation":"[68]"},"properties":{"noteIndex":0},"schema":"https://github.com/citation-style-language/schema/raw/master/csl-citation.json"}</w:instrText>
      </w:r>
      <w:r w:rsidRPr="00A23882">
        <w:rPr>
          <w:spacing w:val="-4"/>
          <w:sz w:val="24"/>
          <w:szCs w:val="24"/>
        </w:rPr>
        <w:fldChar w:fldCharType="separate"/>
      </w:r>
      <w:r w:rsidR="00DD5357" w:rsidRPr="00DD5357">
        <w:rPr>
          <w:noProof/>
          <w:spacing w:val="-4"/>
          <w:sz w:val="24"/>
          <w:szCs w:val="24"/>
        </w:rPr>
        <w:t>[68]</w:t>
      </w:r>
      <w:r w:rsidRPr="00A23882">
        <w:rPr>
          <w:spacing w:val="-4"/>
          <w:sz w:val="24"/>
          <w:szCs w:val="24"/>
        </w:rPr>
        <w:fldChar w:fldCharType="end"/>
      </w:r>
      <w:r w:rsidRPr="00A23882">
        <w:rPr>
          <w:spacing w:val="-4"/>
          <w:sz w:val="24"/>
          <w:szCs w:val="24"/>
        </w:rPr>
        <w:t xml:space="preserve">. Potential antibacterial agents such as Cu(II), Ni(II) and Zn(II) complexes of (E)‐2‐((2,4‐dihydroxybenzylidene) </w:t>
      </w:r>
      <w:r w:rsidRPr="00A23882">
        <w:rPr>
          <w:spacing w:val="-4"/>
          <w:sz w:val="24"/>
          <w:szCs w:val="24"/>
          <w:lang w:val="en-GB"/>
        </w:rPr>
        <w:t xml:space="preserve">amino)‐3‐(1H‐indol‐3‐yl)propanoic acid Schiff base interact with BSA with </w:t>
      </w:r>
      <w:r w:rsidRPr="00A23882">
        <w:rPr>
          <w:spacing w:val="-4"/>
          <w:sz w:val="24"/>
          <w:szCs w:val="24"/>
        </w:rPr>
        <w:t>K values of 7.16 × 10</w:t>
      </w:r>
      <w:r w:rsidRPr="00A23882">
        <w:rPr>
          <w:spacing w:val="-4"/>
          <w:sz w:val="24"/>
          <w:szCs w:val="24"/>
          <w:vertAlign w:val="superscript"/>
        </w:rPr>
        <w:t>5</w:t>
      </w:r>
      <w:r w:rsidRPr="00A23882">
        <w:rPr>
          <w:spacing w:val="-4"/>
          <w:sz w:val="24"/>
          <w:szCs w:val="24"/>
        </w:rPr>
        <w:t xml:space="preserve"> M</w:t>
      </w:r>
      <w:r w:rsidRPr="00A23882">
        <w:rPr>
          <w:spacing w:val="-4"/>
          <w:sz w:val="24"/>
          <w:szCs w:val="24"/>
          <w:vertAlign w:val="superscript"/>
        </w:rPr>
        <w:noBreakHyphen/>
        <w:t>1</w:t>
      </w:r>
      <w:r w:rsidRPr="00A23882">
        <w:rPr>
          <w:spacing w:val="-4"/>
          <w:sz w:val="24"/>
          <w:szCs w:val="24"/>
        </w:rPr>
        <w:t>, 4.47 × 10</w:t>
      </w:r>
      <w:r w:rsidRPr="00A23882">
        <w:rPr>
          <w:spacing w:val="-4"/>
          <w:sz w:val="24"/>
          <w:szCs w:val="24"/>
          <w:vertAlign w:val="superscript"/>
        </w:rPr>
        <w:t>5</w:t>
      </w:r>
      <w:r w:rsidRPr="00A23882">
        <w:rPr>
          <w:spacing w:val="-4"/>
          <w:sz w:val="24"/>
          <w:szCs w:val="24"/>
        </w:rPr>
        <w:t xml:space="preserve"> M</w:t>
      </w:r>
      <w:r w:rsidRPr="00A23882">
        <w:rPr>
          <w:spacing w:val="-4"/>
          <w:sz w:val="24"/>
          <w:szCs w:val="24"/>
          <w:vertAlign w:val="superscript"/>
        </w:rPr>
        <w:noBreakHyphen/>
        <w:t>1</w:t>
      </w:r>
      <w:r w:rsidRPr="00A23882">
        <w:rPr>
          <w:spacing w:val="-4"/>
          <w:sz w:val="24"/>
          <w:szCs w:val="24"/>
        </w:rPr>
        <w:t xml:space="preserve"> and 1.32 × 10</w:t>
      </w:r>
      <w:r w:rsidRPr="00A23882">
        <w:rPr>
          <w:spacing w:val="-4"/>
          <w:sz w:val="24"/>
          <w:szCs w:val="24"/>
          <w:vertAlign w:val="superscript"/>
        </w:rPr>
        <w:t>5</w:t>
      </w:r>
      <w:r w:rsidRPr="00A23882">
        <w:rPr>
          <w:spacing w:val="-4"/>
          <w:sz w:val="24"/>
          <w:szCs w:val="24"/>
        </w:rPr>
        <w:t xml:space="preserve"> M</w:t>
      </w:r>
      <w:r w:rsidRPr="00A23882">
        <w:rPr>
          <w:spacing w:val="-4"/>
          <w:sz w:val="24"/>
          <w:szCs w:val="24"/>
          <w:vertAlign w:val="superscript"/>
        </w:rPr>
        <w:noBreakHyphen/>
        <w:t>1</w:t>
      </w:r>
      <w:r w:rsidRPr="00A23882">
        <w:rPr>
          <w:spacing w:val="-4"/>
          <w:sz w:val="24"/>
          <w:szCs w:val="24"/>
        </w:rPr>
        <w:t xml:space="preserve"> respectively </w:t>
      </w:r>
      <w:r w:rsidRPr="00A23882">
        <w:rPr>
          <w:spacing w:val="-4"/>
          <w:sz w:val="24"/>
          <w:szCs w:val="24"/>
        </w:rPr>
        <w:fldChar w:fldCharType="begin" w:fldLock="1"/>
      </w:r>
      <w:r w:rsidR="00DD5357">
        <w:rPr>
          <w:spacing w:val="-4"/>
          <w:sz w:val="24"/>
          <w:szCs w:val="24"/>
        </w:rPr>
        <w:instrText>ADDIN CSL_CITATION {"citationItems":[{"id":"ITEM-1","itemData":{"DOI":"10.1002/aoc.4259","ISSN":"10990739","abstract":"Cu(II), Ni(II) and Zn(II) complexes of (E)-2-((2,4-dihydroxybenzylidene)amino)-3-(1H-indol-3-yl)propanoic acid Schiff base (L) were synthesized and characterized by various spectral methods. ESI-MS was used to confirm the structure of synthesized compounds. Molecular geometries of the complexes were predicted by optimizing the structure by DFT/B3LYP method with LANL2DZ basis set in the gas phase. The interaction of the metal complexes with CT-DNA and BSA protein has been examined by UV-vis, fluorescence and viscometer titrations reveal that the complexes bind to DNA through intercalation binding mode. The copper complexes exhibit effective cleavage of pUC19 DNA by the oxidative mechanism. The synthesized compounds screened for their antibacterial activities against various bacteria strains exhibit the L and copper complex show potential activity against Pseudomonas aeruginosa and Escherichia coli, respectively. Subsequently, molecular docking studies were performed on to understand the binding of the compounds with DNA, BSA and bacteria.","author":[{"dropping-particle":"","family":"Neelakantan","given":"M. A.","non-dropping-particle":"","parse-names":false,"suffix":""},{"dropping-particle":"","family":"Balamurugan","given":"K.","non-dropping-particle":"","parse-names":false,"suffix":""},{"dropping-particle":"","family":"Balakrishnan","given":"Chithiraivel","non-dropping-particle":"","parse-names":false,"suffix":""},{"dropping-particle":"","family":"Subha","given":"L.","non-dropping-particle":"","parse-names":false,"suffix":""}],"container-title":"Applied Organometallic Chemistry","id":"ITEM-1","issue":"4","issued":{"date-parts":[["2018"]]},"page":"1-19","title":"Interaction of Amino Acid Schiff Base Metal Complexes with DNA/BSA Protein and Antibacterial Activity: Spectral Studies, DFT Calculations and Molecular Docking Simulations","type":"article-journal","volume":"32"},"uris":["http://www.mendeley.com/documents/?uuid=02060e74-3a41-4cae-b50e-e442a0e6b4e1"]}],"mendeley":{"formattedCitation":"[69]","plainTextFormattedCitation":"[69]","previouslyFormattedCitation":"[69]"},"properties":{"noteIndex":0},"schema":"https://github.com/citation-style-language/schema/raw/master/csl-citation.json"}</w:instrText>
      </w:r>
      <w:r w:rsidRPr="00A23882">
        <w:rPr>
          <w:spacing w:val="-4"/>
          <w:sz w:val="24"/>
          <w:szCs w:val="24"/>
        </w:rPr>
        <w:fldChar w:fldCharType="separate"/>
      </w:r>
      <w:r w:rsidR="00DD5357" w:rsidRPr="00DD5357">
        <w:rPr>
          <w:noProof/>
          <w:spacing w:val="-4"/>
          <w:sz w:val="24"/>
          <w:szCs w:val="24"/>
        </w:rPr>
        <w:t>[69]</w:t>
      </w:r>
      <w:r w:rsidRPr="00A23882">
        <w:rPr>
          <w:spacing w:val="-4"/>
          <w:sz w:val="24"/>
          <w:szCs w:val="24"/>
        </w:rPr>
        <w:fldChar w:fldCharType="end"/>
      </w:r>
      <w:r w:rsidRPr="00A23882">
        <w:rPr>
          <w:spacing w:val="-4"/>
          <w:sz w:val="24"/>
          <w:szCs w:val="24"/>
        </w:rPr>
        <w:t>.</w:t>
      </w:r>
    </w:p>
    <w:p w:rsidR="002A3793" w:rsidRDefault="002A3793" w:rsidP="009A4942">
      <w:pPr>
        <w:pStyle w:val="05-ArticleText"/>
        <w:spacing w:after="0" w:line="480" w:lineRule="auto"/>
        <w:rPr>
          <w:spacing w:val="-4"/>
          <w:sz w:val="24"/>
          <w:szCs w:val="24"/>
        </w:rPr>
      </w:pPr>
      <w:r w:rsidRPr="00A23882">
        <w:rPr>
          <w:spacing w:val="-4"/>
          <w:sz w:val="24"/>
          <w:szCs w:val="24"/>
        </w:rPr>
        <w:t xml:space="preserve">BSA is a small protein (MW = 66.5 kDa), but still a relatively complex bio-substrate, for which complex binding stoichiometry needs to be at least taken into account. For the numerical evaluation of the binding constant K and the number of binding sites n, very often the following equation is used </w:t>
      </w:r>
      <w:r w:rsidRPr="00A23882">
        <w:rPr>
          <w:spacing w:val="-4"/>
          <w:sz w:val="24"/>
          <w:szCs w:val="24"/>
        </w:rPr>
        <w:fldChar w:fldCharType="begin" w:fldLock="1"/>
      </w:r>
      <w:r w:rsidRPr="00A23882">
        <w:rPr>
          <w:spacing w:val="-4"/>
          <w:sz w:val="24"/>
          <w:szCs w:val="24"/>
        </w:rPr>
        <w:instrText>ADDIN CSL_CITATION {"citationItems":[{"id":"ITEM-1","itemData":{"DOI":"10.1016/j.molstruc.2011.05.023","ISSN":"00222860","abstract":"In recent years fluorescence quenching has become a popular tool to investigate various aspects of ligand binding. Unfortunately, various pitfalls are often overlooked in a large number of papers, published in many different journals. In this criticism we discuss a number of possible mistakes and show how they may affect the data and their analysis. Moreover, we point to problems in the understanding of the fundamentals of fluorescence quenching, and show direct contradictions within many of these papers. This review hopefully contributes to a re-appraisal of the published literature and to a more appropriate use of fluorescence quenching to study ligand binding. © 2011 Elsevier B.V. All rights reserved.","author":[{"dropping-particle":"","family":"Weert","given":"Marco","non-dropping-particle":"Van De","parse-names":false,"suffix":""},{"dropping-particle":"","family":"Stella","given":"Lorenzo","non-dropping-particle":"","parse-names":false,"suffix":""}],"container-title":"Journal of Molecular Structure","id":"ITEM-1","issue":"1-3","issued":{"date-parts":[["2011"]]},"page":"144-150","publisher":"Elsevier B.V.","title":"Fluorescence quenching and ligand binding: A critical discussion of a popular methodology","type":"article-journal","volume":"998"},"uris":["http://www.mendeley.com/documents/?uuid=fa7c363a-c615-4c13-9a8c-2cdf799baf88"]}],"mendeley":{"formattedCitation":"[39]","plainTextFormattedCitation":"[39]","previouslyFormattedCitation":"[39]"},"properties":{"noteIndex":0},"schema":"https://github.com/citation-style-language/schema/raw/master/csl-citation.json"}</w:instrText>
      </w:r>
      <w:r w:rsidRPr="00A23882">
        <w:rPr>
          <w:spacing w:val="-4"/>
          <w:sz w:val="24"/>
          <w:szCs w:val="24"/>
        </w:rPr>
        <w:fldChar w:fldCharType="separate"/>
      </w:r>
      <w:r w:rsidRPr="00A23882">
        <w:rPr>
          <w:noProof/>
          <w:spacing w:val="-4"/>
          <w:sz w:val="24"/>
          <w:szCs w:val="24"/>
        </w:rPr>
        <w:t>[39]</w:t>
      </w:r>
      <w:r w:rsidRPr="00A23882">
        <w:rPr>
          <w:spacing w:val="-4"/>
          <w:sz w:val="24"/>
          <w:szCs w:val="24"/>
        </w:rPr>
        <w:fldChar w:fldCharType="end"/>
      </w:r>
      <w:r w:rsidRPr="00A23882">
        <w:rPr>
          <w:spacing w:val="-4"/>
          <w:sz w:val="24"/>
          <w:szCs w:val="24"/>
        </w:rPr>
        <w:t>,</w:t>
      </w:r>
      <w:r w:rsidRPr="00A23882">
        <w:rPr>
          <w:spacing w:val="-4"/>
          <w:sz w:val="24"/>
          <w:szCs w:val="24"/>
        </w:rPr>
        <w:fldChar w:fldCharType="begin" w:fldLock="1"/>
      </w:r>
      <w:r w:rsidR="00DD5357">
        <w:rPr>
          <w:spacing w:val="-4"/>
          <w:sz w:val="24"/>
          <w:szCs w:val="24"/>
        </w:rPr>
        <w:instrText>ADDIN CSL_CITATION {"citationItems":[{"id":"ITEM-1","itemData":{"DOI":"10.1016/j.saa.2008.06.027","ISSN":"13861425","abstract":"Fluorescence spectroscopy in combination with circular dichroism (CD) spectroscopy were used to investigate the interaction of water-soluble amino acid Schiff base complexes, [Zn(L1,2)(phen)] where phen is 1,10-phenanthroline and H2L1,2 is amino acid Schiff base ligands, with bovine serum albumin (BSA) under the physiological conditions in phosphate buffer solution adjusted to pH 7.0. The quenching mechanism of fluorescence was suggested as static quenching according to the Stern-Volmer equation. Quenching constants were determined using the Stern-Volmer equation to provide a measure of the binding affinity between amino acid Schiff base complexes and BSA. The thermodynamic parameters ΔG, ΔH and ΔS at different temperatures (298, 310 and 318 K) were calculated. The results indicate that the hydrophobic and hydrogen bonding interactions play a major role in [Zn(L1)(phen)]-BSA association, whereas hydrophobic and electrostatic interactions participate a main role in [Zn(L2)(phen)]-BSA binding process. Binding studies concerning the number of binding sites and apparent binding constant Kb were performed by fluorescence quenching method. The distance R between the donor (BSA) and acceptor (amino acid Schiff base complexes) has been obtained utilizing fluorescence resonant energy transfer (FRET). Furthermore, CD spectra were used to investigate the structural changes of the BSA molecule with the addition of amino acid Schiff base complexes. The results indicate that the interaction of amino acid Schiff base complexes with BSA leads to changes in the secondary structure of the protein. Fractional contents of the secondary structure of BSA (fα, fβ, fturn and frandom) were calculated with and without amino acid Schiff base complexes utilizing circular dichroism spectroscopy. Our results clarified that amino acid Schiff base complexes could bind to BSA and be effectively transported and eliminated in the body, which could be a useful guideline for further drug design. © 2008 Elsevier B.V. All rights reserved.","author":[{"dropping-particle":"","family":"Gharagozlou","given":"Mehrnaz","non-dropping-particle":"","parse-names":false,"suffix":""},{"dropping-particle":"","family":"Boghaei","given":"Davar M.","non-dropping-particle":"","parse-names":false,"suffix":""}],"container-title":"Spectrochimica Acta - Part A: Molecular and Biomolecular Spectroscopy","id":"ITEM-1","issue":"4","issued":{"date-parts":[["2008"]]},"page":"1617-1622","title":"Interaction of water-soluble amino acid Schiff base complexes with bovine serum albumin: Fluorescence and circular dichroism studies","type":"article-journal","volume":"71"},"uris":["http://www.mendeley.com/documents/?uuid=a835082e-a6c2-4c63-b122-3522e5332a41"]}],"mendeley":{"formattedCitation":"[70]","plainTextFormattedCitation":"[70]","previouslyFormattedCitation":"[70]"},"properties":{"noteIndex":0},"schema":"https://github.com/citation-style-language/schema/raw/master/csl-citation.json"}</w:instrText>
      </w:r>
      <w:r w:rsidRPr="00A23882">
        <w:rPr>
          <w:spacing w:val="-4"/>
          <w:sz w:val="24"/>
          <w:szCs w:val="24"/>
        </w:rPr>
        <w:fldChar w:fldCharType="separate"/>
      </w:r>
      <w:r w:rsidR="00DD5357" w:rsidRPr="00DD5357">
        <w:rPr>
          <w:noProof/>
          <w:spacing w:val="-4"/>
          <w:sz w:val="24"/>
          <w:szCs w:val="24"/>
        </w:rPr>
        <w:t>[70]</w:t>
      </w:r>
      <w:r w:rsidRPr="00A23882">
        <w:rPr>
          <w:spacing w:val="-4"/>
          <w:sz w:val="24"/>
          <w:szCs w:val="24"/>
        </w:rPr>
        <w:fldChar w:fldCharType="end"/>
      </w:r>
    </w:p>
    <w:p w:rsidR="009A4942" w:rsidRPr="00A23882" w:rsidRDefault="009A4942" w:rsidP="009A4942">
      <w:pPr>
        <w:pStyle w:val="05-ArticleText"/>
        <w:spacing w:after="0" w:line="480" w:lineRule="auto"/>
        <w:rPr>
          <w:spacing w:val="-4"/>
          <w:sz w:val="24"/>
          <w:szCs w:val="24"/>
        </w:rPr>
      </w:pPr>
    </w:p>
    <w:p w:rsidR="005F79EE" w:rsidRDefault="002A3793" w:rsidP="009A4942">
      <w:pPr>
        <w:pStyle w:val="05-ArticleText"/>
        <w:spacing w:after="0" w:line="480" w:lineRule="auto"/>
        <w:rPr>
          <w:spacing w:val="-4"/>
          <w:sz w:val="24"/>
          <w:szCs w:val="24"/>
        </w:rPr>
      </w:pPr>
      <w:r w:rsidRPr="00A23882">
        <w:rPr>
          <w:spacing w:val="-4"/>
          <w:sz w:val="24"/>
          <w:szCs w:val="24"/>
        </w:rPr>
        <w:t>log (F</w:t>
      </w:r>
      <w:r w:rsidRPr="00A23882">
        <w:rPr>
          <w:spacing w:val="-4"/>
          <w:sz w:val="24"/>
          <w:szCs w:val="24"/>
          <w:vertAlign w:val="subscript"/>
        </w:rPr>
        <w:t>0</w:t>
      </w:r>
      <w:r w:rsidRPr="00A23882">
        <w:rPr>
          <w:spacing w:val="-4"/>
          <w:sz w:val="24"/>
          <w:szCs w:val="24"/>
        </w:rPr>
        <w:t>-F)/F = log K + n log[Q</w:t>
      </w:r>
      <w:r w:rsidRPr="00A23882">
        <w:rPr>
          <w:spacing w:val="-4"/>
          <w:sz w:val="24"/>
          <w:szCs w:val="24"/>
          <w:vertAlign w:val="subscript"/>
        </w:rPr>
        <w:t>free</w:t>
      </w:r>
      <w:r w:rsidRPr="00A23882">
        <w:rPr>
          <w:spacing w:val="-4"/>
          <w:sz w:val="24"/>
          <w:szCs w:val="24"/>
        </w:rPr>
        <w:t>]</w:t>
      </w:r>
      <w:r w:rsidRPr="00A23882">
        <w:rPr>
          <w:spacing w:val="-4"/>
          <w:sz w:val="24"/>
          <w:szCs w:val="24"/>
        </w:rPr>
        <w:tab/>
      </w:r>
      <w:r w:rsidRPr="00A23882">
        <w:rPr>
          <w:spacing w:val="-4"/>
          <w:sz w:val="24"/>
          <w:szCs w:val="24"/>
        </w:rPr>
        <w:tab/>
      </w:r>
      <w:r w:rsidRPr="00A23882">
        <w:rPr>
          <w:spacing w:val="-4"/>
          <w:sz w:val="24"/>
          <w:szCs w:val="24"/>
        </w:rPr>
        <w:tab/>
      </w:r>
      <w:r w:rsidR="005F79EE">
        <w:rPr>
          <w:spacing w:val="-4"/>
          <w:sz w:val="24"/>
          <w:szCs w:val="24"/>
        </w:rPr>
        <w:tab/>
      </w:r>
      <w:r w:rsidR="005F79EE">
        <w:rPr>
          <w:spacing w:val="-4"/>
          <w:sz w:val="24"/>
          <w:szCs w:val="24"/>
        </w:rPr>
        <w:tab/>
      </w:r>
      <w:r w:rsidR="005F79EE">
        <w:rPr>
          <w:spacing w:val="-4"/>
          <w:sz w:val="24"/>
          <w:szCs w:val="24"/>
        </w:rPr>
        <w:tab/>
      </w:r>
      <w:r w:rsidR="005F79EE">
        <w:rPr>
          <w:spacing w:val="-4"/>
          <w:sz w:val="24"/>
          <w:szCs w:val="24"/>
        </w:rPr>
        <w:tab/>
      </w:r>
      <w:r w:rsidR="005F79EE">
        <w:rPr>
          <w:spacing w:val="-4"/>
          <w:sz w:val="24"/>
          <w:szCs w:val="24"/>
        </w:rPr>
        <w:tab/>
      </w:r>
      <w:r w:rsidR="005F79EE">
        <w:rPr>
          <w:spacing w:val="-4"/>
          <w:sz w:val="24"/>
          <w:szCs w:val="24"/>
        </w:rPr>
        <w:tab/>
      </w:r>
      <w:r w:rsidRPr="00A23882">
        <w:rPr>
          <w:spacing w:val="-4"/>
          <w:sz w:val="24"/>
          <w:szCs w:val="24"/>
        </w:rPr>
        <w:t>(3)</w:t>
      </w:r>
    </w:p>
    <w:p w:rsidR="009A4942" w:rsidRDefault="009A4942" w:rsidP="009A4942">
      <w:pPr>
        <w:pStyle w:val="05-ArticleText"/>
        <w:spacing w:after="0" w:line="480" w:lineRule="auto"/>
        <w:rPr>
          <w:spacing w:val="-4"/>
          <w:sz w:val="24"/>
          <w:szCs w:val="24"/>
        </w:rPr>
      </w:pPr>
    </w:p>
    <w:p w:rsidR="002A3793" w:rsidRDefault="002A3793" w:rsidP="009A4942">
      <w:pPr>
        <w:pStyle w:val="05-ArticleText"/>
        <w:spacing w:after="0" w:line="480" w:lineRule="auto"/>
        <w:rPr>
          <w:spacing w:val="-4"/>
          <w:sz w:val="24"/>
          <w:szCs w:val="24"/>
        </w:rPr>
      </w:pPr>
      <w:r w:rsidRPr="00A23882">
        <w:rPr>
          <w:spacing w:val="-4"/>
          <w:sz w:val="24"/>
          <w:szCs w:val="24"/>
        </w:rPr>
        <w:t>where [Q</w:t>
      </w:r>
      <w:r w:rsidRPr="00A23882">
        <w:rPr>
          <w:sz w:val="24"/>
          <w:szCs w:val="24"/>
          <w:vertAlign w:val="subscript"/>
        </w:rPr>
        <w:t>free</w:t>
      </w:r>
      <w:r w:rsidRPr="00A23882">
        <w:rPr>
          <w:spacing w:val="-4"/>
          <w:sz w:val="24"/>
          <w:szCs w:val="24"/>
        </w:rPr>
        <w:t xml:space="preserve">] is the molar concentration of the free quencher. Again, this equation is valid only if the formation of a non-fluorescent complex is assumed. Also, being this related to a double logarithmic plot, it can give the erroneous impression of a very good correlation even if this is not the case. It was demonstrated that Eq. (3) can erroneously give the result of n = 1 even when a different stoichiometry is likely to be involved </w:t>
      </w:r>
      <w:r w:rsidRPr="00A23882">
        <w:rPr>
          <w:spacing w:val="-4"/>
          <w:sz w:val="24"/>
          <w:szCs w:val="24"/>
        </w:rPr>
        <w:fldChar w:fldCharType="begin" w:fldLock="1"/>
      </w:r>
      <w:r w:rsidRPr="00A23882">
        <w:rPr>
          <w:spacing w:val="-4"/>
          <w:sz w:val="24"/>
          <w:szCs w:val="24"/>
        </w:rPr>
        <w:instrText>ADDIN CSL_CITATION {"citationItems":[{"id":"ITEM-1","itemData":{"DOI":"10.1016/j.molstruc.2011.05.023","ISSN":"00222860","abstract":"In recent years fluorescence quenching has become a popular tool to investigate various aspects of ligand binding. Unfortunately, various pitfalls are often overlooked in a large number of papers, published in many different journals. In this criticism we discuss a number of possible mistakes and show how they may affect the data and their analysis. Moreover, we point to problems in the understanding of the fundamentals of fluorescence quenching, and show direct contradictions within many of these papers. This review hopefully contributes to a re-appraisal of the published literature and to a more appropriate use of fluorescence quenching to study ligand binding. © 2011 Elsevier B.V. All rights reserved.","author":[{"dropping-particle":"","family":"Weert","given":"Marco","non-dropping-particle":"Van De","parse-names":false,"suffix":""},{"dropping-particle":"","family":"Stella","given":"Lorenzo","non-dropping-particle":"","parse-names":false,"suffix":""}],"container-title":"Journal of Molecular Structure","id":"ITEM-1","issue":"1-3","issued":{"date-parts":[["2011"]]},"page":"144-150","publisher":"Elsevier B.V.","title":"Fluorescence quenching and ligand binding: A critical discussion of a popular methodology","type":"article-journal","volume":"998"},"uris":["http://www.mendeley.com/documents/?uuid=fa7c363a-c615-4c13-9a8c-2cdf799baf88"]}],"mendeley":{"formattedCitation":"[39]","plainTextFormattedCitation":"[39]","previouslyFormattedCitation":"[39]"},"properties":{"noteIndex":0},"schema":"https://github.com/citation-style-language/schema/raw/master/csl-citation.json"}</w:instrText>
      </w:r>
      <w:r w:rsidRPr="00A23882">
        <w:rPr>
          <w:spacing w:val="-4"/>
          <w:sz w:val="24"/>
          <w:szCs w:val="24"/>
        </w:rPr>
        <w:fldChar w:fldCharType="separate"/>
      </w:r>
      <w:r w:rsidRPr="00A23882">
        <w:rPr>
          <w:noProof/>
          <w:spacing w:val="-4"/>
          <w:sz w:val="24"/>
          <w:szCs w:val="24"/>
        </w:rPr>
        <w:t>[39]</w:t>
      </w:r>
      <w:r w:rsidRPr="00A23882">
        <w:rPr>
          <w:spacing w:val="-4"/>
          <w:sz w:val="24"/>
          <w:szCs w:val="24"/>
        </w:rPr>
        <w:fldChar w:fldCharType="end"/>
      </w:r>
      <w:r w:rsidRPr="00A23882">
        <w:rPr>
          <w:spacing w:val="-4"/>
          <w:sz w:val="24"/>
          <w:szCs w:val="24"/>
        </w:rPr>
        <w:t>,</w:t>
      </w:r>
      <w:r w:rsidRPr="00A23882">
        <w:rPr>
          <w:spacing w:val="-4"/>
          <w:sz w:val="24"/>
          <w:szCs w:val="24"/>
        </w:rPr>
        <w:fldChar w:fldCharType="begin" w:fldLock="1"/>
      </w:r>
      <w:r w:rsidR="00DD5357">
        <w:rPr>
          <w:spacing w:val="-4"/>
          <w:sz w:val="24"/>
          <w:szCs w:val="24"/>
        </w:rPr>
        <w:instrText>ADDIN CSL_CITATION {"citationItems":[{"id":"ITEM-1","itemData":{"ISSN":"00219258","author":[{"dropping-particle":"","family":"Coval","given":"M. L.","non-dropping-particle":"","parse-names":false,"suffix":""}],"container-title":"Journal of Biological Chemistry","id":"ITEM-1","issued":{"date-parts":[["1970"]]},"page":"6335-6336","title":"Analysis of Hill interaction coefficients and the invalidity of the Kwon and Brown equation.","type":"article-journal","volume":"245"},"uris":["http://www.mendeley.com/documents/?uuid=f6df7314-13c0-42b3-9f13-794031f6392b"]}],"mendeley":{"formattedCitation":"[71]","plainTextFormattedCitation":"[71]","previouslyFormattedCitation":"[71]"},"properties":{"noteIndex":0},"schema":"https://github.com/citation-style-language/schema/raw/master/csl-citation.json"}</w:instrText>
      </w:r>
      <w:r w:rsidRPr="00A23882">
        <w:rPr>
          <w:spacing w:val="-4"/>
          <w:sz w:val="24"/>
          <w:szCs w:val="24"/>
        </w:rPr>
        <w:fldChar w:fldCharType="separate"/>
      </w:r>
      <w:r w:rsidR="00DD5357" w:rsidRPr="00DD5357">
        <w:rPr>
          <w:noProof/>
          <w:spacing w:val="-4"/>
          <w:sz w:val="24"/>
          <w:szCs w:val="24"/>
        </w:rPr>
        <w:t>[71]</w:t>
      </w:r>
      <w:r w:rsidRPr="00A23882">
        <w:rPr>
          <w:spacing w:val="-4"/>
          <w:sz w:val="24"/>
          <w:szCs w:val="24"/>
        </w:rPr>
        <w:fldChar w:fldCharType="end"/>
      </w:r>
      <w:r w:rsidRPr="00A23882">
        <w:rPr>
          <w:spacing w:val="-4"/>
          <w:sz w:val="24"/>
          <w:szCs w:val="24"/>
        </w:rPr>
        <w:t xml:space="preserve">. Under these circumstances, a Job’s plot might be a good way to clarify the picture. Alternatively, another equation can be used, which is another form of the known Scatchard equation </w:t>
      </w:r>
      <w:r w:rsidRPr="00A23882">
        <w:rPr>
          <w:spacing w:val="-4"/>
          <w:sz w:val="24"/>
          <w:szCs w:val="24"/>
        </w:rPr>
        <w:fldChar w:fldCharType="begin" w:fldLock="1"/>
      </w:r>
      <w:r w:rsidR="00DD5357">
        <w:rPr>
          <w:spacing w:val="-4"/>
          <w:sz w:val="24"/>
          <w:szCs w:val="24"/>
        </w:rPr>
        <w:instrText xml:space="preserve">ADDIN CSL_CITATION {"citationItems":[{"id":"ITEM-1","itemData":{"DOI":"10.1002/kin.550181003","ISSN":"10974601","abstract":"The Kinetics of the binding of librium to bovine serum albumin were investigated at an ionic strength of 0.15 M, in the pH‐range between 5.5 and 10.5, using the temperature‐jump method. Two relaxation times were observed. The first, rapid one is assigned to the equilibrium between reactants and complex, whereas the second, slower relaxation time measures a conformational change of this complex. Both relaxation times are independent of pH up to about 8.0 when they increase sharply to a new plateau at a pH of about 9.3. A possible parallelism between this behavior and the N </w:instrText>
      </w:r>
      <w:r w:rsidR="00DD5357">
        <w:rPr>
          <w:rFonts w:ascii="Cambria Math" w:hAnsi="Cambria Math" w:cs="Cambria Math"/>
          <w:spacing w:val="-4"/>
          <w:sz w:val="24"/>
          <w:szCs w:val="24"/>
        </w:rPr>
        <w:instrText>⇌</w:instrText>
      </w:r>
      <w:r w:rsidR="00DD5357">
        <w:rPr>
          <w:spacing w:val="-4"/>
          <w:sz w:val="24"/>
          <w:szCs w:val="24"/>
        </w:rPr>
        <w:instrText xml:space="preserve"> B transition of albumin is discussed. The overall equilibrium constant K, as well as the equilibrium constant between the two conformers, K2, were estimated from our kinetic results. Whereas the change of K with changing pH was within the experimental error, the equilibrium between the two conformers of the complex is somewhat shifted by an increase of the pH. At all values of pH, however, they are present in comparable concentrations. The value of K was also measured spectrophotometrically. The results of the two methods showed reasonable agreement. The relaxation times were affected very little by a change in temperature between 12 and 25°C from which it is concluded that the isomerization has a high negative value of ΔS‡. Copyright © 1986 John Wiley &amp; Sons, Inc.","author":[{"dropping-particle":"","family":"Nissani","given":"Edna","non-dropping-particle":"","parse-names":false,"suffix":""},{"dropping-particle":"","family":"Perlmutter‐Hayman","given":"Berta","non-dropping-particle":"","parse-names":false,"suffix":""}],"container-title":"International Journal of Chemical Kinetics","id":"ITEM-1","issued":{"date-parts":[["1986"]]},"page":"1123-1132","title":"Drug‐binding to biological macromolecules. A kinetic study of the system chlorodiazepoxide (librium) and bovine serum albumin","type":"article-journal","volume":"18"},"uris":["http://www.mendeley.com/documents/?uuid=baf8e754-e238-4bec-a4b2-88549abd9c85"]}],"mendeley":{"formattedCitation":"[72]","plainTextFormattedCitation":"[72]","previouslyFormattedCitation":"[72]"},"properties":{"noteIndex":0},"schema":"https://github.com/citation-style-language/schema/raw/master/csl-citation.json"}</w:instrText>
      </w:r>
      <w:r w:rsidRPr="00A23882">
        <w:rPr>
          <w:spacing w:val="-4"/>
          <w:sz w:val="24"/>
          <w:szCs w:val="24"/>
        </w:rPr>
        <w:fldChar w:fldCharType="separate"/>
      </w:r>
      <w:r w:rsidR="00DD5357" w:rsidRPr="00DD5357">
        <w:rPr>
          <w:noProof/>
          <w:spacing w:val="-4"/>
          <w:sz w:val="24"/>
          <w:szCs w:val="24"/>
        </w:rPr>
        <w:t>[72]</w:t>
      </w:r>
      <w:r w:rsidRPr="00A23882">
        <w:rPr>
          <w:spacing w:val="-4"/>
          <w:sz w:val="24"/>
          <w:szCs w:val="24"/>
        </w:rPr>
        <w:fldChar w:fldCharType="end"/>
      </w:r>
      <w:r w:rsidRPr="00A23882">
        <w:rPr>
          <w:spacing w:val="-4"/>
          <w:sz w:val="24"/>
          <w:szCs w:val="24"/>
        </w:rPr>
        <w:t>,</w:t>
      </w:r>
      <w:r w:rsidRPr="00A23882">
        <w:rPr>
          <w:spacing w:val="-4"/>
          <w:sz w:val="24"/>
          <w:szCs w:val="24"/>
        </w:rPr>
        <w:fldChar w:fldCharType="begin" w:fldLock="1"/>
      </w:r>
      <w:r w:rsidR="00DD5357">
        <w:rPr>
          <w:spacing w:val="-4"/>
          <w:sz w:val="24"/>
          <w:szCs w:val="24"/>
        </w:rPr>
        <w:instrText>ADDIN CSL_CITATION {"citationItems":[{"id":"ITEM-1","itemData":{"DOI":"10.1111/j.1749-6632.1949.tb27297.x","ISBN":"0077-8923","ISSN":"17496632","PMID":"103","author":[{"dropping-particle":"","family":"Scatchard","given":"B Y George","non-dropping-particle":"","parse-names":false,"suffix":""}],"container-title":"Annals New York Academy of Sciences","id":"ITEM-1","issue":"Sciences","issued":{"date-parts":[["1949"]]},"page":"660-672","title":"The attraction of proteins for small molecules and ions","type":"article-journal"},"uris":["http://www.mendeley.com/documents/?uuid=4109437c-ac9b-49dc-98e3-af121b75e0a2"]}],"mendeley":{"formattedCitation":"[73]","plainTextFormattedCitation":"[73]","previouslyFormattedCitation":"[73]"},"properties":{"noteIndex":0},"schema":"https://github.com/citation-style-language/schema/raw/master/csl-citation.json"}</w:instrText>
      </w:r>
      <w:r w:rsidRPr="00A23882">
        <w:rPr>
          <w:spacing w:val="-4"/>
          <w:sz w:val="24"/>
          <w:szCs w:val="24"/>
        </w:rPr>
        <w:fldChar w:fldCharType="separate"/>
      </w:r>
      <w:r w:rsidR="00DD5357" w:rsidRPr="00DD5357">
        <w:rPr>
          <w:noProof/>
          <w:spacing w:val="-4"/>
          <w:sz w:val="24"/>
          <w:szCs w:val="24"/>
        </w:rPr>
        <w:t>[73]</w:t>
      </w:r>
      <w:r w:rsidRPr="00A23882">
        <w:rPr>
          <w:spacing w:val="-4"/>
          <w:sz w:val="24"/>
          <w:szCs w:val="24"/>
        </w:rPr>
        <w:fldChar w:fldCharType="end"/>
      </w:r>
    </w:p>
    <w:p w:rsidR="009A4942" w:rsidRPr="00A23882" w:rsidRDefault="009A4942" w:rsidP="009A4942">
      <w:pPr>
        <w:pStyle w:val="05-ArticleText"/>
        <w:spacing w:after="0" w:line="480" w:lineRule="auto"/>
        <w:rPr>
          <w:spacing w:val="-4"/>
          <w:sz w:val="24"/>
          <w:szCs w:val="24"/>
        </w:rPr>
      </w:pPr>
    </w:p>
    <w:p w:rsidR="002A3793" w:rsidRPr="00A23882" w:rsidRDefault="002A3793" w:rsidP="00A23882">
      <w:pPr>
        <w:pStyle w:val="05-ArticleText"/>
        <w:spacing w:line="480" w:lineRule="auto"/>
        <w:rPr>
          <w:spacing w:val="-4"/>
          <w:sz w:val="24"/>
          <w:szCs w:val="24"/>
        </w:rPr>
      </w:pPr>
      <w:r w:rsidRPr="00A23882">
        <w:rPr>
          <w:sz w:val="24"/>
          <w:szCs w:val="24"/>
          <w:lang w:val="en-GB"/>
        </w:rPr>
        <w:t>C</w:t>
      </w:r>
      <w:r w:rsidRPr="00A23882">
        <w:rPr>
          <w:sz w:val="24"/>
          <w:szCs w:val="24"/>
          <w:vertAlign w:val="subscript"/>
          <w:lang w:val="en-GB"/>
        </w:rPr>
        <w:t>BSA</w:t>
      </w:r>
      <w:r w:rsidRPr="00A23882">
        <w:rPr>
          <w:sz w:val="24"/>
          <w:szCs w:val="24"/>
          <w:lang w:val="en-GB"/>
        </w:rPr>
        <w:t>(C</w:t>
      </w:r>
      <w:r w:rsidRPr="00A23882">
        <w:rPr>
          <w:b/>
          <w:sz w:val="24"/>
          <w:szCs w:val="24"/>
          <w:vertAlign w:val="subscript"/>
          <w:lang w:val="en-GB"/>
        </w:rPr>
        <w:t>T</w:t>
      </w:r>
      <w:r w:rsidRPr="00A23882">
        <w:rPr>
          <w:spacing w:val="-4"/>
          <w:sz w:val="24"/>
          <w:szCs w:val="24"/>
        </w:rPr>
        <w:t>Δφ – ΔF)/ΔF = (1/nK) + (C</w:t>
      </w:r>
      <w:r w:rsidRPr="00A23882">
        <w:rPr>
          <w:b/>
          <w:sz w:val="24"/>
          <w:szCs w:val="24"/>
          <w:vertAlign w:val="subscript"/>
          <w:lang w:val="en-GB"/>
        </w:rPr>
        <w:t>T</w:t>
      </w:r>
      <w:r w:rsidRPr="00A23882">
        <w:rPr>
          <w:spacing w:val="-4"/>
          <w:sz w:val="24"/>
          <w:szCs w:val="24"/>
        </w:rPr>
        <w:t xml:space="preserve">Δφ – ΔF)/nΔF </w:t>
      </w:r>
      <w:r w:rsidRPr="00A23882">
        <w:rPr>
          <w:spacing w:val="-4"/>
          <w:sz w:val="24"/>
          <w:szCs w:val="24"/>
        </w:rPr>
        <w:tab/>
      </w:r>
      <w:r w:rsidR="005F79EE">
        <w:rPr>
          <w:spacing w:val="-4"/>
          <w:sz w:val="24"/>
          <w:szCs w:val="24"/>
        </w:rPr>
        <w:tab/>
      </w:r>
      <w:r w:rsidR="005F79EE">
        <w:rPr>
          <w:spacing w:val="-4"/>
          <w:sz w:val="24"/>
          <w:szCs w:val="24"/>
        </w:rPr>
        <w:tab/>
      </w:r>
      <w:r w:rsidR="005F79EE">
        <w:rPr>
          <w:spacing w:val="-4"/>
          <w:sz w:val="24"/>
          <w:szCs w:val="24"/>
        </w:rPr>
        <w:tab/>
      </w:r>
      <w:r w:rsidR="005F79EE">
        <w:rPr>
          <w:spacing w:val="-4"/>
          <w:sz w:val="24"/>
          <w:szCs w:val="24"/>
        </w:rPr>
        <w:tab/>
      </w:r>
      <w:r w:rsidR="005F79EE">
        <w:rPr>
          <w:spacing w:val="-4"/>
          <w:sz w:val="24"/>
          <w:szCs w:val="24"/>
        </w:rPr>
        <w:tab/>
      </w:r>
      <w:r w:rsidR="005F79EE">
        <w:rPr>
          <w:spacing w:val="-4"/>
          <w:sz w:val="24"/>
          <w:szCs w:val="24"/>
        </w:rPr>
        <w:tab/>
      </w:r>
      <w:r w:rsidRPr="00A23882">
        <w:rPr>
          <w:spacing w:val="-4"/>
          <w:sz w:val="24"/>
          <w:szCs w:val="24"/>
        </w:rPr>
        <w:t>(4)</w:t>
      </w:r>
    </w:p>
    <w:p w:rsidR="002A3793" w:rsidRDefault="002A3793" w:rsidP="009A4942">
      <w:pPr>
        <w:pStyle w:val="05-ArticleText"/>
        <w:spacing w:after="0" w:line="480" w:lineRule="auto"/>
        <w:rPr>
          <w:spacing w:val="-4"/>
          <w:sz w:val="24"/>
          <w:szCs w:val="24"/>
        </w:rPr>
      </w:pPr>
      <w:r w:rsidRPr="00A23882">
        <w:rPr>
          <w:spacing w:val="-4"/>
          <w:sz w:val="24"/>
          <w:szCs w:val="24"/>
        </w:rPr>
        <w:lastRenderedPageBreak/>
        <w:t>where C</w:t>
      </w:r>
      <w:r w:rsidRPr="00A23882">
        <w:rPr>
          <w:spacing w:val="-4"/>
          <w:sz w:val="24"/>
          <w:szCs w:val="24"/>
          <w:vertAlign w:val="subscript"/>
        </w:rPr>
        <w:t>BSA</w:t>
      </w:r>
      <w:r w:rsidRPr="00A23882">
        <w:rPr>
          <w:spacing w:val="-4"/>
          <w:sz w:val="24"/>
          <w:szCs w:val="24"/>
        </w:rPr>
        <w:t xml:space="preserve"> is the total molar concentration of protein, C</w:t>
      </w:r>
      <w:r w:rsidRPr="00A23882">
        <w:rPr>
          <w:b/>
          <w:spacing w:val="-4"/>
          <w:sz w:val="24"/>
          <w:szCs w:val="24"/>
          <w:vertAlign w:val="subscript"/>
        </w:rPr>
        <w:t>T</w:t>
      </w:r>
      <w:r w:rsidRPr="00A23882">
        <w:rPr>
          <w:spacing w:val="-4"/>
          <w:sz w:val="24"/>
          <w:szCs w:val="24"/>
        </w:rPr>
        <w:t xml:space="preserve"> is the total molar concentration of the target molecule, ΔF  = F – F</w:t>
      </w:r>
      <w:r w:rsidRPr="00A23882">
        <w:rPr>
          <w:spacing w:val="-4"/>
          <w:sz w:val="24"/>
          <w:szCs w:val="24"/>
          <w:vertAlign w:val="subscript"/>
        </w:rPr>
        <w:t>0</w:t>
      </w:r>
      <w:r w:rsidRPr="00A23882">
        <w:rPr>
          <w:spacing w:val="-4"/>
          <w:sz w:val="24"/>
          <w:szCs w:val="24"/>
        </w:rPr>
        <w:t xml:space="preserve"> and Δφ represents the difference between the fluorescence coefficient of the </w:t>
      </w:r>
      <w:r w:rsidRPr="00A23882">
        <w:rPr>
          <w:b/>
          <w:spacing w:val="-4"/>
          <w:sz w:val="24"/>
          <w:szCs w:val="24"/>
        </w:rPr>
        <w:t>T</w:t>
      </w:r>
      <w:r w:rsidRPr="00A23882">
        <w:rPr>
          <w:spacing w:val="-4"/>
          <w:sz w:val="24"/>
          <w:szCs w:val="24"/>
        </w:rPr>
        <w:t>-BSA adduct and BSA (Δφ = φ</w:t>
      </w:r>
      <w:r w:rsidRPr="00A23882">
        <w:rPr>
          <w:b/>
          <w:spacing w:val="-4"/>
          <w:sz w:val="24"/>
          <w:szCs w:val="24"/>
          <w:vertAlign w:val="subscript"/>
        </w:rPr>
        <w:t>T-BSA</w:t>
      </w:r>
      <w:r w:rsidRPr="00A23882">
        <w:rPr>
          <w:spacing w:val="-4"/>
          <w:sz w:val="24"/>
          <w:szCs w:val="24"/>
        </w:rPr>
        <w:t xml:space="preserve"> – φ</w:t>
      </w:r>
      <w:r w:rsidRPr="00A23882">
        <w:rPr>
          <w:b/>
          <w:spacing w:val="-4"/>
          <w:sz w:val="24"/>
          <w:szCs w:val="24"/>
          <w:vertAlign w:val="subscript"/>
        </w:rPr>
        <w:t>T</w:t>
      </w:r>
      <w:r w:rsidRPr="00A23882">
        <w:rPr>
          <w:spacing w:val="-4"/>
          <w:sz w:val="24"/>
          <w:szCs w:val="24"/>
        </w:rPr>
        <w:t>). In fact, if the direct proportionality between F and concentration holds, we can write F = φ</w:t>
      </w:r>
      <w:r w:rsidRPr="00A23882">
        <w:rPr>
          <w:b/>
          <w:spacing w:val="-4"/>
          <w:sz w:val="24"/>
          <w:szCs w:val="24"/>
          <w:vertAlign w:val="subscript"/>
        </w:rPr>
        <w:t>i</w:t>
      </w:r>
      <w:r w:rsidRPr="00A23882">
        <w:rPr>
          <w:spacing w:val="-4"/>
          <w:sz w:val="24"/>
          <w:szCs w:val="24"/>
        </w:rPr>
        <w:t>[i]. This equation is the analogous in fluorescence of the lambert &amp; Beer’s law: [i] is the molar concentration of the emitting species, and φ</w:t>
      </w:r>
      <w:r w:rsidRPr="00A23882">
        <w:rPr>
          <w:spacing w:val="-4"/>
          <w:sz w:val="24"/>
          <w:szCs w:val="24"/>
          <w:vertAlign w:val="subscript"/>
        </w:rPr>
        <w:t>i</w:t>
      </w:r>
      <w:r w:rsidRPr="00A23882">
        <w:rPr>
          <w:b/>
          <w:spacing w:val="-4"/>
          <w:sz w:val="24"/>
          <w:szCs w:val="24"/>
        </w:rPr>
        <w:t xml:space="preserve"> </w:t>
      </w:r>
      <w:r w:rsidRPr="00A23882">
        <w:rPr>
          <w:rFonts w:eastAsia="SimSun"/>
          <w:sz w:val="24"/>
          <w:szCs w:val="24"/>
          <w:lang w:eastAsia="en-US"/>
        </w:rPr>
        <w:t xml:space="preserve">is an optical constant which contains the quantum yield, the molar extinction coefficient at </w:t>
      </w:r>
      <w:r w:rsidRPr="00A347B8">
        <w:rPr>
          <w:rFonts w:ascii="Symbol" w:eastAsia="SimSun" w:hAnsi="Symbol"/>
          <w:sz w:val="24"/>
          <w:szCs w:val="24"/>
          <w:lang w:eastAsia="en-US"/>
        </w:rPr>
        <w:t></w:t>
      </w:r>
      <w:r w:rsidRPr="00A23882">
        <w:rPr>
          <w:rFonts w:eastAsia="SimSun"/>
          <w:sz w:val="24"/>
          <w:szCs w:val="24"/>
          <w:vertAlign w:val="subscript"/>
          <w:lang w:eastAsia="en-US"/>
        </w:rPr>
        <w:t>ex</w:t>
      </w:r>
      <w:r w:rsidRPr="00A23882">
        <w:rPr>
          <w:rFonts w:eastAsia="SimSun"/>
          <w:sz w:val="24"/>
          <w:szCs w:val="24"/>
          <w:lang w:eastAsia="en-US"/>
        </w:rPr>
        <w:t xml:space="preserve">, the intensity of the exciting light beam and an instrumental factor. Therefore, </w:t>
      </w:r>
      <w:r w:rsidRPr="00A23882">
        <w:rPr>
          <w:spacing w:val="-4"/>
          <w:sz w:val="24"/>
          <w:szCs w:val="24"/>
        </w:rPr>
        <w:t>Δφ acquires for florescence a meaning which is analogous of Δ</w:t>
      </w:r>
      <w:r w:rsidRPr="00A23882">
        <w:rPr>
          <w:spacing w:val="-4"/>
          <w:sz w:val="24"/>
          <w:szCs w:val="24"/>
        </w:rPr>
        <w:t xml:space="preserve"> for absorbance and would be related to the changes in the optical parameters upon binding. The studies on a </w:t>
      </w:r>
      <w:r w:rsidRPr="00A23882">
        <w:rPr>
          <w:b/>
          <w:spacing w:val="-4"/>
          <w:sz w:val="24"/>
          <w:szCs w:val="24"/>
        </w:rPr>
        <w:t>T</w:t>
      </w:r>
      <w:r w:rsidRPr="00A23882">
        <w:rPr>
          <w:spacing w:val="-4"/>
          <w:sz w:val="24"/>
          <w:szCs w:val="24"/>
        </w:rPr>
        <w:t xml:space="preserve"> molecule binding to biosubstrates can be very complicated, for instance, due to the presence of cooperativity effects </w:t>
      </w:r>
      <w:r w:rsidRPr="00A23882">
        <w:rPr>
          <w:spacing w:val="-4"/>
          <w:sz w:val="24"/>
          <w:szCs w:val="24"/>
        </w:rPr>
        <w:fldChar w:fldCharType="begin" w:fldLock="1"/>
      </w:r>
      <w:r w:rsidR="00DD5357">
        <w:rPr>
          <w:spacing w:val="-4"/>
          <w:sz w:val="24"/>
          <w:szCs w:val="24"/>
        </w:rPr>
        <w:instrText>ADDIN CSL_CITATION {"citationItems":[{"id":"ITEM-1","itemData":{"DOI":"10.1016/S0167-4838(01)00287-4","ISSN":"01674838","abstract":"The binding of several different categories of small molecules to bovine (BSA) and human (HSA) serum albumins has been studied for many years through different spectroscopic techniques to elucidate details of the protein structure and binding mechanism. In this work we present the results of the study of the interactions of BSA and HSA with the anionic sodium dodecyl sulfate (SDS), cationic cethyltrimethylammonium chloride (CTAC) and zwitterionic N-hexadecyl-N,N-dimethyl-3-ammonium-1-propanesulfonate (HPS) monitored by fluorescence spectroscopy of the intrinsic tryptophans at pH 5.0. Similarly to pH 7.0 and 9.0, at low concentrations, the interaction of BSA with these surfactants shows a quenching of fluorescence with Stern-Volmer quenching constants of (1.1±0.1)×104 M-1, (3.2±0.1)×103 M-1 and (2.1±0.1)×103 M-1 for SDS, HPS and CTAC, respectively, which are associated to the 'effective' association constants to the protein. On the interaction of these surfactants with HSA, an opposite effect was observed as compared to BSA, i.e., an enhancement of fluorescence takes place. For both proteins, at low surfactant concentrations, a positive cooperativity was observed and the Hill plot model was used to estimate the number of surfactant binding sites, as well as the association constants of the surfactants to the proteins. It is worthy of notice that the binding constants for the surfactants at pH 5.0 are lower as compared to pH 7.0 and 9.0. This is probably due to fact that the protein at this acid pH is quite compact reducing the accessibility of the surfactants to the hydrophobic cavities in the binding sites. The interaction of myristic acid with both proteins shows a similar fluorescence behaviour, suggesting that the mechanism of the interaction is the same. Recently published crystallographic studies of HSA-myristate complex were used to perform a modelling study with the aim to explain the fluorescence results. The crystallographic structure reveals that a total of five myristic acid molecules are asymmetrically bound in the macromolecule. Three of these sites correspond to higher affinity ones and correlate with high association constants described in the literature. Our models for BSA and HSA with bound SDS suggest that the surfactant could be bound at the same sites as those reported in the crystal structure for the fatty acid. The differences in tryptophan vicinity upon surfactant binding are explored in the models in order to explain the observed…","author":[{"dropping-particle":"","family":"Gelamo","given":"E. L.","non-dropping-particle":"","parse-names":false,"suffix":""},{"dropping-particle":"","family":"Silva","given":"C. H.T.P.","non-dropping-particle":"","parse-names":false,"suffix":""},{"dropping-particle":"","family":"Imasato","given":"H.","non-dropping-particle":"","parse-names":false,"suffix":""},{"dropping-particle":"","family":"Tabak","given":"M.","non-dropping-particle":"","parse-names":false,"suffix":""}],"container-title":"Biochimica et Biophysica Acta - Protein Structure and Molecular Enzymology","id":"ITEM-1","issued":{"date-parts":[["2002"]]},"page":"84-99","title":"Interaction of bovine (BSA) and human (HSA) serum albumins with ionic surfactants: Spectroscopy and modelling","type":"article-journal","volume":"1594"},"uris":["http://www.mendeley.com/documents/?uuid=8b169074-0c32-4977-be4b-f6d466a15eb4"]}],"mendeley":{"formattedCitation":"[74]","plainTextFormattedCitation":"[74]","previouslyFormattedCitation":"[74]"},"properties":{"noteIndex":0},"schema":"https://github.com/citation-style-language/schema/raw/master/csl-citation.json"}</w:instrText>
      </w:r>
      <w:r w:rsidRPr="00A23882">
        <w:rPr>
          <w:spacing w:val="-4"/>
          <w:sz w:val="24"/>
          <w:szCs w:val="24"/>
        </w:rPr>
        <w:fldChar w:fldCharType="separate"/>
      </w:r>
      <w:r w:rsidR="00DD5357" w:rsidRPr="00DD5357">
        <w:rPr>
          <w:noProof/>
          <w:spacing w:val="-4"/>
          <w:sz w:val="24"/>
          <w:szCs w:val="24"/>
        </w:rPr>
        <w:t>[74]</w:t>
      </w:r>
      <w:r w:rsidRPr="00A23882">
        <w:rPr>
          <w:spacing w:val="-4"/>
          <w:sz w:val="24"/>
          <w:szCs w:val="24"/>
        </w:rPr>
        <w:fldChar w:fldCharType="end"/>
      </w:r>
      <w:r w:rsidRPr="00A23882">
        <w:rPr>
          <w:spacing w:val="-4"/>
          <w:sz w:val="24"/>
          <w:szCs w:val="24"/>
        </w:rPr>
        <w:t xml:space="preserve">. These more complicate mathematical models are out of the basic practical focus of this paper. Detailed mechanistic studies will need more complex possibilities to be considered. However, in the case of BSA, it seems that the number of involved binding sites is very often n = 1: only one </w:t>
      </w:r>
      <w:r w:rsidRPr="00A23882">
        <w:rPr>
          <w:b/>
          <w:spacing w:val="-4"/>
          <w:sz w:val="24"/>
          <w:szCs w:val="24"/>
        </w:rPr>
        <w:t>T</w:t>
      </w:r>
      <w:r w:rsidRPr="00A23882">
        <w:rPr>
          <w:spacing w:val="-4"/>
          <w:sz w:val="24"/>
          <w:szCs w:val="24"/>
        </w:rPr>
        <w:t xml:space="preserve"> is coordinated in one of the possible binding sites of BSA (see below for how to understand which one). Crystallographic studies confirm this picture </w:t>
      </w:r>
      <w:r w:rsidRPr="00A23882">
        <w:rPr>
          <w:spacing w:val="-4"/>
          <w:sz w:val="24"/>
          <w:szCs w:val="24"/>
        </w:rPr>
        <w:fldChar w:fldCharType="begin" w:fldLock="1"/>
      </w:r>
      <w:r w:rsidR="00DD5357">
        <w:rPr>
          <w:spacing w:val="-4"/>
          <w:sz w:val="24"/>
          <w:szCs w:val="24"/>
        </w:rPr>
        <w:instrText>ADDIN CSL_CITATION {"citationItems":[{"id":"ITEM-1","itemData":{"DOI":"10.1016/j.ijbiomac.2013.06.004","ISSN":"01418130","abstract":"Due to their extraordinary binding properties, serum albumins are the main transporters of many small molecules in the circulatory system. Although all mammalian serum albumins exhibit quite high sequence similarity, their binding abilities are not the same. Until now, only human serum albumin (HSA) was subjected to extensive structural studies in complexes with various ligands. Here we present two crystal structures of the complexes of equine and bovine serum albumins with 3,5-diiodosalicylic acid (DIS), at resolutions 2.12. Å and 2.65. Å, respectively, and analyze interactions of the DIS ligand with both macromolecules. We highlight the differences in distribution of DIS binding sites between the bovine and equine serum albumins and compare results with the HSA binding ability of DIS and other structurally similar ligands. © 2013 .","author":[{"dropping-particle":"","family":"Sekula","given":"Bartosz","non-dropping-particle":"","parse-names":false,"suffix":""},{"dropping-particle":"","family":"Zielinski","given":"Kamil","non-dropping-particle":"","parse-names":false,"suffix":""},{"dropping-particle":"","family":"Bujacz","given":"Anna","non-dropping-particle":"","parse-names":false,"suffix":""}],"container-title":"International Journal of Biological Macromolecules","id":"ITEM-1","issued":{"date-parts":[["2013"]]},"page":"316-324","title":"Crystallographic studies of the complexes of bovine and equine serum albumin with 3,5-diiodosalicylic acid","type":"article-journal","volume":"60"},"uris":["http://www.mendeley.com/documents/?uuid=51aaf205-1a44-40a4-aa1f-b51900052f94"]}],"mendeley":{"formattedCitation":"[75]","plainTextFormattedCitation":"[75]","previouslyFormattedCitation":"[75]"},"properties":{"noteIndex":0},"schema":"https://github.com/citation-style-language/schema/raw/master/csl-citation.json"}</w:instrText>
      </w:r>
      <w:r w:rsidRPr="00A23882">
        <w:rPr>
          <w:spacing w:val="-4"/>
          <w:sz w:val="24"/>
          <w:szCs w:val="24"/>
        </w:rPr>
        <w:fldChar w:fldCharType="separate"/>
      </w:r>
      <w:r w:rsidR="00DD5357" w:rsidRPr="00DD5357">
        <w:rPr>
          <w:noProof/>
          <w:spacing w:val="-4"/>
          <w:sz w:val="24"/>
          <w:szCs w:val="24"/>
        </w:rPr>
        <w:t>[75]</w:t>
      </w:r>
      <w:r w:rsidRPr="00A23882">
        <w:rPr>
          <w:spacing w:val="-4"/>
          <w:sz w:val="24"/>
          <w:szCs w:val="24"/>
        </w:rPr>
        <w:fldChar w:fldCharType="end"/>
      </w:r>
      <w:r w:rsidRPr="00A23882">
        <w:rPr>
          <w:spacing w:val="-4"/>
          <w:sz w:val="24"/>
          <w:szCs w:val="24"/>
        </w:rPr>
        <w:t>,</w:t>
      </w:r>
      <w:r w:rsidRPr="00A23882">
        <w:rPr>
          <w:spacing w:val="-4"/>
          <w:sz w:val="24"/>
          <w:szCs w:val="24"/>
        </w:rPr>
        <w:fldChar w:fldCharType="begin" w:fldLock="1"/>
      </w:r>
      <w:r w:rsidR="00DD5357">
        <w:rPr>
          <w:spacing w:val="-4"/>
          <w:sz w:val="24"/>
          <w:szCs w:val="24"/>
        </w:rPr>
        <w:instrText>ADDIN CSL_CITATION {"citationItems":[{"id":"ITEM-1","itemData":{"DOI":"10.1021/acsomega.9b01442","ISSN":"24701343","abstract":"A current challenge in materials science and biotechnology is to express a specific and controlled functionality on the large interfacial area of a nanostructured material to create smart biohybrid systems for targeted applications. Here, we report on a biohybrid system featuring poly(vinyl alcohol) as the supporting synthetic polymer and bovine serum albumin as the biofunctional element. The optimal processing conditions to produce these self-standing composite membranes are determined, and the composition and distribution of the bioactive agent within the polymeric matrices are analyzed. A post-processing cross-linking using glutaraldehyde enables this functional membrane to be used as a chemical filter in aqueous environments. By demonstrating that our mats can remove large amounts of ketoprofen from water, we show that the combination of a BSA-induced biofunctionality with a nanostructured fibrous material allows for the development of an efficient biohybrid filtering device for the large and widely used family of nonsteroidal anti-inflammatory drugs (NSAIDs). The crystal structure of the complex between BSA and ketoprofen is determined for the first time and confirms the interaction between the two species.","author":[{"dropping-particle":"","family":"Castagna","given":"Rossella","non-dropping-particle":"","parse-names":false,"suffix":""},{"dropping-particle":"","family":"Donini","given":"Stefano","non-dropping-particle":"","parse-names":false,"suffix":""},{"dropping-particle":"","family":"Colnago","given":"Paolo","non-dropping-particle":"","parse-names":false,"suffix":""},{"dropping-particle":"","family":"Serafini","given":"Andrea","non-dropping-particle":"","parse-names":false,"suffix":""},{"dropping-particle":"","family":"Parisini","given":"Emilio","non-dropping-particle":"","parse-names":false,"suffix":""},{"dropping-particle":"","family":"Bertarelli","given":"Chiara","non-dropping-particle":"","parse-names":false,"suffix":""}],"container-title":"ACS Omega","id":"ITEM-1","issued":{"date-parts":[["2019"]]},"page":"13270-13278","title":"Biohybrid Electrospun Membrane for the Filtration of Ketoprofen Drug from Water","type":"article-journal","volume":"4"},"uris":["http://www.mendeley.com/documents/?uuid=96f204af-42b7-4f6e-a493-68c7f338a1d6"]}],"mendeley":{"formattedCitation":"[76]","plainTextFormattedCitation":"[76]","previouslyFormattedCitation":"[76]"},"properties":{"noteIndex":0},"schema":"https://github.com/citation-style-language/schema/raw/master/csl-citation.json"}</w:instrText>
      </w:r>
      <w:r w:rsidRPr="00A23882">
        <w:rPr>
          <w:spacing w:val="-4"/>
          <w:sz w:val="24"/>
          <w:szCs w:val="24"/>
        </w:rPr>
        <w:fldChar w:fldCharType="separate"/>
      </w:r>
      <w:r w:rsidR="00DD5357" w:rsidRPr="00DD5357">
        <w:rPr>
          <w:noProof/>
          <w:spacing w:val="-4"/>
          <w:sz w:val="24"/>
          <w:szCs w:val="24"/>
        </w:rPr>
        <w:t>[76]</w:t>
      </w:r>
      <w:r w:rsidRPr="00A23882">
        <w:rPr>
          <w:spacing w:val="-4"/>
          <w:sz w:val="24"/>
          <w:szCs w:val="24"/>
        </w:rPr>
        <w:fldChar w:fldCharType="end"/>
      </w:r>
      <w:r w:rsidRPr="00A23882">
        <w:rPr>
          <w:spacing w:val="-4"/>
          <w:sz w:val="24"/>
          <w:szCs w:val="24"/>
        </w:rPr>
        <w:t xml:space="preserve">. If this does occur, other equations based on a 1:1 complex model can be exploited for the calculation of the binding constant. In principle, given that F = φ × [conc] holds, any common equation related to a simple A + B = AB model will apply. The most typical example is the Hildebrand-Benesi equation (Eq. 5) </w:t>
      </w:r>
      <w:r w:rsidRPr="00A23882">
        <w:rPr>
          <w:spacing w:val="-4"/>
          <w:sz w:val="24"/>
          <w:szCs w:val="24"/>
        </w:rPr>
        <w:fldChar w:fldCharType="begin" w:fldLock="1"/>
      </w:r>
      <w:r w:rsidR="00DD5357">
        <w:rPr>
          <w:spacing w:val="-4"/>
          <w:sz w:val="24"/>
          <w:szCs w:val="24"/>
        </w:rPr>
        <w:instrText>ADDIN CSL_CITATION {"citationItems":[{"id":"ITEM-1","itemData":{"DOI":"10.1021/ja01176a030","ISSN":"15205126","abstract":"The absorption spectra of iodine in trifluoromethylbenzene, benzene, toluene, o- and p-xylene and mesitylene have been measured in the region 270-700 mµ. In the visible region, the absorption peaks of these solutions showed moderate shifts toward shorter wave lengths in the order listed above. With the exception of iodine in trifluoro-methylbenzene, each of the aromatic hydrocarbon solutions had an intense absorption band in the ultraviolet region which we have shown to be characteristic of a complex containing one iodine and one aromatic hydrocarbon molecule. The equilibrium between iodine and the aromatic hydrocarbons has been investigated in the neutral solvents, carbon tetrachloride and n-heptane, and the results show that the iodine-mesitylene complex is more stable than the iodine-benzene complex. These findings are strong evidence for an acid-base interaction between iodine and aromatic hydrocarbons. Absorption measurements have also been made of iodine in carbon tetrachloride, carbon disulfide, n-heptane, ethyl ether, acetone and 1,1-dichloroethane. No absorption bands analogous to those of the aromatic hydrocarbon solutions were found in the region 270-400 mµ. © 1949, American Chemical Society. All rights reserved.","author":[{"dropping-particle":"","family":"Benesi","given":"H. A.","non-dropping-particle":"","parse-names":false,"suffix":""},{"dropping-particle":"","family":"Hildebrand","given":"J. H.","non-dropping-particle":"","parse-names":false,"suffix":""}],"container-title":"Journal of the American Chemical Society","id":"ITEM-1","issued":{"date-parts":[["1949"]]},"title":"A Spectrophotometric Investigation of the Interaction of Iodine with Aromatic Hydrocarbons","type":"article-journal"},"uris":["http://www.mendeley.com/documents/?uuid=46654834-2014-4c55-af3f-86eada390b9a"]}],"mendeley":{"formattedCitation":"[77]","plainTextFormattedCitation":"[77]","previouslyFormattedCitation":"[77]"},"properties":{"noteIndex":0},"schema":"https://github.com/citation-style-language/schema/raw/master/csl-citation.json"}</w:instrText>
      </w:r>
      <w:r w:rsidRPr="00A23882">
        <w:rPr>
          <w:spacing w:val="-4"/>
          <w:sz w:val="24"/>
          <w:szCs w:val="24"/>
        </w:rPr>
        <w:fldChar w:fldCharType="separate"/>
      </w:r>
      <w:r w:rsidR="00DD5357" w:rsidRPr="00DD5357">
        <w:rPr>
          <w:noProof/>
          <w:spacing w:val="-4"/>
          <w:sz w:val="24"/>
          <w:szCs w:val="24"/>
        </w:rPr>
        <w:t>[77]</w:t>
      </w:r>
      <w:r w:rsidRPr="00A23882">
        <w:rPr>
          <w:spacing w:val="-4"/>
          <w:sz w:val="24"/>
          <w:szCs w:val="24"/>
        </w:rPr>
        <w:fldChar w:fldCharType="end"/>
      </w:r>
    </w:p>
    <w:p w:rsidR="009A4942" w:rsidRPr="00A23882" w:rsidRDefault="009A4942" w:rsidP="009A4942">
      <w:pPr>
        <w:pStyle w:val="05-ArticleText"/>
        <w:spacing w:after="0" w:line="480" w:lineRule="auto"/>
        <w:rPr>
          <w:spacing w:val="-4"/>
          <w:sz w:val="24"/>
          <w:szCs w:val="24"/>
        </w:rPr>
      </w:pPr>
    </w:p>
    <w:p w:rsidR="002A3793" w:rsidRDefault="002A3793" w:rsidP="009A4942">
      <w:pPr>
        <w:pStyle w:val="05-ArticleText"/>
        <w:spacing w:after="0" w:line="480" w:lineRule="auto"/>
        <w:rPr>
          <w:spacing w:val="-4"/>
          <w:sz w:val="24"/>
          <w:szCs w:val="24"/>
        </w:rPr>
      </w:pPr>
      <w:r w:rsidRPr="00A23882">
        <w:rPr>
          <w:spacing w:val="-4"/>
          <w:sz w:val="24"/>
          <w:szCs w:val="24"/>
        </w:rPr>
        <w:t>C</w:t>
      </w:r>
      <w:r w:rsidRPr="00A23882">
        <w:rPr>
          <w:spacing w:val="-4"/>
          <w:sz w:val="24"/>
          <w:szCs w:val="24"/>
          <w:vertAlign w:val="subscript"/>
        </w:rPr>
        <w:t>BSA</w:t>
      </w:r>
      <w:r w:rsidRPr="00A23882">
        <w:rPr>
          <w:spacing w:val="-4"/>
          <w:sz w:val="24"/>
          <w:szCs w:val="24"/>
        </w:rPr>
        <w:t>/ΔF = 1/(KΔφ) × 1/[Q</w:t>
      </w:r>
      <w:r w:rsidRPr="00A23882">
        <w:rPr>
          <w:sz w:val="24"/>
          <w:szCs w:val="24"/>
          <w:vertAlign w:val="subscript"/>
        </w:rPr>
        <w:t>free</w:t>
      </w:r>
      <w:r w:rsidRPr="00A23882">
        <w:rPr>
          <w:spacing w:val="-4"/>
          <w:sz w:val="24"/>
          <w:szCs w:val="24"/>
        </w:rPr>
        <w:t>] + 1/Δφ</w:t>
      </w:r>
      <w:r w:rsidRPr="00A23882">
        <w:rPr>
          <w:spacing w:val="-4"/>
          <w:sz w:val="24"/>
          <w:szCs w:val="24"/>
        </w:rPr>
        <w:tab/>
      </w:r>
      <w:r w:rsidRPr="00A23882">
        <w:rPr>
          <w:spacing w:val="-4"/>
          <w:sz w:val="24"/>
          <w:szCs w:val="24"/>
        </w:rPr>
        <w:tab/>
      </w:r>
      <w:r w:rsidR="005F79EE">
        <w:rPr>
          <w:spacing w:val="-4"/>
          <w:sz w:val="24"/>
          <w:szCs w:val="24"/>
        </w:rPr>
        <w:tab/>
      </w:r>
      <w:r w:rsidR="005F79EE">
        <w:rPr>
          <w:spacing w:val="-4"/>
          <w:sz w:val="24"/>
          <w:szCs w:val="24"/>
        </w:rPr>
        <w:tab/>
      </w:r>
      <w:r w:rsidR="005F79EE">
        <w:rPr>
          <w:spacing w:val="-4"/>
          <w:sz w:val="24"/>
          <w:szCs w:val="24"/>
        </w:rPr>
        <w:tab/>
      </w:r>
      <w:r w:rsidR="005F79EE">
        <w:rPr>
          <w:spacing w:val="-4"/>
          <w:sz w:val="24"/>
          <w:szCs w:val="24"/>
        </w:rPr>
        <w:tab/>
      </w:r>
      <w:r w:rsidR="005F79EE">
        <w:rPr>
          <w:spacing w:val="-4"/>
          <w:sz w:val="24"/>
          <w:szCs w:val="24"/>
        </w:rPr>
        <w:tab/>
      </w:r>
      <w:r w:rsidR="005F79EE">
        <w:rPr>
          <w:spacing w:val="-4"/>
          <w:sz w:val="24"/>
          <w:szCs w:val="24"/>
        </w:rPr>
        <w:tab/>
      </w:r>
      <w:r w:rsidR="005F79EE">
        <w:rPr>
          <w:spacing w:val="-4"/>
          <w:sz w:val="24"/>
          <w:szCs w:val="24"/>
        </w:rPr>
        <w:tab/>
      </w:r>
      <w:r w:rsidRPr="00A23882">
        <w:rPr>
          <w:spacing w:val="-4"/>
          <w:sz w:val="24"/>
          <w:szCs w:val="24"/>
        </w:rPr>
        <w:t>(5)</w:t>
      </w:r>
    </w:p>
    <w:p w:rsidR="009A4942" w:rsidRPr="00A23882" w:rsidRDefault="009A4942" w:rsidP="009A4942">
      <w:pPr>
        <w:pStyle w:val="05-ArticleText"/>
        <w:spacing w:after="0" w:line="480" w:lineRule="auto"/>
        <w:rPr>
          <w:spacing w:val="-4"/>
          <w:sz w:val="24"/>
          <w:szCs w:val="24"/>
        </w:rPr>
      </w:pPr>
    </w:p>
    <w:p w:rsidR="002A3793" w:rsidRPr="00A23882" w:rsidRDefault="002A3793" w:rsidP="009A4942">
      <w:pPr>
        <w:pStyle w:val="05-ArticleText"/>
        <w:spacing w:after="0" w:line="480" w:lineRule="auto"/>
        <w:rPr>
          <w:spacing w:val="-4"/>
          <w:sz w:val="24"/>
          <w:szCs w:val="24"/>
        </w:rPr>
      </w:pPr>
      <w:r w:rsidRPr="00A23882">
        <w:rPr>
          <w:spacing w:val="-4"/>
          <w:sz w:val="24"/>
          <w:szCs w:val="24"/>
        </w:rPr>
        <w:t>A good linear correlation in a plot of experimental data according to Eq. (5) can be taken as a check of a 1:1 stoichiometry. In Eqs. (3) and (5) again there is a critical point that may be disregarded in some papers: [Q</w:t>
      </w:r>
      <w:r w:rsidRPr="00A23882">
        <w:rPr>
          <w:sz w:val="24"/>
          <w:szCs w:val="24"/>
          <w:vertAlign w:val="subscript"/>
        </w:rPr>
        <w:t>free</w:t>
      </w:r>
      <w:r w:rsidRPr="00A23882">
        <w:rPr>
          <w:spacing w:val="-4"/>
          <w:sz w:val="24"/>
          <w:szCs w:val="24"/>
        </w:rPr>
        <w:t>] = [</w:t>
      </w:r>
      <w:r w:rsidRPr="00A23882">
        <w:rPr>
          <w:b/>
          <w:spacing w:val="-4"/>
          <w:sz w:val="24"/>
          <w:szCs w:val="24"/>
        </w:rPr>
        <w:t>T</w:t>
      </w:r>
      <w:r w:rsidRPr="00A23882">
        <w:rPr>
          <w:sz w:val="24"/>
          <w:szCs w:val="24"/>
          <w:vertAlign w:val="subscript"/>
        </w:rPr>
        <w:t>free</w:t>
      </w:r>
      <w:r w:rsidRPr="00A23882">
        <w:rPr>
          <w:spacing w:val="-4"/>
          <w:sz w:val="24"/>
          <w:szCs w:val="24"/>
        </w:rPr>
        <w:t>] differs from [Q</w:t>
      </w:r>
      <w:r w:rsidRPr="00A23882">
        <w:rPr>
          <w:sz w:val="24"/>
          <w:szCs w:val="24"/>
          <w:vertAlign w:val="subscript"/>
        </w:rPr>
        <w:t>TOT</w:t>
      </w:r>
      <w:r w:rsidRPr="00A23882">
        <w:rPr>
          <w:spacing w:val="-4"/>
          <w:sz w:val="24"/>
          <w:szCs w:val="24"/>
        </w:rPr>
        <w:t>], the total target molecule amount, which is known as it directly corresponds to the titrant content. [Q</w:t>
      </w:r>
      <w:r w:rsidRPr="00A23882">
        <w:rPr>
          <w:sz w:val="24"/>
          <w:szCs w:val="24"/>
          <w:vertAlign w:val="subscript"/>
        </w:rPr>
        <w:t>free</w:t>
      </w:r>
      <w:r w:rsidRPr="00A23882">
        <w:rPr>
          <w:spacing w:val="-4"/>
          <w:sz w:val="24"/>
          <w:szCs w:val="24"/>
        </w:rPr>
        <w:t>] is only the fraction that remains free and an equation such as [Q</w:t>
      </w:r>
      <w:r w:rsidRPr="00A23882">
        <w:rPr>
          <w:sz w:val="24"/>
          <w:szCs w:val="24"/>
          <w:vertAlign w:val="subscript"/>
        </w:rPr>
        <w:t>TOT</w:t>
      </w:r>
      <w:r w:rsidRPr="00A23882">
        <w:rPr>
          <w:spacing w:val="-4"/>
          <w:sz w:val="24"/>
          <w:szCs w:val="24"/>
        </w:rPr>
        <w:t>] = [Q</w:t>
      </w:r>
      <w:r w:rsidRPr="00A23882">
        <w:rPr>
          <w:sz w:val="24"/>
          <w:szCs w:val="24"/>
          <w:vertAlign w:val="subscript"/>
        </w:rPr>
        <w:t>free</w:t>
      </w:r>
      <w:r w:rsidRPr="00A23882">
        <w:rPr>
          <w:spacing w:val="-4"/>
          <w:sz w:val="24"/>
          <w:szCs w:val="24"/>
        </w:rPr>
        <w:t>] + [Q</w:t>
      </w:r>
      <w:r w:rsidRPr="00A23882">
        <w:rPr>
          <w:sz w:val="24"/>
          <w:szCs w:val="24"/>
          <w:vertAlign w:val="subscript"/>
        </w:rPr>
        <w:t>bound</w:t>
      </w:r>
      <w:r w:rsidRPr="00A23882">
        <w:rPr>
          <w:spacing w:val="-4"/>
          <w:sz w:val="24"/>
          <w:szCs w:val="24"/>
        </w:rPr>
        <w:t xml:space="preserve">] will hold. Only under conditions of </w:t>
      </w:r>
      <w:r w:rsidRPr="00A23882">
        <w:rPr>
          <w:b/>
          <w:spacing w:val="-4"/>
          <w:sz w:val="24"/>
          <w:szCs w:val="24"/>
        </w:rPr>
        <w:t>T</w:t>
      </w:r>
      <w:r w:rsidRPr="00A23882">
        <w:rPr>
          <w:spacing w:val="-4"/>
          <w:sz w:val="24"/>
          <w:szCs w:val="24"/>
        </w:rPr>
        <w:t xml:space="preserve"> excess with respect to BSA, it might be correctly approximated that [Q</w:t>
      </w:r>
      <w:r w:rsidRPr="00A23882">
        <w:rPr>
          <w:sz w:val="24"/>
          <w:szCs w:val="24"/>
          <w:vertAlign w:val="subscript"/>
        </w:rPr>
        <w:t>TOT</w:t>
      </w:r>
      <w:r w:rsidRPr="00A23882">
        <w:rPr>
          <w:spacing w:val="-4"/>
          <w:sz w:val="24"/>
          <w:szCs w:val="24"/>
        </w:rPr>
        <w:t>] ≈ [Q</w:t>
      </w:r>
      <w:r w:rsidRPr="00A23882">
        <w:rPr>
          <w:sz w:val="24"/>
          <w:szCs w:val="24"/>
          <w:vertAlign w:val="subscript"/>
        </w:rPr>
        <w:t>free</w:t>
      </w:r>
      <w:r w:rsidRPr="00A23882">
        <w:rPr>
          <w:spacing w:val="-4"/>
          <w:sz w:val="24"/>
          <w:szCs w:val="24"/>
        </w:rPr>
        <w:t xml:space="preserve">]. If this is not the case, an iterative procedure needs </w:t>
      </w:r>
      <w:r w:rsidRPr="00A23882">
        <w:rPr>
          <w:spacing w:val="-4"/>
          <w:sz w:val="24"/>
          <w:szCs w:val="24"/>
        </w:rPr>
        <w:lastRenderedPageBreak/>
        <w:t xml:space="preserve">to be done </w:t>
      </w:r>
      <w:r w:rsidRPr="00A23882">
        <w:rPr>
          <w:spacing w:val="-4"/>
          <w:sz w:val="24"/>
          <w:szCs w:val="24"/>
        </w:rPr>
        <w:fldChar w:fldCharType="begin" w:fldLock="1"/>
      </w:r>
      <w:r w:rsidRPr="00A23882">
        <w:rPr>
          <w:spacing w:val="-4"/>
          <w:sz w:val="24"/>
          <w:szCs w:val="24"/>
        </w:rPr>
        <w:instrText>ADDIN CSL_CITATION {"citationItems":[{"id":"ITEM-1","itemData":{"DOI":"10.1039/c0dt01371d","ISBN":"3905022192","ISSN":"14779226","abstract":"Two new water-soluble gold nanoparticles (AO-TEG-Au and AO-PEG-Au NPs) are prepared and characterized. They are stabilized by thioalkylated oligoethylene glycols and functionalized with fluorescent Acridine Orange (AO) derivatives. Despite the different core sizes (11.8 and 3.9 nm respectively) and shell composition, they are both well dispersed and are stable in water, even if some self-aggregation is observed in the case of AO-TEG-Au NPs. However, AO-PEG-Au NPs show much lower emission efficiency with respect to AO-TEG-Au NPs. Spectrophotometric and spectrofluorometric experiments indicate that both types of nanoparticle are able to bind to calf thymus DNA, either by external binding or partial intercalation. Preliminary FACS flow cytometry tests seem to indicate that the AO-TEG-Au nanoparticle is able to cross the cell membrane where it is absorbed by Chinese hamster ovary (CHO) cells at the picomolar concentration level. © 2011 The Royal Society of Chemistry.","author":[{"dropping-particle":"","family":"Biver","given":"Tarita","non-dropping-particle":"","parse-names":false,"suffix":""},{"dropping-particle":"","family":"Eltugral","given":"Nurettin","non-dropping-particle":"","parse-names":false,"suffix":""},{"dropping-particle":"","family":"Pucci","given":"Andrea","non-dropping-particle":"","parse-names":false,"suffix":""},{"dropping-particle":"","family":"Ruggeri","given":"Giacomo","non-dropping-particle":"","parse-names":false,"suffix":""},{"dropping-particle":"","family":"Schena","given":"Alberto","non-dropping-particle":"","parse-names":false,"suffix":""},{"dropping-particle":"","family":"Secco","given":"Fernando","non-dropping-particle":"","parse-names":false,"suffix":""},{"dropping-particle":"","family":"Venturini","given":"Marcella","non-dropping-particle":"","parse-names":false,"suffix":""}],"container-title":"Dalton Transactions","id":"ITEM-1","issue":"16","issued":{"date-parts":[["2011"]]},"page":"4190-4199","title":"Synthesis, characterization, DNA interaction and potential applications of gold nanoparticles functionalized with Acridine Orange fluorophores","type":"article-journal","volume":"40"},"uris":["http://www.mendeley.com/documents/?uuid=47154136-95d1-478a-adb8-354b8296b2a2"]}],"mendeley":{"formattedCitation":"[33]","plainTextFormattedCitation":"[33]","previouslyFormattedCitation":"[33]"},"properties":{"noteIndex":0},"schema":"https://github.com/citation-style-language/schema/raw/master/csl-citation.json"}</w:instrText>
      </w:r>
      <w:r w:rsidRPr="00A23882">
        <w:rPr>
          <w:spacing w:val="-4"/>
          <w:sz w:val="24"/>
          <w:szCs w:val="24"/>
        </w:rPr>
        <w:fldChar w:fldCharType="separate"/>
      </w:r>
      <w:r w:rsidRPr="00A23882">
        <w:rPr>
          <w:noProof/>
          <w:spacing w:val="-4"/>
          <w:sz w:val="24"/>
          <w:szCs w:val="24"/>
        </w:rPr>
        <w:t>[33]</w:t>
      </w:r>
      <w:r w:rsidRPr="00A23882">
        <w:rPr>
          <w:spacing w:val="-4"/>
          <w:sz w:val="24"/>
          <w:szCs w:val="24"/>
        </w:rPr>
        <w:fldChar w:fldCharType="end"/>
      </w:r>
      <w:r w:rsidRPr="00A23882">
        <w:rPr>
          <w:spacing w:val="-4"/>
          <w:sz w:val="24"/>
          <w:szCs w:val="24"/>
        </w:rPr>
        <w:t>. This means  [Q</w:t>
      </w:r>
      <w:r w:rsidRPr="00A23882">
        <w:rPr>
          <w:sz w:val="24"/>
          <w:szCs w:val="24"/>
          <w:vertAlign w:val="subscript"/>
        </w:rPr>
        <w:t>TOT</w:t>
      </w:r>
      <w:r w:rsidRPr="00A23882">
        <w:rPr>
          <w:spacing w:val="-4"/>
          <w:sz w:val="24"/>
          <w:szCs w:val="24"/>
        </w:rPr>
        <w:t>] = [Q</w:t>
      </w:r>
      <w:r w:rsidRPr="00A23882">
        <w:rPr>
          <w:sz w:val="24"/>
          <w:szCs w:val="24"/>
          <w:vertAlign w:val="subscript"/>
        </w:rPr>
        <w:t>free</w:t>
      </w:r>
      <w:r w:rsidRPr="00A23882">
        <w:rPr>
          <w:spacing w:val="-4"/>
          <w:sz w:val="24"/>
          <w:szCs w:val="24"/>
        </w:rPr>
        <w:t>] is only a first step of an iterative procedure that enables to evaluate a first K approximation (let’s call it K’). This K’ can be used to calculate [Q</w:t>
      </w:r>
      <w:r w:rsidRPr="00A23882">
        <w:rPr>
          <w:sz w:val="24"/>
          <w:szCs w:val="24"/>
          <w:vertAlign w:val="subscript"/>
        </w:rPr>
        <w:t>free</w:t>
      </w:r>
      <w:r w:rsidRPr="00A23882">
        <w:rPr>
          <w:spacing w:val="-4"/>
          <w:sz w:val="24"/>
          <w:szCs w:val="24"/>
        </w:rPr>
        <w:t>] so to produce a better plot, obtain a better K’’ estimate and so on, until convergence is reached. The higher is the deviation from [Q</w:t>
      </w:r>
      <w:r w:rsidRPr="00A23882">
        <w:rPr>
          <w:sz w:val="24"/>
          <w:szCs w:val="24"/>
          <w:vertAlign w:val="subscript"/>
        </w:rPr>
        <w:t>TOT</w:t>
      </w:r>
      <w:r w:rsidRPr="00A23882">
        <w:rPr>
          <w:spacing w:val="-4"/>
          <w:sz w:val="24"/>
          <w:szCs w:val="24"/>
        </w:rPr>
        <w:t>] ≈ [Q</w:t>
      </w:r>
      <w:r w:rsidRPr="00A23882">
        <w:rPr>
          <w:sz w:val="24"/>
          <w:szCs w:val="24"/>
          <w:vertAlign w:val="subscript"/>
        </w:rPr>
        <w:t>free</w:t>
      </w:r>
      <w:r w:rsidRPr="00A23882">
        <w:rPr>
          <w:spacing w:val="-4"/>
          <w:sz w:val="24"/>
          <w:szCs w:val="24"/>
        </w:rPr>
        <w:t xml:space="preserve">] assumption, the higher will be the error on K evaluation in the absence of the iterative procedure. The numerical values yielded might be very different, and to mix up K’ with K can produce </w:t>
      </w:r>
      <w:r w:rsidR="005F79EE">
        <w:rPr>
          <w:spacing w:val="-4"/>
          <w:sz w:val="24"/>
          <w:szCs w:val="24"/>
        </w:rPr>
        <w:t>significant</w:t>
      </w:r>
      <w:r w:rsidRPr="00A23882">
        <w:rPr>
          <w:spacing w:val="-4"/>
          <w:sz w:val="24"/>
          <w:szCs w:val="24"/>
        </w:rPr>
        <w:t xml:space="preserve"> differences i</w:t>
      </w:r>
      <w:r w:rsidR="005F79EE">
        <w:rPr>
          <w:spacing w:val="-4"/>
          <w:sz w:val="24"/>
          <w:szCs w:val="24"/>
        </w:rPr>
        <w:t xml:space="preserve">n data discussion (Figure 5).  </w:t>
      </w:r>
    </w:p>
    <w:p w:rsidR="002A3793" w:rsidRPr="00A23882" w:rsidRDefault="002A3793" w:rsidP="00A23882">
      <w:pPr>
        <w:pStyle w:val="05-ArticleText"/>
        <w:spacing w:line="480" w:lineRule="auto"/>
        <w:rPr>
          <w:spacing w:val="-4"/>
          <w:sz w:val="24"/>
          <w:szCs w:val="24"/>
        </w:rPr>
      </w:pPr>
    </w:p>
    <w:p w:rsidR="002A3793" w:rsidRPr="00A23882" w:rsidRDefault="003118E8" w:rsidP="00A23882">
      <w:pPr>
        <w:pStyle w:val="05-ArticleText"/>
        <w:spacing w:line="480" w:lineRule="auto"/>
        <w:rPr>
          <w:spacing w:val="-4"/>
          <w:sz w:val="24"/>
          <w:szCs w:val="24"/>
        </w:rPr>
      </w:pPr>
      <w:r>
        <w:rPr>
          <w:noProof/>
          <w:spacing w:val="-4"/>
          <w:sz w:val="24"/>
          <w:szCs w:val="24"/>
          <w:lang w:val="en-GB" w:eastAsia="en-GB"/>
        </w:rPr>
        <w:object w:dxaOrig="1440" w:dyaOrig="1440">
          <v:shape id="_x0000_s1086" type="#_x0000_t75" style="position:absolute;left:0;text-align:left;margin-left:0;margin-top:-27.3pt;width:237.5pt;height:178.5pt;z-index:-251646464;mso-position-horizontal:center" wrapcoords="3066 2087 3066 2632 3407 3539 3679 3539 3679 4992 3066 6444 1431 6534 1226 7896 1363 11345 1635 12252 1363 13613 3611 15156 2862 15156 2862 15701 3679 16608 3679 18061 3134 18514 3271 19150 10766 19513 8245 20057 8245 20874 9744 21055 10630 21055 13968 20965 13968 19694 10766 19513 17444 19150 17716 18605 16967 18061 18466 18061 18738 17879 18738 2360 3475 2087 3066 2087" o:allowoverlap="f">
            <v:imagedata r:id="rId17" o:title=""/>
            <w10:wrap type="tight"/>
          </v:shape>
          <o:OLEObject Type="Embed" ProgID="Origin50.Graph" ShapeID="_x0000_s1086" DrawAspect="Content" ObjectID="_1660750239" r:id="rId18"/>
        </w:object>
      </w:r>
    </w:p>
    <w:p w:rsidR="002A3793" w:rsidRPr="00A23882" w:rsidRDefault="002A3793" w:rsidP="00A23882">
      <w:pPr>
        <w:pStyle w:val="05-ArticleText"/>
        <w:spacing w:line="480" w:lineRule="auto"/>
        <w:rPr>
          <w:spacing w:val="-4"/>
          <w:sz w:val="24"/>
          <w:szCs w:val="24"/>
        </w:rPr>
      </w:pPr>
    </w:p>
    <w:p w:rsidR="002A3793" w:rsidRPr="00A23882" w:rsidRDefault="002A3793" w:rsidP="00A23882">
      <w:pPr>
        <w:pStyle w:val="05-ArticleText"/>
        <w:spacing w:line="480" w:lineRule="auto"/>
        <w:rPr>
          <w:spacing w:val="-4"/>
          <w:sz w:val="24"/>
          <w:szCs w:val="24"/>
        </w:rPr>
      </w:pPr>
    </w:p>
    <w:p w:rsidR="00FB7579" w:rsidRDefault="00FB7579" w:rsidP="00A23882">
      <w:pPr>
        <w:pStyle w:val="07-Heading-2"/>
        <w:spacing w:line="480" w:lineRule="auto"/>
        <w:rPr>
          <w:b w:val="0"/>
          <w:spacing w:val="-4"/>
          <w:sz w:val="24"/>
          <w:szCs w:val="24"/>
        </w:rPr>
      </w:pPr>
    </w:p>
    <w:p w:rsidR="007A79EF" w:rsidRPr="00A23882" w:rsidRDefault="007A79EF" w:rsidP="00A23882">
      <w:pPr>
        <w:pStyle w:val="07-Heading-2"/>
        <w:spacing w:line="480" w:lineRule="auto"/>
        <w:rPr>
          <w:rFonts w:eastAsia="SimSun"/>
          <w:sz w:val="24"/>
          <w:szCs w:val="24"/>
          <w:lang w:val="en-GB" w:eastAsia="en-US"/>
        </w:rPr>
      </w:pPr>
    </w:p>
    <w:p w:rsidR="002A3793" w:rsidRDefault="002A3793" w:rsidP="00A23882">
      <w:pPr>
        <w:pStyle w:val="07-Heading-2"/>
        <w:spacing w:line="480" w:lineRule="auto"/>
        <w:rPr>
          <w:rFonts w:eastAsia="SimSun"/>
          <w:b w:val="0"/>
          <w:sz w:val="22"/>
          <w:szCs w:val="24"/>
          <w:lang w:val="en-GB" w:eastAsia="en-US"/>
        </w:rPr>
      </w:pPr>
      <w:r w:rsidRPr="00FB7579">
        <w:rPr>
          <w:rFonts w:eastAsia="SimSun"/>
          <w:sz w:val="22"/>
          <w:szCs w:val="24"/>
          <w:lang w:val="en-GB" w:eastAsia="en-US"/>
        </w:rPr>
        <w:t>Figure 5</w:t>
      </w:r>
      <w:r w:rsidRPr="00FB7579">
        <w:rPr>
          <w:rFonts w:eastAsia="SimSun"/>
          <w:b w:val="0"/>
          <w:sz w:val="22"/>
          <w:szCs w:val="24"/>
          <w:lang w:val="en-GB" w:eastAsia="en-US"/>
        </w:rPr>
        <w:t xml:space="preserve"> – Example of the effect of using an iterative procedure for the correct [Q</w:t>
      </w:r>
      <w:r w:rsidRPr="00FB7579">
        <w:rPr>
          <w:rFonts w:eastAsia="SimSun"/>
          <w:b w:val="0"/>
          <w:sz w:val="22"/>
          <w:szCs w:val="24"/>
          <w:vertAlign w:val="subscript"/>
          <w:lang w:val="en-GB" w:eastAsia="en-US"/>
        </w:rPr>
        <w:t>free</w:t>
      </w:r>
      <w:r w:rsidRPr="00FB7579">
        <w:rPr>
          <w:rFonts w:eastAsia="SimSun"/>
          <w:b w:val="0"/>
          <w:sz w:val="22"/>
          <w:szCs w:val="24"/>
          <w:lang w:val="en-GB" w:eastAsia="en-US"/>
        </w:rPr>
        <w:t>] evaluation on the subsequent value of K (Eq. (5)). Data are relevant to the 1-amino-pyrene pesticide/BSA system;</w:t>
      </w:r>
      <w:r w:rsidRPr="00FB7579">
        <w:rPr>
          <w:b w:val="0"/>
          <w:sz w:val="22"/>
          <w:szCs w:val="24"/>
        </w:rPr>
        <w:t xml:space="preserve"> C</w:t>
      </w:r>
      <w:r w:rsidRPr="00FB7579">
        <w:rPr>
          <w:b w:val="0"/>
          <w:sz w:val="22"/>
          <w:szCs w:val="24"/>
          <w:vertAlign w:val="subscript"/>
        </w:rPr>
        <w:t>BSA</w:t>
      </w:r>
      <w:r w:rsidRPr="00FB7579">
        <w:rPr>
          <w:b w:val="0"/>
          <w:sz w:val="22"/>
          <w:szCs w:val="24"/>
        </w:rPr>
        <w:t xml:space="preserve"> = 3.6×10</w:t>
      </w:r>
      <w:r w:rsidRPr="00FB7579">
        <w:rPr>
          <w:b w:val="0"/>
          <w:sz w:val="22"/>
          <w:szCs w:val="24"/>
          <w:vertAlign w:val="superscript"/>
        </w:rPr>
        <w:t>-7</w:t>
      </w:r>
      <w:r w:rsidRPr="00FB7579">
        <w:rPr>
          <w:b w:val="0"/>
          <w:sz w:val="22"/>
          <w:szCs w:val="24"/>
        </w:rPr>
        <w:t xml:space="preserve"> M, </w:t>
      </w:r>
      <w:r w:rsidRPr="00FB7579">
        <w:rPr>
          <w:rFonts w:eastAsia="SimSun"/>
          <w:b w:val="0"/>
          <w:sz w:val="22"/>
          <w:szCs w:val="24"/>
          <w:lang w:val="en-GB" w:eastAsia="en-US"/>
        </w:rPr>
        <w:t xml:space="preserve">[NaCl] = 0.5 M, [NaCac] = 2.5 mM, EtOH 1%, pH 7.0, 25.0 °C, </w:t>
      </w:r>
      <w:r w:rsidRPr="005F79EE">
        <w:rPr>
          <w:rFonts w:ascii="Symbol" w:eastAsia="SimSun" w:hAnsi="Symbol"/>
          <w:b w:val="0"/>
          <w:sz w:val="22"/>
          <w:szCs w:val="24"/>
          <w:lang w:eastAsia="en-US"/>
        </w:rPr>
        <w:t></w:t>
      </w:r>
      <w:r w:rsidRPr="00FB7579">
        <w:rPr>
          <w:rFonts w:eastAsia="SimSun"/>
          <w:b w:val="0"/>
          <w:sz w:val="22"/>
          <w:szCs w:val="24"/>
          <w:vertAlign w:val="subscript"/>
          <w:lang w:eastAsia="en-US"/>
        </w:rPr>
        <w:t xml:space="preserve">ex </w:t>
      </w:r>
      <w:r w:rsidR="005F79EE">
        <w:rPr>
          <w:rFonts w:eastAsia="SimSun"/>
          <w:b w:val="0"/>
          <w:sz w:val="22"/>
          <w:szCs w:val="24"/>
          <w:lang w:eastAsia="en-US"/>
        </w:rPr>
        <w:t xml:space="preserve">= 280 nm, </w:t>
      </w:r>
      <w:r w:rsidR="005F79EE" w:rsidRPr="005F79EE">
        <w:rPr>
          <w:rFonts w:ascii="Symbol" w:eastAsia="SimSun" w:hAnsi="Symbol"/>
          <w:b w:val="0"/>
          <w:sz w:val="22"/>
          <w:szCs w:val="24"/>
          <w:lang w:eastAsia="en-US"/>
        </w:rPr>
        <w:t></w:t>
      </w:r>
      <w:r w:rsidRPr="00FB7579">
        <w:rPr>
          <w:rFonts w:eastAsia="SimSun"/>
          <w:b w:val="0"/>
          <w:sz w:val="22"/>
          <w:szCs w:val="24"/>
          <w:vertAlign w:val="subscript"/>
          <w:lang w:eastAsia="en-US"/>
        </w:rPr>
        <w:t>em</w:t>
      </w:r>
      <w:r w:rsidRPr="00FB7579">
        <w:rPr>
          <w:rFonts w:eastAsia="SimSun"/>
          <w:b w:val="0"/>
          <w:sz w:val="22"/>
          <w:szCs w:val="24"/>
          <w:lang w:val="en-GB" w:eastAsia="en-US"/>
        </w:rPr>
        <w:t xml:space="preserve"> = 330 nm, </w:t>
      </w:r>
      <w:r w:rsidRPr="00FB7579">
        <w:rPr>
          <w:rFonts w:eastAsia="SimSun"/>
          <w:b w:val="0"/>
          <w:sz w:val="22"/>
          <w:szCs w:val="24"/>
          <w:lang w:val="en-GB" w:eastAsia="en-US"/>
        </w:rPr>
        <w:fldChar w:fldCharType="begin" w:fldLock="1"/>
      </w:r>
      <w:r w:rsidRPr="00FB7579">
        <w:rPr>
          <w:rFonts w:eastAsia="SimSun"/>
          <w:b w:val="0"/>
          <w:sz w:val="22"/>
          <w:szCs w:val="24"/>
          <w:lang w:val="en-GB" w:eastAsia="en-US"/>
        </w:rPr>
        <w:instrText>ADDIN CSL_CITATION {"citationItems":[{"id":"ITEM-1","itemData":{"DOI":"10.1016/j.saa.2019.117313","ISSN":"13861425","abstract":"The binding to biosubstrates and micellar systems of pollutants as the polycyclic aromatic hydrocarbon (PAH) derivatives 1-aminopyrene (1-PyNH2) and 1-hydroxymethylpyrene (1-PyMeOH) and the carbamate-pesticides 1-naphthyl-N-methylcarbamate (carbaryl, CA) and methyl benzimidazol-2-ylcarbamate (carbendazim, CBZ) was analysed through an integrated strategy combining spectroscopy and quantum chemistry. As biosubstrates, natural DNA and bovine serum albumin (BSA) were taken into account for a thermodynamic analysis of the binding features through spectrophotometric and spectrofluorometric techniques. In all cases, a strong DNA interaction is present and intercalation is supposed as the major binding mode. For the PAH derivatives, DNA binding is found to be favoured under high salt conditions and BSA static quenching and binding with 1:1 stoichiometry occurs. The molecular structure and optical properties of 1-PyNH2, CA and CBZ together with their intercalated adducts in DNA were studied also by means of quantum chemical approach. The (TD)DFT calculations on intercalated dye/DNA adducts quantitatively reproduce the experimentally observed spectroscopic changes, thus confirming the intercalation hypothesis. The theoretical approach also provides information on the adducts' geometries and on the amount of charge transfer with DNA. Moreover, ultrafiltration tests in the presence of anionic (SDS), cationic (DTAC) and neutral (Triton X) micellar aggregates and liposomes provided insights into lipophilicity and cellular membrane affinity. PAH derivatives show high retention coefficient in all cases, whereas in the case of carbamate-pesticides micellar retention might be significantly reduced and is very limited in the case of liposomes.","author":[{"dropping-particle":"","family":"Macii","given":"Francesca","non-dropping-particle":"","parse-names":false,"suffix":""},{"dropping-particle":"","family":"Salvadori","given":"Giacomo","non-dropping-particle":"","parse-names":false,"suffix":""},{"dropping-particle":"","family":"Bonini","given":"Rachele","non-dropping-particle":"","parse-names":false,"suffix":""},{"dropping-particle":"","family":"Giannarelli","given":"Stefania","non-dropping-particle":"","parse-names":false,"suffix":""},{"dropping-particle":"","family":"Mennucci","given":"Benedetta","non-dropping-particle":"","parse-names":false,"suffix":""},{"dropping-particle":"","family":"Biver","given":"Tarita","non-dropping-particle":"","parse-names":false,"suffix":""}],"container-title":"Spectrochimica Acta - Part A: Molecular and Biomolecular Spectroscopy","id":"ITEM-1","issued":{"date-parts":[["2019"]]},"page":"117313","publisher":"Elsevier B.V.","title":"Binding of model polycyclic aromatic hydrocarbons and carbamate-pesticides to DNA, BSA, micelles and liposomes","type":"article-journal","volume":"223"},"uris":["http://www.mendeley.com/documents/?uuid=dff550f9-2f7e-4a36-9d7c-95651e6d0c8f"]}],"mendeley":{"formattedCitation":"[51]","plainTextFormattedCitation":"[51]","previouslyFormattedCitation":"[51]"},"properties":{"noteIndex":0},"schema":"https://github.com/citation-style-language/schema/raw/master/csl-citation.json"}</w:instrText>
      </w:r>
      <w:r w:rsidRPr="00FB7579">
        <w:rPr>
          <w:rFonts w:eastAsia="SimSun"/>
          <w:b w:val="0"/>
          <w:sz w:val="22"/>
          <w:szCs w:val="24"/>
          <w:lang w:val="en-GB" w:eastAsia="en-US"/>
        </w:rPr>
        <w:fldChar w:fldCharType="separate"/>
      </w:r>
      <w:r w:rsidRPr="00FB7579">
        <w:rPr>
          <w:rFonts w:eastAsia="SimSun"/>
          <w:b w:val="0"/>
          <w:noProof/>
          <w:sz w:val="22"/>
          <w:szCs w:val="24"/>
          <w:lang w:val="en-GB" w:eastAsia="en-US"/>
        </w:rPr>
        <w:t>[51]</w:t>
      </w:r>
      <w:r w:rsidRPr="00FB7579">
        <w:rPr>
          <w:rFonts w:eastAsia="SimSun"/>
          <w:b w:val="0"/>
          <w:sz w:val="22"/>
          <w:szCs w:val="24"/>
          <w:lang w:val="en-GB" w:eastAsia="en-US"/>
        </w:rPr>
        <w:fldChar w:fldCharType="end"/>
      </w:r>
      <w:r w:rsidRPr="00FB7579">
        <w:rPr>
          <w:rFonts w:eastAsia="SimSun"/>
          <w:b w:val="0"/>
          <w:sz w:val="22"/>
          <w:szCs w:val="24"/>
          <w:lang w:val="en-GB" w:eastAsia="en-US"/>
        </w:rPr>
        <w:t xml:space="preserve">. Note that the bias is here still visible even in the presence of </w:t>
      </w:r>
      <w:r w:rsidRPr="00FB7579">
        <w:rPr>
          <w:rFonts w:eastAsia="SimSun"/>
          <w:sz w:val="22"/>
          <w:szCs w:val="24"/>
          <w:lang w:val="en-GB" w:eastAsia="en-US"/>
        </w:rPr>
        <w:t>T</w:t>
      </w:r>
      <w:r w:rsidRPr="00FB7579">
        <w:rPr>
          <w:rFonts w:eastAsia="SimSun"/>
          <w:b w:val="0"/>
          <w:sz w:val="22"/>
          <w:szCs w:val="24"/>
          <w:lang w:val="en-GB" w:eastAsia="en-US"/>
        </w:rPr>
        <w:t xml:space="preserve"> excess: much more dramatic differences can occur under different experimental conditions (more diluted </w:t>
      </w:r>
      <w:r w:rsidRPr="00FB7579">
        <w:rPr>
          <w:rFonts w:eastAsia="SimSun"/>
          <w:sz w:val="22"/>
          <w:szCs w:val="24"/>
          <w:lang w:val="en-GB" w:eastAsia="en-US"/>
        </w:rPr>
        <w:t>T</w:t>
      </w:r>
      <w:r w:rsidRPr="00FB7579">
        <w:rPr>
          <w:rFonts w:eastAsia="SimSun"/>
          <w:b w:val="0"/>
          <w:sz w:val="22"/>
          <w:szCs w:val="24"/>
          <w:lang w:val="en-GB" w:eastAsia="en-US"/>
        </w:rPr>
        <w:t>).</w:t>
      </w:r>
    </w:p>
    <w:p w:rsidR="009A4942" w:rsidRPr="00FB7579" w:rsidRDefault="009A4942" w:rsidP="00A23882">
      <w:pPr>
        <w:pStyle w:val="07-Heading-2"/>
        <w:spacing w:line="480" w:lineRule="auto"/>
        <w:rPr>
          <w:rFonts w:eastAsia="SimSun"/>
          <w:b w:val="0"/>
          <w:sz w:val="22"/>
          <w:szCs w:val="24"/>
          <w:lang w:val="en-GB" w:eastAsia="en-US"/>
        </w:rPr>
      </w:pPr>
    </w:p>
    <w:p w:rsidR="002A3793" w:rsidRPr="00A23882" w:rsidRDefault="002A3793" w:rsidP="00A23882">
      <w:pPr>
        <w:pStyle w:val="05-ArticleText"/>
        <w:spacing w:line="480" w:lineRule="auto"/>
        <w:rPr>
          <w:spacing w:val="-4"/>
          <w:sz w:val="24"/>
          <w:szCs w:val="24"/>
        </w:rPr>
      </w:pPr>
      <w:r w:rsidRPr="00A23882">
        <w:rPr>
          <w:spacing w:val="-4"/>
          <w:sz w:val="24"/>
          <w:szCs w:val="24"/>
        </w:rPr>
        <w:t>Another important aspect is the problem to mix up K with K</w:t>
      </w:r>
      <w:r w:rsidRPr="00A23882">
        <w:rPr>
          <w:spacing w:val="-4"/>
          <w:sz w:val="24"/>
          <w:szCs w:val="24"/>
          <w:vertAlign w:val="subscript"/>
        </w:rPr>
        <w:t>SV</w:t>
      </w:r>
      <w:r w:rsidRPr="00A23882">
        <w:rPr>
          <w:spacing w:val="-4"/>
          <w:sz w:val="24"/>
          <w:szCs w:val="24"/>
        </w:rPr>
        <w:t>. Let’s suppose that static quenching only is at play. If this holds, K</w:t>
      </w:r>
      <w:r w:rsidRPr="00A23882">
        <w:rPr>
          <w:spacing w:val="-4"/>
          <w:sz w:val="24"/>
          <w:szCs w:val="24"/>
          <w:vertAlign w:val="subscript"/>
        </w:rPr>
        <w:t>SV</w:t>
      </w:r>
      <w:r w:rsidRPr="00A23882">
        <w:rPr>
          <w:spacing w:val="-4"/>
          <w:sz w:val="24"/>
          <w:szCs w:val="24"/>
        </w:rPr>
        <w:t xml:space="preserve"> will represent the binding constant for the formation of the quencher-protein adduct (</w:t>
      </w:r>
      <w:r w:rsidRPr="00A23882">
        <w:rPr>
          <w:b/>
          <w:spacing w:val="-4"/>
          <w:sz w:val="24"/>
          <w:szCs w:val="24"/>
        </w:rPr>
        <w:t>T</w:t>
      </w:r>
      <w:r w:rsidRPr="00A23882">
        <w:rPr>
          <w:spacing w:val="-4"/>
          <w:sz w:val="24"/>
          <w:szCs w:val="24"/>
        </w:rPr>
        <w:t xml:space="preserve">-BSA) and </w:t>
      </w:r>
      <w:r w:rsidRPr="00A23882">
        <w:rPr>
          <w:b/>
          <w:spacing w:val="-4"/>
          <w:sz w:val="24"/>
          <w:szCs w:val="24"/>
        </w:rPr>
        <w:t>T</w:t>
      </w:r>
      <w:r w:rsidRPr="00A23882">
        <w:rPr>
          <w:spacing w:val="-4"/>
          <w:sz w:val="24"/>
          <w:szCs w:val="24"/>
        </w:rPr>
        <w:t>-BSA is totally quenched (i.e. totally non-fluorescent). Also, if K</w:t>
      </w:r>
      <w:r w:rsidRPr="00A23882">
        <w:rPr>
          <w:spacing w:val="-4"/>
          <w:sz w:val="24"/>
          <w:szCs w:val="24"/>
          <w:vertAlign w:val="subscript"/>
        </w:rPr>
        <w:t>SV</w:t>
      </w:r>
      <w:r w:rsidRPr="00A23882">
        <w:rPr>
          <w:spacing w:val="-4"/>
          <w:sz w:val="24"/>
          <w:szCs w:val="24"/>
        </w:rPr>
        <w:t xml:space="preserve"> is obtained by Eq. (2), we have to keep in mind that this derived starting from the assumption that a 1:1 stoichiometry holds. If all of this is true, in principle data analysis according to either Eq. (2) or Eq. (3-5) should converge on the same K = K</w:t>
      </w:r>
      <w:r w:rsidRPr="00A23882">
        <w:rPr>
          <w:spacing w:val="-4"/>
          <w:sz w:val="24"/>
          <w:szCs w:val="24"/>
          <w:vertAlign w:val="subscript"/>
        </w:rPr>
        <w:t>SV</w:t>
      </w:r>
      <w:r w:rsidRPr="00A23882">
        <w:rPr>
          <w:spacing w:val="-4"/>
          <w:sz w:val="24"/>
          <w:szCs w:val="24"/>
        </w:rPr>
        <w:t xml:space="preserve"> value (and n = 1). On the other hand, if </w:t>
      </w:r>
      <w:r w:rsidRPr="00A23882">
        <w:rPr>
          <w:b/>
          <w:spacing w:val="-4"/>
          <w:sz w:val="24"/>
          <w:szCs w:val="24"/>
        </w:rPr>
        <w:t>T</w:t>
      </w:r>
      <w:r w:rsidRPr="00A23882">
        <w:rPr>
          <w:spacing w:val="-4"/>
          <w:sz w:val="24"/>
          <w:szCs w:val="24"/>
        </w:rPr>
        <w:t>-BSA fluorescence differs from zero, K ≠ K</w:t>
      </w:r>
      <w:r w:rsidRPr="00A23882">
        <w:rPr>
          <w:spacing w:val="-4"/>
          <w:sz w:val="24"/>
          <w:szCs w:val="24"/>
          <w:vertAlign w:val="subscript"/>
        </w:rPr>
        <w:t xml:space="preserve">SV. </w:t>
      </w:r>
      <w:r w:rsidRPr="00A23882">
        <w:rPr>
          <w:spacing w:val="-4"/>
          <w:sz w:val="24"/>
          <w:szCs w:val="24"/>
        </w:rPr>
        <w:t xml:space="preserve">Under these circumstances, the slope of a Stern-Volmer plot may be used only for </w:t>
      </w:r>
      <w:r w:rsidRPr="00A23882">
        <w:rPr>
          <w:spacing w:val="-4"/>
          <w:sz w:val="24"/>
          <w:szCs w:val="24"/>
        </w:rPr>
        <w:lastRenderedPageBreak/>
        <w:t>information on the type of quenching, whereas Eqs. (4-5) will be needed to obtain the real value of the binding affinity, K. The same holds if the 1:1 stoichiometry is not straightforward.</w:t>
      </w:r>
    </w:p>
    <w:p w:rsidR="002A3793" w:rsidRPr="00A23882" w:rsidRDefault="002A3793" w:rsidP="00370802">
      <w:pPr>
        <w:pStyle w:val="06-Heading-1"/>
        <w:spacing w:before="0" w:after="0" w:line="480" w:lineRule="auto"/>
        <w:rPr>
          <w:spacing w:val="-4"/>
          <w:sz w:val="24"/>
          <w:szCs w:val="24"/>
        </w:rPr>
      </w:pPr>
    </w:p>
    <w:p w:rsidR="002A3793" w:rsidRPr="00A23882" w:rsidRDefault="002A3793" w:rsidP="00A23882">
      <w:pPr>
        <w:pStyle w:val="06-Heading-1"/>
        <w:spacing w:line="480" w:lineRule="auto"/>
        <w:rPr>
          <w:spacing w:val="-4"/>
          <w:sz w:val="24"/>
          <w:szCs w:val="24"/>
        </w:rPr>
      </w:pPr>
      <w:r w:rsidRPr="00A23882">
        <w:rPr>
          <w:spacing w:val="-4"/>
          <w:sz w:val="24"/>
          <w:szCs w:val="24"/>
        </w:rPr>
        <w:t>5. ENTHALPY, ENTROPY AND THEIR POSSIBLE COMPENSATION</w:t>
      </w:r>
    </w:p>
    <w:p w:rsidR="00C17302" w:rsidRDefault="002A3793" w:rsidP="00C17302">
      <w:pPr>
        <w:pStyle w:val="05-ArticleText"/>
        <w:spacing w:line="480" w:lineRule="auto"/>
        <w:rPr>
          <w:spacing w:val="-4"/>
          <w:sz w:val="24"/>
          <w:szCs w:val="24"/>
        </w:rPr>
      </w:pPr>
      <w:r w:rsidRPr="00A23882">
        <w:rPr>
          <w:spacing w:val="-4"/>
          <w:sz w:val="24"/>
          <w:szCs w:val="24"/>
        </w:rPr>
        <w:t>The evaluation of the thermodynamic parameters is an important point in mechanistic studies on target drug (</w:t>
      </w:r>
      <w:r w:rsidRPr="00A23882">
        <w:rPr>
          <w:b/>
          <w:spacing w:val="-4"/>
          <w:sz w:val="24"/>
          <w:szCs w:val="24"/>
        </w:rPr>
        <w:t>T</w:t>
      </w:r>
      <w:r w:rsidRPr="00A23882">
        <w:rPr>
          <w:spacing w:val="-4"/>
          <w:sz w:val="24"/>
          <w:szCs w:val="24"/>
        </w:rPr>
        <w:t xml:space="preserve">)-BSA binding. For instance, in the case of the very well-known ruthenium drugs NAMI-A and KP1019, binding in the hydrophobic pockets of serum albumins war found to occur, which constitutes a first step for subsequent coordination, this features strongly influencing the drug performances </w:t>
      </w:r>
      <w:r w:rsidRPr="00A23882">
        <w:rPr>
          <w:spacing w:val="-4"/>
          <w:sz w:val="24"/>
          <w:szCs w:val="24"/>
        </w:rPr>
        <w:fldChar w:fldCharType="begin" w:fldLock="1"/>
      </w:r>
      <w:r w:rsidR="00DD5357">
        <w:rPr>
          <w:spacing w:val="-4"/>
          <w:sz w:val="24"/>
          <w:szCs w:val="24"/>
        </w:rPr>
        <w:instrText>ADDIN CSL_CITATION {"citationItems":[{"id":"ITEM-1","itemData":{"DOI":"10.1002/ejic.201600986","ISSN":"10990682","abstract":"As anticipated in the title, this contribution is basically divided into two, strictly connected, parts. The first is a personal overview of the ruthenium drug candidate NAMI-A, almost 30 years after its synthesis and the discovery of its unprecedented antimetastatic properties in animal models at nontoxic dosages. The sections relating to the chemical and biological behavior of the complex, and the hypotheses on its mechanism(s) of action, are kept to a minimum, whereas more space is devoted to discussion of the results of the clinical investigations. The second part deals in detail with a number of undemonstrated misconceptions (or myths) that, over the years, have thrived around NAMI-A and other ruthenium drug candidates, thus negatively affecting the whole field of Ru anticancer drugs.","author":[{"dropping-particle":"","family":"Alessio","given":"Enzo","non-dropping-particle":"","parse-names":false,"suffix":""}],"container-title":"European Journal of Inorganic Chemistry","id":"ITEM-1","issue":"12","issued":{"date-parts":[["2017"]]},"page":"1549-1560","title":"Thirty Years of the Drug Candidate NAMI-A and the Myths in the Field of Ruthenium Anticancer Compounds: A Personal Perspective","type":"article-journal","volume":"2017"},"uris":["http://www.mendeley.com/documents/?uuid=86cf4e1a-a624-4003-bcd9-1f93424f24c8"]}],"mendeley":{"formattedCitation":"[78]","plainTextFormattedCitation":"[78]","previouslyFormattedCitation":"[78]"},"properties":{"noteIndex":0},"schema":"https://github.com/citation-style-language/schema/raw/master/csl-citation.json"}</w:instrText>
      </w:r>
      <w:r w:rsidRPr="00A23882">
        <w:rPr>
          <w:spacing w:val="-4"/>
          <w:sz w:val="24"/>
          <w:szCs w:val="24"/>
        </w:rPr>
        <w:fldChar w:fldCharType="separate"/>
      </w:r>
      <w:r w:rsidR="00DD5357" w:rsidRPr="00DD5357">
        <w:rPr>
          <w:noProof/>
          <w:spacing w:val="-4"/>
          <w:sz w:val="24"/>
          <w:szCs w:val="24"/>
        </w:rPr>
        <w:t>[78]</w:t>
      </w:r>
      <w:r w:rsidRPr="00A23882">
        <w:rPr>
          <w:spacing w:val="-4"/>
          <w:sz w:val="24"/>
          <w:szCs w:val="24"/>
        </w:rPr>
        <w:fldChar w:fldCharType="end"/>
      </w:r>
      <w:r w:rsidRPr="00A23882">
        <w:rPr>
          <w:spacing w:val="-4"/>
          <w:sz w:val="24"/>
          <w:szCs w:val="24"/>
        </w:rPr>
        <w:t xml:space="preserve">. Similarly, extended aromatic ligands for Ru(II) metal complexes of biomedical interest were used to modulate hydrophobicity and, thus, drive protein interaction </w:t>
      </w:r>
      <w:r w:rsidRPr="00A23882">
        <w:rPr>
          <w:spacing w:val="-4"/>
          <w:sz w:val="24"/>
          <w:szCs w:val="24"/>
        </w:rPr>
        <w:fldChar w:fldCharType="begin" w:fldLock="1"/>
      </w:r>
      <w:r w:rsidR="00DD5357">
        <w:rPr>
          <w:spacing w:val="-4"/>
          <w:sz w:val="24"/>
          <w:szCs w:val="24"/>
        </w:rPr>
        <w:instrText>ADDIN CSL_CITATION {"citationItems":[{"id":"ITEM-1","itemData":{"DOI":"10.1002/aoc.4154","ISSN":"10990739","abstract":"A series of half-sandwich Ru(II)–arene complexes [Ru(η6-benzene)(diimine)Cl](PF6) (1–4), where diimine is 1,10-phenanthroline (1), 5,6-dimethyl-1,10-phenanthroline (2), dipyrido[3,2-a:2′,3′-c]phenazine (3) or 11,12-dimethyldipyrido[3,2-a:2′,3′-c]phenazine (4), have been isolated and characterized using analytical and spectral methods. Complex 2 possesses a familiar pseudo-octahedral ‘piano-stool’ structure. The intrinsic DNA binding affinity of the complexes depends upon the diimine ligand: 3 (dppz) &gt; 4 (11,12-dmdppz) &gt; 2 (5,6-dmp) &gt; 1 (phen). The π-stacking interaction of extended planar ring of coordinated dppz (3) in between the DNA base pairs is more intimate than that of phen (1), and the incorporation of methyl groups on the dppz ring (4) discourages the stacking interaction leading to a lower DNA binding affinity for 4 than 3. Docking studies show that all the complexes bind in the major groove of DNA. Interestingly, 3 shows an ability to convert supercoiled DNA into nicked circular DNA even at 20 μM concentration beyond which complete oxidative DNA degradation is observed. The protein binding affinity of the complexes decreases in the order 4 &gt; 3 &gt; 2 &gt; 1, and the higher protein binding affinity of 4 illustrates the strong involvement of methyl groups on dppz ring in hydrophobic interaction with protein. Also, 4 cleaves protein more efficiently than the other complexes in the presence of H2O2. It is notable that 2, 3 and 4 display cytotoxicity against human cervical cancer cell lines (SiHa) with potency higher than the currently used drug cisplatin. Acridine orange/ethidium bromide staining studies reveal that 3 induces apoptosis in cancer cells much more efficiently than 4.","author":[{"dropping-particle":"","family":"Ganeshpandian","given":"Mani","non-dropping-particle":"","parse-names":false,"suffix":""},{"dropping-particle":"","family":"Palaniandavar","given":"Mallayan","non-dropping-particle":"","parse-names":false,"suffix":""},{"dropping-particle":"","family":"Muruganantham","given":"Amsaveni","non-dropping-particle":"","parse-names":false,"suffix":""},{"dropping-particle":"","family":"Ghosh","given":"Swapan K.","non-dropping-particle":"","parse-names":false,"suffix":""},{"dropping-particle":"","family":"Riyasdeen","given":"Anvarbatcha","non-dropping-particle":"","parse-names":false,"suffix":""},{"dropping-particle":"","family":"Akbarsha","given":"Mohammad Abdulkader","non-dropping-particle":"","parse-names":false,"suffix":""}],"container-title":"Applied Organometallic Chemistry","id":"ITEM-1","issue":"3","issued":{"date-parts":[["2018"]]},"page":"1-17","title":"Ruthenium(II)–arene complexes of diimines: Effect of diimine intercalation and hydrophobicity on DNA and protein binding and cytotoxicity","type":"article-journal","volume":"32"},"uris":["http://www.mendeley.com/documents/?uuid=85d49d3c-cc4a-4773-b843-d9da3f4404fd"]}],"mendeley":{"formattedCitation":"[79]","plainTextFormattedCitation":"[79]","previouslyFormattedCitation":"[79]"},"properties":{"noteIndex":0},"schema":"https://github.com/citation-style-language/schema/raw/master/csl-citation.json"}</w:instrText>
      </w:r>
      <w:r w:rsidRPr="00A23882">
        <w:rPr>
          <w:spacing w:val="-4"/>
          <w:sz w:val="24"/>
          <w:szCs w:val="24"/>
        </w:rPr>
        <w:fldChar w:fldCharType="separate"/>
      </w:r>
      <w:r w:rsidR="00DD5357" w:rsidRPr="00DD5357">
        <w:rPr>
          <w:noProof/>
          <w:spacing w:val="-4"/>
          <w:sz w:val="24"/>
          <w:szCs w:val="24"/>
        </w:rPr>
        <w:t>[79]</w:t>
      </w:r>
      <w:r w:rsidRPr="00A23882">
        <w:rPr>
          <w:spacing w:val="-4"/>
          <w:sz w:val="24"/>
          <w:szCs w:val="24"/>
        </w:rPr>
        <w:fldChar w:fldCharType="end"/>
      </w:r>
      <w:r w:rsidR="00C17302">
        <w:rPr>
          <w:spacing w:val="-4"/>
          <w:sz w:val="24"/>
          <w:szCs w:val="24"/>
        </w:rPr>
        <w:t xml:space="preserve">.  </w:t>
      </w:r>
      <w:r w:rsidRPr="00A23882">
        <w:rPr>
          <w:spacing w:val="-4"/>
          <w:sz w:val="24"/>
          <w:szCs w:val="24"/>
        </w:rPr>
        <w:t>By repeating the titration at different temperatures and using a van’t Hoff plot</w:t>
      </w:r>
      <w:r w:rsidR="001B7886">
        <w:rPr>
          <w:spacing w:val="-4"/>
          <w:sz w:val="24"/>
          <w:szCs w:val="24"/>
        </w:rPr>
        <w:t xml:space="preserve">, the thermodynamic parameters </w:t>
      </w:r>
      <w:r w:rsidR="001B7886" w:rsidRPr="001B7886">
        <w:rPr>
          <w:rFonts w:ascii="Symbol" w:hAnsi="Symbol"/>
          <w:spacing w:val="-4"/>
          <w:sz w:val="24"/>
          <w:szCs w:val="24"/>
        </w:rPr>
        <w:t></w:t>
      </w:r>
      <w:r w:rsidR="001B7886">
        <w:rPr>
          <w:spacing w:val="-4"/>
          <w:sz w:val="24"/>
          <w:szCs w:val="24"/>
        </w:rPr>
        <w:t xml:space="preserve">H and </w:t>
      </w:r>
      <w:r w:rsidR="001B7886" w:rsidRPr="001B7886">
        <w:rPr>
          <w:rFonts w:ascii="Symbol" w:hAnsi="Symbol"/>
          <w:spacing w:val="-4"/>
          <w:sz w:val="24"/>
          <w:szCs w:val="24"/>
        </w:rPr>
        <w:t></w:t>
      </w:r>
      <w:r w:rsidRPr="00A23882">
        <w:rPr>
          <w:spacing w:val="-4"/>
          <w:sz w:val="24"/>
          <w:szCs w:val="24"/>
        </w:rPr>
        <w:t>S can be evaluated. Again, this aspect</w:t>
      </w:r>
      <w:r w:rsidR="00C17302">
        <w:rPr>
          <w:spacing w:val="-4"/>
          <w:sz w:val="24"/>
          <w:szCs w:val="24"/>
        </w:rPr>
        <w:t xml:space="preserve"> might be trickier as presumed. </w:t>
      </w:r>
      <w:r w:rsidR="001B7886">
        <w:rPr>
          <w:spacing w:val="-4"/>
          <w:sz w:val="24"/>
          <w:szCs w:val="24"/>
        </w:rPr>
        <w:t xml:space="preserve">First, </w:t>
      </w:r>
      <w:r w:rsidR="001B7886" w:rsidRPr="001B7886">
        <w:rPr>
          <w:rFonts w:ascii="Symbol" w:hAnsi="Symbol"/>
          <w:spacing w:val="-4"/>
          <w:sz w:val="24"/>
          <w:szCs w:val="24"/>
        </w:rPr>
        <w:t></w:t>
      </w:r>
      <w:r w:rsidR="001B7886">
        <w:rPr>
          <w:spacing w:val="-4"/>
          <w:sz w:val="24"/>
          <w:szCs w:val="24"/>
        </w:rPr>
        <w:t xml:space="preserve">H and </w:t>
      </w:r>
      <w:r w:rsidR="001B7886" w:rsidRPr="001B7886">
        <w:rPr>
          <w:rFonts w:ascii="Symbol" w:hAnsi="Symbol"/>
          <w:spacing w:val="-4"/>
          <w:sz w:val="24"/>
          <w:szCs w:val="24"/>
        </w:rPr>
        <w:t></w:t>
      </w:r>
      <w:r w:rsidRPr="00A23882">
        <w:rPr>
          <w:spacing w:val="-4"/>
          <w:sz w:val="24"/>
          <w:szCs w:val="24"/>
        </w:rPr>
        <w:t>S in principle are not constant, they just can be assumed to be so under the limited temperature range available for biochemical studies. Then, the use of K</w:t>
      </w:r>
      <w:r w:rsidRPr="00A23882">
        <w:rPr>
          <w:spacing w:val="-4"/>
          <w:sz w:val="24"/>
          <w:szCs w:val="24"/>
          <w:vertAlign w:val="subscript"/>
        </w:rPr>
        <w:t>SV</w:t>
      </w:r>
      <w:r w:rsidR="001B7886">
        <w:rPr>
          <w:spacing w:val="-4"/>
          <w:sz w:val="24"/>
          <w:szCs w:val="24"/>
        </w:rPr>
        <w:t xml:space="preserve"> to get </w:t>
      </w:r>
      <w:r w:rsidR="001B7886" w:rsidRPr="001B7886">
        <w:rPr>
          <w:rFonts w:ascii="Symbol" w:hAnsi="Symbol"/>
          <w:spacing w:val="-4"/>
          <w:sz w:val="24"/>
          <w:szCs w:val="24"/>
        </w:rPr>
        <w:t></w:t>
      </w:r>
      <w:r w:rsidR="001B7886">
        <w:rPr>
          <w:spacing w:val="-4"/>
          <w:sz w:val="24"/>
          <w:szCs w:val="24"/>
        </w:rPr>
        <w:t xml:space="preserve">H and </w:t>
      </w:r>
      <w:r w:rsidR="001B7886" w:rsidRPr="001B7886">
        <w:rPr>
          <w:rFonts w:ascii="Symbol" w:hAnsi="Symbol"/>
          <w:spacing w:val="-4"/>
          <w:sz w:val="24"/>
          <w:szCs w:val="24"/>
        </w:rPr>
        <w:t></w:t>
      </w:r>
      <w:r w:rsidRPr="00A23882">
        <w:rPr>
          <w:spacing w:val="-4"/>
          <w:sz w:val="24"/>
          <w:szCs w:val="24"/>
        </w:rPr>
        <w:t>S holds only under the assumption that K = K</w:t>
      </w:r>
      <w:r w:rsidRPr="00A23882">
        <w:rPr>
          <w:spacing w:val="-4"/>
          <w:sz w:val="24"/>
          <w:szCs w:val="24"/>
          <w:vertAlign w:val="subscript"/>
        </w:rPr>
        <w:t>SV</w:t>
      </w:r>
      <w:r w:rsidRPr="00A23882">
        <w:rPr>
          <w:spacing w:val="-4"/>
          <w:sz w:val="24"/>
          <w:szCs w:val="24"/>
        </w:rPr>
        <w:t>. If K ≠ K</w:t>
      </w:r>
      <w:r w:rsidRPr="00A23882">
        <w:rPr>
          <w:spacing w:val="-4"/>
          <w:sz w:val="24"/>
          <w:szCs w:val="24"/>
          <w:vertAlign w:val="subscript"/>
        </w:rPr>
        <w:t>SV</w:t>
      </w:r>
      <w:r w:rsidRPr="00A23882">
        <w:rPr>
          <w:spacing w:val="-4"/>
          <w:sz w:val="24"/>
          <w:szCs w:val="24"/>
        </w:rPr>
        <w:t>, the straightforward use of K</w:t>
      </w:r>
      <w:r w:rsidRPr="00A23882">
        <w:rPr>
          <w:spacing w:val="-4"/>
          <w:sz w:val="24"/>
          <w:szCs w:val="24"/>
          <w:vertAlign w:val="subscript"/>
        </w:rPr>
        <w:t>SV</w:t>
      </w:r>
      <w:r w:rsidRPr="00A23882">
        <w:rPr>
          <w:spacing w:val="-4"/>
          <w:sz w:val="24"/>
          <w:szCs w:val="24"/>
        </w:rPr>
        <w:t xml:space="preserve"> might produce incorrect therm</w:t>
      </w:r>
      <w:r w:rsidR="00C17302">
        <w:rPr>
          <w:spacing w:val="-4"/>
          <w:sz w:val="24"/>
          <w:szCs w:val="24"/>
        </w:rPr>
        <w:t xml:space="preserve">odynamic parameters estimates. </w:t>
      </w:r>
    </w:p>
    <w:p w:rsidR="002A3793" w:rsidRPr="00C17302" w:rsidRDefault="002A3793" w:rsidP="00C17302">
      <w:pPr>
        <w:pStyle w:val="05-ArticleText"/>
        <w:spacing w:line="480" w:lineRule="auto"/>
        <w:rPr>
          <w:spacing w:val="-4"/>
          <w:sz w:val="24"/>
          <w:szCs w:val="24"/>
        </w:rPr>
      </w:pPr>
      <w:r w:rsidRPr="00A23882">
        <w:rPr>
          <w:spacing w:val="-4"/>
          <w:sz w:val="24"/>
          <w:szCs w:val="24"/>
        </w:rPr>
        <w:t xml:space="preserve">Sign and magnitude order </w:t>
      </w:r>
      <w:r w:rsidRPr="001B7886">
        <w:rPr>
          <w:rFonts w:ascii="Symbol" w:hAnsi="Symbol"/>
          <w:spacing w:val="-4"/>
          <w:sz w:val="24"/>
          <w:szCs w:val="24"/>
        </w:rPr>
        <w:t></w:t>
      </w:r>
      <w:r w:rsidR="001B7886">
        <w:rPr>
          <w:spacing w:val="-4"/>
          <w:sz w:val="24"/>
          <w:szCs w:val="24"/>
        </w:rPr>
        <w:t xml:space="preserve">H and </w:t>
      </w:r>
      <w:r w:rsidR="001B7886" w:rsidRPr="001B7886">
        <w:rPr>
          <w:rFonts w:ascii="Symbol" w:hAnsi="Symbol"/>
          <w:spacing w:val="-4"/>
          <w:sz w:val="24"/>
          <w:szCs w:val="24"/>
        </w:rPr>
        <w:t></w:t>
      </w:r>
      <w:r w:rsidRPr="00A23882">
        <w:rPr>
          <w:spacing w:val="-4"/>
          <w:sz w:val="24"/>
          <w:szCs w:val="24"/>
        </w:rPr>
        <w:t xml:space="preserve">S provide a signature which helps to define the type of binding mode </w:t>
      </w:r>
      <w:r w:rsidRPr="00A23882">
        <w:rPr>
          <w:spacing w:val="-4"/>
          <w:sz w:val="24"/>
          <w:szCs w:val="24"/>
        </w:rPr>
        <w:fldChar w:fldCharType="begin" w:fldLock="1"/>
      </w:r>
      <w:r w:rsidR="00DD5357">
        <w:rPr>
          <w:spacing w:val="-4"/>
          <w:sz w:val="24"/>
          <w:szCs w:val="24"/>
        </w:rPr>
        <w:instrText>ADDIN CSL_CITATION {"citationItems":[{"id":"ITEM-1","itemData":{"DOI":"10.1021/bi00514a017","ISSN":"15204995","PMID":"7248271","abstract":"Reviewing the thermodynamic parameters characterizing self-association and ligand binding of proteins at 25 °C, we find ∆G°, ∆H°, ∆S°, and ∆C° are often all of negative sign. It is thus not possible to account for the stability of association complexes of proteins on the basis of hydrophobic interactions alone. We present a conceptual model of protein association consisting of two steps: the mutual penetration of hydration layers causing disordering of the solvent followed by further short-range interactions. The net ∆G° for the complete association process is primarily determined by the positive entropy change accompanying the first step and the negative enthalpy change of the second step. On the basis of the thermochemical behavior of small molecule interactions, we conclude that the strengthening of hydrogen bonds in the low dielectric macromolecular interior and van der Waals' interactions introduced as a consequence of the hydrophobic effect are the most important factors contributing to the observed negative values of ∆H° and ∆S° and hence to the stability of protein association complexes. The X-ray crystallographic structures of these complexes are consonant with this analysis. The tendency for protein association reactions to become entropy dominated and/or entropy-enthalpy assisted at low temperatures and enthalpy dominated at high temperatures (a consequence of the typically negative values of ∆Cp°) arises from the diminution of the hydrophobic effect with increasing temperature which is a general property of the solvent, water. © 1981, American Chemical Society. All rights reserved.","author":[{"dropping-particle":"","family":"Ross","given":"Philip D.","non-dropping-particle":"","parse-names":false,"suffix":""},{"dropping-particle":"","family":"Subramanian","given":"S.","non-dropping-particle":"","parse-names":false,"suffix":""}],"container-title":"Biochemistry","id":"ITEM-1","issue":"11","issued":{"date-parts":[["1981"]]},"page":"3096-3102","title":"Thermodynamics of Protein Association Reactions: Forces Contributing to Stability","type":"article-journal","volume":"20"},"uris":["http://www.mendeley.com/documents/?uuid=46d51689-a7c1-496a-bc25-b01fc1198c8f"]}],"mendeley":{"formattedCitation":"[80]","plainTextFormattedCitation":"[80]","previouslyFormattedCitation":"[80]"},"properties":{"noteIndex":0},"schema":"https://github.com/citation-style-language/schema/raw/master/csl-citation.json"}</w:instrText>
      </w:r>
      <w:r w:rsidRPr="00A23882">
        <w:rPr>
          <w:spacing w:val="-4"/>
          <w:sz w:val="24"/>
          <w:szCs w:val="24"/>
        </w:rPr>
        <w:fldChar w:fldCharType="separate"/>
      </w:r>
      <w:r w:rsidR="00DD5357" w:rsidRPr="00DD5357">
        <w:rPr>
          <w:noProof/>
          <w:spacing w:val="-4"/>
          <w:sz w:val="24"/>
          <w:szCs w:val="24"/>
        </w:rPr>
        <w:t>[80]</w:t>
      </w:r>
      <w:r w:rsidRPr="00A23882">
        <w:rPr>
          <w:spacing w:val="-4"/>
          <w:sz w:val="24"/>
          <w:szCs w:val="24"/>
        </w:rPr>
        <w:fldChar w:fldCharType="end"/>
      </w:r>
      <w:r w:rsidR="001B7886">
        <w:rPr>
          <w:spacing w:val="-4"/>
          <w:sz w:val="24"/>
          <w:szCs w:val="24"/>
        </w:rPr>
        <w:t xml:space="preserve">. In particular, if both </w:t>
      </w:r>
      <w:r w:rsidR="001B7886" w:rsidRPr="001B7886">
        <w:rPr>
          <w:rFonts w:ascii="Symbol" w:hAnsi="Symbol"/>
          <w:spacing w:val="-4"/>
          <w:sz w:val="24"/>
          <w:szCs w:val="24"/>
        </w:rPr>
        <w:t></w:t>
      </w:r>
      <w:r w:rsidR="001B7886">
        <w:rPr>
          <w:spacing w:val="-4"/>
          <w:sz w:val="24"/>
          <w:szCs w:val="24"/>
        </w:rPr>
        <w:t xml:space="preserve">H and </w:t>
      </w:r>
      <w:r w:rsidR="001B7886" w:rsidRPr="001B7886">
        <w:rPr>
          <w:rFonts w:ascii="Symbol" w:hAnsi="Symbol"/>
          <w:spacing w:val="-4"/>
          <w:sz w:val="24"/>
          <w:szCs w:val="24"/>
        </w:rPr>
        <w:t></w:t>
      </w:r>
      <w:r w:rsidRPr="00A23882">
        <w:rPr>
          <w:spacing w:val="-4"/>
          <w:sz w:val="24"/>
          <w:szCs w:val="24"/>
        </w:rPr>
        <w:t xml:space="preserve">S are positive, the binding mode is supposed to be driven by hydrophobic forces. This is the case of a plenty of different organic drugs (for instance </w:t>
      </w:r>
      <w:r w:rsidRPr="00A23882">
        <w:rPr>
          <w:spacing w:val="-4"/>
          <w:sz w:val="24"/>
          <w:szCs w:val="24"/>
          <w:lang w:val="en-GB"/>
        </w:rPr>
        <w:t xml:space="preserve">estazolam </w:t>
      </w:r>
      <w:r w:rsidRPr="00A23882">
        <w:rPr>
          <w:spacing w:val="-4"/>
          <w:sz w:val="24"/>
          <w:szCs w:val="24"/>
        </w:rPr>
        <w:fldChar w:fldCharType="begin" w:fldLock="1"/>
      </w:r>
      <w:r w:rsidRPr="00A23882">
        <w:rPr>
          <w:spacing w:val="-4"/>
          <w:sz w:val="24"/>
          <w:szCs w:val="24"/>
          <w:lang w:val="en-GB"/>
        </w:rPr>
        <w:instrText>ADDIN CSL_CITATION {"citationItems":[{"id":"ITEM-1","itemData":{"DOI":"10.1080/07391102.2016.1264889","ISSN":"0739-1102","author":[{"dropping-particle":"","family":"Zhang","given":"Yin-fei","non-dropping-particle":"","parse-names":false,"suffix":""},{"dropping-particle":"","family":"Zhou","given":"Kai-li","non-dropping-particle":"","parse-names":false,"suffix":""},{"dropping-particle":"","family":"Lou","given":"Yan-yue","non-dropping-particle":"","parse-names":false,"suffix":""},{"dropping-particle":"","family":"Pan","given":"Dong-qi","non-dropping-particle":"","parse-names":false,"suffix":""},{"dropping-particle":"","family":"Shi","given":"Jie-hua","non-dropping-particle":"","parse-names":false,"suffix":""}],"container-title":"Journal of Biomolecular Structure and Dynamics","id":"ITEM-1","issued":{"date-parts":[["2017"]]},"page":"1-10","publisher":"Taylor &amp; Francis","title":"Investigation of the binding interaction between estazolam and bovine serum albumin : multi- spectroscopic methods and molecular docking technique","type":"article-journal","volume":"1102"},"uris":["http://www.mendeley.com/documents/?uuid=89669e7e-549d-4f62-a996-497232bf1a6a"]}],"mendeley":{"formattedCitation":"[10]","plainTextFormattedCitation":"[10]","previouslyFormattedCitation":"[10]"},"properties":{"noteIndex":0},"schema":"https://github.com/citation-style-language/schema/raw/master/csl-citation.json"}</w:instrText>
      </w:r>
      <w:r w:rsidRPr="00A23882">
        <w:rPr>
          <w:spacing w:val="-4"/>
          <w:sz w:val="24"/>
          <w:szCs w:val="24"/>
        </w:rPr>
        <w:fldChar w:fldCharType="separate"/>
      </w:r>
      <w:r w:rsidRPr="00A23882">
        <w:rPr>
          <w:noProof/>
          <w:spacing w:val="-4"/>
          <w:sz w:val="24"/>
          <w:szCs w:val="24"/>
          <w:lang w:val="en-GB"/>
        </w:rPr>
        <w:t>[10]</w:t>
      </w:r>
      <w:r w:rsidRPr="00A23882">
        <w:rPr>
          <w:spacing w:val="-4"/>
          <w:sz w:val="24"/>
          <w:szCs w:val="24"/>
        </w:rPr>
        <w:fldChar w:fldCharType="end"/>
      </w:r>
      <w:r w:rsidRPr="00A23882">
        <w:rPr>
          <w:spacing w:val="-4"/>
          <w:sz w:val="24"/>
          <w:szCs w:val="24"/>
          <w:lang w:val="en-GB"/>
        </w:rPr>
        <w:t xml:space="preserve">, repaglinide </w:t>
      </w:r>
      <w:r w:rsidRPr="00A23882">
        <w:rPr>
          <w:spacing w:val="-4"/>
          <w:sz w:val="24"/>
          <w:szCs w:val="24"/>
        </w:rPr>
        <w:fldChar w:fldCharType="begin" w:fldLock="1"/>
      </w:r>
      <w:r w:rsidR="00DD5357">
        <w:rPr>
          <w:spacing w:val="-4"/>
          <w:sz w:val="24"/>
          <w:szCs w:val="24"/>
          <w:lang w:val="en-GB"/>
        </w:rPr>
        <w:instrText>ADDIN CSL_CITATION {"citationItems":[{"id":"ITEM-1","itemData":{"DOI":"10.1016/j.jpha.2019.03.007","ISSN":"20951779","abstract":"Repaglinide (RPG) regulates the amount of glucose by stimulating the pancreas to release insulin in the blood. In view of its biological importance, we have examined the interaction between RPG and a model protein, bovine serum albumin (BSA) employing various spectroscopic, electrochemical and molecular docking methods. Fluorescence spectra of BSA were recorded in the presence and absence of RPG in phosphate buffer of pH 7.4. Fluorescence intensity of BSA was decreased upon the addition of increased concentrations of RPG, indicating the interaction between RPG and BSA. Stern-Volmer quenching analysis results revealed that RPG quenched the intensity of BSA through dynamic</w:instrText>
      </w:r>
      <w:r w:rsidR="00DD5357" w:rsidRPr="00542C24">
        <w:rPr>
          <w:spacing w:val="-4"/>
          <w:sz w:val="24"/>
          <w:szCs w:val="24"/>
          <w:lang w:val="it-IT"/>
        </w:rPr>
        <w:instrText xml:space="preserve"> quenching mechanism. This was further confirmed from the time-resolved fluorescence measurements. The binding constant as calculated from the spectroscopic and voltammetric results was observed to be in the order of 104 M−1 at 298 K, suggesting the moderate binding affinity between RPG and BSA. Competitive experimental results revealed that the primary binding site for RPG on BSA was site II. Absorption and circular dichroism studies indicated the changes in the secondary structure of BSA upon its interaction with RPG. Molecular simulation studies pointed out that RPG was bound to BSA in the hydrophobic pocket of site II.","author":[{"dropping-particle":"","family":"Pawar","given</w:instrText>
      </w:r>
      <w:r w:rsidR="00DD5357" w:rsidRPr="00DD5357">
        <w:rPr>
          <w:spacing w:val="-4"/>
          <w:sz w:val="24"/>
          <w:szCs w:val="24"/>
          <w:lang w:val="it-IT"/>
        </w:rPr>
        <w:instrText>":"Suma K.","non-dropping-particle":"","parse-names":false,"suffix":""},{"dropping-particle":"","family":"Jaldappagari","given":"Seetharamappa","non-dropping-particle":"","parse-names":false,"suffix":""}],"container-title":"Journal of Pharmaceutical Analysis","id":"ITEM-1","issue":"4","issued":{"date-parts":[["2019"]]},"page":"274-283","title":"Interaction of repaglinide with bovine serum albumin: Spectroscopic and molecular docking approaches","type":"article-journal","volume":"9"},"uris":["http://www.mendeley.com/documents/?uuid=73e259c1-0ed2-4cc1-9819-1838b4a28761"]}],"mendeley":{"formattedCitation":"[81]","plainTextFormattedCitation":"[81]","previouslyFormattedCitation":"[81]"},"properties":{"noteIndex":0},"schema":"https://github.com/citation-style-language/schema/raw/master/csl-citation.json"}</w:instrText>
      </w:r>
      <w:r w:rsidRPr="00A23882">
        <w:rPr>
          <w:spacing w:val="-4"/>
          <w:sz w:val="24"/>
          <w:szCs w:val="24"/>
        </w:rPr>
        <w:fldChar w:fldCharType="separate"/>
      </w:r>
      <w:r w:rsidR="00DD5357" w:rsidRPr="00DD5357">
        <w:rPr>
          <w:noProof/>
          <w:spacing w:val="-4"/>
          <w:sz w:val="24"/>
          <w:szCs w:val="24"/>
          <w:lang w:val="it-IT"/>
        </w:rPr>
        <w:t>[81]</w:t>
      </w:r>
      <w:r w:rsidRPr="00A23882">
        <w:rPr>
          <w:spacing w:val="-4"/>
          <w:sz w:val="24"/>
          <w:szCs w:val="24"/>
        </w:rPr>
        <w:fldChar w:fldCharType="end"/>
      </w:r>
      <w:r w:rsidRPr="00A23882">
        <w:rPr>
          <w:spacing w:val="-4"/>
          <w:sz w:val="24"/>
          <w:szCs w:val="24"/>
          <w:lang w:val="it-IT"/>
        </w:rPr>
        <w:t xml:space="preserve">, felodipine </w:t>
      </w:r>
      <w:r w:rsidRPr="00A23882">
        <w:rPr>
          <w:spacing w:val="-4"/>
          <w:sz w:val="24"/>
          <w:szCs w:val="24"/>
          <w:lang w:val="it-IT"/>
        </w:rPr>
        <w:fldChar w:fldCharType="begin" w:fldLock="1"/>
      </w:r>
      <w:r w:rsidR="00DD5357">
        <w:rPr>
          <w:spacing w:val="-4"/>
          <w:sz w:val="24"/>
          <w:szCs w:val="24"/>
          <w:lang w:val="it-IT"/>
        </w:rPr>
        <w:instrText>ADDIN CSL_CITATION {"citationItems":[{"id":"ITEM-1","itemData":{"DOI":"10.1002/bio.1130","ISSN":"15227235","abstract":"The fluorescence quenching spectrum of bovine serum albumin (BSA) was investigated in the presence of felodipine (FLD) by spectroscopic methods including fluorescence spectroscopy and UV-Vis absorption spectroscopy. Stern-Volmer quenching was successfully applied and the corresponding thermodynamic parameters, namely enthalpy change (ΔH), free energy change (ΔG) and entropy change (ΔS) at different temperatures (304, 314 and 324 K) were calculated according to the Van't Hoff relation. This revealed that the hydrophobic interaction plays a major role in stabilizing the complex. The fluorescence spectrum of BSA was studied in presence of various concentrations of SDS surfactant. The distance (r) between donor (BSA) and acceptor (FLD) was obtained according to fluorescence resonance energy transfer (FRET). The synchronous fluorescence spectroscopy was used to investigate the effect of FLD on BSA molecule. The result shows that the conformation of BSA was changed in the presence of felodipine. © 2009 John Wiley &amp; Sons, Ltd.","author":[{"dropping-particle":"","family":"Mote","given":"U. S.","non-dropping-particle":"","parse-names":false,"suffix":""},{"dropping-particle":"","family":"Bhattar","given":"S. L.","non-dropping-particle":"","parse-names":false,"suffix":""},{"dropping-particle":"","family":"Patil","given":"S. R.","non-dropping-particle":"","parse-names":false,"suffix":""},{"dropping-particle":"","family":"Kolekar","given":"G. B.","non-dropping-particle":"","parse-names":false,"suffix":""}],"container-title":"Luminescence","id":"ITEM-1","issue":"1","issued":{"date-parts":[["2010"]]},"page":"1-8","title":"Interaction between felodipine and bovine serum albumin: Fluorescence quenching study","type":"article-journal","volume":"25"},"uris":["http://www.mendeley.com/documents/?uuid=a320fb4a-1e5f-4faf-affa-efe3746a1ee2"]}],"mendeley":{"formattedCitation":"[82]","plainTextFormattedCitation":"[82]","previouslyFormattedCitation":"[82]"},"properties":{"noteIndex":0},"schema":"https://github.com/citation-style-language/schema/raw/master/csl-citation.json"}</w:instrText>
      </w:r>
      <w:r w:rsidRPr="00A23882">
        <w:rPr>
          <w:spacing w:val="-4"/>
          <w:sz w:val="24"/>
          <w:szCs w:val="24"/>
          <w:lang w:val="it-IT"/>
        </w:rPr>
        <w:fldChar w:fldCharType="separate"/>
      </w:r>
      <w:r w:rsidR="00DD5357" w:rsidRPr="00DD5357">
        <w:rPr>
          <w:noProof/>
          <w:spacing w:val="-4"/>
          <w:sz w:val="24"/>
          <w:szCs w:val="24"/>
          <w:lang w:val="it-IT"/>
        </w:rPr>
        <w:t>[82]</w:t>
      </w:r>
      <w:r w:rsidRPr="00A23882">
        <w:rPr>
          <w:spacing w:val="-4"/>
          <w:sz w:val="24"/>
          <w:szCs w:val="24"/>
          <w:lang w:val="it-IT"/>
        </w:rPr>
        <w:fldChar w:fldCharType="end"/>
      </w:r>
      <w:r w:rsidRPr="00A23882">
        <w:rPr>
          <w:spacing w:val="-4"/>
          <w:sz w:val="24"/>
          <w:szCs w:val="24"/>
          <w:lang w:val="it-IT"/>
        </w:rPr>
        <w:t xml:space="preserve">, irisflorentin </w:t>
      </w:r>
      <w:r w:rsidRPr="00A23882">
        <w:rPr>
          <w:spacing w:val="-4"/>
          <w:sz w:val="24"/>
          <w:szCs w:val="24"/>
          <w:lang w:val="it-IT"/>
        </w:rPr>
        <w:fldChar w:fldCharType="begin" w:fldLock="1"/>
      </w:r>
      <w:r w:rsidRPr="00A23882">
        <w:rPr>
          <w:spacing w:val="-4"/>
          <w:sz w:val="24"/>
          <w:szCs w:val="24"/>
          <w:lang w:val="it-IT"/>
        </w:rPr>
        <w:instrText>ADDIN CSL_CITATION {"citationItems":[{"id":"ITEM-1","itemData":{"DOI":"10.1016/j.molstruc.2008.03.002","ISSN":"00222860","abstract":"The interaction between irisflorentin (IFR) and bovine serum albumin (BSA) in physiological buffer (pH = 7.4) was investigated by fluorescence quenching technique and UV/vis absorption spectroscopy. The results of fluorescence titration revealed that IFR could strongly quench the intrinsic fluorescence of BSA through a dynamic quenching procedure. The apparent binding constants KA and number of binding sites n of IFR with BSA were obtained by fluorescence quenching method. The thermodynamic parameters, enthalpy change (ΔHθ) and entropy change (ΔSθ), were calculated to be 18.45 kJ mol-1 &gt;0 and 149.72 J mol-1 K-1 &gt;0, respectively, which indicated that the interaction of IFR with BSA was driven mainly by hydrophobic forces. The process of binding was a spontaneous process in which Gibbs free energy change was negative. The distance r between donor (BSA) and acceptor (IFR) was calculated to be 3.88 nm based on Förster's non-radiative energy transfer theory. The results of synchronous fluorescence spectra showed that binding of IFR with BSA can induce conformational changes in BSA. © 2008 Elsevier B.V. All rights reserved.","author":[{"dropping-particle":"","family":"Zhang","given":"Guowen","non-dropping-particle":"","parse-names":false,"suffix":""},{"dropping-particle":"","family":"Wang","given":"Anping","non-dropping-particle":"","parse-names":false,"suffix":""},{"dropping-particle":"","family":"Jiang","given":"Ting","non-dropping-particle":"","parse-names":false,"suffix":""},{"dropping-particle":"","family":"Guo","given":"Jinbao","non-dropping-particle":"","parse-names":false,"suffix":""}],"container-title":"Journal of Molecular Structure","id":"ITEM-1","issue":"1-3","issued":{"date-parts":[["2008"]]},"page":"93-97","publisher":"Elsevier B.V.","title":"Interaction of the irisflorentin with bovine serum albumin: A fluorescence quenching study","type":"article-journal","volume":"891"},"uris":["http://www.mendeley.com/documents/?uuid=a2909d5e-32f3-4da4-baba-0d6b323355ac"]}],"mendeley":{"formattedCitation":"[27]","plainTextFormattedCitation":"[27]","previouslyFormattedCitation":"[27]"},"properties":{"noteIndex":0},"schema":"https://github.com/citation-style-language/schema/raw/master/csl-citation.json"}</w:instrText>
      </w:r>
      <w:r w:rsidRPr="00A23882">
        <w:rPr>
          <w:spacing w:val="-4"/>
          <w:sz w:val="24"/>
          <w:szCs w:val="24"/>
          <w:lang w:val="it-IT"/>
        </w:rPr>
        <w:fldChar w:fldCharType="separate"/>
      </w:r>
      <w:r w:rsidRPr="00A23882">
        <w:rPr>
          <w:noProof/>
          <w:spacing w:val="-4"/>
          <w:sz w:val="24"/>
          <w:szCs w:val="24"/>
          <w:lang w:val="it-IT"/>
        </w:rPr>
        <w:t>[27]</w:t>
      </w:r>
      <w:r w:rsidRPr="00A23882">
        <w:rPr>
          <w:spacing w:val="-4"/>
          <w:sz w:val="24"/>
          <w:szCs w:val="24"/>
          <w:lang w:val="it-IT"/>
        </w:rPr>
        <w:fldChar w:fldCharType="end"/>
      </w:r>
      <w:r w:rsidRPr="00A23882">
        <w:rPr>
          <w:spacing w:val="-4"/>
          <w:sz w:val="24"/>
          <w:szCs w:val="24"/>
          <w:lang w:val="it-IT"/>
        </w:rPr>
        <w:t xml:space="preserve">, carmofur </w:t>
      </w:r>
      <w:r w:rsidRPr="00A23882">
        <w:rPr>
          <w:spacing w:val="-4"/>
          <w:sz w:val="24"/>
          <w:szCs w:val="24"/>
          <w:lang w:val="it-IT"/>
        </w:rPr>
        <w:fldChar w:fldCharType="begin" w:fldLock="1"/>
      </w:r>
      <w:r w:rsidRPr="00A23882">
        <w:rPr>
          <w:spacing w:val="-4"/>
          <w:sz w:val="24"/>
          <w:szCs w:val="24"/>
          <w:lang w:val="it-IT"/>
        </w:rPr>
        <w:instrText>ADDIN CSL_CITATION {"citationItems":[{"id":"ITEM-1","itemData":{"DOI":"10.1016/j.molstruc.2004.11.062","ISSN":"00222860","abstract":"The interaction between anti-tumor drug, 1-hexylcarbamoyl-5-fluorouracil (Carmofur), and bovine serum albumin (BSA) were studied by spectroscopic methods including fluorescence spectroscopy, circular dichroism (CD) and UV-Visible absorption spectrum. The quenching mechanism of fluorescence of BSA by Carmofur was discussed. The number of binding sites n and apparent binding constant Kb was measured by fluorescence quenching method. The thermodynamic parameters ΔH, ΔG, ΔS at different temperatures were calculated and the results indicate the binding reaction is mainly entropy-driven and hydrophobic forces played major role in the reaction. The distance r between donor (BSA) and acceptor (Carmofur) was obtained according to Förster theory of non-radiation energy transfer. CD spectrum were used to investigate the structural change of BSA molecules with addition of Carmofur, the result indicates that the secondary structure of BSA molecules is changed in the presence of Carmofur. © 2004 Elsevier B.V. All rights reserved.","author":[{"dropping-particle":"","family":"Hu","given":"Yan Jun","non-dropping-particle":"","parse-names":false,"suffix":""},{"dropping-particle":"","family":"Liu","given":"Yi","non-dropping-particle":"","parse-names":false,"suffix":""},{"dropping-particle":"","family":"Shen","given":"Xue Song","non-dropping-particle":"","parse-names":false,"suffix":""},{"dropping-particle":"","family":"Fang","given":"Xian Yang","non-dropping-particle":"","parse-names":false,"suffix":""},{"dropping-particle":"","family":"Qu","given":"Song Sheng","non-dropping-particle":"","parse-names":false,"suffix":""}],"container-title":"Journal of Molecular Structure","id":"ITEM-1","issue":"1-3","issued":{"date-parts":[["2005"]]},"page":"143-147","title":"Studies on the interaction between 1-hexylcarbamoyl-5-fluorouracil and bovine serum albumin","type":"article-journal","volume":"738"},"uris":["http://www.mendeley.com/documents/?uuid=005a0b77-7ac3-4d69-a17e-6a14b1849a48"]}],"mendeley":{"formattedCitation":"[49]","plainTextFormattedCitation":"[49]","previouslyFormattedCitation":"[49]"},"properties":{"noteIndex":0},"schema":"https://github.com/citation-style-language/schema/raw/master/csl-citation.json"}</w:instrText>
      </w:r>
      <w:r w:rsidRPr="00A23882">
        <w:rPr>
          <w:spacing w:val="-4"/>
          <w:sz w:val="24"/>
          <w:szCs w:val="24"/>
          <w:lang w:val="it-IT"/>
        </w:rPr>
        <w:fldChar w:fldCharType="separate"/>
      </w:r>
      <w:r w:rsidRPr="00A23882">
        <w:rPr>
          <w:noProof/>
          <w:spacing w:val="-4"/>
          <w:sz w:val="24"/>
          <w:szCs w:val="24"/>
          <w:lang w:val="it-IT"/>
        </w:rPr>
        <w:t>[49]</w:t>
      </w:r>
      <w:r w:rsidRPr="00A23882">
        <w:rPr>
          <w:spacing w:val="-4"/>
          <w:sz w:val="24"/>
          <w:szCs w:val="24"/>
          <w:lang w:val="it-IT"/>
        </w:rPr>
        <w:fldChar w:fldCharType="end"/>
      </w:r>
      <w:r w:rsidRPr="00A23882">
        <w:rPr>
          <w:spacing w:val="-4"/>
          <w:sz w:val="24"/>
          <w:szCs w:val="24"/>
          <w:lang w:val="it-IT"/>
        </w:rPr>
        <w:t xml:space="preserve">, norfloxacin and ciprofloxacin </w:t>
      </w:r>
      <w:r w:rsidRPr="00A23882">
        <w:rPr>
          <w:spacing w:val="-4"/>
          <w:sz w:val="24"/>
          <w:szCs w:val="24"/>
          <w:lang w:val="it-IT"/>
        </w:rPr>
        <w:fldChar w:fldCharType="begin" w:fldLock="1"/>
      </w:r>
      <w:r w:rsidR="00DD5357">
        <w:rPr>
          <w:spacing w:val="-4"/>
          <w:sz w:val="24"/>
          <w:szCs w:val="24"/>
          <w:lang w:val="it-IT"/>
        </w:rPr>
        <w:instrText>ADDIN CSL_CITATION {"citationItems":[{"id":"ITEM-1","itemData":{"DOI":"10.1016/j.jpba.2005.05.013","ISSN":"07317085","abstract":"The mechanism of interaction between norfloxacin (NRF) and ciprofloxacin (CPF) with bovine serum albumin has been investigated using circular dichroism, fluorescence and absorption spectroscopy. The quenching mechanism of fluorescence of bovine serum albumin by fluoroquinolones was discussed. The binding sites number n and apparent binding constant K were measured by fluorescence quenching method. The thermodynamic parameters obtained from data at different temperatures were calculated. The distance r between donor (bovine serum albumin) and acceptor (fluoroquinolones) was obtained according to Forster theory of non-radiation energy transfer. The effect of common ions on binding constant was also investigated. The results of synchronous fluorescence spectra, UV-vis absorption spectra and circular dichroism of BSA in presence of fluoroquinolones show that the conformation of bovine serum albumin changed. © 2005 Elsevier B.V. All rights reserved.","author":[{"dropping-particle":"","family":"Kamat","given":"Bhalchandra P.","non-dropping-particle":"","parse-names":false,"suffix":""}],"container-title":"Journal of Pharmaceutical and Biomedical Analysis","id":"ITEM-1","issue":"5","issued":{"date-parts":[["2005"]]},"page":"1046-1050","title":"Study of the interaction between fluoroquinolones and bovine serum albumin","type":"article-journal","volume":"39"},"uris":["http://www.mendeley.com/documents/?uuid=6051813d-545e-4044-9ed0-267a14c74420"]}],"mendeley":{"formattedCitation":"[83]","plainTextFormattedCitation":"[83]","previouslyFormattedCitation":"[83]"},"properties":{"noteIndex":0},"schema":"https://github.com/citation-style-language/schema/raw/master/csl-citation.json"}</w:instrText>
      </w:r>
      <w:r w:rsidRPr="00A23882">
        <w:rPr>
          <w:spacing w:val="-4"/>
          <w:sz w:val="24"/>
          <w:szCs w:val="24"/>
          <w:lang w:val="it-IT"/>
        </w:rPr>
        <w:fldChar w:fldCharType="separate"/>
      </w:r>
      <w:r w:rsidR="00DD5357" w:rsidRPr="00DD5357">
        <w:rPr>
          <w:noProof/>
          <w:spacing w:val="-4"/>
          <w:sz w:val="24"/>
          <w:szCs w:val="24"/>
          <w:lang w:val="it-IT"/>
        </w:rPr>
        <w:t>[83]</w:t>
      </w:r>
      <w:r w:rsidRPr="00A23882">
        <w:rPr>
          <w:spacing w:val="-4"/>
          <w:sz w:val="24"/>
          <w:szCs w:val="24"/>
          <w:lang w:val="it-IT"/>
        </w:rPr>
        <w:fldChar w:fldCharType="end"/>
      </w:r>
      <w:r w:rsidRPr="00A23882">
        <w:rPr>
          <w:spacing w:val="-4"/>
          <w:sz w:val="24"/>
          <w:szCs w:val="24"/>
          <w:lang w:val="it-IT"/>
        </w:rPr>
        <w:t>,</w:t>
      </w:r>
      <w:r w:rsidRPr="00A23882">
        <w:rPr>
          <w:sz w:val="24"/>
          <w:szCs w:val="24"/>
          <w:lang w:val="it-IT"/>
        </w:rPr>
        <w:t xml:space="preserve"> BCPT </w:t>
      </w:r>
      <w:r w:rsidRPr="00A23882">
        <w:rPr>
          <w:spacing w:val="-4"/>
          <w:sz w:val="24"/>
          <w:szCs w:val="24"/>
          <w:lang w:val="en-GB"/>
        </w:rPr>
        <w:fldChar w:fldCharType="begin" w:fldLock="1"/>
      </w:r>
      <w:r w:rsidR="00DD5357">
        <w:rPr>
          <w:spacing w:val="-4"/>
          <w:sz w:val="24"/>
          <w:szCs w:val="24"/>
          <w:lang w:val="it-IT"/>
        </w:rPr>
        <w:instrText>ADDIN CSL_CITATION {"citationItems":[{"id":"ITEM-1","itemData":{"DOI":"10.1016/j.bmc.2003.10.018","ISSN":"09680896","abstract":"The interactions between 1-benzoyl-4-p-chlorphenyl thiosemicarbazide (BCPT) and bovine serum albumin (BSA) or human serum albumin (HSA) have been studied by fluorescence spectroscopy. By the analysis of fluorescence spectrum and fluorescence intensity, it was showed that BCPT has a strong ability to quench the intrinsic fluorescence of both bovine serum albumin and human serum albumin through a static quenching procedure. The binding constants of BCPT with BSA or HSA were determined at different temperatures based on the fluorescence quenching results. The binding sites were obtained and the binding force were suggested to be mainly hydrophobic. The effect of common ions on the binding constants was also investigated. A new fluorescence spectroscopy assay of the proteins is presented. The linear range is 5.36-67.0 μg mL-1 with recovery of 101.1% for BSA, and the linear range is 8.28-144.9 μg mL -1 with recovery of 102.6% for HSA. Determination of the proteins in bovine serum or in human serum by this method gives results which are very close to those obtained by using Coomassie Brilliant Blue G-250 colorimetry. A practical method was proposed for the determination of BCPT in human serum samples. © 2003 Elsevier Ltd. All rights reserved.","author":[{"dropping-particle":"","family":"Cui","given":"Feng Ling","non-dropping-particle":"","parse-names":false,"suffix":""},{"dropping-particle":"","family":"Fan","given":"Jing","non-dropping-particle":"","parse-names":false,"suffix":""},{"dropping-particle":"","family":"Li","given":"Jian Ping","non-dropping-particle":"","parse-names":false,"suffix":""},{"dropping-particle":"De","family":"Hu","given":"Zhi","non-dropping-particle":"","parse-names":false,"suffix":""}],"container-title":"Bioorganic and Medicinal Chemistry","id":"ITEM-1","issue":"1","issued":{"date-parts":[["2004"]]},"page":"151-157","title":"Interactions between 1-benzoyl-4-p-chlorophenyl thiosemicarbazide and serum albumin: Investigation by fluorescence spectroscopy","type":"article-journal","volume":"12"},"uris":["http://www.mendeley.com/documents/?uuid=617a0c11-b4fa-4ff5-8494-411f7673b64c"]}],"mendeley":{"formattedCitation":"[84]","plainTextFormattedCitation":"[84]","previouslyFormattedCitation":"[84]"},"properties":{"noteIndex":0},"schema":"https://github.com/citation-style-language/schema/raw/master/csl-citation.json"}</w:instrText>
      </w:r>
      <w:r w:rsidRPr="00A23882">
        <w:rPr>
          <w:spacing w:val="-4"/>
          <w:sz w:val="24"/>
          <w:szCs w:val="24"/>
          <w:lang w:val="en-GB"/>
        </w:rPr>
        <w:fldChar w:fldCharType="separate"/>
      </w:r>
      <w:r w:rsidR="00DD5357" w:rsidRPr="00DD5357">
        <w:rPr>
          <w:noProof/>
          <w:spacing w:val="-4"/>
          <w:sz w:val="24"/>
          <w:szCs w:val="24"/>
          <w:lang w:val="it-IT"/>
        </w:rPr>
        <w:t>[84]</w:t>
      </w:r>
      <w:r w:rsidRPr="00A23882">
        <w:rPr>
          <w:spacing w:val="-4"/>
          <w:sz w:val="24"/>
          <w:szCs w:val="24"/>
          <w:lang w:val="en-GB"/>
        </w:rPr>
        <w:fldChar w:fldCharType="end"/>
      </w:r>
      <w:r w:rsidRPr="00A23882">
        <w:rPr>
          <w:spacing w:val="-4"/>
          <w:sz w:val="24"/>
          <w:szCs w:val="24"/>
          <w:lang w:val="it-IT"/>
        </w:rPr>
        <w:t>,</w:t>
      </w:r>
      <w:r w:rsidRPr="00A23882">
        <w:rPr>
          <w:sz w:val="24"/>
          <w:szCs w:val="24"/>
          <w:lang w:val="it-IT"/>
        </w:rPr>
        <w:t xml:space="preserve"> AHDMAPPC</w:t>
      </w:r>
      <w:r w:rsidRPr="00A23882">
        <w:rPr>
          <w:spacing w:val="-4"/>
          <w:sz w:val="24"/>
          <w:szCs w:val="24"/>
          <w:lang w:val="it-IT"/>
        </w:rPr>
        <w:t xml:space="preserve"> </w:t>
      </w:r>
      <w:r w:rsidRPr="00A23882">
        <w:rPr>
          <w:spacing w:val="-4"/>
          <w:sz w:val="24"/>
          <w:szCs w:val="24"/>
          <w:lang w:val="en-GB"/>
        </w:rPr>
        <w:fldChar w:fldCharType="begin" w:fldLock="1"/>
      </w:r>
      <w:r w:rsidR="00DD5357">
        <w:rPr>
          <w:spacing w:val="-4"/>
          <w:sz w:val="24"/>
          <w:szCs w:val="24"/>
          <w:lang w:val="it-IT"/>
        </w:rPr>
        <w:instrText>ADDIN CSL_CITATION {"citationItems":[{"id":"ITEM-1","itemData":{"DOI":"10.1016/j.jpha.2015.07.001","ISSN":"20951779","abstract":"A biologically active antibacterial reagent, 2-amino-6-hydroxy-4-(4-N, N-dimethylaminophenyl)-pyrimidine-5-carbonitrile (AHDMAPPC), was synthesized. It was employed to investigate the binding interaction with the bovine serum albumin (BSA) in detail using different spectroscopic methods. It exhibited antibacterial activity against Escherichia coli and Staphylococcus aureus which are common food poisoning bacteria. The experimental results showed that the fluorescence quenching of model carrier protein BSA by AHDMAPPC was due to static quenching. The site binding constants and number of binding sites (n≈1) were determined at three different temperatures based on fluorescence quenching results. The thermodynamic parameters, enthalpy change (ΔH), free energy (ΔG) and entropy change (ΔS) for the reaction were calculated to be 15.15 kJ/mol, -36.11 kJ/mol and 51.26 J/mol K according to van't Hoff equation, respectively. The results indicated that the reaction was an endothermic and spontaneous process, and hydrophobic interactions played a major role in the binding between drug and BSA. The distance between donor and acceptor is 2.79 nm according to Förster's theory. The alterations of the BSA secondary structure in the presence of AHDMAPPC were confirmed by UV-visible, synchronous fluorescence, circular dichroism (CD) and three-dimensional fluorescence spectra. All these results indicated that AHDMAPPC can bind to BSA and be effectively transported and eliminated in the body. It can be a useful guideline for further drug design.","author":[{"dropping-particle":"","family":"Suryawanshi","given":"Vishwas D.","non-dropping-particle":"","parse-names":false,"suffix":""},{"dropping-particle":"","family":"Walekar","given":"Laxman S.","non-dropping-particle":"","parse-names":false,"suffix":""},{"dropping-particle":"","family":"Gore","given":"Anil H.","non-dropping-particle":"","parse-names":false,"suffix":""},{"dropping-particle":"V.","family":"Anbhule","given":"Prashant","non-dropping-particle":"","parse-names":false,"suffix":""},{"dropping-particle":"","family":"Kolekar","given":"Govind B.","non-dropping-particle":"","parse-names":false,"suffix":""}],"container-title":"Journal of Pharmaceutical Analysis","id":"ITEM-1","issue":"1","issued":{"date-parts":[["2016"]]},"page":"56-63","publisher":"Elsevier","title":"Spectroscopic analysis on the binding interaction of biologically active pyrimidine derivative with bovine serum albumin","type":"article-journal","volume":"6"},"uris":["http://www.mendeley.com/documents/?uuid=36ae544a-772b-4aff-9d57-b07bca765840"]}],"mendeley":{"formattedCitation":"[85]","plainTextFormattedCitation":"[85]","previouslyFormattedCitation":"[85]"},"properties":{"noteIndex":0},"schema":"https://github.com/citation-style-language/schema/raw/master/csl-citation.json"}</w:instrText>
      </w:r>
      <w:r w:rsidRPr="00A23882">
        <w:rPr>
          <w:spacing w:val="-4"/>
          <w:sz w:val="24"/>
          <w:szCs w:val="24"/>
          <w:lang w:val="en-GB"/>
        </w:rPr>
        <w:fldChar w:fldCharType="separate"/>
      </w:r>
      <w:r w:rsidR="00DD5357" w:rsidRPr="00DD5357">
        <w:rPr>
          <w:noProof/>
          <w:spacing w:val="-4"/>
          <w:sz w:val="24"/>
          <w:szCs w:val="24"/>
          <w:lang w:val="it-IT"/>
        </w:rPr>
        <w:t>[85]</w:t>
      </w:r>
      <w:r w:rsidRPr="00A23882">
        <w:rPr>
          <w:spacing w:val="-4"/>
          <w:sz w:val="24"/>
          <w:szCs w:val="24"/>
          <w:lang w:val="en-GB"/>
        </w:rPr>
        <w:fldChar w:fldCharType="end"/>
      </w:r>
      <w:r w:rsidRPr="00A23882">
        <w:rPr>
          <w:spacing w:val="-4"/>
          <w:sz w:val="24"/>
          <w:szCs w:val="24"/>
          <w:lang w:val="it-IT"/>
        </w:rPr>
        <w:t xml:space="preserve"> and diacetyl malsinic acid </w:t>
      </w:r>
      <w:r w:rsidRPr="00A23882">
        <w:rPr>
          <w:spacing w:val="-4"/>
          <w:sz w:val="24"/>
          <w:szCs w:val="24"/>
          <w:lang w:val="en-GB"/>
        </w:rPr>
        <w:fldChar w:fldCharType="begin" w:fldLock="1"/>
      </w:r>
      <w:r w:rsidR="00DD5357">
        <w:rPr>
          <w:spacing w:val="-4"/>
          <w:sz w:val="24"/>
          <w:szCs w:val="24"/>
          <w:lang w:val="it-IT"/>
        </w:rPr>
        <w:instrText xml:space="preserve">ADDIN CSL_CITATION {"citationItems":[{"id":"ITEM-1","itemData":{"DOI":"10.1016/j.molliq.2015.04.050","ISSN":"01677322","abstract":"Steady-state and time-resolved fluorescence, as well as Fourier transform-infrared (FT-IR) spectroscopy studies were made to understand the interaction between diacetyl maslinic acid (DMA) and bovine serum albumin (BSA) at pH 7.4. A decrease in fluorescence intensity and a blue shift of the emission peak were observed in the DMA-BSA complex, which were attributed to changes in the microenvironment of the protein fluorophores. Spectroscopic analysis revealed that the fluorescence-quenching mechanism between DMA and BSA was a static procedure. Displacement experiments with site markers indicated that DMA binds to BSA at Sudlow's site I (subdomain IIA). Binding constants for the protein-drug interaction were determined at three different temperatures (298, 305, and 310 K). Enthalpy (ΔH&lt;inf&gt;0&lt;/inf&gt;) and entropy (ΔS&lt;inf&gt;0&lt;/inf&gt;) changes indicated that hydrophobic interactions were the dominant intermolecular forces in the binding of DMA to BSA. The interaction appears to be entropy-driven, and the process spontaneous and endothermic. Enthalpy-entropy compensation suggests that reorganization of water molecules plays an important role. Anisotropy and FT-IR experiments revealed that BSA loses its structure in the presence </w:instrText>
      </w:r>
      <w:r w:rsidR="00DD5357" w:rsidRPr="008D11BC">
        <w:rPr>
          <w:spacing w:val="-4"/>
          <w:sz w:val="24"/>
          <w:szCs w:val="24"/>
          <w:lang w:val="it-IT"/>
        </w:rPr>
        <w:instrText>of DMA. The secondary structure compositions of free BSA and DMA-BSA complex were determined by FT-I</w:instrText>
      </w:r>
      <w:r w:rsidR="00DD5357" w:rsidRPr="00DD5357">
        <w:rPr>
          <w:spacing w:val="-4"/>
          <w:sz w:val="24"/>
          <w:szCs w:val="24"/>
          <w:lang w:val="en-GB"/>
        </w:rPr>
        <w:instrText>R. The binding distance and transfer efficiency for DMA-BSA complex were calculated according to the Föster theory of non-radiative energy transfer.","author":[{"dropping-particle":"","family":"Molina-Bolívar","given":"J. A.","non-dropping-particle":"","parse-names":false,"suffix":""},{"dropping-particle":"","family":"Galisteo-González","given":"F.","non-dropping-particle":"","parse-names":false,"suffix":""},{"dropping-particle":"","family":"Carnero Ruiz","given":"C.","non-dropping-particle":"","parse-names":false,"suffix":""},{"dropping-particle":"","family":"Medina-O'Donnell","given":"M.","non-dropping-particle":"","parse-names":false,"suffix":""},{"dropping-particle":"","family":"Parra","given":"A.","non-dropping-particle":"","parse-names":false,"suffix":""}],"container-title":"Journal of Molecular Liquids","id":"ITEM-1","issued":{"date-parts":[["2015"]]},"page":"304-313","publisher":"Elsevier B.V.","title":"Interaction between the anti-cancer drug diacetyl maslinic acid and bovine serum albumin: A biophysical study","type":"article-journal","volume":"208"},"uris":["http://www.mendeley.com/documents/?uuid=afa77b52-7613-409f-953d-0c1a28ab1e49"]}],"mendeley":{"formattedCitation":"[58]","plainTextFormattedCitation":"[58]","previouslyFormattedCitation":"[58]"},"properties":{"noteIndex":0},"schema":"https://github.com/citation-style-language/schema/raw/master/csl-citation.json"}</w:instrText>
      </w:r>
      <w:r w:rsidRPr="00A23882">
        <w:rPr>
          <w:spacing w:val="-4"/>
          <w:sz w:val="24"/>
          <w:szCs w:val="24"/>
          <w:lang w:val="en-GB"/>
        </w:rPr>
        <w:fldChar w:fldCharType="separate"/>
      </w:r>
      <w:r w:rsidR="00DD5357" w:rsidRPr="00DD5357">
        <w:rPr>
          <w:noProof/>
          <w:spacing w:val="-4"/>
          <w:sz w:val="24"/>
          <w:szCs w:val="24"/>
          <w:lang w:val="en-GB"/>
        </w:rPr>
        <w:t>[58]</w:t>
      </w:r>
      <w:r w:rsidRPr="00A23882">
        <w:rPr>
          <w:spacing w:val="-4"/>
          <w:sz w:val="24"/>
          <w:szCs w:val="24"/>
          <w:lang w:val="en-GB"/>
        </w:rPr>
        <w:fldChar w:fldCharType="end"/>
      </w:r>
      <w:r w:rsidRPr="00A23882">
        <w:rPr>
          <w:spacing w:val="-4"/>
          <w:sz w:val="24"/>
          <w:szCs w:val="24"/>
          <w:lang w:val="en-GB"/>
        </w:rPr>
        <w:t xml:space="preserve">). The same features have been observed for several metal complexes of high biomedical interest with promising anticancer properties (for instance Pt(II) phenanthroline </w:t>
      </w:r>
      <w:r w:rsidRPr="00A23882">
        <w:rPr>
          <w:spacing w:val="-4"/>
          <w:sz w:val="24"/>
          <w:szCs w:val="24"/>
          <w:lang w:val="en-GB"/>
        </w:rPr>
        <w:fldChar w:fldCharType="begin" w:fldLock="1"/>
      </w:r>
      <w:r w:rsidR="00DD5357">
        <w:rPr>
          <w:spacing w:val="-4"/>
          <w:sz w:val="24"/>
          <w:szCs w:val="24"/>
          <w:lang w:val="en-GB"/>
        </w:rPr>
        <w:instrText>ADDIN CSL_CITATION {"citationItems":[{"id":"ITEM-1","itemData":{"DOI":"10.1007/s12010-013-0715-z","ISSN":"15590291","abstract":"The mechanism of the interaction between bovine serum albumin (BSA) and [Pt(phen) (histidine)]+ complex was studied employing ultraviolet (UV) absorption, circular dichroism (CD), FT-IR, differential pulse voltammetry (DPV), and fluorescence spectral methods. Fluorescence data showed that the intrinsic fluorescence of BSA was strongly quenched by Pt(II) complex in terms of an untypical static quenching process. The corresponding number of binding sites (n) and binding constant (K b) of BSA and complex at 283, 298, and 310 K were calculated to be 0.61 × 106, 19 × 10 6, and 42 × 106 M-1, respectively. The results showed that the increasing temperature improves the stability of the complex-BSA system, which results in a higher binding constant and the number of binding sites of the complex-BSA system. The positive ΔH and positive ΔS indicated that hydrophobic forces might play a major role in the binding between complex and BSA. Based on Forster's theory of non-radiation energy transfer, the binding distance (r) between the donor (BSA) and acceptor (Pt(II) complex) was evaluated. The results of CD, UV-vis, DPV, and FT-IR spectroscopy showed that the binding of Pt(II) complex to BSA induced conformational changes in BSA © 2014 Springer Science+Business Media.","author":[{"dropping-particle":"","family":"Shahabadi","given":"Nahid","non-dropping-particle":"","parse-names":false,"suffix":""},{"dropping-particle":"","family":"Nemati","given":"Leila","non-dropping-particle":"","parse-names":false,"suffix":""}],"container-title":"Applied Biochemistry and Biotechnology","id":"ITEM-1","issued":{"date-parts":[["2014"]]},"page":"2800-2814","title":"Multispectroscopic studies on the interaction of a platinum(II) complex containing L-histidine and 1,10-phenanthroline ligands with bovine serum albumin","type":"article-journal","volume":"172"},"uris":["http://www.mendeley.com/documents/?uuid=899334dc-62d9-4fdf-b9d5-43feb600fc90"]}],"mendeley":{"formattedCitation":"[86]","plainTextFormattedCitation":"[86]","previouslyFormattedCitation":"[86]"},"properties":{"noteIndex":0},"schema":"https://github.com/citation-style-language/schema/raw/master/csl-citation.json"}</w:instrText>
      </w:r>
      <w:r w:rsidRPr="00A23882">
        <w:rPr>
          <w:spacing w:val="-4"/>
          <w:sz w:val="24"/>
          <w:szCs w:val="24"/>
          <w:lang w:val="en-GB"/>
        </w:rPr>
        <w:fldChar w:fldCharType="separate"/>
      </w:r>
      <w:r w:rsidR="00DD5357" w:rsidRPr="00DD5357">
        <w:rPr>
          <w:noProof/>
          <w:spacing w:val="-4"/>
          <w:sz w:val="24"/>
          <w:szCs w:val="24"/>
          <w:lang w:val="en-GB"/>
        </w:rPr>
        <w:t>[86]</w:t>
      </w:r>
      <w:r w:rsidRPr="00A23882">
        <w:rPr>
          <w:spacing w:val="-4"/>
          <w:sz w:val="24"/>
          <w:szCs w:val="24"/>
          <w:lang w:val="en-GB"/>
        </w:rPr>
        <w:fldChar w:fldCharType="end"/>
      </w:r>
      <w:r w:rsidRPr="00A23882">
        <w:rPr>
          <w:spacing w:val="-4"/>
          <w:sz w:val="24"/>
          <w:szCs w:val="24"/>
          <w:lang w:val="en-GB"/>
        </w:rPr>
        <w:t xml:space="preserve">, Schiff base complexes of Fe(II) </w:t>
      </w:r>
      <w:r w:rsidRPr="00A23882">
        <w:rPr>
          <w:spacing w:val="-4"/>
          <w:sz w:val="24"/>
          <w:szCs w:val="24"/>
          <w:lang w:val="en-GB"/>
        </w:rPr>
        <w:fldChar w:fldCharType="begin" w:fldLock="1"/>
      </w:r>
      <w:r w:rsidR="00DD5357">
        <w:rPr>
          <w:spacing w:val="-4"/>
          <w:sz w:val="24"/>
          <w:szCs w:val="24"/>
          <w:lang w:val="en-GB"/>
        </w:rPr>
        <w:instrText>ADDIN CSL_CITATION {"citationItems":[{"id":"ITEM-1","itemData":{"DOI":"10.1016/j.saa.2016.04.050","ISSN":"13861425","abstract":"The binding interaction of a synthesized Schiff base Fe(II) complex with biological macromolecules viz., bovine serum albumin (BSA) and calf thymus(ct)-DNA have been investigated using different spectroscopic techniques coupled with viscosity measurements at physiological pH and 298 K. Regular amendments in emission intensities of BSA upon the action of the complex indicate significant interaction between them, and the binding interaction have been characterized by Stern Volmer plots and thermodynamic binding parameters. On the basis of this quenching technique one binding site with binding constant (Kb = (7.6 ± 0.21) × 105) between complex and protein have been obtained at 298 K. Time-resolved fluorescence studies have also been encountered to understand the mechanism of quenching induced by the complex. Binding affinities of the complex to the fluorophores of BSA namely tryptophan (Trp) and tyrosine (Tyr) have been judged by synchronous fluorescence studies. Secondary structural changes of BSA rooted by the complex has been revealed by CD spectra. On the other hand, hypochromicity of absorption spectra of the complex with the addition of ct-DNA and the gradual reduction in emission intensities of ethidium bromide bound ct-DNA in presence of the complex indicate noticeable interaction between ct-DNA and the complex with the binding constant (4.2 ± 0.11) × 106 M- 1. Life-time measurements have been studied to determine the relative amplitude of binding of the complex to ct-DNA base pairs. Mode of binding interaction of the complex with ct-DNA has been deciphered by viscosity measurements. CD spectra have also been used to understand the changes in ct-DNA structure upon binding with the metal complex. Density functional theory (DFT) and molecular docking analysis have been employed in highlighting the interactive phenomenon and binding location of the complex with the macromolecules.","author":[{"dropping-particle":"","family":"Rudra","given":"Suparna","non-dropping-particle":"","parse-names":false,"suffix":""},{"dropping-particle":"","family":"Dasmandal","given":"Somnath","non-dropping-particle":"","parse-names":false,"suffix":""},{"dropping-particle":"","family":"Patra","given":"Chiranjit","non-dropping-particle":"","parse-names":false,"suffix":""},{"dropping-particle":"","family":"Kundu","given":"Arjama","non-dropping-particle":"","parse-names":false,"suffix":""},{"dropping-particle":"","family":"Mahapatra","given":"Ambikesh","non-dropping-particle":"","parse-names":false,"suffix":""}],"container-title":"Spectrochimica Acta - Part A: Molecular and Biomolecular Spectroscopy","id":"ITEM-1","issued":{"date-parts":[["2016"]]},"page":"84-94","publisher":"Elsevier B.V.","title":"Binding affinities of Schiff base Fe(II) complex with BSA and calf-thymus DNA: Spectroscopic investigations and molecular docking analysis","type":"article-journal","volume":"166"},"uris":["http://www.mendeley.com/documents/?uuid=ec8ede0e-ecb3-4020-9bc9-b6f48fe1e50f"]}],"mendeley":{"formattedCitation":"[87]","plainTextFormattedCitation":"[87]","previouslyFormattedCitation":"[87]"},"properties":{"noteIndex":0},"schema":"https://github.com/citation-style-language/schema/raw/master/csl-citation.json"}</w:instrText>
      </w:r>
      <w:r w:rsidRPr="00A23882">
        <w:rPr>
          <w:spacing w:val="-4"/>
          <w:sz w:val="24"/>
          <w:szCs w:val="24"/>
          <w:lang w:val="en-GB"/>
        </w:rPr>
        <w:fldChar w:fldCharType="separate"/>
      </w:r>
      <w:r w:rsidR="00DD5357" w:rsidRPr="00DD5357">
        <w:rPr>
          <w:noProof/>
          <w:spacing w:val="-4"/>
          <w:sz w:val="24"/>
          <w:szCs w:val="24"/>
          <w:lang w:val="en-GB"/>
        </w:rPr>
        <w:t>[87]</w:t>
      </w:r>
      <w:r w:rsidRPr="00A23882">
        <w:rPr>
          <w:spacing w:val="-4"/>
          <w:sz w:val="24"/>
          <w:szCs w:val="24"/>
          <w:lang w:val="en-GB"/>
        </w:rPr>
        <w:fldChar w:fldCharType="end"/>
      </w:r>
      <w:r w:rsidRPr="00A23882">
        <w:rPr>
          <w:spacing w:val="-4"/>
          <w:sz w:val="24"/>
          <w:szCs w:val="24"/>
          <w:lang w:val="en-GB"/>
        </w:rPr>
        <w:t xml:space="preserve"> or Mg(II), Mn(II), Cu(II) and Zn(II) </w:t>
      </w:r>
      <w:r w:rsidRPr="00A23882">
        <w:rPr>
          <w:spacing w:val="-4"/>
          <w:sz w:val="24"/>
          <w:szCs w:val="24"/>
          <w:lang w:val="en-GB"/>
        </w:rPr>
        <w:fldChar w:fldCharType="begin" w:fldLock="1"/>
      </w:r>
      <w:r w:rsidR="00DD5357">
        <w:rPr>
          <w:spacing w:val="-4"/>
          <w:sz w:val="24"/>
          <w:szCs w:val="24"/>
          <w:lang w:val="en-GB"/>
        </w:rPr>
        <w:instrText>ADDIN CSL_CITATION {"citationItems":[{"id":"ITEM-1","itemData":{"DOI":"10.1016/j.saa.2014.05.031","ISSN":"13861425","PMID":"24996211","abstract":"Metal Schiff-base complexes show biological activity but they are usually insoluble in water so four new water-soluble metal Schiff base complexes of Na2[M(5-SO3-1,2-salben]; (5-SO3-1,2-salben denoted N,N′-bis(5-sulphosalicyliden)-1,2-diaminobenzylamine and M = Mg, Mn, Cu, Zn) were synthesized and characterized. The formation constants of the metal complexes were determined by UV-Vis absorption spectroscopy. The interaction of these complexes with bovine serum albumin (BSA) was studied by fluorescence spectroscopy. Type of quenching, binding constants, number of binding sites and binding stoichiometries were determined by fluorescence quenching method. The results showed that the mentioned complexes strongly bound to BSA. Thermodynamic parameters indicated that hydrophobic association was the major binding force and that the interaction was entropy driven and enthalpically disfavoured. The displacement experiment showed that these complexes could bind to the subdomain IIA (site I) of albumin. Furthermore the synchronous fluorescence spectra showed that the microenvironment of the tryptophan residues was not apparently changed. Based on the Förster theory of non-radiation energy transfer, the distance between the donor (Trp residues) and the acceptor metal complexes was obtained. The growth inhibitory effect of complexes toward the K562 cancer cell line was measured. © 2014 Elsevier B.V. All rights reserved.","author":[{"dropping-particle":"","family":"Asadi","given":"Mozaffar","non-dropping-particle":"","parse-names":false,"suffix":""},{"dropping-particle":"","family":"Asadi","given":"Zahra","non-dropping-particle":"","parse-names":false,"suffix":""},{"dropping-particle":"","family":"Zarei","given":"Leila","non-dropping-particle":"","parse-names":false,"suffix":""},{"dropping-particle":"","family":"Sadi","given":"Somaye Barzegar","non-dropping-particle":"","parse-names":false,"suffix":""},{"dropping-particle":"","family":"Amirghofran","given":"Zahra","non-dropping-particle":"","parse-names":false,"suffix":""}],"container-title":"Spectrochimica Acta - Part A: Molecular and Biomolecular Spectroscopy","id":"ITEM-1","issue":"3","issued":{"date-parts":[["2014"]]},"page":"697-706","publisher":"Elsevier B.V.","title":"Affinity to bovine serum albumin and anticancer activity of some new water-soluble metal Schiff base complexes","type":"article-journal","volume":"133"},"uris":["http://www.mendeley.com/documents/?uuid=c31b43b4-6dbf-422f-a097-0c57815109c5"]}],"mendeley":{"formattedCitation":"[88]","plainTextFormattedCitation":"[88]","previouslyFormattedCitation":"[88]"},"properties":{"noteIndex":0},"schema":"https://github.com/citation-style-language/schema/raw/master/csl-citation.json"}</w:instrText>
      </w:r>
      <w:r w:rsidRPr="00A23882">
        <w:rPr>
          <w:spacing w:val="-4"/>
          <w:sz w:val="24"/>
          <w:szCs w:val="24"/>
          <w:lang w:val="en-GB"/>
        </w:rPr>
        <w:fldChar w:fldCharType="separate"/>
      </w:r>
      <w:r w:rsidR="00DD5357" w:rsidRPr="00DD5357">
        <w:rPr>
          <w:noProof/>
          <w:spacing w:val="-4"/>
          <w:sz w:val="24"/>
          <w:szCs w:val="24"/>
          <w:lang w:val="en-GB"/>
        </w:rPr>
        <w:t>[88]</w:t>
      </w:r>
      <w:r w:rsidRPr="00A23882">
        <w:rPr>
          <w:spacing w:val="-4"/>
          <w:sz w:val="24"/>
          <w:szCs w:val="24"/>
          <w:lang w:val="en-GB"/>
        </w:rPr>
        <w:fldChar w:fldCharType="end"/>
      </w:r>
      <w:r w:rsidRPr="00A23882">
        <w:rPr>
          <w:spacing w:val="-4"/>
          <w:sz w:val="24"/>
          <w:szCs w:val="24"/>
          <w:lang w:val="en-GB"/>
        </w:rPr>
        <w:t xml:space="preserve">), organoplatinum complexes </w:t>
      </w:r>
      <w:r w:rsidRPr="00A23882">
        <w:rPr>
          <w:spacing w:val="-4"/>
          <w:sz w:val="24"/>
          <w:szCs w:val="24"/>
          <w:lang w:val="en-GB"/>
        </w:rPr>
        <w:fldChar w:fldCharType="begin" w:fldLock="1"/>
      </w:r>
      <w:r w:rsidR="00DD5357">
        <w:rPr>
          <w:spacing w:val="-4"/>
          <w:sz w:val="24"/>
          <w:szCs w:val="24"/>
          <w:lang w:val="en-GB"/>
        </w:rPr>
        <w:instrText>ADDIN CSL_CITATION {"citationItems":[{"id":"ITEM-1","itemData":{"DOI":"10.1021/ic202141g","ISSN":"00201669","abstract":"The interactions of two organoplatinum complexes, [Pt(C ^N) Cl(dppa)], 1, and [Pt(C ^N)Cl(dppm)], 2 (C ^N = N(1), C(2′)-chelated, deprotonated 2-phenylpyridine, dppa = bis(diphenylphosphino)amine, dppm = bis(diphenylphosphino)methane), as antitumor agents, with bovine serum albumin (BSA) and human serum albumin (HSA) have been studied by fluorescence and UV-vis absorption spectroscopic techniques at pH 7.40. The quenching constants and binding parameters (binding constants and number of binding sites) were determined by fluorescence quenching method. The obtained results revealed that there is a strong binding interaction between the ligands and proteins. The calculated thermodynamic parameters (ΔG, ΔH, and ΔS) confirmed that the binding reaction is mainly entropy-driven, and hydrophobic forces played a major role in the reaction. The displacement experiment shows that these Pt complexes can bind to the subdomain IIA (site I) of albumin. Moreover, synchronous fluorescence spectroscopy studies revealed some changes in the local polarity around the tryptophan residues. Finally, the distance, r, between donor (serum albumin) and acceptor (Pt complexes) was obtained according to Förster theory of nonradiation energy transfer. © 2012 American Chemical Society.","author":[{"dropping-particle":"","family":"Samari","given":"Fayezeh","non-dropping-particle":"","parse-names":false,"suffix":""},{"dropping-particle":"","family":"Hemmateenejad","given":"Bahram","non-dropping-particle":"","parse-names":false,"suffix":""},{"dropping-particle":"","family":"Shamsipur","given":"Mojtaba","non-dropping-particle":"","parse-names":false,"suffix":""},{"dropping-particle":"","family":"Rashidi","given":"Mehdi","non-dropping-particle":"","parse-names":false,"suffix":""},{"dropping-particle":"","family":"Samouei","given":"Hamidreza","non-dropping-particle":"","parse-names":false,"suffix":""}],"container-title":"Inorganic Chemistry","id":"ITEM-1","issue":"6","issued":{"date-parts":[["2012"]]},"page":"3454-3464","title":"Affinity of two novel five-coordinated anticancer Pt(II) complexes to human and bovine serum albumins: A spectroscopic approach","type":"article-journal","volume":"51"},"uris":["http://www.mendeley.com/documents/?uuid=9d706ca5-1249-4e20-b29d-dbb294d669dc"]}],"mendeley":{"formattedCitation":"[89]","plainTextFormattedCitation":"[89]","previouslyFormattedCitation":"[89]"},"properties":{"noteIndex":0},"schema":"https://github.com/citation-style-language/schema/raw/master/csl-citation.json"}</w:instrText>
      </w:r>
      <w:r w:rsidRPr="00A23882">
        <w:rPr>
          <w:spacing w:val="-4"/>
          <w:sz w:val="24"/>
          <w:szCs w:val="24"/>
          <w:lang w:val="en-GB"/>
        </w:rPr>
        <w:fldChar w:fldCharType="separate"/>
      </w:r>
      <w:r w:rsidR="00DD5357" w:rsidRPr="00DD5357">
        <w:rPr>
          <w:noProof/>
          <w:spacing w:val="-4"/>
          <w:sz w:val="24"/>
          <w:szCs w:val="24"/>
          <w:lang w:val="en-GB"/>
        </w:rPr>
        <w:t>[89]</w:t>
      </w:r>
      <w:r w:rsidRPr="00A23882">
        <w:rPr>
          <w:spacing w:val="-4"/>
          <w:sz w:val="24"/>
          <w:szCs w:val="24"/>
          <w:lang w:val="en-GB"/>
        </w:rPr>
        <w:fldChar w:fldCharType="end"/>
      </w:r>
      <w:r w:rsidRPr="00A23882">
        <w:rPr>
          <w:spacing w:val="-4"/>
          <w:sz w:val="24"/>
          <w:szCs w:val="24"/>
          <w:lang w:val="en-GB"/>
        </w:rPr>
        <w:t xml:space="preserve"> or species with antioxidant activity (for instance </w:t>
      </w:r>
      <w:r w:rsidRPr="00A23882">
        <w:rPr>
          <w:sz w:val="24"/>
          <w:szCs w:val="24"/>
          <w:lang w:val="en-GB" w:eastAsia="en-GB"/>
        </w:rPr>
        <w:t xml:space="preserve">Co(II) dinuclear or Zn(II) mononuclear complexes with (phenazonyl-4-imino)methyl)-4-methylphenol </w:t>
      </w:r>
      <w:r w:rsidRPr="00A23882">
        <w:rPr>
          <w:sz w:val="24"/>
          <w:szCs w:val="24"/>
          <w:lang w:val="en-GB" w:eastAsia="en-GB"/>
        </w:rPr>
        <w:fldChar w:fldCharType="begin" w:fldLock="1"/>
      </w:r>
      <w:r w:rsidR="00DD5357">
        <w:rPr>
          <w:sz w:val="24"/>
          <w:szCs w:val="24"/>
          <w:lang w:val="en-GB" w:eastAsia="en-GB"/>
        </w:rPr>
        <w:instrText>ADDIN CSL_CITATION {"citationItems":[{"id":"ITEM-1","itemData":{"DOI":"10.1016/j.ejmech.2011.02.012","ISSN":"02235234","PMID":"21371788","abstract":"A symmetric ligand 2, 6-di ((phenazonyl-4-imino)methyl)-4-methylphenol (Dpmp) and its cobalt dinuclear complex (Co2(Dpmp) 2(NO3)2(H2O)2·NO3· EtOH, (1) and zinc mononuclear complex Zn(Dpmp)(NO3)2, (2) have been prepared. The crystal structures were determined by single-crystal X-ray diffraction. The biological activity has been evaluated by examining their anti-oxidative activity and ability to bind to bovine serum albumin (BSA) and calf-thymus DNA (CT DNA) with UV-vis absorption, fluorescence, viscosity measurements and circular dichroism (CD) spectroscopies. The complexes exhibit good binding propensity to BSA and CT DNA. Both 1 and 2 have been found to promote cleavage of pUC19 DNA in the absence of any reducing agent. Antioxidant tests in vitro show the compounds possess significant antioxidant activity against superoxide and hydroxyl radicals. © 2011 Elsevier Masson SAS. All rights reserved.","author":[{"dropping-particle":"","family":"Liu","given":"Hongyan","non-dropping-particle":"","parse-names":false,"suffix":""},{"dropping-particle":"","family":"Shi","given":"Xiaoyan","non-dropping-particle":"","parse-names":false,"suffix":""},{"dropping-particle":"","family":"Xu","given":"Min","non-dropping-particle":"","parse-names":false,"suffix":""},{"dropping-particle":"","family":"Li","given":"Zhengpeng","non-dropping-particle":"","parse-names":false,"suffix":""},{"dropping-particle":"","family":"Huang","given":"Liang","non-dropping-particle":"","parse-names":false,"suffix":""},{"dropping-particle":"","family":"Bai","given":"Decheng","non-dropping-particle":"","parse-names":false,"suffix":""},{"dropping-particle":"","family":"Zeng","given":"Zhengzhi","non-dropping-particle":"","parse-names":false,"suffix":""}],"container-title":"European Journal of Medicinal Chemistry","id":"ITEM-1","issue":"5","issued":{"date-parts":[["2011"]]},"page":"1638-1647","publisher":"Elsevier Masson SAS","title":"Transition metal complexes of 2, 6-di ((phenazonyl-4-imino) methyl)-4-methylphenol: Structure and biological evaluation","type":"article-journal","volume":"46"},"uris":["http://www.mendeley.com/documents/?uuid=8a205c82-7eb1-41f1-852e-55e07bc80ea2"]}],"mendeley":{"formattedCitation":"[90]","plainTextFormattedCitation":"[90]","previouslyFormattedCitation":"[90]"},"properties":{"noteIndex":0},"schema":"https://github.com/citation-style-language/schema/raw/master/csl-citation.json"}</w:instrText>
      </w:r>
      <w:r w:rsidRPr="00A23882">
        <w:rPr>
          <w:sz w:val="24"/>
          <w:szCs w:val="24"/>
          <w:lang w:val="en-GB" w:eastAsia="en-GB"/>
        </w:rPr>
        <w:fldChar w:fldCharType="separate"/>
      </w:r>
      <w:r w:rsidR="00DD5357" w:rsidRPr="00DD5357">
        <w:rPr>
          <w:noProof/>
          <w:sz w:val="24"/>
          <w:szCs w:val="24"/>
          <w:lang w:val="en-GB" w:eastAsia="en-GB"/>
        </w:rPr>
        <w:t>[90]</w:t>
      </w:r>
      <w:r w:rsidRPr="00A23882">
        <w:rPr>
          <w:sz w:val="24"/>
          <w:szCs w:val="24"/>
          <w:lang w:val="en-GB" w:eastAsia="en-GB"/>
        </w:rPr>
        <w:fldChar w:fldCharType="end"/>
      </w:r>
      <w:r w:rsidRPr="00A23882">
        <w:rPr>
          <w:sz w:val="24"/>
          <w:szCs w:val="24"/>
          <w:lang w:val="en-GB" w:eastAsia="en-GB"/>
        </w:rPr>
        <w:t xml:space="preserve">). </w:t>
      </w:r>
      <w:r w:rsidRPr="00A23882">
        <w:rPr>
          <w:spacing w:val="-4"/>
          <w:sz w:val="24"/>
          <w:szCs w:val="24"/>
          <w:lang w:val="en-GB"/>
        </w:rPr>
        <w:t xml:space="preserve">On the other hand, the significant presence of electrostatics as diving force lowers the </w:t>
      </w:r>
      <w:r w:rsidRPr="00A23882">
        <w:rPr>
          <w:spacing w:val="-4"/>
          <w:sz w:val="24"/>
          <w:szCs w:val="24"/>
          <w:lang w:val="en-GB"/>
        </w:rPr>
        <w:lastRenderedPageBreak/>
        <w:t xml:space="preserve">thermodynamic parameters which become close to zero. Usually, </w:t>
      </w:r>
      <w:r w:rsidR="00C17302" w:rsidRPr="001B7886">
        <w:rPr>
          <w:rFonts w:ascii="Symbol" w:hAnsi="Symbol"/>
          <w:spacing w:val="-4"/>
          <w:sz w:val="24"/>
          <w:szCs w:val="24"/>
        </w:rPr>
        <w:t></w:t>
      </w:r>
      <w:r w:rsidRPr="00A23882">
        <w:rPr>
          <w:spacing w:val="-4"/>
          <w:sz w:val="24"/>
          <w:szCs w:val="24"/>
          <w:lang w:val="en-GB"/>
        </w:rPr>
        <w:t xml:space="preserve">S is small but remains positive, whereas </w:t>
      </w:r>
      <w:r w:rsidR="001B7886" w:rsidRPr="001B7886">
        <w:rPr>
          <w:rFonts w:ascii="Symbol" w:hAnsi="Symbol"/>
          <w:spacing w:val="-4"/>
          <w:sz w:val="24"/>
          <w:szCs w:val="24"/>
        </w:rPr>
        <w:t></w:t>
      </w:r>
      <w:r w:rsidRPr="00A23882">
        <w:rPr>
          <w:spacing w:val="-4"/>
          <w:sz w:val="24"/>
          <w:szCs w:val="24"/>
          <w:lang w:val="en-GB"/>
        </w:rPr>
        <w:t xml:space="preserve">H is small but changes into negative. In addition to some organic drugs (cromolyn </w:t>
      </w:r>
      <w:r w:rsidRPr="00A23882">
        <w:rPr>
          <w:spacing w:val="-4"/>
          <w:sz w:val="24"/>
          <w:szCs w:val="24"/>
          <w:lang w:val="en-GB"/>
        </w:rPr>
        <w:fldChar w:fldCharType="begin" w:fldLock="1"/>
      </w:r>
      <w:r w:rsidR="00DD5357">
        <w:rPr>
          <w:spacing w:val="-4"/>
          <w:sz w:val="24"/>
          <w:szCs w:val="24"/>
          <w:lang w:val="en-GB"/>
        </w:rPr>
        <w:instrText>ADDIN CSL_CITATION {"citationItems":[{"id":"ITEM-1","itemData":{"DOI":"10.1016/j.ijbiomac.2006.04.004","ISSN":"01418130","abstract":"Fluorescence spectroscopy in combination with circular dichroism (CD) and UV-vis absorption spectroscopy were employed to investigate the binding of anti-inflammatory drug cromolyn sodium (Intal) to bovine serum albumin (BSA) under the physiological conditions with Intal concentrations of 0-6.4 × 10-5 mol L-1. In the mechanism discussion, it was proved that the fluorescence quenching of BSA by Intal is a result of the formation of Intal-BSA complex. Quenching constants were determined using the Stern-Volmer equation to provide a measure of the binding affinity between Intal and BSA. The thermodynamic parameters ΔG, ΔH, ΔS at different temperatures (298, 304, and 310 K) were calculated and the results indicate the electrostatic interactions play a major role in Intal-BSA association. Binding studies concerning the number of binding sites (n = 1) and apparent binding constant Kb were performed by fluorescence quenching method. Utilizing fluorescence resonant energy transfer (FRET) the distance R between the donor (BSA) and acceptor (Intal) has been obtained. Furthermore, CD and synchronous fluorescence spectrum were used to investigate the structural change of BSA molecules with addition of Intal, the results indicate that the secondary structure of BSA molecules was changed in the presence of Intal. © 2006 Elsevier B.V. All rights reserved.","author":[{"dropping-particle":"","family":"Hu","given":"Yan Jun","non-dropping-particle":"","parse-names":false,"suffix":""},{"dropping-particle":"","family":"Liu","given":"Yi","non-dropping-particle":"","parse-names":false,"suffix":""},{"dropping-particle":"","family":"Sun","given":"Ting Quan","non-dropping-particle":"","parse-names":false,"suffix":""},{"dropping-particle":"","family":"Bai","given":"Ai Min","non-dropping-particle":"","parse-names":false,"suffix":""},{"dropping-particle":"","family":"Lü","given":"Jian Quan","non-dropping-particle":"","parse-names":false,"suffix":""},{"dropping-particle":"","family":"Pi","given":"Zhen Bang","non-dropping-particle":"","parse-names":false,"suffix":""}],"container-title":"International Journal of Biological Macromolecules","id":"ITEM-1","issue":"4-5","issued":{"date-parts":[["2006"]]},"page":"280-285","title":"Binding of anti-inflammatory drug cromolyn sodium to bovine serum albumin","type":"article-journal","volume":"39"},"uris":["http://www.mendeley.com/documents/?uuid=a6cd552e-619a-4b76-b5fc-ec723860ab78"]}],"mendeley":{"formattedCitation":"[91]","plainTextFormattedCitation":"[91]","previouslyFormattedCitation":"[91]"},"properties":{"noteIndex":0},"schema":"https://github.com/citation-style-language/schema/raw/master/csl-citation.json"}</w:instrText>
      </w:r>
      <w:r w:rsidRPr="00A23882">
        <w:rPr>
          <w:spacing w:val="-4"/>
          <w:sz w:val="24"/>
          <w:szCs w:val="24"/>
          <w:lang w:val="en-GB"/>
        </w:rPr>
        <w:fldChar w:fldCharType="separate"/>
      </w:r>
      <w:r w:rsidR="00DD5357" w:rsidRPr="00DD5357">
        <w:rPr>
          <w:noProof/>
          <w:spacing w:val="-4"/>
          <w:sz w:val="24"/>
          <w:szCs w:val="24"/>
          <w:lang w:val="en-GB"/>
        </w:rPr>
        <w:t>[91]</w:t>
      </w:r>
      <w:r w:rsidRPr="00A23882">
        <w:rPr>
          <w:spacing w:val="-4"/>
          <w:sz w:val="24"/>
          <w:szCs w:val="24"/>
          <w:lang w:val="en-GB"/>
        </w:rPr>
        <w:fldChar w:fldCharType="end"/>
      </w:r>
      <w:r w:rsidRPr="00A23882">
        <w:rPr>
          <w:spacing w:val="-4"/>
          <w:sz w:val="24"/>
          <w:szCs w:val="24"/>
          <w:lang w:val="en-GB"/>
        </w:rPr>
        <w:t xml:space="preserve">, scutellarin </w:t>
      </w:r>
      <w:r w:rsidRPr="00A23882">
        <w:rPr>
          <w:spacing w:val="-4"/>
          <w:sz w:val="24"/>
          <w:szCs w:val="24"/>
          <w:lang w:val="en-GB"/>
        </w:rPr>
        <w:fldChar w:fldCharType="begin" w:fldLock="1"/>
      </w:r>
      <w:r w:rsidRPr="00A23882">
        <w:rPr>
          <w:spacing w:val="-4"/>
          <w:sz w:val="24"/>
          <w:szCs w:val="24"/>
          <w:lang w:val="en-GB"/>
        </w:rPr>
        <w:instrText>ADDIN CSL_CITATION {"citationItems":[{"id":"ITEM-1","itemData":{"author":[{"dropping-particle":"","family":"Tian","given":"Jianniao","non-dropping-particle":"","parse-names":false,"suffix":""},{"dropping-particle":"","family":"Liu","given":"Jiaqin","non-dropping-particle":"","parse-names":false,"suffix":""},{"dropping-particle":"","family":"Hu","given":"Zhide","non-dropping-particle":"","parse-names":false,"suffix":""},{"dropping-particle":"","family":"Chen","given":"Xingguo","non-dropping-particle":"","parse-names":false,"suffix":""}],"container-title":"Interactions","id":"ITEM-1","issue":"1","issued":{"date-parts":[["2005"]]},"page":"21-23","title":"Binding of the scutellarin to albumin using tryptophan fluorescence quenching , CD and FT-IR spectra College of Chemistry and Chemical Engineering , Guangxi Normal University , Guilin 541004 , China Department of Chemistry , Lanzhou University , Lanzhou 7","type":"article-journal","volume":"1"},"uris":["http://www.mendeley.com/documents/?uuid=5125b1d7-0a26-4888-9540-ac57574cdc8a"]}],"mendeley":{"formattedCitation":"[17]","plainTextFormattedCitation":"[17]","previouslyFormattedCitation":"[17]"},"properties":{"noteIndex":0},"schema":"https://github.com/citation-style-language/schema/raw/master/csl-citation.json"}</w:instrText>
      </w:r>
      <w:r w:rsidRPr="00A23882">
        <w:rPr>
          <w:spacing w:val="-4"/>
          <w:sz w:val="24"/>
          <w:szCs w:val="24"/>
          <w:lang w:val="en-GB"/>
        </w:rPr>
        <w:fldChar w:fldCharType="separate"/>
      </w:r>
      <w:r w:rsidRPr="00A23882">
        <w:rPr>
          <w:noProof/>
          <w:spacing w:val="-4"/>
          <w:sz w:val="24"/>
          <w:szCs w:val="24"/>
          <w:lang w:val="en-GB"/>
        </w:rPr>
        <w:t>[17]</w:t>
      </w:r>
      <w:r w:rsidRPr="00A23882">
        <w:rPr>
          <w:spacing w:val="-4"/>
          <w:sz w:val="24"/>
          <w:szCs w:val="24"/>
          <w:lang w:val="en-GB"/>
        </w:rPr>
        <w:fldChar w:fldCharType="end"/>
      </w:r>
      <w:r w:rsidRPr="00A23882">
        <w:rPr>
          <w:spacing w:val="-4"/>
          <w:sz w:val="24"/>
          <w:szCs w:val="24"/>
          <w:lang w:val="en-GB"/>
        </w:rPr>
        <w:t xml:space="preserve">, hesperdin </w:t>
      </w:r>
      <w:r w:rsidRPr="00A23882">
        <w:rPr>
          <w:spacing w:val="-4"/>
          <w:sz w:val="24"/>
          <w:szCs w:val="24"/>
          <w:lang w:val="en-GB"/>
        </w:rPr>
        <w:fldChar w:fldCharType="begin" w:fldLock="1"/>
      </w:r>
      <w:r w:rsidR="00DD5357">
        <w:rPr>
          <w:spacing w:val="-4"/>
          <w:sz w:val="24"/>
          <w:szCs w:val="24"/>
          <w:lang w:val="en-GB"/>
        </w:rPr>
        <w:instrText>ADDIN CSL_CITATION {"citationItems":[{"id":"ITEM-1","itemData":{"DOI":"10.1016/j.jlumin.2006.06.013","ISSN":"00222313","abstract":"The interaction between the flavonoid hesperidin and bovine serum albumin (BSA) was investigated by fluorescence and UV/Vis absorption spectroscopy. The results revealed that hesperidin caused the fluorescence quenching of BSA through a static quenching procedure. The hydrophobic and electrostatic interactions play a major role in stabilizing the complex. The binding site number n, and apparent binding constant KA, corresponding thermodynamic parameters ΔGo, ΔHo, ΔSo at different temperatures were calculated. The distance r between donor (BSA) and acceptor (hesperidin) was obtained according to fluorescence resonance energy transfer. The effect of Cu2+, Zn2+, Ni2+, Co2+, and Mn2+ on the binding constants between hesperidin and BSA were studied. The effect of hesperidin on the conformation of BSA was analyzed using synchronous fluorescence spectroscopy and UV/Vis absorption spectroscopy. © 2006 Elsevier B.V. All rights reserved.","author":[{"dropping-particle":"","family":"Wang","given":"Yan Qing","non-dropping-particle":"","parse-names":false,"suffix":""},{"dropping-particle":"","family":"Zhang","given":"Hong Mei","non-dropping-particle":"","parse-names":false,"suffix":""},{"dropping-particle":"","family":"Zhang","given":"Gen Cheng","non-dropping-particle":"","parse-names":false,"suffix":""},{"dropping-particle":"","family":"Tao","given":"Wei Hua","non-dropping-particle":"","parse-names":false,"suffix":""},{"dropping-particle":"","family":"Tang","given":"Shu He","non-dropping-particle":"","parse-names":false,"suffix":""}],"container-title":"Journal of Luminescence","id":"ITEM-1","issue":"1","issued":{"date-parts":[["2007"]]},"page":"211-218","title":"Interaction of the flavonoid hesperidin with bovine serum albumin: A fluorescence quenching study","type":"article-journal","volume":"126"},"uris":["http://www.mendeley.com/documents/?uuid=754796b6-24e2-4b2d-b816-367a4f236d85"]}],"mendeley":{"formattedCitation":"[65]","plainTextFormattedCitation":"[65]","previouslyFormattedCitation":"[65]"},"properties":{"noteIndex":0},"schema":"https://github.com/citation-style-language/schema/raw/master/csl-citation.json"}</w:instrText>
      </w:r>
      <w:r w:rsidRPr="00A23882">
        <w:rPr>
          <w:spacing w:val="-4"/>
          <w:sz w:val="24"/>
          <w:szCs w:val="24"/>
          <w:lang w:val="en-GB"/>
        </w:rPr>
        <w:fldChar w:fldCharType="separate"/>
      </w:r>
      <w:r w:rsidR="00DD5357" w:rsidRPr="00DD5357">
        <w:rPr>
          <w:noProof/>
          <w:spacing w:val="-4"/>
          <w:sz w:val="24"/>
          <w:szCs w:val="24"/>
          <w:lang w:val="en-GB"/>
        </w:rPr>
        <w:t>[65]</w:t>
      </w:r>
      <w:r w:rsidRPr="00A23882">
        <w:rPr>
          <w:spacing w:val="-4"/>
          <w:sz w:val="24"/>
          <w:szCs w:val="24"/>
          <w:lang w:val="en-GB"/>
        </w:rPr>
        <w:fldChar w:fldCharType="end"/>
      </w:r>
      <w:r w:rsidRPr="00A23882">
        <w:rPr>
          <w:spacing w:val="-4"/>
          <w:sz w:val="24"/>
          <w:szCs w:val="24"/>
          <w:lang w:val="en-GB"/>
        </w:rPr>
        <w:t xml:space="preserve">, daphnetin </w:t>
      </w:r>
      <w:r w:rsidRPr="00A23882">
        <w:rPr>
          <w:spacing w:val="-4"/>
          <w:sz w:val="24"/>
          <w:szCs w:val="24"/>
          <w:lang w:val="en-GB"/>
        </w:rPr>
        <w:fldChar w:fldCharType="begin" w:fldLock="1"/>
      </w:r>
      <w:r w:rsidR="00DD5357">
        <w:rPr>
          <w:spacing w:val="-4"/>
          <w:sz w:val="24"/>
          <w:szCs w:val="24"/>
          <w:lang w:val="en-GB"/>
        </w:rPr>
        <w:instrText>ADDIN CSL_CITATION {"citationItems":[{"id":"ITEM-1","itemData":{"DOI":"10.1016/j.jpba.2004.02.010","ISSN":"07317085","abstract":"Daphnetin (7,8-dihydroxycoumarin), one of the major bioactive components isolated from Daphne odora (as glucoside), is a chelator, an antioxidant and a protein kinase inhibitor. In this paper, we report for the first time studies on the binding of daphnetin to bovine serum albumin (BSA) under physiological conditions with BSA concentration of 1.5×10-6 mol l -1 and drug concentration in the range of 6.7×10-6 to 2.0×10-5 mol l-1. Fluorescence quenching spectra in combination with Fourier transform infrared (FT-IR) spectroscopy and circular dichroism (CD) spectroscopy was used to investigate the drug-binding mode, the binding constant and the protein structure changes in the presence of daphnetin in aqueous solution. The curvature of Scatchard plot indicates that daphnetin binds to more than one class of sites on BSA. The thermodynamic parameters, enthalpy change (ΔH) and entropy change (ΔS) were calculated to be -24.21 kJ mol-1 and 19.30 J mol-1 K-1 according to van't Hoff equation, which indicated that hydrophobic and electrostatic interaction played main role in the binding of daphnetin to BSA. © 2004 Elsevier B.V. All rights reserved.","author":[{"dropping-particle":"","family":"Liu","given":"Jiaqin","non-dropping-particle":"","parse-names":false,"suffix":""},{"dropping-particle":"","family":"Tian","given":"Jianniao","non-dropping-particle":"","parse-names":false,"suffix":""},{"dropping-particle":"","family":"He","given":"Wenying","non-dropping-particle":"","parse-names":false,"suffix":""},{"dropping-particle":"","family":"Xie","given":"Jianping","non-dropping-particle":"","parse-names":false,"suffix":""},{"dropping-particle":"","family":"Hu","given":"Zhide","non-dropping-particle":"","parse-names":false,"suffix":""},{"dropping-particle":"","family":"Chen","given":"Xingguo","non-dropping-particle":"","parse-names":false,"suffix":""}],"container-title":"Journal of Pharmaceutical and Biomedical Analysis","id":"ITEM-1","issue":"3","issued":{"date-parts":[["2004"]]},"page":"671-677","title":"Spectrofluorimetric study of the binding of daphnetin to bovine serum albumin","type":"article-journal","volume":"35"},"uris":["http://www.mendeley.com/documents/?uuid=60b27311-8de1-4235-8a03-178721debe38"]}],"mendeley":{"formattedCitation":"[92]","plainTextFormattedCitation":"[92]","previouslyFormattedCitation":"[92]"},"properties":{"noteIndex":0},"schema":"https://github.com/citation-style-language/schema/raw/master/csl-citation.json"}</w:instrText>
      </w:r>
      <w:r w:rsidRPr="00A23882">
        <w:rPr>
          <w:spacing w:val="-4"/>
          <w:sz w:val="24"/>
          <w:szCs w:val="24"/>
          <w:lang w:val="en-GB"/>
        </w:rPr>
        <w:fldChar w:fldCharType="separate"/>
      </w:r>
      <w:r w:rsidR="00DD5357" w:rsidRPr="00DD5357">
        <w:rPr>
          <w:noProof/>
          <w:spacing w:val="-4"/>
          <w:sz w:val="24"/>
          <w:szCs w:val="24"/>
          <w:lang w:val="en-GB"/>
        </w:rPr>
        <w:t>[92]</w:t>
      </w:r>
      <w:r w:rsidRPr="00A23882">
        <w:rPr>
          <w:spacing w:val="-4"/>
          <w:sz w:val="24"/>
          <w:szCs w:val="24"/>
          <w:lang w:val="en-GB"/>
        </w:rPr>
        <w:fldChar w:fldCharType="end"/>
      </w:r>
      <w:r w:rsidRPr="00A23882">
        <w:rPr>
          <w:spacing w:val="-4"/>
          <w:sz w:val="24"/>
          <w:szCs w:val="24"/>
          <w:lang w:val="en-GB"/>
        </w:rPr>
        <w:t xml:space="preserve">), this type of interaction results to be prevalent also for potential antibacterial and anticancer metal complexes (such as the Zn(phen)-Schiff base complex </w:t>
      </w:r>
      <w:r w:rsidRPr="00A23882">
        <w:rPr>
          <w:spacing w:val="-4"/>
          <w:sz w:val="24"/>
          <w:szCs w:val="24"/>
          <w:lang w:val="en-GB"/>
        </w:rPr>
        <w:fldChar w:fldCharType="begin" w:fldLock="1"/>
      </w:r>
      <w:r w:rsidR="00DD5357">
        <w:rPr>
          <w:spacing w:val="-4"/>
          <w:sz w:val="24"/>
          <w:szCs w:val="24"/>
          <w:lang w:val="en-GB"/>
        </w:rPr>
        <w:instrText>ADDIN CSL_CITATION {"citationItems":[{"id":"ITEM-1","itemData":{"DOI":"10.1016/j.saa.2008.06.027","ISSN":"13861425","abstract":"Fluorescence spectroscopy in combination with circular dichroism (CD) spectroscopy were used to investigate the interaction of water-soluble amino acid Schiff base complexes, [Zn(L1,2)(phen)] where phen is 1,10-phenanthroline and H2L1,2 is amino acid Schiff base ligands, with bovine serum albumin (BSA) under the physiological conditions in phosphate buffer solution adjusted to pH 7.0. The quenching mechanism of fluorescence was suggested as static quenching according to the Stern-Volmer equation. Quenching constants were determined using the Stern-Volmer equation to provide a measure of the binding affinity between amino acid Schiff base complexes and BSA. The thermodynamic parameters ΔG, ΔH and ΔS at different temperatures (298, 310 and 318 K) were calculated. The results indicate that the hydrophobic and hydrogen bonding interactions play a major role in [Zn(L1)(phen)]-BSA association, whereas hydrophobic and electrostatic interactions participate a main role in [Zn(L2)(phen)]-BSA binding process. Binding studies concerning the number of binding sites and apparent binding constant Kb were performed by fluorescence quenching method. The distance R between the donor (BSA) and acceptor (amino acid Schiff base complexes) has been obtained utilizing fluorescence resonant energy transfer (FRET). Furthermore, CD spectra were used to investigate the structural changes of the BSA molecule with the addition of amino acid Schiff base complexes. The results indicate that the interaction of amino acid Schiff base complexes with BSA leads to changes in the secondary structure of the protein. Fractional contents of the secondary structure of BSA (fα, fβ, fturn and frandom) were calculated with and without amino acid Schiff base complexes utilizing circular dichroism spectroscopy. Our results clarified that amino acid Schiff base complexes could bind to BSA and be effectively transported and eliminated in the body, which could be a useful guideline for further drug design. © 2008 Elsevier B.V. All rights reserved.","author":[{"dropping-particle":"","family":"Gharagozlou","given":"Mehrnaz","non-dropping-particle":"","parse-names":false,"suffix":""},{"dropping-particle":"","family":"Boghaei","given":"Davar M.","non-dropping-particle":"","parse-names":false,"suffix":""}],"container-title":"Spectrochimica Acta - Part A: Molecular and Biomolecular Spectroscopy","id":"ITEM-1","issue":"4","issued":{"date-parts":[["2008"]]},"page":"1617-1622","title":"Interaction of water-soluble amino acid Schiff base complexes with bovine serum albumin: Fluorescence and circular dichroism studies","type":"article-journal","volume":"71"},"uris":["http://www.mendeley.com/documents/?uuid=a835082e-a6c2-4c63-b122-3522e5332a41"]}],"mendeley":{"formattedCitation":"[70]","plainTextFormattedCitation":"[70]","previouslyFormattedCitation":"[70]"},"properties":{"noteIndex":0},"schema":"https://github.com/citation-style-language/schema/raw/master/csl-citation.json"}</w:instrText>
      </w:r>
      <w:r w:rsidRPr="00A23882">
        <w:rPr>
          <w:spacing w:val="-4"/>
          <w:sz w:val="24"/>
          <w:szCs w:val="24"/>
          <w:lang w:val="en-GB"/>
        </w:rPr>
        <w:fldChar w:fldCharType="separate"/>
      </w:r>
      <w:r w:rsidR="00DD5357" w:rsidRPr="00DD5357">
        <w:rPr>
          <w:noProof/>
          <w:spacing w:val="-4"/>
          <w:sz w:val="24"/>
          <w:szCs w:val="24"/>
          <w:lang w:val="en-GB"/>
        </w:rPr>
        <w:t>[70]</w:t>
      </w:r>
      <w:r w:rsidRPr="00A23882">
        <w:rPr>
          <w:spacing w:val="-4"/>
          <w:sz w:val="24"/>
          <w:szCs w:val="24"/>
          <w:lang w:val="en-GB"/>
        </w:rPr>
        <w:fldChar w:fldCharType="end"/>
      </w:r>
      <w:r w:rsidRPr="00A23882">
        <w:rPr>
          <w:spacing w:val="-4"/>
          <w:sz w:val="24"/>
          <w:szCs w:val="24"/>
          <w:lang w:val="en-GB"/>
        </w:rPr>
        <w:t xml:space="preserve"> or for Ag(I), Pd(II) and Pt(II) complexes of atriazine-3-thione </w:t>
      </w:r>
      <w:r w:rsidRPr="00A23882">
        <w:rPr>
          <w:spacing w:val="-4"/>
          <w:sz w:val="24"/>
          <w:szCs w:val="24"/>
          <w:lang w:val="en-GB"/>
        </w:rPr>
        <w:fldChar w:fldCharType="begin" w:fldLock="1"/>
      </w:r>
      <w:r w:rsidR="00DD5357">
        <w:rPr>
          <w:spacing w:val="-4"/>
          <w:sz w:val="24"/>
          <w:szCs w:val="24"/>
          <w:lang w:val="en-GB"/>
        </w:rPr>
        <w:instrText>ADDIN CSL_CITATION {"citationItems":[{"id":"ITEM-1","itemData":{"DOI":"10.1016/j.saa.2006.12.058","ISSN":"13861425","abstract":"Ag(I), Pd(II) and Pt(II) complexes of 5-methoxy-5,6-diphenyl-4,5-dihydro-2H-[1,2,4]triazine-3-thione (LH2OCH3) have been synthesized and characterized by elemental analysis, molar conductance, 1H NMR, IR spectra, UV spectra and thermal analysis (TG-DTA). The components of the three complexes are [Ag(C15H10N3S)]6, Pd(C15H10N3S)2 and Pt(C15H10N3S)2·C3H6O·2H2O, respectively. All the complexes are nonelectrolyte and have high thermodynamic stability. The ligand may act as bidentate NS donor for Pd(II) and Pt(II) complexes, while it seems to be bidentate NS bridging via sulphur atom for Ag(I) complex. A planar quadrangular structure is proposed for Pd(II) and Pt(II) complexes and Ag(I) complex may be a hexanuclear cluster. Their interactions with bovine serum albumin (BSA) are investigated using steady state fluorescence technology. It is observed that all of them can quench the intrinsic fluorescence of BSA through static quenching procedure. The binding constants (KA) at different temperatures, thermodynamic parameters enthalpy changes (ΔH) and entropy changes (ΔS) between BSA and the compounds are calculated. Based on the values of ΔH and ΔS, it is judged that the main acting force of PtL2·C3H6O·2H2O with BSA may be electrostatic interaction, and for the LH2OCH3, Ag6L6 and PdL2, hydrophobic and electrostatic interactions may be involved in their binding processes. © 2007 Elsevier B.V. All rights reserved.","author":[{"dropping-particle":"","family":"Zhang","given":"Xiuying","non-dropping-particle":"","parse-names":false,"suffix":""},{"dropping-particle":"","family":"Li","given":"Shuyan","non-dropping-particle":"","parse-names":false,"suffix":""},{"dropping-particle":"","family":"Yang","given":"Lin","non-dropping-particle":"","parse-names":false,"suffix":""},{"dropping-particle":"","family":"Fan","given":"Changqing","non-dropping-particle":"","parse-names":false,"suffix":""}],"container-title":"Spectrochimica Acta - Part A: Molecular and Biomolecular Spectroscopy","id":"ITEM-1","issue":"3","issued":{"date-parts":[["2007"]]},"page":"763-770","title":"Synthesis, characterization of Ag(I), Pd(II) and Pt(II) complexes of a triazine-3-thione and their interactions with bovine serum albumin","type":"article-journal","volume":"68"},"uris":["http://www.mendeley.com/documents/?uuid=3471a8c1-36ce-4e0c-bbe6-fda903b91305"]}],"mendeley":{"formattedCitation":"[93]","plainTextFormattedCitation":"[93]","previouslyFormattedCitation":"[93]"},"properties":{"noteIndex":0},"schema":"https://github.com/citation-style-language/schema/raw/master/csl-citation.json"}</w:instrText>
      </w:r>
      <w:r w:rsidRPr="00A23882">
        <w:rPr>
          <w:spacing w:val="-4"/>
          <w:sz w:val="24"/>
          <w:szCs w:val="24"/>
          <w:lang w:val="en-GB"/>
        </w:rPr>
        <w:fldChar w:fldCharType="separate"/>
      </w:r>
      <w:r w:rsidR="00DD5357" w:rsidRPr="00DD5357">
        <w:rPr>
          <w:noProof/>
          <w:spacing w:val="-4"/>
          <w:sz w:val="24"/>
          <w:szCs w:val="24"/>
          <w:lang w:val="en-GB"/>
        </w:rPr>
        <w:t>[93]</w:t>
      </w:r>
      <w:r w:rsidRPr="00A23882">
        <w:rPr>
          <w:spacing w:val="-4"/>
          <w:sz w:val="24"/>
          <w:szCs w:val="24"/>
          <w:lang w:val="en-GB"/>
        </w:rPr>
        <w:fldChar w:fldCharType="end"/>
      </w:r>
      <w:r w:rsidRPr="00A23882">
        <w:rPr>
          <w:spacing w:val="-4"/>
          <w:sz w:val="24"/>
          <w:szCs w:val="24"/>
          <w:lang w:val="en-GB"/>
        </w:rPr>
        <w:t xml:space="preserve">). Some exceptions might be found in the literature. For instance, evodiamine, a quinolone alkaloid,  with </w:t>
      </w:r>
      <w:r w:rsidR="001B7886" w:rsidRPr="001B7886">
        <w:rPr>
          <w:rFonts w:ascii="Symbol" w:hAnsi="Symbol"/>
          <w:spacing w:val="-4"/>
          <w:sz w:val="24"/>
          <w:szCs w:val="24"/>
        </w:rPr>
        <w:t></w:t>
      </w:r>
      <w:r w:rsidRPr="00A23882">
        <w:rPr>
          <w:spacing w:val="-4"/>
          <w:sz w:val="24"/>
          <w:szCs w:val="24"/>
          <w:lang w:val="en-GB"/>
        </w:rPr>
        <w:t>H = + 60 kJ mol</w:t>
      </w:r>
      <w:r w:rsidRPr="00A23882">
        <w:rPr>
          <w:spacing w:val="-4"/>
          <w:sz w:val="24"/>
          <w:szCs w:val="24"/>
          <w:vertAlign w:val="superscript"/>
          <w:lang w:val="en-GB"/>
        </w:rPr>
        <w:t>-1</w:t>
      </w:r>
      <w:r w:rsidRPr="00A23882">
        <w:rPr>
          <w:spacing w:val="-4"/>
          <w:sz w:val="24"/>
          <w:szCs w:val="24"/>
          <w:lang w:val="en-GB"/>
        </w:rPr>
        <w:t xml:space="preserve"> and T</w:t>
      </w:r>
      <w:r w:rsidR="001B7886" w:rsidRPr="001B7886">
        <w:rPr>
          <w:rFonts w:ascii="Symbol" w:hAnsi="Symbol"/>
          <w:spacing w:val="-4"/>
          <w:sz w:val="24"/>
          <w:szCs w:val="24"/>
        </w:rPr>
        <w:t></w:t>
      </w:r>
      <w:r w:rsidRPr="00A23882">
        <w:rPr>
          <w:spacing w:val="-4"/>
          <w:sz w:val="24"/>
          <w:szCs w:val="24"/>
          <w:lang w:val="en-GB"/>
        </w:rPr>
        <w:t>S = + 62 kJ mol</w:t>
      </w:r>
      <w:r w:rsidRPr="00A23882">
        <w:rPr>
          <w:spacing w:val="-4"/>
          <w:sz w:val="24"/>
          <w:szCs w:val="24"/>
          <w:vertAlign w:val="superscript"/>
          <w:lang w:val="en-GB"/>
        </w:rPr>
        <w:t>-1</w:t>
      </w:r>
      <w:r w:rsidRPr="00A23882">
        <w:rPr>
          <w:spacing w:val="-4"/>
          <w:sz w:val="24"/>
          <w:szCs w:val="24"/>
          <w:lang w:val="en-GB"/>
        </w:rPr>
        <w:t xml:space="preserve"> is claimed to bind BSA through hydrophobic and electrostatic interactions </w:t>
      </w:r>
      <w:r w:rsidRPr="00A23882">
        <w:rPr>
          <w:spacing w:val="-4"/>
          <w:sz w:val="24"/>
          <w:szCs w:val="24"/>
          <w:lang w:val="en-GB"/>
        </w:rPr>
        <w:fldChar w:fldCharType="begin" w:fldLock="1"/>
      </w:r>
      <w:r w:rsidR="00DD5357">
        <w:rPr>
          <w:spacing w:val="-4"/>
          <w:sz w:val="24"/>
          <w:szCs w:val="24"/>
          <w:lang w:val="en-GB"/>
        </w:rPr>
        <w:instrText>ADDIN CSL_CITATION {"citationItems":[{"id":"ITEM-1","itemData":{"DOI":"10.1155/2013/308054","ISSN":"20909063","abstract":"The interaction of evodiamine (Evo) with bovine serum albumins (BSAs) at different two temperatures (298 and 310 K) was investigated by means of fluorescence spectroscopy. The experimental results showed that Evo binds with BSA via a static quenching procedure with association constants K of 1.61 × 10 6 L/mol at 298 K and 6.78 × 10 5 L/mol at 310 K. The number of bound Evo molecules per protein is 1.31 at 298 K and 1.33 at 310 K. The results suggested that Evo reacts with BSA chiefly through hydrophobic and electrostatic interactions, and it does not alter the α-helical nature of BAS. © 2012 Mingxiong Tan et al.","author":[{"dropping-particle":"","family":"Tan","given":"Mingxiong","non-dropping-particle":"","parse-names":false,"suffix":""},{"dropping-particle":"","family":"Liang","given":"Weijiang","non-dropping-particle":"","parse-names":false,"suffix":""},{"dropping-particle":"","family":"Luo","given":"Xujian","non-dropping-particle":"","parse-names":false,"suffix":""},{"dropping-particle":"","family":"Gu","given":"Yunqiong","non-dropping-particle":"","parse-names":false,"suffix":""}],"container-title":"Journal of Chemistry","id":"ITEM-1","issued":{"date-parts":[["2013"]]},"title":"Fluorescence spectroscopy study on the interaction between evodiamine and bovine serum albumin","type":"article-journal"},"uris":["http://www.mendeley.com/documents/?uuid=f36c610b-5b6e-4c51-b202-cc246e973fc4"]}],"mendeley":{"formattedCitation":"[94]","plainTextFormattedCitation":"[94]","previouslyFormattedCitation":"[94]"},"properties":{"noteIndex":0},"schema":"https://github.com/citation-style-language/schema/raw/master/csl-citation.json"}</w:instrText>
      </w:r>
      <w:r w:rsidRPr="00A23882">
        <w:rPr>
          <w:spacing w:val="-4"/>
          <w:sz w:val="24"/>
          <w:szCs w:val="24"/>
          <w:lang w:val="en-GB"/>
        </w:rPr>
        <w:fldChar w:fldCharType="separate"/>
      </w:r>
      <w:r w:rsidR="00DD5357" w:rsidRPr="00DD5357">
        <w:rPr>
          <w:noProof/>
          <w:spacing w:val="-4"/>
          <w:sz w:val="24"/>
          <w:szCs w:val="24"/>
          <w:lang w:val="en-GB"/>
        </w:rPr>
        <w:t>[94]</w:t>
      </w:r>
      <w:r w:rsidRPr="00A23882">
        <w:rPr>
          <w:spacing w:val="-4"/>
          <w:sz w:val="24"/>
          <w:szCs w:val="24"/>
          <w:lang w:val="en-GB"/>
        </w:rPr>
        <w:fldChar w:fldCharType="end"/>
      </w:r>
      <w:r w:rsidRPr="00A23882">
        <w:rPr>
          <w:spacing w:val="-4"/>
          <w:sz w:val="24"/>
          <w:szCs w:val="24"/>
          <w:lang w:val="en-GB"/>
        </w:rPr>
        <w:t>. D</w:t>
      </w:r>
      <w:r w:rsidRPr="00A23882">
        <w:rPr>
          <w:sz w:val="24"/>
          <w:szCs w:val="24"/>
          <w:lang w:val="en-GB" w:eastAsia="en-GB"/>
        </w:rPr>
        <w:t xml:space="preserve">ihydromyricetin complexes of Cu(II), Mn(II), Zn(II) </w:t>
      </w:r>
      <w:r w:rsidRPr="00A23882">
        <w:rPr>
          <w:sz w:val="24"/>
          <w:szCs w:val="24"/>
          <w:lang w:val="en-GB" w:eastAsia="en-GB"/>
        </w:rPr>
        <w:fldChar w:fldCharType="begin" w:fldLock="1"/>
      </w:r>
      <w:r w:rsidRPr="00A23882">
        <w:rPr>
          <w:sz w:val="24"/>
          <w:szCs w:val="24"/>
          <w:lang w:val="en-GB" w:eastAsia="en-GB"/>
        </w:rPr>
        <w:instrText>ADDIN CSL_CITATION {"citationItems":[{"id":"ITEM-1","itemData":{"DOI":"10.1080/13102818.2014.915077","ISSN":"13102818","abstract":"The binding mechanisms of the interaction of three dihydromyricetin (DMY)-metal complexes (DMY-Cu (II) complex, DMY-Mn (II) complex, DMY-Zn (II) complex) and DMY with bovine serum albumin (BSA) were investigated using fluorescence and ultraviolet spectroscopy at different temperatures. The results indicated some differences in the binding process between different DMY-metal complexes and BSA compared with that of free DMY. All of the complexes and DMY quenched the fluorescence of BSA based on static mode combined with radiationless energy transfer, yet having different binding distance based on the Förster theory. Different DMY-metal complexes can change the binding constants. The binding constants increase for DMY-Cu (II) and DMY-Mn (II) complexes, whereas the opposite is true for the DMY-Zn (II) complex compared to the one with free DMY. The DMY-metal complexes can also affect the types of the interaction. The van der Waals forces and hydrogen bonding may play a major role in the interaction of free DMY with BSA, while for the three complexes, the nature of the binding forces lies in hydrophobic forces and hydrogen bonding based on the thermodynamic parameters. © 2014 The Author(s). Published by Taylor &amp; Francis.","author":[{"dropping-particle":"","family":"Guo","given":"Qingquan","non-dropping-particle":"","parse-names":false,"suffix":""},{"dropping-particle":"","family":"Yuan","given":"Juan","non-dropping-particle":"","parse-names":false,"suffix":""},{"dropping-particle":"","family":"Zeng","given":"Jinhua","non-dropping-particle":"","parse-names":false,"suffix":""}],"container-title":"Biotechnology and Biotechnological Equipment","id":"ITEM-1","issue":"2","issued":{"date-parts":[["2014"]]},"page":"333-341","title":"Binding of dihydromyricetin and its metal ion complexes with bovine serum albumin","type":"article-journal","volume":"28"},"uris":["http://www.mendeley.com/documents/?uuid=8e3e38f8-2d97-4951-8c35-0703a16b36b8"]}],"mendeley":{"formattedCitation":"[38]","plainTextFormattedCitation":"[38]","previouslyFormattedCitation":"[38]"},"properties":{"noteIndex":0},"schema":"https://github.com/citation-style-language/schema/raw/master/csl-citation.json"}</w:instrText>
      </w:r>
      <w:r w:rsidRPr="00A23882">
        <w:rPr>
          <w:sz w:val="24"/>
          <w:szCs w:val="24"/>
          <w:lang w:val="en-GB" w:eastAsia="en-GB"/>
        </w:rPr>
        <w:fldChar w:fldCharType="separate"/>
      </w:r>
      <w:r w:rsidRPr="00A23882">
        <w:rPr>
          <w:noProof/>
          <w:sz w:val="24"/>
          <w:szCs w:val="24"/>
          <w:lang w:val="en-GB" w:eastAsia="en-GB"/>
        </w:rPr>
        <w:t>[38]</w:t>
      </w:r>
      <w:r w:rsidRPr="00A23882">
        <w:rPr>
          <w:sz w:val="24"/>
          <w:szCs w:val="24"/>
          <w:lang w:val="en-GB" w:eastAsia="en-GB"/>
        </w:rPr>
        <w:fldChar w:fldCharType="end"/>
      </w:r>
      <w:r w:rsidRPr="00A23882">
        <w:rPr>
          <w:sz w:val="24"/>
          <w:szCs w:val="24"/>
          <w:lang w:val="en-GB" w:eastAsia="en-GB"/>
        </w:rPr>
        <w:t xml:space="preserve"> and an amine functionalised Ru(II) complex were found to bind BSA through a combination of hydrophobic interaction and H-bonding, with negative </w:t>
      </w:r>
      <w:r w:rsidR="001B7886" w:rsidRPr="001B7886">
        <w:rPr>
          <w:rFonts w:ascii="Symbol" w:hAnsi="Symbol"/>
          <w:spacing w:val="-4"/>
          <w:sz w:val="24"/>
          <w:szCs w:val="24"/>
        </w:rPr>
        <w:t></w:t>
      </w:r>
      <w:r w:rsidRPr="00A23882">
        <w:rPr>
          <w:spacing w:val="-4"/>
          <w:sz w:val="24"/>
          <w:szCs w:val="24"/>
          <w:lang w:val="en-GB"/>
        </w:rPr>
        <w:t xml:space="preserve">H and positive </w:t>
      </w:r>
      <w:r w:rsidR="001B7886" w:rsidRPr="001B7886">
        <w:rPr>
          <w:rFonts w:ascii="Symbol" w:hAnsi="Symbol"/>
          <w:spacing w:val="-4"/>
          <w:sz w:val="24"/>
          <w:szCs w:val="24"/>
        </w:rPr>
        <w:t></w:t>
      </w:r>
      <w:r w:rsidRPr="00A23882">
        <w:rPr>
          <w:spacing w:val="-4"/>
          <w:sz w:val="24"/>
          <w:szCs w:val="24"/>
          <w:lang w:val="en-GB"/>
        </w:rPr>
        <w:t xml:space="preserve">S. When van der Waals forces together with H-bonding dominate, both </w:t>
      </w:r>
      <w:r w:rsidR="001B7886" w:rsidRPr="001B7886">
        <w:rPr>
          <w:rFonts w:ascii="Symbol" w:hAnsi="Symbol"/>
          <w:spacing w:val="-4"/>
          <w:sz w:val="24"/>
          <w:szCs w:val="24"/>
        </w:rPr>
        <w:t></w:t>
      </w:r>
      <w:r w:rsidRPr="00A23882">
        <w:rPr>
          <w:spacing w:val="-4"/>
          <w:sz w:val="24"/>
          <w:szCs w:val="24"/>
          <w:lang w:val="en-GB"/>
        </w:rPr>
        <w:t xml:space="preserve">H and </w:t>
      </w:r>
      <w:r w:rsidR="001B7886" w:rsidRPr="001B7886">
        <w:rPr>
          <w:rFonts w:ascii="Symbol" w:hAnsi="Symbol"/>
          <w:spacing w:val="-4"/>
          <w:sz w:val="24"/>
          <w:szCs w:val="24"/>
        </w:rPr>
        <w:t></w:t>
      </w:r>
      <w:r w:rsidRPr="00A23882">
        <w:rPr>
          <w:spacing w:val="-4"/>
          <w:sz w:val="24"/>
          <w:szCs w:val="24"/>
          <w:lang w:val="en-GB"/>
        </w:rPr>
        <w:t xml:space="preserve">S become highly negative (p-amino-azobenzene </w:t>
      </w:r>
      <w:r w:rsidRPr="00A23882">
        <w:rPr>
          <w:spacing w:val="-4"/>
          <w:sz w:val="24"/>
          <w:szCs w:val="24"/>
          <w:lang w:val="en-GB"/>
        </w:rPr>
        <w:fldChar w:fldCharType="begin" w:fldLock="1"/>
      </w:r>
      <w:r w:rsidR="00DD5357">
        <w:rPr>
          <w:spacing w:val="-4"/>
          <w:sz w:val="24"/>
          <w:szCs w:val="24"/>
          <w:lang w:val="en-GB"/>
        </w:rPr>
        <w:instrText>ADDIN CSL_CITATION {"citationItems":[{"id":"ITEM-1","itemData":{"DOI":"10.1007/s10895-007-0247-4","ISSN":"10530509","abstract":"In this paper, the interaction between p-aminoazobenzene (PAAB) and BSA was investigated mainly by fluorescence quenching spectra, circular dichroism (CD) and three-dimensional fluorescence spectra under simulative physiological conditions. It was proved that the fluorescence quenching of BSA by PAAB was mainly a result of the formation of a PAAB-BSA complex. The modified Stern-Volmer quenching constant K a and the corresponding thermodynamic parameters ΔH, ΔG and ΔS at different temperatures were calculated. The results indicated that van der Waals interactions and hydrogen bonds were the predominant intermolecular forces in stabilizing the complex. The distance r</w:instrText>
      </w:r>
      <w:r w:rsidR="00DD5357">
        <w:rPr>
          <w:rFonts w:ascii="Cambria Math" w:hAnsi="Cambria Math" w:cs="Cambria Math"/>
          <w:spacing w:val="-4"/>
          <w:sz w:val="24"/>
          <w:szCs w:val="24"/>
          <w:lang w:val="en-GB"/>
        </w:rPr>
        <w:instrText>∈</w:instrText>
      </w:r>
      <w:r w:rsidR="00DD5357">
        <w:rPr>
          <w:spacing w:val="-4"/>
          <w:sz w:val="24"/>
          <w:szCs w:val="24"/>
          <w:lang w:val="en-GB"/>
        </w:rPr>
        <w:instrText>=</w:instrText>
      </w:r>
      <w:r w:rsidR="00DD5357">
        <w:rPr>
          <w:rFonts w:ascii="Cambria Math" w:hAnsi="Cambria Math" w:cs="Cambria Math"/>
          <w:spacing w:val="-4"/>
          <w:sz w:val="24"/>
          <w:szCs w:val="24"/>
          <w:lang w:val="en-GB"/>
        </w:rPr>
        <w:instrText>∈</w:instrText>
      </w:r>
      <w:r w:rsidR="00DD5357">
        <w:rPr>
          <w:spacing w:val="-4"/>
          <w:sz w:val="24"/>
          <w:szCs w:val="24"/>
          <w:lang w:val="en-GB"/>
        </w:rPr>
        <w:instrText>4.33 nm between the donor (BSA) and acceptor (PAAB) was obtained according to Förster's non-radioactive energy transfer theory. The synchronous fluorescence, CD and three-dimensional fluorescence spectral results showed that the hydrophobicity of amino acid residues increased and the losing of α-helix content (from 63.57 to 51.83%) in the presence of PAAB. These revealed that the microenvironment and conformation of BSA were changed in the binding reaction. © 2007 Springer Science+Business Media, LLC.","author":[{"dropping-particle":"","family":"Liu","given":"Yi","non-dropping-particle":"","parse-names":false,"suffix":""},{"dropping-particle":"","family":"Zhang","given":"Ye Zhong","non-dropping-particle":"","parse-names":false,"suffix":""},{"dropping-particle":"","family":"Zhou","given":"Bo","non-dropping-particle":"","parse-names":false,"suffix":""},{"dropping-particle":"","family":"Zhou","given":"Chun Xia","non-dropping-particle":"","parse-names":false,"suffix":""},{"dropping-particle":"","family":"Ding","given":"Xin Liang","non-dropping-particle":"","parse-names":false,"suffix":""},{"dropping-particle":"","family":"Liu","given":"Yan Xia","non-dropping-particle":"","parse-names":false,"suffix":""}],"container-title":"Journal of Fluorescence","id":"ITEM-1","issue":"1","issued":{"date-parts":[["2008"]]},"page":"109-118","title":"Fluorescence study on the interaction of bovine serum albumin with P-aminoazobenzene","type":"article-journal","volume":"18"},"uris":["http://www.mendeley.com/documents/?uuid=c58c3b4b-f9cf-412c-9393-0f36015104f3"]}],"mendeley":{"formattedCitation":"[64]","plainTextFormattedCitation":"[64]","previouslyFormattedCitation":"[64]"},"properties":{"noteIndex":0},"schema":"https://github.com/citation-style-language/schema/raw/master/csl-citation.json"}</w:instrText>
      </w:r>
      <w:r w:rsidRPr="00A23882">
        <w:rPr>
          <w:spacing w:val="-4"/>
          <w:sz w:val="24"/>
          <w:szCs w:val="24"/>
          <w:lang w:val="en-GB"/>
        </w:rPr>
        <w:fldChar w:fldCharType="separate"/>
      </w:r>
      <w:r w:rsidR="00DD5357" w:rsidRPr="00DD5357">
        <w:rPr>
          <w:noProof/>
          <w:spacing w:val="-4"/>
          <w:sz w:val="24"/>
          <w:szCs w:val="24"/>
          <w:lang w:val="en-GB"/>
        </w:rPr>
        <w:t>[64]</w:t>
      </w:r>
      <w:r w:rsidRPr="00A23882">
        <w:rPr>
          <w:spacing w:val="-4"/>
          <w:sz w:val="24"/>
          <w:szCs w:val="24"/>
          <w:lang w:val="en-GB"/>
        </w:rPr>
        <w:fldChar w:fldCharType="end"/>
      </w:r>
      <w:r w:rsidRPr="00A23882">
        <w:rPr>
          <w:spacing w:val="-4"/>
          <w:sz w:val="24"/>
          <w:szCs w:val="24"/>
          <w:lang w:val="en-GB"/>
        </w:rPr>
        <w:t xml:space="preserve">, gefitinib, lapatinib and sunitinib </w:t>
      </w:r>
      <w:r w:rsidRPr="00A23882">
        <w:rPr>
          <w:spacing w:val="-4"/>
          <w:sz w:val="24"/>
          <w:szCs w:val="24"/>
          <w:lang w:val="en-GB"/>
        </w:rPr>
        <w:fldChar w:fldCharType="begin" w:fldLock="1"/>
      </w:r>
      <w:r w:rsidR="00DD5357">
        <w:rPr>
          <w:spacing w:val="-4"/>
          <w:sz w:val="24"/>
          <w:szCs w:val="24"/>
          <w:lang w:val="en-GB"/>
        </w:rPr>
        <w:instrText>ADDIN CSL_CITATION {"citationItems":[{"id":"ITEM-1","itemData":{"DOI":"10.1016/j.jphotobiol.2015.10.023","ISSN":"18732682","abstract":"The binding interactions of three kinds of tyrosine kinase inhibitors (TKIs), such as gefitinib, lapatinib and sunitinib, with bovine serum albumin (BSA) were studied using ultraviolet spectrophotometry, fluorescence spectroscopy, circular dichroism (CD), Fourier transform infrared spectroscopy (FT-IR) and molecular docking methods. The experimental results showed that the intrinsic fluorescence quenching of BSA induced by the three TKIs resulted from the formation of stable TKIs-BSA complexes through the binding interaction of TKIs with BSA. The stoichiometry of three stable TKIs-BSA complexes was 1:1 and the binding constants (Kb) of the three TKIs-BSA complexes were in the order of 104 M- 1 at 310 K, indicating that there was a strong binding interaction of the three TKIs with BSA. Based on the analysis of the signs and magnitudes of the free energy change (ΔG0), enthalpic change (ΔH0) and entropic change (ΔS0) in the binding process, it can be deduced that the binding process of the three TKIs with BSA was spontaneous and enthalpy-driven process, and the main interaction forces between the three TKIs and BSA were van der Waals force and hydrogen bonding interaction. Moreover, from the results of CD, FT-IR and molecular docking, it can be concluded that there was a significant difference between the three TKIs in the binding site on BSA, lapatinib was located on site II (m) of BSA while gefitinib and sunitinib were bound on site I of BSA, and there were some changes in the BSA conformation when binding three TKIs to BSA but BSA still retains its secondary structure α-helicity.","author":[{"dropping-particle":"","family":"Shen","given":"Guo Feng","non-dropping-particle":"","parse-names":false,"suffix":""},{"dropping-particle":"","family":"Liu","given":"Ting Ting","non-dropping-particle":"","parse-names":false,"suffix":""},{"dropping-particle":"","family":"Wang","given":"Qi","non-dropping-particle":"","parse-names":false,"suffix":""},{"dropping-particle":"","family":"Jiang","given":"Min","non-dropping-particle":"","parse-names":false,"suffix":""},{"dropping-particle":"","family":"Shi","given":"Jie Hua","non-dropping-particle":"","parse-names":false,"suffix":""}],"container-title":"Journal of Photochemistry and Photobiology B: Biology","id":"ITEM-1","issued":{"date-parts":[["2015"]]},"page":"380-390","title":"Spectroscopic and molecular docking studies of binding interaction of gefitinib, lapatinib and sunitinib with bovine serum albumin (BSA)","type":"article-journal","volume":"153"},"uris":["http://www.mendeley.com/documents/?uuid=b1d89a60-6a65-4ad0-bfcd-1abb3c9b2a7e"]}],"mendeley":{"formattedCitation":"[66]","plainTextFormattedCitation":"[66]","previouslyFormattedCitation":"[66]"},"properties":{"noteIndex":0},"schema":"https://github.com/citation-style-language/schema/raw/master/csl-citation.json"}</w:instrText>
      </w:r>
      <w:r w:rsidRPr="00A23882">
        <w:rPr>
          <w:spacing w:val="-4"/>
          <w:sz w:val="24"/>
          <w:szCs w:val="24"/>
          <w:lang w:val="en-GB"/>
        </w:rPr>
        <w:fldChar w:fldCharType="separate"/>
      </w:r>
      <w:r w:rsidR="00DD5357" w:rsidRPr="00DD5357">
        <w:rPr>
          <w:noProof/>
          <w:spacing w:val="-4"/>
          <w:sz w:val="24"/>
          <w:szCs w:val="24"/>
          <w:lang w:val="en-GB"/>
        </w:rPr>
        <w:t>[66]</w:t>
      </w:r>
      <w:r w:rsidRPr="00A23882">
        <w:rPr>
          <w:spacing w:val="-4"/>
          <w:sz w:val="24"/>
          <w:szCs w:val="24"/>
          <w:lang w:val="en-GB"/>
        </w:rPr>
        <w:fldChar w:fldCharType="end"/>
      </w:r>
      <w:r w:rsidRPr="00A23882">
        <w:rPr>
          <w:spacing w:val="-4"/>
          <w:sz w:val="24"/>
          <w:szCs w:val="24"/>
          <w:lang w:val="en-GB"/>
        </w:rPr>
        <w:t xml:space="preserve">, Ni(II)-Schiff base complex </w:t>
      </w:r>
      <w:r w:rsidRPr="00A23882">
        <w:rPr>
          <w:spacing w:val="-4"/>
          <w:sz w:val="24"/>
          <w:szCs w:val="24"/>
          <w:lang w:val="en-GB"/>
        </w:rPr>
        <w:fldChar w:fldCharType="begin" w:fldLock="1"/>
      </w:r>
      <w:r w:rsidRPr="00A23882">
        <w:rPr>
          <w:spacing w:val="-4"/>
          <w:sz w:val="24"/>
          <w:szCs w:val="24"/>
          <w:lang w:val="en-GB"/>
        </w:rPr>
        <w:instrText>ADDIN CSL_CITATION {"citationItems":[{"id":"ITEM-1","itemData":{"DOI":"10.1016/j.saa.2012.02.060","ISSN":"13861425","abstract":"It has been spectroscopically monitored that a mononuclear nickel(II)-Schiff base complex {[NiL]·CH 3OH = NSC} exhibits greater binding affinity for bovine serum albumin (BSA) than that of its human counterpart (HSA). Moreover the modes of binding of NSC with the two serum albumins also differ significantly. Docking studies predict a relatively rare type of 'superficial binding' of NSC at domain IIB of HSA with certain mobility whereas for BSA such phenomena has not been detected. The mobile nature of NSC at domain IIB of HSA has been well correlated with the spectroscopic results. It is to be noted that thermodynamic parameters for the NSC interaction also differ for the two serum albumins. Occurrence of energy transfer between the donor (Trp of BSA and HSA) and acceptor (NSC) has been obtained by means of Förster resonance energy transfer (FRET). The protein stability on NSC binding has also been experimented by the GuHCl-induced protein unfolding studies. Interestingly it has been found that NSC-HSA interaction enhances the protein stability whereas NSC-BSA binding has no such impact. Such observations are indicative of the fact that the conformation of NSC is responsible in recognizing the two serum albumins and selectively enhancing protein stability. © 2012 Elsevier B.V. All rights reserved.","author":[{"dropping-particle":"","family":"Ray","given":"Aurkie","non-dropping-particle":"","parse-names":false,"suffix":""},{"dropping-particle":"","family":"Koley Seth","given":"Banabithi","non-dropping-particle":"","parse-names":false,"suffix":""},{"dropping-particle":"","family":"Pal","given":"Uttam","non-dropping-particle":"","parse-names":false,"suffix":""},{"dropping-particle":"","family":"Basu","given":"Samita","non-dropping-particle":"","parse-names":false,"suffix":""}],"container-title":"Spectrochimica Acta - Part A: Molecular and Biomolecular Spectroscopy","id":"ITEM-1","issued":{"date-parts":[["2012"]]},"page":"164-174","publisher":"Elsevier B.V.","title":"Nickel(II)-Schiff base complex recognizing domain II of bovine and human serum albumin: Spectroscopic and docking studies","type":"article-journal","volume":"92"},"uris":["http://www.mendeley.com/documents/?uuid=7d053855-57b2-4934-a100-031b505d87eb"]}],"mendeley":{"formattedCitation":"[42]","plainTextFormattedCitation":"[42]","previouslyFormattedCitation":"[42]"},"properties":{"noteIndex":0},"schema":"https://github.com/citation-style-language/schema/raw/master/csl-citation.json"}</w:instrText>
      </w:r>
      <w:r w:rsidRPr="00A23882">
        <w:rPr>
          <w:spacing w:val="-4"/>
          <w:sz w:val="24"/>
          <w:szCs w:val="24"/>
          <w:lang w:val="en-GB"/>
        </w:rPr>
        <w:fldChar w:fldCharType="separate"/>
      </w:r>
      <w:r w:rsidRPr="00A23882">
        <w:rPr>
          <w:noProof/>
          <w:spacing w:val="-4"/>
          <w:sz w:val="24"/>
          <w:szCs w:val="24"/>
          <w:lang w:val="en-GB"/>
        </w:rPr>
        <w:t>[42]</w:t>
      </w:r>
      <w:r w:rsidRPr="00A23882">
        <w:rPr>
          <w:spacing w:val="-4"/>
          <w:sz w:val="24"/>
          <w:szCs w:val="24"/>
          <w:lang w:val="en-GB"/>
        </w:rPr>
        <w:fldChar w:fldCharType="end"/>
      </w:r>
      <w:r w:rsidRPr="00A23882">
        <w:rPr>
          <w:spacing w:val="-4"/>
          <w:sz w:val="24"/>
          <w:szCs w:val="24"/>
          <w:lang w:val="en-GB"/>
        </w:rPr>
        <w:t xml:space="preserve"> and branched polyethyleneimine–copper(II)bipyridine/phenanthroline complexes with antimicrobial activity </w:t>
      </w:r>
      <w:r w:rsidRPr="00A23882">
        <w:rPr>
          <w:spacing w:val="-4"/>
          <w:sz w:val="24"/>
          <w:szCs w:val="24"/>
          <w:lang w:val="en-GB"/>
        </w:rPr>
        <w:fldChar w:fldCharType="begin" w:fldLock="1"/>
      </w:r>
      <w:r w:rsidR="00DD5357">
        <w:rPr>
          <w:spacing w:val="-4"/>
          <w:sz w:val="24"/>
          <w:szCs w:val="24"/>
          <w:lang w:val="en-GB"/>
        </w:rPr>
        <w:instrText>ADDIN CSL_CITATION {"citationItems":[{"id":"ITEM-1","itemData":{"DOI":"10.1016/j.saa.2012.05.009","ISSN":"13861425","abstract":"The interaction of two water soluble branched polyethyleneimine-copper(II) complexes containing bipyridine/phenanthroline with bovine serum albumin (BSA) was studied by, UV-Visible absorption, fluorescence, lifetime measurements and circular dichroism spectroscopic techniques. The polymer-copper(II) complexes strongly quench the intrinsic fluorescence of BSA is the static quenching mechanism through hydrogen bonds and van der Waal's attraction. The distance r, between the BSA and the complexes seems to be less than 2 nm indicating that the energy transfer between the donor and acceptor occurs with high probability. Synchronous fluorescence studies indicate the binding of polymer-copper(II) complexes with BSA mostly changes the polarity around tryptophan residues rather than tyrosine residues. The circular dichroism studies indicate that the binding has induced considerable amount of conformational changes in the protein. The complexes also show some antibacterial and antifungal properties. © 2012 Elsevier B.V. All rights reserved.","author":[{"dropping-particle":"","family":"Vignesh","given":"Gopalaswamy","non-dropping-particle":"","parse-names":false,"suffix":""},{"dropping-particle":"","family":"Arunachalam","given":"Sankaralingam","non-dropping-particle":"","parse-names":false,"suffix":""},{"dropping-particle":"","family":"Vignesh","given":"Sivanandham","non-dropping-particle":"","parse-names":false,"suffix":""},{"dropping-particle":"","family":"James","given":"Rathinam Arthur","non-dropping-particle":"","parse-names":false,"suffix":""}],"container-title":"Spectrochimica Acta - Part A: Molecular and Biomolecular Spectroscopy","id":"ITEM-1","issued":{"date-parts":[["2012"]]},"page":"108-116","publisher":"Elsevier B.V.","title":"BSA binding and antimicrobial studies of branched polyethyleneimine- copper(II)bipyridine/phenanthroline complexes","type":"article-journal","volume":"96"},"uris":["http://www.mendeley.com/documents/?uuid=d298fa7a-c1a1-4d61-9594-188f34c1fc2a"]}],"mendeley":{"formattedCitation":"[95]","plainTextFormattedCitation":"[95]","previouslyFormattedCitation":"[95]"},"properties":{"noteIndex":0},"schema":"https://github.com/citation-style-language/schema/raw/master/csl-citation.json"}</w:instrText>
      </w:r>
      <w:r w:rsidRPr="00A23882">
        <w:rPr>
          <w:spacing w:val="-4"/>
          <w:sz w:val="24"/>
          <w:szCs w:val="24"/>
          <w:lang w:val="en-GB"/>
        </w:rPr>
        <w:fldChar w:fldCharType="separate"/>
      </w:r>
      <w:r w:rsidR="00DD5357" w:rsidRPr="00DD5357">
        <w:rPr>
          <w:noProof/>
          <w:spacing w:val="-4"/>
          <w:sz w:val="24"/>
          <w:szCs w:val="24"/>
          <w:lang w:val="en-GB"/>
        </w:rPr>
        <w:t>[95]</w:t>
      </w:r>
      <w:r w:rsidRPr="00A23882">
        <w:rPr>
          <w:spacing w:val="-4"/>
          <w:sz w:val="24"/>
          <w:szCs w:val="24"/>
          <w:lang w:val="en-GB"/>
        </w:rPr>
        <w:fldChar w:fldCharType="end"/>
      </w:r>
      <w:r w:rsidRPr="00A23882">
        <w:rPr>
          <w:spacing w:val="-4"/>
          <w:sz w:val="24"/>
          <w:szCs w:val="24"/>
          <w:lang w:val="en-GB"/>
        </w:rPr>
        <w:t xml:space="preserve">). </w:t>
      </w:r>
    </w:p>
    <w:p w:rsidR="002A3793" w:rsidRPr="00C34931" w:rsidRDefault="002A3793" w:rsidP="00A23882">
      <w:pPr>
        <w:pStyle w:val="05-ArticleText"/>
        <w:spacing w:line="480" w:lineRule="auto"/>
        <w:rPr>
          <w:spacing w:val="-4"/>
          <w:sz w:val="24"/>
          <w:szCs w:val="24"/>
          <w:lang w:val="en-GB"/>
        </w:rPr>
      </w:pPr>
      <w:r w:rsidRPr="00A23882">
        <w:rPr>
          <w:spacing w:val="-4"/>
          <w:sz w:val="24"/>
          <w:szCs w:val="24"/>
          <w:lang w:val="en-GB"/>
        </w:rPr>
        <w:t xml:space="preserve">Interestingly, if the values of </w:t>
      </w:r>
      <w:r w:rsidR="001B7886" w:rsidRPr="001B7886">
        <w:rPr>
          <w:rFonts w:ascii="Symbol" w:hAnsi="Symbol"/>
          <w:spacing w:val="-4"/>
          <w:sz w:val="24"/>
          <w:szCs w:val="24"/>
        </w:rPr>
        <w:t></w:t>
      </w:r>
      <w:r w:rsidRPr="00A23882">
        <w:rPr>
          <w:spacing w:val="-4"/>
          <w:sz w:val="24"/>
          <w:szCs w:val="24"/>
          <w:lang w:val="en-GB"/>
        </w:rPr>
        <w:t xml:space="preserve">H and </w:t>
      </w:r>
      <w:r w:rsidR="001B7886" w:rsidRPr="001B7886">
        <w:rPr>
          <w:rFonts w:ascii="Symbol" w:hAnsi="Symbol"/>
          <w:spacing w:val="-4"/>
          <w:sz w:val="24"/>
          <w:szCs w:val="24"/>
        </w:rPr>
        <w:t></w:t>
      </w:r>
      <w:r w:rsidRPr="00A23882">
        <w:rPr>
          <w:spacing w:val="-4"/>
          <w:sz w:val="24"/>
          <w:szCs w:val="24"/>
          <w:lang w:val="en-GB"/>
        </w:rPr>
        <w:t xml:space="preserve">S extracted by the different literature data are plotted into a unique graph, most of them will lie on a common line (Figure 6). This correlation is called enthalpy-entropy compensation (EEC). </w:t>
      </w:r>
      <w:r w:rsidRPr="00A23882">
        <w:rPr>
          <w:spacing w:val="-4"/>
          <w:sz w:val="24"/>
          <w:szCs w:val="24"/>
        </w:rPr>
        <w:t xml:space="preserve">Enthalpy-entropy compensation is a phenomenon which has sometimes been attributed to experimental errors and limitations or to a natural consequence of thermodynamics </w:t>
      </w:r>
      <w:r w:rsidRPr="00A23882">
        <w:rPr>
          <w:spacing w:val="-4"/>
          <w:sz w:val="24"/>
          <w:szCs w:val="24"/>
        </w:rPr>
        <w:fldChar w:fldCharType="begin" w:fldLock="1"/>
      </w:r>
      <w:r w:rsidR="00DD5357">
        <w:rPr>
          <w:spacing w:val="-4"/>
          <w:sz w:val="24"/>
          <w:szCs w:val="24"/>
        </w:rPr>
        <w:instrText>ADDIN CSL_CITATION {"citationItems":[{"id":"ITEM-1","itemData":{"DOI":"10.2174/1389203719666180521092615","ISSN":"13892037","abstract":"The thermodynamic analyses of proteins, protein-ligands and protein-nucleic acid complexes involves the entropy-enthalpy (S-H) compensation phenomenon. We have examined the question whether the observed compensation is artificial or reflects anything more than the well-known laws of statistical thermodynamics (so-called extra-thermodynamic compensation). We have shown that enthalpy- entropy compensation (EEC) is mainly the trivial consequence of the basic thermodynamic laws and there are no experimental evidences for existence of the extra-thermodynamic compensation. In most cases EEC obtained in the experiments through the plot enthalpies (ΔH) and entropies (TΔS) versus one another is meaningless due to the large correlated errors in ΔH and TΔS, unless special measures are taken to minimize, quantify and propagate these errors. Van't Hoff equation can be used for entropy calculation in limited cases when enthalpy is measured in independent experiments. Eyring equation cannot be used for calculation of entropy in any case and should be excluded from scientific use. Both equation, Van't Hoff and Eyring cannot be used for simultaneous calculation of the enthalpy and entropy values using one set of data. All the data obtained in this way should be recognized as erroneous.","author":[{"dropping-particle":"","family":"Khrapunov","given":"Sergei","non-dropping-particle":"","parse-names":false,"suffix":""}],"container-title":"Current Protein &amp; Peptide Science","id":"ITEM-1","issued":{"date-parts":[["2018"]]},"title":"The Enthalpy-entropy Compensation Phenomenon. Limitations for the Use of Some Basic Thermodynamic Equations","type":"article-journal"},"uris":["http://www.mendeley.com/documents/?uuid=b9eb0645-4e02-4521-8db1-4ff9f1cf8613"]}],"mendeley":{"formattedCitation":"[96]","plainTextFormattedCitation":"[96]","previouslyFormattedCitation":"[96]"},"properties":{"noteIndex":0},"schema":"https://github.com/citation-style-language/schema/raw/master/csl-citation.json"}</w:instrText>
      </w:r>
      <w:r w:rsidRPr="00A23882">
        <w:rPr>
          <w:spacing w:val="-4"/>
          <w:sz w:val="24"/>
          <w:szCs w:val="24"/>
        </w:rPr>
        <w:fldChar w:fldCharType="separate"/>
      </w:r>
      <w:r w:rsidR="00DD5357" w:rsidRPr="00DD5357">
        <w:rPr>
          <w:noProof/>
          <w:spacing w:val="-4"/>
          <w:sz w:val="24"/>
          <w:szCs w:val="24"/>
        </w:rPr>
        <w:t>[96]</w:t>
      </w:r>
      <w:r w:rsidRPr="00A23882">
        <w:rPr>
          <w:spacing w:val="-4"/>
          <w:sz w:val="24"/>
          <w:szCs w:val="24"/>
        </w:rPr>
        <w:fldChar w:fldCharType="end"/>
      </w:r>
      <w:r w:rsidRPr="00A23882">
        <w:rPr>
          <w:spacing w:val="-4"/>
          <w:sz w:val="24"/>
          <w:szCs w:val="24"/>
        </w:rPr>
        <w:t xml:space="preserve">. Nevertheless, the majority of researchers now agree on the robust basis of EEC. It can be explained under the idea that if a molecular change in </w:t>
      </w:r>
      <w:r w:rsidRPr="00A23882">
        <w:rPr>
          <w:b/>
          <w:spacing w:val="-4"/>
          <w:sz w:val="24"/>
          <w:szCs w:val="24"/>
        </w:rPr>
        <w:t>T</w:t>
      </w:r>
      <w:r w:rsidRPr="00A23882">
        <w:rPr>
          <w:spacing w:val="-4"/>
          <w:sz w:val="24"/>
          <w:szCs w:val="24"/>
        </w:rPr>
        <w:t xml:space="preserve"> leads to more and/or tighter van der Waals contacts and H-bonds with the substrate (giving a more negative ∆H) this will be connected to a decrease in the mobility/flexibility in one or both components of the </w:t>
      </w:r>
      <w:r w:rsidRPr="00A23882">
        <w:rPr>
          <w:b/>
          <w:spacing w:val="-4"/>
          <w:sz w:val="24"/>
          <w:szCs w:val="24"/>
        </w:rPr>
        <w:t>T</w:t>
      </w:r>
      <w:r w:rsidRPr="00A23882">
        <w:rPr>
          <w:spacing w:val="-4"/>
          <w:sz w:val="24"/>
          <w:szCs w:val="24"/>
        </w:rPr>
        <w:t xml:space="preserve">-BSA couple. Therefore, the reduction in the overall conformational entropy compensates the enthalpy decrease </w:t>
      </w:r>
      <w:r w:rsidRPr="00A23882">
        <w:rPr>
          <w:spacing w:val="-4"/>
          <w:sz w:val="24"/>
          <w:szCs w:val="24"/>
        </w:rPr>
        <w:fldChar w:fldCharType="begin" w:fldLock="1"/>
      </w:r>
      <w:r w:rsidR="00DD5357">
        <w:rPr>
          <w:spacing w:val="-4"/>
          <w:sz w:val="24"/>
          <w:szCs w:val="24"/>
        </w:rPr>
        <w:instrText xml:space="preserve">ADDIN CSL_CITATION {"citationItems":[{"id":"ITEM-1","itemData":{"DOI":"10.1039/c4md00057a","ISSN":"20402511","abstract":"In this paper, enthalpy-entropy compensation (EEC) during the association of two molecules is studied by minimising model systems with molecular mechanics (MM) or quantum mechanics (QM), calculating translational, rotational, and vibrational contributions to the enthalpy and entropy with standard statistical-mechanics methods, using the rigid-rotor harmonic-oscillator approach. We start with simple two-atom models, for which dispersion and electrostatics can be studied separately, showing that there is no fundamental difference between dispersion, electrostatics, or even covalent interactions. All three types of interactions give rise to EEC and a saturation of TΔS as ΔH becomes strongly negative. Next, homologous series of complexes dominated either by dispersion or hydrogen bonds are studied. We see no qualitative difference between results obtained at the MM or QM level, and for all complexes except two very weak, EEC is observed, owing to the loss of translational and rotational entropy, typically counteracted by the vibrational entropy. Within homologous series, linear relations between TΔS and ΔH with slopes of 0.1-1.7 are obtained with no clear difference between dispersive or hydrogen-bonded systems (but </w:instrText>
      </w:r>
      <w:r w:rsidR="00DD5357">
        <w:rPr>
          <w:rFonts w:ascii="Cambria Math" w:hAnsi="Cambria Math" w:cs="Cambria Math"/>
          <w:spacing w:val="-4"/>
          <w:sz w:val="24"/>
          <w:szCs w:val="24"/>
        </w:rPr>
        <w:instrText>∼</w:instrText>
      </w:r>
      <w:r w:rsidR="00DD5357">
        <w:rPr>
          <w:spacing w:val="-4"/>
          <w:sz w:val="24"/>
          <w:szCs w:val="24"/>
        </w:rPr>
        <w:instrText>0.01 for ionic and covalent interactions). These relations often reflect the increasing size of the complexes coming from the translational and rotational entropies, but at least for the hydrogen-bonded complexes, it is significantly enhanced also by the vibrational entropy (which depends on the strength of the interaction). Thus, for homologous series of molecules with repeated interactions studied in vacuum, EEC is a rule. However, if water molecules are added, the relation is blurred and it can be predicted that for a real binding reaction in water solution, both enthalpy-entropy compensation and anti-compensation can be observed, depending on the detailed interaction of the two molecules with water before and after binding, further complicated by dynamic effects. © 2014 the Partner Organisations.","author":[{"dropping-particle":"","family":"Ryde","given":"Ulf","non-dropping-particle":"","parse-names":false,"suffix":""}],"container-title":"MedChemComm","id":"ITEM-1","issue":"9","issued":{"date-parts":[["2014"]]},"page":"1324-1336","publisher":"Royal Society of Chemistry","title":"A fundamental view of enthalpy-entropy compensation","type":"article-journal","volume":"5"},"uris":["http://www.mendeley.com/documents/?uuid=6fa161d5-38d5-4e3f-9f88-9ed5b8bbfade"]}],"mendeley":{"formattedCitation":"[97]","plainTextFormattedCitation":"[97]","previouslyFormattedCitation":"[97]"},"properties":{"noteIndex":0},"schema":"https://github.com/citation-style-language/schema/raw/master/csl-citation.json"}</w:instrText>
      </w:r>
      <w:r w:rsidRPr="00A23882">
        <w:rPr>
          <w:spacing w:val="-4"/>
          <w:sz w:val="24"/>
          <w:szCs w:val="24"/>
        </w:rPr>
        <w:fldChar w:fldCharType="separate"/>
      </w:r>
      <w:r w:rsidR="00DD5357" w:rsidRPr="00DD5357">
        <w:rPr>
          <w:noProof/>
          <w:spacing w:val="-4"/>
          <w:sz w:val="24"/>
          <w:szCs w:val="24"/>
        </w:rPr>
        <w:t>[97]</w:t>
      </w:r>
      <w:r w:rsidRPr="00A23882">
        <w:rPr>
          <w:spacing w:val="-4"/>
          <w:sz w:val="24"/>
          <w:szCs w:val="24"/>
        </w:rPr>
        <w:fldChar w:fldCharType="end"/>
      </w:r>
      <w:r w:rsidRPr="00A23882">
        <w:rPr>
          <w:spacing w:val="-4"/>
          <w:sz w:val="24"/>
          <w:szCs w:val="24"/>
        </w:rPr>
        <w:t xml:space="preserve">. In this process, hydration plays a major role to be taken into account: the rearrangement in the coordinated molecules strongly influences, in particular, </w:t>
      </w:r>
      <w:r w:rsidRPr="001B7886">
        <w:rPr>
          <w:rFonts w:ascii="Symbol" w:hAnsi="Symbol"/>
          <w:spacing w:val="-4"/>
          <w:sz w:val="24"/>
          <w:szCs w:val="24"/>
        </w:rPr>
        <w:t></w:t>
      </w:r>
      <w:r w:rsidRPr="00A23882">
        <w:rPr>
          <w:spacing w:val="-4"/>
          <w:sz w:val="24"/>
          <w:szCs w:val="24"/>
        </w:rPr>
        <w:t xml:space="preserve">S </w:t>
      </w:r>
      <w:r w:rsidRPr="00A23882">
        <w:rPr>
          <w:spacing w:val="-4"/>
          <w:sz w:val="24"/>
          <w:szCs w:val="24"/>
        </w:rPr>
        <w:fldChar w:fldCharType="begin" w:fldLock="1"/>
      </w:r>
      <w:r w:rsidR="00DD5357">
        <w:rPr>
          <w:spacing w:val="-4"/>
          <w:sz w:val="24"/>
          <w:szCs w:val="24"/>
        </w:rPr>
        <w:instrText xml:space="preserve">ADDIN CSL_CITATION {"citationItems":[{"id":"ITEM-1","itemData":{"DOI":"10.1039/c4md00057a","ISSN":"20402511","abstract":"In this paper, enthalpy-entropy compensation (EEC) during the association of two molecules is studied by minimising model systems with molecular mechanics (MM) or quantum mechanics (QM), calculating translational, rotational, and vibrational contributions to the enthalpy and entropy with standard statistical-mechanics methods, using the rigid-rotor harmonic-oscillator approach. We start with simple two-atom models, for which dispersion and electrostatics can be studied separately, showing that there is no fundamental difference between dispersion, electrostatics, or even covalent interactions. All three types of interactions give rise to EEC and a saturation of TΔS as ΔH becomes strongly negative. Next, homologous series of complexes dominated either by dispersion or hydrogen bonds are studied. We see no qualitative difference between results obtained at the MM or QM level, and for all complexes except two very weak, EEC is observed, owing to the loss of translational and rotational entropy, typically counteracted by the vibrational entropy. Within homologous series, linear relations between TΔS and ΔH with slopes of 0.1-1.7 are obtained with no clear difference between dispersive or hydrogen-bonded systems (but </w:instrText>
      </w:r>
      <w:r w:rsidR="00DD5357">
        <w:rPr>
          <w:rFonts w:ascii="Cambria Math" w:hAnsi="Cambria Math" w:cs="Cambria Math"/>
          <w:spacing w:val="-4"/>
          <w:sz w:val="24"/>
          <w:szCs w:val="24"/>
        </w:rPr>
        <w:instrText>∼</w:instrText>
      </w:r>
      <w:r w:rsidR="00DD5357">
        <w:rPr>
          <w:spacing w:val="-4"/>
          <w:sz w:val="24"/>
          <w:szCs w:val="24"/>
        </w:rPr>
        <w:instrText>0.01 for ionic and covalent interactions). These relations often reflect the increasing size of the complexes coming from the translational and rotational entropies, but at least for the hydrogen-bonded complexes, it is significantly enhanced also by the vibrational entropy (which depends on the strength of the interaction). Thus, for homologous series of molecules with repeated interactions studied in vacuum, EEC is a rule. However, if water molecules are added, the relation is blurred and it can be predicted that for a real binding reaction in water solution, both enthalpy-entropy compensation and anti-compensation can be observed, depending on the detailed interaction of the two molecules with water before and after binding, further complicated by dynamic effects. © 2014 the Partner Organisations.","author":[{"dropping-particle":"","family":"Ryde","given":"Ulf","non-dropping-particle":"","parse-names":false,"suffix":""}],"container-title":"MedChemComm","id":"ITEM-1","issue":"9","issued":{"date-parts":[["2014"]]},"page":"1324-1336","publisher":"Royal Society of Chemistry","title":"A fundamental view of enthalpy-entropy compensation","type":"article-journal","volume":"5"},"uris":["http://www.mendeley.com/documents/?uuid=6fa161d5-38d5-4e3f-9f88-9ed5b8bbfade"]}],"mendeley":{"formattedCitation":"[97]","plainTextFormattedCitation":"[97]","previouslyFormattedCitation":"[97]"},"properties":{"noteIndex":0},"schema":"https://github.com/citation-style-language/schema/raw/master/csl-citation.json"}</w:instrText>
      </w:r>
      <w:r w:rsidRPr="00A23882">
        <w:rPr>
          <w:spacing w:val="-4"/>
          <w:sz w:val="24"/>
          <w:szCs w:val="24"/>
        </w:rPr>
        <w:fldChar w:fldCharType="separate"/>
      </w:r>
      <w:r w:rsidR="00DD5357" w:rsidRPr="00DD5357">
        <w:rPr>
          <w:noProof/>
          <w:spacing w:val="-4"/>
          <w:sz w:val="24"/>
          <w:szCs w:val="24"/>
        </w:rPr>
        <w:t>[97]</w:t>
      </w:r>
      <w:r w:rsidRPr="00A23882">
        <w:rPr>
          <w:spacing w:val="-4"/>
          <w:sz w:val="24"/>
          <w:szCs w:val="24"/>
        </w:rPr>
        <w:fldChar w:fldCharType="end"/>
      </w:r>
      <w:r w:rsidRPr="00A23882">
        <w:rPr>
          <w:spacing w:val="-4"/>
          <w:sz w:val="24"/>
          <w:szCs w:val="24"/>
        </w:rPr>
        <w:t>,</w:t>
      </w:r>
      <w:r w:rsidRPr="00A23882">
        <w:rPr>
          <w:spacing w:val="-4"/>
          <w:sz w:val="24"/>
          <w:szCs w:val="24"/>
        </w:rPr>
        <w:fldChar w:fldCharType="begin" w:fldLock="1"/>
      </w:r>
      <w:r w:rsidR="00DD5357">
        <w:rPr>
          <w:spacing w:val="-4"/>
          <w:sz w:val="24"/>
          <w:szCs w:val="24"/>
        </w:rPr>
        <w:instrText>ADDIN CSL_CITATION {"citationItems":[{"id":"ITEM-1","itemData":{"DOI":"10.1007/s00249-016-1182-6","ISSN":"14321017","abstract":"Structural modifications to interacting systems frequently lead to changes in both the enthalpy (heat) and entropy of the process that compensate each other, so that the Gibbs free energy is little changed: a major barrier to the development of lead compounds in drug discovery. The conventional explanation for such enthalpy–entropy compensation (EEC) is that tighter contacts lead to a more negative enthalpy but increased molecular constraints, i.e., a compensating conformational entropy reduction. Changes in solvation can also contribute to EEC but this contribution is infrequently discussed. We review long-established and recent cases of EEC and conclude that the large fluctuations in enthalpy and entropy observed are too great to be a result of only conformational changes and must result, to a considerable degree, from variations in the amounts of water immobilized or released on forming complexes. Two systems exhibiting EEC show a correlation between calorimetric entropies and local mobilities, interpreted to mean conformational control of the binding entropy/free energy. However, a substantial contribution from solvation gives the same effect, as a consequence of a structural link between the amount of bound water and the protein flexibility. Only by assuming substantial changes in solvation—an intrinsically compensatory process—can a more complete understanding of EEC be obtained. Faced with such large, and compensating, changes in the enthalpies and entropies of binding, the best approach to engineering elevated affinities must be through the addition of ionic links, as they generate increased entropy without affecting the enthalpy.","author":[{"dropping-particle":"","family":"Dragan","given":"Anatoliy I.","non-dropping-particle":"","parse-names":false,"suffix":""},{"dropping-particle":"","family":"Read","given":"Christopher M.","non-dropping-particle":"","parse-names":false,"suffix":""},{"dropping-particle":"","family":"Crane-Robinson","given":"Colyn","non-dropping-particle":"","parse-names":false,"suffix":""}],"container-title":"European Biophysics Journal","id":"ITEM-1","issue":"4","issued":{"date-parts":[["2017"]]},"page":"301-308","title":"Enthalpy–entropy compensation: the role of solvation","type":"article-journal","volume":"46"},"uris":["http://www.mendeley.com/documents/?uuid=56137b8a-db1f-4f25-a015-805d268b88ad"]}],"mendeley":{"formattedCitation":"[98]","plainTextFormattedCitation":"[98]","previouslyFormattedCitation":"[98]"},"properties":{"noteIndex":0},"schema":"https://github.com/citation-style-language/schema/raw/master/csl-citation.json"}</w:instrText>
      </w:r>
      <w:r w:rsidRPr="00A23882">
        <w:rPr>
          <w:spacing w:val="-4"/>
          <w:sz w:val="24"/>
          <w:szCs w:val="24"/>
        </w:rPr>
        <w:fldChar w:fldCharType="separate"/>
      </w:r>
      <w:r w:rsidR="00DD5357" w:rsidRPr="00DD5357">
        <w:rPr>
          <w:noProof/>
          <w:spacing w:val="-4"/>
          <w:sz w:val="24"/>
          <w:szCs w:val="24"/>
        </w:rPr>
        <w:t>[98]</w:t>
      </w:r>
      <w:r w:rsidRPr="00A23882">
        <w:rPr>
          <w:spacing w:val="-4"/>
          <w:sz w:val="24"/>
          <w:szCs w:val="24"/>
        </w:rPr>
        <w:fldChar w:fldCharType="end"/>
      </w:r>
      <w:r w:rsidRPr="00A23882">
        <w:rPr>
          <w:spacing w:val="-4"/>
          <w:sz w:val="24"/>
          <w:szCs w:val="24"/>
        </w:rPr>
        <w:t xml:space="preserve">. That’s also why TΔS can change from positive to negative values (Figure 4). The correlation plot, shown in Figure 4 for </w:t>
      </w:r>
      <w:r w:rsidRPr="00A23882">
        <w:rPr>
          <w:b/>
          <w:spacing w:val="-4"/>
          <w:sz w:val="24"/>
          <w:szCs w:val="24"/>
        </w:rPr>
        <w:t>T</w:t>
      </w:r>
      <w:r w:rsidRPr="00A23882">
        <w:rPr>
          <w:spacing w:val="-4"/>
          <w:sz w:val="24"/>
          <w:szCs w:val="24"/>
        </w:rPr>
        <w:t xml:space="preserve">-BSA systems, yields (at 25 °C) </w:t>
      </w:r>
      <w:r w:rsidRPr="00A23882">
        <w:rPr>
          <w:spacing w:val="-4"/>
          <w:sz w:val="24"/>
          <w:szCs w:val="24"/>
        </w:rPr>
        <w:lastRenderedPageBreak/>
        <w:t>the linear relationship TΔS = ΔH + 27 kJ mol</w:t>
      </w:r>
      <w:r w:rsidRPr="00A23882">
        <w:rPr>
          <w:spacing w:val="-4"/>
          <w:sz w:val="24"/>
          <w:szCs w:val="24"/>
          <w:vertAlign w:val="superscript"/>
          <w:lang w:val="en-GB"/>
        </w:rPr>
        <w:t>-1</w:t>
      </w:r>
      <w:r w:rsidRPr="00A23882">
        <w:rPr>
          <w:spacing w:val="-4"/>
          <w:sz w:val="24"/>
          <w:szCs w:val="24"/>
        </w:rPr>
        <w:t xml:space="preserve">. When the slope found is equal or close to one, this means that the enthalpy gain from the binding is compensated for the entropic loss. This holds for flexible macromolecules whereas, lower slopes can be found when the host is more rigid </w:t>
      </w:r>
      <w:r w:rsidRPr="00A23882">
        <w:rPr>
          <w:spacing w:val="-4"/>
          <w:sz w:val="24"/>
          <w:szCs w:val="24"/>
        </w:rPr>
        <w:fldChar w:fldCharType="begin" w:fldLock="1"/>
      </w:r>
      <w:r w:rsidR="00DD5357">
        <w:rPr>
          <w:spacing w:val="-4"/>
          <w:sz w:val="24"/>
          <w:szCs w:val="24"/>
        </w:rPr>
        <w:instrText>ADDIN CSL_CITATION {"citationItems":[{"id":"ITEM-1","itemData":{"DOI":"10.1002/chem.200204481","ISSN":"09476539","abstract":"Water-soluble zinc bisporphyrin receptors 1 and 2 having two Lewis acidic sites (zinc) in the hydrophobic environment consisting of alkyl chains and a bisporphyrin framework, and covered with hydrophilic exterior (twelve or eighteen carboxyl groups) were prepared. The receptors show high affinity for diamines and DNA intercalators in water where the binding constants Ka are of the order of 107 and 108M-1, respectively. Diamines and DNA intercalators are bound to the receptor through different mechanisms. Diamines are bound through hydrophobic interactions and zinc-nitrogen interactions, while DNA intercalators are bound through hydrophobic interactions and charge-transfer interactions. Flexible alkyl chains can make van der Waals contact with guests and create a hydrophobic environment around the bound guest by an induced-fit-type mechanism. For the binding of DNA intercalators, the following features are noteworthy: 1) Binding constants are similar between the zinc porphyrins and zinc-free porphyrins; 2) the binding constant is larger for the guest having the lower LUMO; this indicates the important contribution of charge-transfer interactions to binding; 3) the hydrophobic and cationic nature of DNA intercalators is substantially important, and 4) higher ionic strength reduced the binding affinities; this shows a moderate contribution of electrostatic interactions. The conformational instability of the receptors also contributes to the tight binding: hydrophobic and electrostatic interactions cannot both be favorable at the same time in the guest-free receptor. Enthalpy-entropy compensation observed for the binding of diamines and DNA intercalators is characterized by a relatively small slope (α = 0.74) and a large intercept (β = 7.75kcalmol-1) in the ΔH° versus TΔS° plot; this shows that a conformational change of receptors and a significant desolvation occur upon binding. The receptor can competitively bind to propidium iodide to deprive DNA of the intercalated propidium iodide. These features of water-soluble receptors consisting of a rigid framework and flexible side chains with a large solvent-accessible area are in contrast to highly preorganized rigid receptors, and they can provide useful guidelines for rational design of induced-fit artificial receptors in water.","author":[{"dropping-particle":"","family":"Kenji","given":"Wada","non-dropping-particle":"","parse-names":false,"suffix":""},{"dropping-particle":"","family":"Mizutani","given":"Tadashi","non-dropping-particle":"","parse-names":false,"suffix":""},{"dropping-particle":"","family":"Hideki","given":"Matsuoka","non-dropping-particle":"","parse-names":false,"suffix":""},{"dropping-particle":"","family":"Susumu","given":"Kitagawa","non-dropping-particle":"","parse-names":false,"suffix":""}],"container-title":"Chemistry - A European Journal","id":"ITEM-1","issue":"10","issued":{"date-parts":[["2003"]]},"page":"2368-2380","title":"A new strategy for the design of water-soluble synthetic receptors: Specific recognition of DNA intercalators and diamines","type":"article-journal","volume":"9"},"uris":["http://www.mendeley.com/documents/?uuid=1209da25-aa65-485f-8b96-1955c88a4cab"]}],"mendeley":{"formattedCitation":"[99]","plainTextFormattedCitation":"[99]","previouslyFormattedCitation":"[99]"},"properties":{"noteIndex":0},"schema":"https://github.com/citation-style-language/schema/raw/master/csl-citation.json"}</w:instrText>
      </w:r>
      <w:r w:rsidRPr="00A23882">
        <w:rPr>
          <w:spacing w:val="-4"/>
          <w:sz w:val="24"/>
          <w:szCs w:val="24"/>
        </w:rPr>
        <w:fldChar w:fldCharType="separate"/>
      </w:r>
      <w:r w:rsidR="00DD5357" w:rsidRPr="00DD5357">
        <w:rPr>
          <w:noProof/>
          <w:spacing w:val="-4"/>
          <w:sz w:val="24"/>
          <w:szCs w:val="24"/>
        </w:rPr>
        <w:t>[99]</w:t>
      </w:r>
      <w:r w:rsidRPr="00A23882">
        <w:rPr>
          <w:spacing w:val="-4"/>
          <w:sz w:val="24"/>
          <w:szCs w:val="24"/>
        </w:rPr>
        <w:fldChar w:fldCharType="end"/>
      </w:r>
      <w:r w:rsidRPr="00A23882">
        <w:rPr>
          <w:spacing w:val="-4"/>
          <w:sz w:val="24"/>
          <w:szCs w:val="24"/>
        </w:rPr>
        <w:t xml:space="preserve">. The </w:t>
      </w:r>
      <w:r w:rsidR="003118E8">
        <w:rPr>
          <w:noProof/>
          <w:sz w:val="24"/>
          <w:szCs w:val="24"/>
        </w:rPr>
        <w:object w:dxaOrig="1440" w:dyaOrig="1440">
          <v:shape id="_x0000_s1087" type="#_x0000_t75" style="position:absolute;left:0;text-align:left;margin-left:129.25pt;margin-top:103.95pt;width:224.85pt;height:171.9pt;z-index:-251645440;mso-position-horizontal-relative:text;mso-position-vertical-relative:text" wrapcoords="2232 2075 2232 2735 3024 3584 2232 3867 2232 4528 3672 5093 2232 5659 2232 6320 3672 6603 1368 7263 1008 7452 1008 10564 1656 11130 1224 11224 1008 11413 1008 13017 3024 14148 3672 14148 1944 14903 1944 15375 3672 15658 2304 16412 1944 16978 4392 18676 3888 18865 4248 19148 8928 20185 8784 20751 10152 20845 13248 20845 13392 20185 14544 20185 18216 19053 18360 18676 18648 17544 18792 2452 18072 2358 3528 2075 2232 2075">
            <v:imagedata r:id="rId19" o:title=""/>
            <w10:wrap type="tight"/>
          </v:shape>
          <o:OLEObject Type="Embed" ProgID="Origin50.Graph" ShapeID="_x0000_s1087" DrawAspect="Content" ObjectID="_1660750240" r:id="rId20"/>
        </w:object>
      </w:r>
      <w:r w:rsidRPr="00A23882">
        <w:rPr>
          <w:spacing w:val="-4"/>
          <w:sz w:val="24"/>
          <w:szCs w:val="24"/>
        </w:rPr>
        <w:t xml:space="preserve">intercept of the plot is associated with the degree of desolvation upon binding </w:t>
      </w:r>
      <w:r w:rsidRPr="00A23882">
        <w:rPr>
          <w:spacing w:val="-4"/>
          <w:sz w:val="24"/>
          <w:szCs w:val="24"/>
        </w:rPr>
        <w:fldChar w:fldCharType="begin" w:fldLock="1"/>
      </w:r>
      <w:r w:rsidR="00DD5357">
        <w:rPr>
          <w:spacing w:val="-4"/>
          <w:sz w:val="24"/>
          <w:szCs w:val="24"/>
        </w:rPr>
        <w:instrText>ADDIN CSL_CITATION {"citationItems":[{"id":"ITEM-1","itemData":{"author":[{"dropping-particle":"","family":"Inoue","given":"Yoshihisa","non-dropping-particle":"","parse-names":false,"suffix":""},{"dropping-particle":"","family":"Jing","given":"Dao-sen","non-dropping-particle":"","parse-names":false,"suffix":""}],"container-title":"J.Am.Chem.Soc.","id":"ITEM-1","issued":{"date-parts":[["1993"]]},"page":"10637-10644","title":"Modified P-Cyclodextrins. Enthalpy-Entropy Compensation in Host-Guest Complexation: From Ionophore to Cyclodextrin and Cyclophane","type":"article-journal","volume":"115"},"uris":["http://www.mendeley.com/documents/?uuid=b8c138d3-a224-4697-bb39-106754f8535d"]}],"mendeley":{"formattedCitation":"[100]","plainTextFormattedCitation":"[100]","previouslyFormattedCitation":"[100]"},"properties":{"noteIndex":0},"schema":"https://github.com/citation-style-language/schema/raw/master/csl-citation.json"}</w:instrText>
      </w:r>
      <w:r w:rsidRPr="00A23882">
        <w:rPr>
          <w:spacing w:val="-4"/>
          <w:sz w:val="24"/>
          <w:szCs w:val="24"/>
        </w:rPr>
        <w:fldChar w:fldCharType="separate"/>
      </w:r>
      <w:r w:rsidR="00DD5357" w:rsidRPr="00DD5357">
        <w:rPr>
          <w:noProof/>
          <w:spacing w:val="-4"/>
          <w:sz w:val="24"/>
          <w:szCs w:val="24"/>
        </w:rPr>
        <w:t>[100]</w:t>
      </w:r>
      <w:r w:rsidRPr="00A23882">
        <w:rPr>
          <w:spacing w:val="-4"/>
          <w:sz w:val="24"/>
          <w:szCs w:val="24"/>
        </w:rPr>
        <w:fldChar w:fldCharType="end"/>
      </w:r>
      <w:r w:rsidRPr="00A23882">
        <w:rPr>
          <w:spacing w:val="-4"/>
          <w:sz w:val="24"/>
          <w:szCs w:val="24"/>
        </w:rPr>
        <w:t>.</w:t>
      </w:r>
    </w:p>
    <w:p w:rsidR="002A3793" w:rsidRPr="00A23882" w:rsidRDefault="002A3793" w:rsidP="00A23882">
      <w:pPr>
        <w:pStyle w:val="05-ArticleText"/>
        <w:spacing w:line="480" w:lineRule="auto"/>
        <w:rPr>
          <w:spacing w:val="-4"/>
          <w:sz w:val="24"/>
          <w:szCs w:val="24"/>
          <w:lang w:val="en-GB"/>
        </w:rPr>
      </w:pPr>
    </w:p>
    <w:p w:rsidR="002A3793" w:rsidRPr="00A23882" w:rsidRDefault="002A3793" w:rsidP="00A23882">
      <w:pPr>
        <w:pStyle w:val="05-ArticleText"/>
        <w:spacing w:line="480" w:lineRule="auto"/>
        <w:rPr>
          <w:b/>
          <w:spacing w:val="-4"/>
          <w:sz w:val="24"/>
          <w:szCs w:val="24"/>
          <w:lang w:val="en-GB"/>
        </w:rPr>
      </w:pPr>
    </w:p>
    <w:p w:rsidR="002A3793" w:rsidRPr="00A23882" w:rsidRDefault="002A3793" w:rsidP="00A23882">
      <w:pPr>
        <w:pStyle w:val="05-ArticleText"/>
        <w:spacing w:line="480" w:lineRule="auto"/>
        <w:rPr>
          <w:b/>
          <w:spacing w:val="-4"/>
          <w:sz w:val="24"/>
          <w:szCs w:val="24"/>
          <w:lang w:val="en-GB"/>
        </w:rPr>
      </w:pPr>
    </w:p>
    <w:p w:rsidR="002A3793" w:rsidRDefault="002A3793" w:rsidP="00A23882">
      <w:pPr>
        <w:pStyle w:val="05-ArticleText"/>
        <w:spacing w:line="480" w:lineRule="auto"/>
        <w:rPr>
          <w:b/>
          <w:spacing w:val="-4"/>
          <w:sz w:val="24"/>
          <w:szCs w:val="24"/>
          <w:lang w:val="en-GB"/>
        </w:rPr>
      </w:pPr>
    </w:p>
    <w:p w:rsidR="002A3793" w:rsidRPr="00A23882" w:rsidRDefault="002A3793" w:rsidP="00A23882">
      <w:pPr>
        <w:pStyle w:val="05-ArticleText"/>
        <w:spacing w:line="480" w:lineRule="auto"/>
        <w:rPr>
          <w:b/>
          <w:spacing w:val="-4"/>
          <w:sz w:val="24"/>
          <w:szCs w:val="24"/>
          <w:lang w:val="en-GB"/>
        </w:rPr>
      </w:pPr>
    </w:p>
    <w:p w:rsidR="002A3793" w:rsidRPr="00FB7579" w:rsidRDefault="002A3793" w:rsidP="00370802">
      <w:pPr>
        <w:pStyle w:val="05-ArticleText"/>
        <w:spacing w:after="0" w:line="480" w:lineRule="auto"/>
        <w:rPr>
          <w:spacing w:val="-4"/>
          <w:sz w:val="22"/>
          <w:szCs w:val="24"/>
        </w:rPr>
      </w:pPr>
      <w:r w:rsidRPr="00FB7579">
        <w:rPr>
          <w:b/>
          <w:spacing w:val="-4"/>
          <w:sz w:val="22"/>
          <w:szCs w:val="24"/>
          <w:lang w:val="en-GB"/>
        </w:rPr>
        <w:t>Figure 6</w:t>
      </w:r>
      <w:r w:rsidRPr="00FB7579">
        <w:rPr>
          <w:spacing w:val="-4"/>
          <w:sz w:val="22"/>
          <w:szCs w:val="24"/>
          <w:lang w:val="en-GB"/>
        </w:rPr>
        <w:t xml:space="preserve"> – Plot of T</w:t>
      </w:r>
      <w:r w:rsidRPr="001B7886">
        <w:rPr>
          <w:rFonts w:ascii="Symbol" w:hAnsi="Symbol"/>
          <w:spacing w:val="-4"/>
          <w:sz w:val="22"/>
          <w:szCs w:val="24"/>
        </w:rPr>
        <w:t></w:t>
      </w:r>
      <w:r w:rsidRPr="00FB7579">
        <w:rPr>
          <w:spacing w:val="-4"/>
          <w:sz w:val="22"/>
          <w:szCs w:val="24"/>
          <w:lang w:val="en-GB"/>
        </w:rPr>
        <w:t xml:space="preserve">S vs. </w:t>
      </w:r>
      <w:r w:rsidR="001B7886" w:rsidRPr="001B7886">
        <w:rPr>
          <w:rFonts w:ascii="Symbol" w:hAnsi="Symbol"/>
          <w:spacing w:val="-4"/>
          <w:sz w:val="22"/>
          <w:szCs w:val="24"/>
        </w:rPr>
        <w:t></w:t>
      </w:r>
      <w:r w:rsidRPr="00FB7579">
        <w:rPr>
          <w:spacing w:val="-4"/>
          <w:sz w:val="22"/>
          <w:szCs w:val="24"/>
          <w:lang w:val="en-GB"/>
        </w:rPr>
        <w:t>H for different target molecules (</w:t>
      </w:r>
      <w:r w:rsidRPr="00FB7579">
        <w:rPr>
          <w:b/>
          <w:spacing w:val="-4"/>
          <w:sz w:val="22"/>
          <w:szCs w:val="24"/>
          <w:lang w:val="en-GB"/>
        </w:rPr>
        <w:t>T</w:t>
      </w:r>
      <w:r w:rsidRPr="00FB7579">
        <w:rPr>
          <w:spacing w:val="-4"/>
          <w:sz w:val="22"/>
          <w:szCs w:val="24"/>
          <w:lang w:val="en-GB"/>
        </w:rPr>
        <w:t>) binding to BSA according to the bibliographic references reported in the t</w:t>
      </w:r>
      <w:r w:rsidRPr="00FB7579">
        <w:rPr>
          <w:spacing w:val="-4"/>
          <w:sz w:val="22"/>
          <w:szCs w:val="24"/>
        </w:rPr>
        <w:t>ext. Different points relate to the different main driving force claimed in the study: (●) = hydrophobic forces, (</w:t>
      </w:r>
      <w:r w:rsidRPr="00FB7579">
        <w:rPr>
          <w:color w:val="3333CC"/>
          <w:spacing w:val="-4"/>
          <w:sz w:val="22"/>
          <w:szCs w:val="24"/>
        </w:rPr>
        <w:sym w:font="Wingdings 2" w:char="F0A1"/>
      </w:r>
      <w:r w:rsidRPr="00FB7579">
        <w:rPr>
          <w:spacing w:val="-4"/>
          <w:sz w:val="22"/>
          <w:szCs w:val="24"/>
        </w:rPr>
        <w:t>) = van del Waals/H-bonding, (</w:t>
      </w:r>
      <w:r w:rsidRPr="00FB7579">
        <w:rPr>
          <w:color w:val="FF0000"/>
          <w:spacing w:val="-4"/>
          <w:sz w:val="22"/>
          <w:szCs w:val="24"/>
        </w:rPr>
        <w:sym w:font="Wingdings 3" w:char="F070"/>
      </w:r>
      <w:r w:rsidRPr="00FB7579">
        <w:rPr>
          <w:spacing w:val="-4"/>
          <w:sz w:val="22"/>
          <w:szCs w:val="24"/>
        </w:rPr>
        <w:t xml:space="preserve">) = electrostatic. </w:t>
      </w:r>
      <w:r w:rsidR="00C34931">
        <w:rPr>
          <w:spacing w:val="-4"/>
          <w:sz w:val="22"/>
          <w:szCs w:val="24"/>
        </w:rPr>
        <w:t>Full point refer to organic molecules, o</w:t>
      </w:r>
      <w:r w:rsidRPr="00FB7579">
        <w:rPr>
          <w:spacing w:val="-4"/>
          <w:sz w:val="22"/>
          <w:szCs w:val="24"/>
        </w:rPr>
        <w:t xml:space="preserve">pen points refer to metal complexes, the outliers have been crossed out. </w:t>
      </w:r>
    </w:p>
    <w:p w:rsidR="002A3793" w:rsidRPr="00A23882" w:rsidRDefault="002A3793" w:rsidP="00370802">
      <w:pPr>
        <w:pStyle w:val="06-Heading-1"/>
        <w:spacing w:after="0" w:line="480" w:lineRule="auto"/>
        <w:rPr>
          <w:spacing w:val="-4"/>
          <w:sz w:val="24"/>
          <w:szCs w:val="24"/>
        </w:rPr>
      </w:pPr>
    </w:p>
    <w:p w:rsidR="002A3793" w:rsidRPr="00A23882" w:rsidRDefault="002A3793" w:rsidP="00A23882">
      <w:pPr>
        <w:pStyle w:val="06-Heading-1"/>
        <w:spacing w:line="480" w:lineRule="auto"/>
        <w:rPr>
          <w:spacing w:val="-4"/>
          <w:sz w:val="24"/>
          <w:szCs w:val="24"/>
        </w:rPr>
      </w:pPr>
      <w:r w:rsidRPr="00A23882">
        <w:rPr>
          <w:spacing w:val="-4"/>
          <w:sz w:val="24"/>
          <w:szCs w:val="24"/>
        </w:rPr>
        <w:t>6. Synchronous spectra</w:t>
      </w:r>
    </w:p>
    <w:p w:rsidR="002A3793" w:rsidRPr="00C34931" w:rsidRDefault="002A3793" w:rsidP="00A23882">
      <w:pPr>
        <w:pStyle w:val="05-ArticleText"/>
        <w:spacing w:line="480" w:lineRule="auto"/>
        <w:rPr>
          <w:b/>
          <w:sz w:val="24"/>
          <w:szCs w:val="24"/>
          <w:lang w:val="en-GB"/>
        </w:rPr>
      </w:pPr>
      <w:r w:rsidRPr="00A23882">
        <w:rPr>
          <w:spacing w:val="-4"/>
          <w:sz w:val="24"/>
          <w:szCs w:val="24"/>
        </w:rPr>
        <w:t xml:space="preserve">Spectrofluorometers are commonly able to register synchronous spectra, i.e. spectra where each point is defined by a </w:t>
      </w:r>
      <w:r w:rsidRPr="001B7886">
        <w:rPr>
          <w:rFonts w:ascii="Symbol" w:eastAsia="SimSun" w:hAnsi="Symbol"/>
          <w:sz w:val="24"/>
          <w:szCs w:val="24"/>
          <w:lang w:eastAsia="en-US"/>
        </w:rPr>
        <w:t></w:t>
      </w:r>
      <w:r w:rsidRPr="00A23882">
        <w:rPr>
          <w:rFonts w:eastAsia="SimSun"/>
          <w:sz w:val="24"/>
          <w:szCs w:val="24"/>
          <w:vertAlign w:val="subscript"/>
          <w:lang w:eastAsia="en-US"/>
        </w:rPr>
        <w:t>ex</w:t>
      </w:r>
      <w:r w:rsidRPr="00A23882">
        <w:rPr>
          <w:rFonts w:eastAsia="SimSun"/>
          <w:sz w:val="24"/>
          <w:szCs w:val="24"/>
          <w:lang w:eastAsia="en-US"/>
        </w:rPr>
        <w:t>/</w:t>
      </w:r>
      <w:r w:rsidRPr="001B7886">
        <w:rPr>
          <w:rFonts w:ascii="Symbol" w:eastAsia="SimSun" w:hAnsi="Symbol"/>
          <w:sz w:val="24"/>
          <w:szCs w:val="24"/>
          <w:lang w:eastAsia="en-US"/>
        </w:rPr>
        <w:t></w:t>
      </w:r>
      <w:r w:rsidRPr="00A23882">
        <w:rPr>
          <w:rFonts w:eastAsia="SimSun"/>
          <w:sz w:val="24"/>
          <w:szCs w:val="24"/>
          <w:vertAlign w:val="subscript"/>
          <w:lang w:eastAsia="en-US"/>
        </w:rPr>
        <w:t>em</w:t>
      </w:r>
      <w:r w:rsidRPr="00A23882">
        <w:rPr>
          <w:sz w:val="24"/>
          <w:szCs w:val="24"/>
        </w:rPr>
        <w:t xml:space="preserve"> couple where both change synchronously being </w:t>
      </w:r>
      <w:r w:rsidRPr="001B7886">
        <w:rPr>
          <w:rFonts w:ascii="Symbol" w:hAnsi="Symbol"/>
          <w:sz w:val="24"/>
          <w:szCs w:val="24"/>
        </w:rPr>
        <w:t></w:t>
      </w:r>
      <w:r w:rsidRPr="001B7886">
        <w:rPr>
          <w:rFonts w:ascii="Symbol" w:eastAsia="SimSun" w:hAnsi="Symbol"/>
          <w:sz w:val="24"/>
          <w:szCs w:val="24"/>
          <w:lang w:eastAsia="en-US"/>
        </w:rPr>
        <w:t></w:t>
      </w:r>
      <w:r w:rsidRPr="001B7886">
        <w:rPr>
          <w:rFonts w:ascii="Symbol" w:eastAsia="SimSun" w:hAnsi="Symbol"/>
          <w:sz w:val="24"/>
          <w:szCs w:val="24"/>
          <w:lang w:eastAsia="en-US"/>
        </w:rPr>
        <w:t></w:t>
      </w:r>
      <w:r w:rsidRPr="001B7886">
        <w:rPr>
          <w:rFonts w:ascii="Symbol" w:eastAsia="SimSun" w:hAnsi="Symbol"/>
          <w:sz w:val="24"/>
          <w:szCs w:val="24"/>
          <w:lang w:eastAsia="en-US"/>
        </w:rPr>
        <w:t></w:t>
      </w:r>
      <w:r w:rsidRPr="001B7886">
        <w:rPr>
          <w:rFonts w:ascii="Symbol" w:hAnsi="Symbol"/>
          <w:sz w:val="24"/>
          <w:szCs w:val="24"/>
        </w:rPr>
        <w:t></w:t>
      </w:r>
      <w:r w:rsidRPr="001B7886">
        <w:rPr>
          <w:rFonts w:ascii="Symbol" w:eastAsia="SimSun" w:hAnsi="Symbol"/>
          <w:sz w:val="24"/>
          <w:szCs w:val="24"/>
          <w:lang w:eastAsia="en-US"/>
        </w:rPr>
        <w:t></w:t>
      </w:r>
      <w:r w:rsidRPr="00A23882">
        <w:rPr>
          <w:rFonts w:eastAsia="SimSun"/>
          <w:sz w:val="24"/>
          <w:szCs w:val="24"/>
          <w:vertAlign w:val="subscript"/>
          <w:lang w:eastAsia="en-US"/>
        </w:rPr>
        <w:t>em</w:t>
      </w:r>
      <w:r w:rsidRPr="00A23882">
        <w:rPr>
          <w:sz w:val="24"/>
          <w:szCs w:val="24"/>
        </w:rPr>
        <w:t xml:space="preserve"> - </w:t>
      </w:r>
      <w:r w:rsidRPr="001B7886">
        <w:rPr>
          <w:rFonts w:ascii="Symbol" w:eastAsia="SimSun" w:hAnsi="Symbol"/>
          <w:sz w:val="24"/>
          <w:szCs w:val="24"/>
          <w:lang w:eastAsia="en-US"/>
        </w:rPr>
        <w:t></w:t>
      </w:r>
      <w:r w:rsidRPr="00A23882">
        <w:rPr>
          <w:rFonts w:eastAsia="SimSun"/>
          <w:sz w:val="24"/>
          <w:szCs w:val="24"/>
          <w:vertAlign w:val="subscript"/>
          <w:lang w:eastAsia="en-US"/>
        </w:rPr>
        <w:t>ex</w:t>
      </w:r>
      <w:r w:rsidRPr="00A23882">
        <w:rPr>
          <w:sz w:val="24"/>
          <w:szCs w:val="24"/>
        </w:rPr>
        <w:t xml:space="preserve"> constant. A careful choice of </w:t>
      </w:r>
      <w:r w:rsidRPr="001B7886">
        <w:rPr>
          <w:rFonts w:ascii="Symbol" w:hAnsi="Symbol"/>
          <w:sz w:val="24"/>
          <w:szCs w:val="24"/>
        </w:rPr>
        <w:t></w:t>
      </w:r>
      <w:r w:rsidRPr="001B7886">
        <w:rPr>
          <w:rFonts w:ascii="Symbol" w:eastAsia="SimSun" w:hAnsi="Symbol"/>
          <w:sz w:val="24"/>
          <w:szCs w:val="24"/>
          <w:lang w:eastAsia="en-US"/>
        </w:rPr>
        <w:t></w:t>
      </w:r>
      <w:r w:rsidRPr="001B7886">
        <w:rPr>
          <w:rFonts w:ascii="Symbol" w:eastAsia="SimSun" w:hAnsi="Symbol"/>
          <w:sz w:val="24"/>
          <w:szCs w:val="24"/>
          <w:lang w:eastAsia="en-US"/>
        </w:rPr>
        <w:t></w:t>
      </w:r>
      <w:r w:rsidRPr="00A23882">
        <w:rPr>
          <w:sz w:val="24"/>
          <w:szCs w:val="24"/>
        </w:rPr>
        <w:t xml:space="preserve">enables to focus on a peculiar transition which, in turn, will be peculiar of a certain residue. </w:t>
      </w:r>
      <w:r w:rsidRPr="00A23882">
        <w:rPr>
          <w:sz w:val="24"/>
          <w:szCs w:val="24"/>
          <w:lang w:val="en-GB"/>
        </w:rPr>
        <w:t xml:space="preserve">It is claimed in the literature that synchronous spectra can be used to analyse how the polarity of the surrounding of one amino acid changes upon binding of </w:t>
      </w:r>
      <w:r w:rsidRPr="00A23882">
        <w:rPr>
          <w:b/>
          <w:sz w:val="24"/>
          <w:szCs w:val="24"/>
          <w:lang w:val="en-GB"/>
        </w:rPr>
        <w:t>T</w:t>
      </w:r>
      <w:r w:rsidRPr="00A23882">
        <w:rPr>
          <w:sz w:val="24"/>
          <w:szCs w:val="24"/>
          <w:lang w:val="en-GB"/>
        </w:rPr>
        <w:t xml:space="preserve">. A change in the maximum emission of fluorescence will be ascribed to a polarity change in the vicinity of the emitting amino acid: for BSA </w:t>
      </w:r>
      <w:r w:rsidRPr="00A23882">
        <w:rPr>
          <w:sz w:val="24"/>
          <w:szCs w:val="24"/>
        </w:rPr>
        <w:t>Δλ</w:t>
      </w:r>
      <w:r w:rsidRPr="00A23882">
        <w:rPr>
          <w:sz w:val="24"/>
          <w:szCs w:val="24"/>
          <w:lang w:val="en-GB"/>
        </w:rPr>
        <w:t xml:space="preserve"> = 60 nm enables to focus on tryptophan only, whereas </w:t>
      </w:r>
      <w:r w:rsidRPr="00A23882">
        <w:rPr>
          <w:sz w:val="24"/>
          <w:szCs w:val="24"/>
        </w:rPr>
        <w:t>Δλ</w:t>
      </w:r>
      <w:r w:rsidRPr="00A23882">
        <w:rPr>
          <w:sz w:val="24"/>
          <w:szCs w:val="24"/>
          <w:lang w:val="en-GB"/>
        </w:rPr>
        <w:t xml:space="preserve"> = 15 nm is used for tyrosine </w:t>
      </w:r>
      <w:r w:rsidRPr="00A23882">
        <w:rPr>
          <w:sz w:val="24"/>
          <w:szCs w:val="24"/>
          <w:lang w:val="en-GB"/>
        </w:rPr>
        <w:fldChar w:fldCharType="begin" w:fldLock="1"/>
      </w:r>
      <w:r w:rsidR="00DD5357">
        <w:rPr>
          <w:sz w:val="24"/>
          <w:szCs w:val="24"/>
          <w:lang w:val="en-GB"/>
        </w:rPr>
        <w:instrText>ADDIN CSL_CITATION {"citationItems":[{"id":"ITEM-1","itemData":{"DOI":"10.1039/AD97916FX042","ISSN":"13645528","abstract":"Recent developments in photoluminescence and chemiluminescence spectroscopy are summarised, with particular reference to methods for improving the selectivity of luminescence analyses. The acquisition and manipulation of contour spectra and the problems and benefits of generally available corrected fluorescence spectra are discussed. Fluorescence and chemiluminescence immunoassays are evaluated and some probable future developments in these areas are indicated.","author":[{"dropping-particle":"","family":"Miller","given":"James N.","non-dropping-particle":"","parse-names":false,"suffix":""}],"container-title":"Proceedings of the Analytical Division of the Chemical Society","id":"ITEM-1","issued":{"date-parts":[["1979"]]},"title":"Recent advances in molecular luminescence analysis","type":"article-journal"},"uris":["http://www.mendeley.com/documents/?uuid=636e05a5-9bfb-4316-a72f-8104dd3fac36"]}],"mendeley":{"formattedCitation":"[101]","plainTextFormattedCitation":"[101]","previouslyFormattedCitation":"[101]"},"properties":{"noteIndex":0},"schema":"https://github.com/citation-style-language/schema/raw/master/csl-citation.json"}</w:instrText>
      </w:r>
      <w:r w:rsidRPr="00A23882">
        <w:rPr>
          <w:sz w:val="24"/>
          <w:szCs w:val="24"/>
          <w:lang w:val="en-GB"/>
        </w:rPr>
        <w:fldChar w:fldCharType="separate"/>
      </w:r>
      <w:r w:rsidR="00DD5357" w:rsidRPr="00DD5357">
        <w:rPr>
          <w:noProof/>
          <w:sz w:val="24"/>
          <w:szCs w:val="24"/>
          <w:lang w:val="en-GB"/>
        </w:rPr>
        <w:t>[101]</w:t>
      </w:r>
      <w:r w:rsidRPr="00A23882">
        <w:rPr>
          <w:sz w:val="24"/>
          <w:szCs w:val="24"/>
          <w:lang w:val="en-GB"/>
        </w:rPr>
        <w:fldChar w:fldCharType="end"/>
      </w:r>
      <w:r w:rsidR="00DD5357">
        <w:rPr>
          <w:sz w:val="24"/>
          <w:szCs w:val="24"/>
          <w:lang w:val="en-GB"/>
        </w:rPr>
        <w:t>,</w:t>
      </w:r>
      <w:r w:rsidR="00DD5357">
        <w:rPr>
          <w:sz w:val="24"/>
          <w:szCs w:val="24"/>
          <w:lang w:val="en-GB"/>
        </w:rPr>
        <w:fldChar w:fldCharType="begin" w:fldLock="1"/>
      </w:r>
      <w:r w:rsidR="00DD5357">
        <w:rPr>
          <w:sz w:val="24"/>
          <w:szCs w:val="24"/>
          <w:lang w:val="en-GB"/>
        </w:rPr>
        <w:instrText>ADDIN CSL_CITATION {"citationItems":[{"id":"ITEM-1","itemData":{"DOI":"10.1016/j.jinorgbio.2020.111176","ISSN":"18733344","PMID":"32730983","abstract":"Four binuclear Ni(II) complexes [[Ni2(H-DEAsal-tsc)2(μ-dppm)]·2Cl (1), [Ni2(DEAsal-mtsc)2(μ-dppm)] (2), [Ni2(DEAsal-etsc)2(μ-dppm)] (3) and [Ni2(DEAsal-ptsc)2(μ-dppm)] (4)] were synthesized from the ligands namely 4(N,N)-diethylaminosalicylaldehyde-4(N)-thiosemicarbazone [H2-DEAsal-tsc] H2L1/4(N,N)-diethylaminosalicylaldehyde-4(N)-methyl thiosemicarbazone [H2-DEAsal-mtsc] H2L2/4(N,N)-diethylaminosalicylaldehyde-4(N)-ethyl thiosemicarbazone [H2-DEAsal-etsc] H2L3/4(N,N)diethylaminosalicylaldehyde-4(N)-phenyl thiosemicarbazone [H2-DEAsal-ptsc] H2L4 and 1,1′-bis(diphenylphosphino)methane (dppm) and characterized by a number of spectro analytical techniques. The molecular structure of complexes [Ni2(H-DEAsal-tsc)2(μ-dppm)]·2Cl (1) and [Ni2(DEAsal-ptsc)2(μ-dppm)] (4) have been confirmed by single crystal X-ray diffraction studies. The analysis indicated that in complex 1, the ligand [H2-DEAsal-tsc] coordinated as monobasic tridentate donor through phenolic oxygen, azomethine nitrogen and thione sulfur atoms. However, in complex 4, the ligand [H2-DEAsal-ptsc] behaved as dibasic tridentate donor with thiolate sulfur coordination. Their ability to bind with Calf Thymus Deoxyribonucleic acid (CT-DNA) and Bovine Serum Albumin (BSA) were analysed spectrometrically. Intercalative interaction of the complexes with DNA was confirmed by ethidium bromide (EB) displacement studies and DNA viscosity measurements. The interaction mechanism of the complexes with BSA was found as static. In vitro antiproliferative studies of the ligands and complexes in A549 (human lung carcinoma cancer), MCF-7 (human breast cancer) and HeLa (human cervical cancer) cell lines witnessed significant cytotoxic nature of the complexes with low IC50 values (in μM) than the standard metallo-drug cisplatin. Further, the results of Lactate Dehydrogenase (LDH) and Nitric oxide (NO) release assays supported the effectiveness of the complexes on the above said cancer cells.","author":[{"dropping-particle":"","family":"Kalaiarasi","given":"G.","non-dropping-particle":"","parse-names":false,"suffix":""},{"dropping-particle":"","family":"Dharani","given":"S.","non-dropping-particle":"","parse-names":false,"suffix":""},{"dropping-particle":"","family":"Rajkumar","given":"S. Rex Jeya","non-dropping-particle":"","parse-names":false,"suffix":""},{"dropping-particle":"","family":"Lynch","given":"Vincent M.","non-dropping-particle":"","parse-names":false,"suffix":""},{"dropping-particle":"","family":"Prabhakaran","given":"R.","non-dropping-particle":"","parse-names":false,"suffix":""}],"container-title":"Journal of Inorganic Biochemistry","id":"ITEM-1","issue":"July","issued":{"date-parts":[["2020"]]},"page":"111176","publisher":"Elsevier","title":"Binuclear Ni(II) complexes containing ONS donor Schiff base ligands: Preparation, spectral characterization, X-ray crystallography and biological exploration","type":"article-journal","volume":"211"},"uris":["http://www.mendeley.com/documents/?uuid=91614919-c889-4224-86de-5114a0f0eba7"]}],"mendeley":{"formattedCitation":"[102]","plainTextFormattedCitation":"[102]","previouslyFormattedCitation":"[102]"},"properties":{"noteIndex":0},"schema":"https://github.com/citation-style-language/schema/raw/master/csl-citation.json"}</w:instrText>
      </w:r>
      <w:r w:rsidR="00DD5357">
        <w:rPr>
          <w:sz w:val="24"/>
          <w:szCs w:val="24"/>
          <w:lang w:val="en-GB"/>
        </w:rPr>
        <w:fldChar w:fldCharType="separate"/>
      </w:r>
      <w:r w:rsidR="00DD5357" w:rsidRPr="00DD5357">
        <w:rPr>
          <w:noProof/>
          <w:sz w:val="24"/>
          <w:szCs w:val="24"/>
          <w:lang w:val="en-GB"/>
        </w:rPr>
        <w:t>[102]</w:t>
      </w:r>
      <w:r w:rsidR="00DD5357">
        <w:rPr>
          <w:sz w:val="24"/>
          <w:szCs w:val="24"/>
          <w:lang w:val="en-GB"/>
        </w:rPr>
        <w:fldChar w:fldCharType="end"/>
      </w:r>
      <w:r w:rsidR="00DD5357">
        <w:rPr>
          <w:sz w:val="24"/>
          <w:szCs w:val="24"/>
          <w:lang w:val="en-GB"/>
        </w:rPr>
        <w:t>,</w:t>
      </w:r>
      <w:r w:rsidR="00DD5357">
        <w:rPr>
          <w:sz w:val="24"/>
          <w:szCs w:val="24"/>
          <w:lang w:val="en-GB"/>
        </w:rPr>
        <w:fldChar w:fldCharType="begin" w:fldLock="1"/>
      </w:r>
      <w:r w:rsidR="00DD5357">
        <w:rPr>
          <w:sz w:val="24"/>
          <w:szCs w:val="24"/>
          <w:lang w:val="en-GB"/>
        </w:rPr>
        <w:instrText>ADDIN CSL_CITATION {"citationItems":[{"id":"ITEM-1","itemData":{"DOI":"10.1016/j.jinorgbio.2015.08.026","ISSN":"18733344","PMID":"26339715","abstract":"Four new cationic Pd(II) and Pt(II) 5,5-diethylbarbiturate (barb) complexes, [M(barb)(bpma)]X·H2O [M=PdII, X = Cl (1); M = PtII, X = NO3 - (2)] and [M(barb)(terpy)]NO3·0.5H2O [M=PdII (3); M = PtII (4)], where bpma=bis(2-pyridylmethyl)amine and terpy=terpyridine, were synthesized and characterized by elemental analysis, IR, UVvis, NMR, ESI-MS and X-ray crystallography. The DNA binding properties of the cationic complexes were investigated by spectroscopic titrations, displacement experiments, viscosity, DNA melting and electrophoresis measurements. The results revealed that the complexes effectively bind to FS-DNA (fish sperm DNA) via intercalative/minor groove binding modes with intrinsic binding constants (Kb) in the range of 0.50 × 104 - 1.67 × 105 M-1. Absorption, emission and synchronous fluorescence measurements showed strong association of the complexes with protein (BSA) through a static mechanism. The mode of interaction of complexes towards DNA and proteinwas also supported bymolecular docking. Complexes 1 and 3 showed significant nuclear uptake in HT-29 cells. In addition, 1 and 3 showed higher inhibition than cisplatin on the growth of MCF-7 and HT-29 cells and induced apoptosis on these cells much more effectively than the rest of the complexes as evidenced by pyknotic nuclearmorphology. The levels of caspase-cleaved cytokeratin 18 (M30 antigen) in HT-29 cells treated with 1 and 3 increased in a dose-dependent manner, suggesting apoptosis. Moreover, qRT-PCR experiments showed that 1 and 3 caused significant increases in the expression of TNFRSF10B in HT-29 cells, indicating the initiation of apoptosis via cell surface death receptors.","author":[{"dropping-particle":"","family":"Icsel","given":"Ceyda","non-dropping-particle":"","parse-names":false,"suffix":""},{"dropping-particle":"","family":"Yilmaz","given":"Veysel T.","non-dropping-particle":"","parse-names":false,"suffix":""},{"dropping-particle":"","family":"Kaya","given":"Yunus","non-dropping-particle":"","parse-names":false,"suffix":""},{"dropping-particle":"","family":"Durmus","given":"Selvi","non-dropping-particle":"","parse-names":false,"suffix":""},{"dropping-particle":"","family":"Sarimahmut","given":"Mehmet","non-dropping-particle":"","parse-names":false,"suffix":""},{"dropping-particle":"","family":"Buyukgungor","given":"Orhan","non-dropping-particle":"","parse-names":false,"suffix":""},{"dropping-particle":"","family":"Ulukaya","given":"Engin","non-dropping-particle":"","parse-names":false,"suffix":""}],"container-title":"Journal of Inorganic Biochemistry","id":"ITEM-1","issued":{"date-parts":[["2015"]]},"page":"38-52","publisher":"Elsevier Inc.","title":"Cationic Pd(II)/Pt(II) 5,5-diethylbarbiturate complexes with bis(2-pyridylmethyl)amine and terpyridine: Synthesis, structures,DNA/BSA interactions, intracellular distribution, cytotoxic activity and induction of apoptosis","type":"article-journal","volume":"152"},"uris":["http://www.mendeley.com/documents/?uuid=77896e01-5091-44f7-b9a9-21a5204df07c"]}],"mendeley":{"formattedCitation":"[103]","plainTextFormattedCitation":"[103]","previouslyFormattedCitation":"[103]"},"properties":{"noteIndex":0},"schema":"https://github.com/citation-style-language/schema/raw/master/csl-citation.json"}</w:instrText>
      </w:r>
      <w:r w:rsidR="00DD5357">
        <w:rPr>
          <w:sz w:val="24"/>
          <w:szCs w:val="24"/>
          <w:lang w:val="en-GB"/>
        </w:rPr>
        <w:fldChar w:fldCharType="separate"/>
      </w:r>
      <w:r w:rsidR="00DD5357" w:rsidRPr="00DD5357">
        <w:rPr>
          <w:noProof/>
          <w:sz w:val="24"/>
          <w:szCs w:val="24"/>
          <w:lang w:val="en-GB"/>
        </w:rPr>
        <w:t>[103]</w:t>
      </w:r>
      <w:r w:rsidR="00DD5357">
        <w:rPr>
          <w:sz w:val="24"/>
          <w:szCs w:val="24"/>
          <w:lang w:val="en-GB"/>
        </w:rPr>
        <w:fldChar w:fldCharType="end"/>
      </w:r>
      <w:r w:rsidR="00DD5357">
        <w:rPr>
          <w:sz w:val="24"/>
          <w:szCs w:val="24"/>
          <w:lang w:val="en-GB"/>
        </w:rPr>
        <w:t>,</w:t>
      </w:r>
      <w:r w:rsidR="00DD5357">
        <w:rPr>
          <w:sz w:val="24"/>
          <w:szCs w:val="24"/>
          <w:lang w:val="en-GB"/>
        </w:rPr>
        <w:fldChar w:fldCharType="begin" w:fldLock="1"/>
      </w:r>
      <w:r w:rsidR="00E822E2">
        <w:rPr>
          <w:sz w:val="24"/>
          <w:szCs w:val="24"/>
          <w:lang w:val="en-GB"/>
        </w:rPr>
        <w:instrText>ADDIN CSL_CITATION {"citationItems":[{"id":"ITEM-1","itemData":{"DOI":"10.1016/j.jinorgbio.2014.04.005","ISSN":"18733344","PMID":"24838006","abstract":"Three new salicylidene Schiff base nickel(II) complexes [Ni(L 1)(CH3COOH)2]2 (1), [Ni 2(L1)2(CH3OH)] (2), [Ni(L 2)2]·3H2O (3) {H2L 1 = N,N′-bis(salicylidene)-3,6-dioxa-1,8-diaminooctane, HL 2 = 2-ethyl-2-(2-hydroxybenzylideneamino)propane-1,3-diol} were synthesized and characterized fully by structural, analytical, and spectral methods. The single-crystal X-ray structures of complexes 1 and 2 exhibit the symmetrical ligands coordinated to the nickel(II) ion in a tetradentate fashion via ONNO donor atoms, while the unsymmetrical ligand L2 presented a ONO tridentate coordination mode in complex 3. The nickel(II) ions lie in the six-coordinated octahedral environment for the mononuclear complexes 1 and 3, along with dinuclear complex 2. The interaction of the complexes with calf thymus DNA (CT-DNA) has been explored by absorption and emission titration methods, which revealed that complexes 1-3 could interact with CT-DNA through intercalation. The interactions of the complexes with bovine serum albumin (BSA) were also investigated using UV-Vis, fluorescence and synchronous fluorescence spectroscopic methods. The results indicated that all of the complexes could quench the intrinsic fluorescence of BSA in a static quenching process. Further, the in vitro cytotoxic effect of the complexes examined on cancerous cell lines such as human lung carcinoma cell line (A549), human colon carcinoma cell lines (HCT-116), human promyelocytic leukemia cells (HL-60) and colonic cancer cell line Caco-2 showed that all three complexes exhibited substantial cytotoxic activity. © 2014 Elsevier Inc.","author":[{"dropping-particle":"","family":"Li","given":"Peng","non-dropping-particle":"","parse-names":false,"suffix":""},{"dropping-particle":"","family":"Niu","given":"Mei Ju","non-dropping-particle":"","parse-names":false,"suffix":""},{"dropping-particle":"","family":"Hong","given":"Min","non-dropping-particle":"","parse-names":false,"suffix":""},{"dropping-particle":"","family":"Cheng","given":"Shuang","non-dropping-particle":"","parse-names":false,"suffix":""},{"dropping-particle":"","family":"Dou","given":"Jian Min","non-dropping-particle":"","parse-names":false,"suffix":""}],"container-title":"Journal of Inorganic Biochemistry","id":"ITEM-1","issued":{"date-parts":[["2014"]]},"page":"101-108","publisher":"Elsevier Inc.","title":"Effect of structure and composition of nickel(II) complexes with salicylidene Schiff base ligands on their DNA/protein interaction and cytotoxicity","type":"article-journal","volume":"137"},"uris":["http://www.mendeley.com/documents/?uuid=6ad03eaf-1d87-42c2-98bc-a654bc59baf5"]}],"mendeley":{"formattedCitation":"[104]","plainTextFormattedCitation":"[104]","previouslyFormattedCitation":"[104]"},"properties":{"noteIndex":0},"schema":"https://github.com/citation-style-language/schema/raw/master/csl-citation.json"}</w:instrText>
      </w:r>
      <w:r w:rsidR="00DD5357">
        <w:rPr>
          <w:sz w:val="24"/>
          <w:szCs w:val="24"/>
          <w:lang w:val="en-GB"/>
        </w:rPr>
        <w:fldChar w:fldCharType="separate"/>
      </w:r>
      <w:r w:rsidR="00DD5357" w:rsidRPr="00DD5357">
        <w:rPr>
          <w:noProof/>
          <w:sz w:val="24"/>
          <w:szCs w:val="24"/>
          <w:lang w:val="en-GB"/>
        </w:rPr>
        <w:t>[104]</w:t>
      </w:r>
      <w:r w:rsidR="00DD5357">
        <w:rPr>
          <w:sz w:val="24"/>
          <w:szCs w:val="24"/>
          <w:lang w:val="en-GB"/>
        </w:rPr>
        <w:fldChar w:fldCharType="end"/>
      </w:r>
      <w:r w:rsidR="009A72DC">
        <w:rPr>
          <w:sz w:val="24"/>
          <w:szCs w:val="24"/>
          <w:lang w:val="en-GB"/>
        </w:rPr>
        <w:t>. T</w:t>
      </w:r>
      <w:r w:rsidRPr="00A23882">
        <w:rPr>
          <w:sz w:val="24"/>
          <w:szCs w:val="24"/>
          <w:lang w:val="en-GB"/>
        </w:rPr>
        <w:t xml:space="preserve">he concept of the vicinity is here not too strict, as protein emission (dominated by that of tryptophan) is a complex process where quenching effects </w:t>
      </w:r>
      <w:r w:rsidRPr="00A23882">
        <w:rPr>
          <w:sz w:val="24"/>
          <w:szCs w:val="24"/>
          <w:lang w:val="en-GB"/>
        </w:rPr>
        <w:lastRenderedPageBreak/>
        <w:t xml:space="preserve">by the nearby amino-acids or side chains may have a relatively long-range effect </w:t>
      </w:r>
      <w:r w:rsidRPr="00A23882">
        <w:rPr>
          <w:sz w:val="24"/>
          <w:szCs w:val="24"/>
          <w:lang w:val="en-GB"/>
        </w:rPr>
        <w:fldChar w:fldCharType="begin" w:fldLock="1"/>
      </w:r>
      <w:r w:rsidRPr="00A23882">
        <w:rPr>
          <w:sz w:val="24"/>
          <w:szCs w:val="24"/>
          <w:lang w:val="en-GB"/>
        </w:rPr>
        <w:instrText>ADDIN CSL_CITATION {"citationItems":[{"id":"ITEM-1","itemData":{"DOI":"10.1007/978-0-387-46312-4","ISBN":"0387312781","abstract":"The third edition of the established classic text reference, Principles of Fluorescence Spectroscopy, will enhance upon the earlier editions' successes. Organized as a textbook for the learning student or the researcher needing to acquire the core competencies, Principles of Fluorescence Spectroscopy, 3e will maintain the emphasis on basics, while updating the examples to include recent results from the literature. The third edition also includes new chapters on single molecule detection, fluorescence correlation spectroscopy, novel probes and radiative decay engineering.This full-color textbook features the following: Problem sets following every chapter Glossaries of commonly used acronyms and mathematical symbols Appendices containing a list of recommended books which expand on various specialized topics Sections describing advanced topics will indicate as such, to allow these sections to be skipped in an introductory course, allowing the text to be used for classes of different levels Includes CD-ROM of all figures in a low-res format, perfect for use in instruction and presentations Principles of Fluorescence Spectroscopy, 3rd edition, is an essential volume for students, researchers, and industry professionals in biophysics, biochemistry, biotechnology, bioengineering, biology and medicine. About the Author: Dr. Joseph R. Lakowicz is Professor of Biochemistry at the University of Maryland School of Medicine, Baltimore, and Director of the Center for Fluorescence Spectroscopy. Dr. Lakowicz has published over 400 scientific articles, has edited numerous books, holds 16 issued patents, and is the author of the widely used text, Principles of Fluorescence Spectroscopy now in its 3rd edition. © 2006, 1999, 1983 Springer Science+Business Media, LLC.","author":[{"dropping-particle":"","family":"Lakowicz","given":"Joseph R.","non-dropping-particle":"","parse-names":false,"suffix":""}],"container-title":"Principles of Fluorescence Spectroscopy","id":"ITEM-1","issued":{"date-parts":[["2006"]]},"number-of-pages":"1-954","title":"Principles of fluorescence spectroscopy","type":"book"},"uris":["http://www.mendeley.com/documents/?uuid=ac19533f-e015-4e0f-82a3-335464256930"]}],"mendeley":{"formattedCitation":"[29]","plainTextFormattedCitation":"[29]","previouslyFormattedCitation":"[29]"},"properties":{"noteIndex":0},"schema":"https://github.com/citation-style-language/schema/raw/master/csl-citation.json"}</w:instrText>
      </w:r>
      <w:r w:rsidRPr="00A23882">
        <w:rPr>
          <w:sz w:val="24"/>
          <w:szCs w:val="24"/>
          <w:lang w:val="en-GB"/>
        </w:rPr>
        <w:fldChar w:fldCharType="separate"/>
      </w:r>
      <w:r w:rsidRPr="00A23882">
        <w:rPr>
          <w:noProof/>
          <w:sz w:val="24"/>
          <w:szCs w:val="24"/>
          <w:lang w:val="en-GB"/>
        </w:rPr>
        <w:t>[29]</w:t>
      </w:r>
      <w:r w:rsidRPr="00A23882">
        <w:rPr>
          <w:sz w:val="24"/>
          <w:szCs w:val="24"/>
          <w:lang w:val="en-GB"/>
        </w:rPr>
        <w:fldChar w:fldCharType="end"/>
      </w:r>
      <w:r w:rsidRPr="00A23882">
        <w:rPr>
          <w:sz w:val="24"/>
          <w:szCs w:val="24"/>
          <w:lang w:val="en-GB"/>
        </w:rPr>
        <w:t xml:space="preserve">. In these experiments, synchronous spectra are recorded first for BSA alone, and then for increasing addition of </w:t>
      </w:r>
      <w:r w:rsidRPr="00A23882">
        <w:rPr>
          <w:b/>
          <w:sz w:val="24"/>
          <w:szCs w:val="24"/>
          <w:lang w:val="en-GB"/>
        </w:rPr>
        <w:t xml:space="preserve">T </w:t>
      </w:r>
      <w:r w:rsidRPr="00A23882">
        <w:rPr>
          <w:sz w:val="24"/>
          <w:szCs w:val="24"/>
          <w:lang w:val="en-GB"/>
        </w:rPr>
        <w:t>(Figure 7).</w:t>
      </w:r>
      <w:r w:rsidR="00C34931">
        <w:rPr>
          <w:b/>
          <w:sz w:val="24"/>
          <w:szCs w:val="24"/>
          <w:lang w:val="en-GB"/>
        </w:rPr>
        <w:t xml:space="preserve"> </w:t>
      </w:r>
      <w:r w:rsidRPr="00A23882">
        <w:rPr>
          <w:sz w:val="24"/>
          <w:szCs w:val="24"/>
          <w:lang w:val="en-GB"/>
        </w:rPr>
        <w:t xml:space="preserve">The possible changes in the emission spectrum profile (band maximum shift) are inspected and discussed. In some papers, also changes in the intensity of the emission are taken as an indication of binding in the vicinity of this particular binding site. These experiments consider that </w:t>
      </w:r>
      <w:r w:rsidRPr="00A23882">
        <w:rPr>
          <w:b/>
          <w:sz w:val="24"/>
          <w:szCs w:val="24"/>
          <w:lang w:val="en-GB"/>
        </w:rPr>
        <w:t>T</w:t>
      </w:r>
      <w:r w:rsidRPr="00A23882">
        <w:rPr>
          <w:sz w:val="24"/>
          <w:szCs w:val="24"/>
          <w:lang w:val="en-GB"/>
        </w:rPr>
        <w:t xml:space="preserve"> is completely non-fluorescent under the explored condition so that it cannot contribute to the data. This is a little more complicated with respect to a titration where the </w:t>
      </w:r>
      <w:r w:rsidRPr="001B7886">
        <w:rPr>
          <w:rFonts w:ascii="Symbol" w:eastAsia="SimSun" w:hAnsi="Symbol"/>
          <w:sz w:val="24"/>
          <w:szCs w:val="24"/>
          <w:lang w:eastAsia="en-US"/>
        </w:rPr>
        <w:t></w:t>
      </w:r>
      <w:r w:rsidRPr="00A23882">
        <w:rPr>
          <w:rFonts w:eastAsia="SimSun"/>
          <w:sz w:val="24"/>
          <w:szCs w:val="24"/>
          <w:vertAlign w:val="subscript"/>
          <w:lang w:eastAsia="en-US"/>
        </w:rPr>
        <w:t>ex</w:t>
      </w:r>
      <w:r w:rsidRPr="00A23882">
        <w:rPr>
          <w:rFonts w:eastAsia="SimSun"/>
          <w:sz w:val="24"/>
          <w:szCs w:val="24"/>
          <w:lang w:eastAsia="en-US"/>
        </w:rPr>
        <w:t>/</w:t>
      </w:r>
      <w:r w:rsidR="009C6514" w:rsidRPr="001B7886">
        <w:rPr>
          <w:rFonts w:ascii="Symbol" w:eastAsia="SimSun" w:hAnsi="Symbol"/>
          <w:sz w:val="24"/>
          <w:szCs w:val="24"/>
          <w:lang w:eastAsia="en-US"/>
        </w:rPr>
        <w:t></w:t>
      </w:r>
      <w:r w:rsidRPr="00A23882">
        <w:rPr>
          <w:rFonts w:eastAsia="SimSun"/>
          <w:sz w:val="24"/>
          <w:szCs w:val="24"/>
          <w:vertAlign w:val="subscript"/>
          <w:lang w:eastAsia="en-US"/>
        </w:rPr>
        <w:t>em</w:t>
      </w:r>
      <w:r w:rsidRPr="00A23882">
        <w:rPr>
          <w:sz w:val="24"/>
          <w:szCs w:val="24"/>
        </w:rPr>
        <w:t xml:space="preserve"> couple is fixed because here </w:t>
      </w:r>
      <w:r w:rsidR="009C6514" w:rsidRPr="001B7886">
        <w:rPr>
          <w:rFonts w:ascii="Symbol" w:eastAsia="SimSun" w:hAnsi="Symbol"/>
          <w:sz w:val="24"/>
          <w:szCs w:val="24"/>
          <w:lang w:eastAsia="en-US"/>
        </w:rPr>
        <w:t></w:t>
      </w:r>
      <w:r w:rsidR="009C6514" w:rsidRPr="00A23882">
        <w:rPr>
          <w:rFonts w:eastAsia="SimSun"/>
          <w:sz w:val="24"/>
          <w:szCs w:val="24"/>
          <w:vertAlign w:val="subscript"/>
          <w:lang w:eastAsia="en-US"/>
        </w:rPr>
        <w:t>ex</w:t>
      </w:r>
      <w:r w:rsidR="009C6514" w:rsidRPr="00A23882">
        <w:rPr>
          <w:rFonts w:eastAsia="SimSun"/>
          <w:sz w:val="24"/>
          <w:szCs w:val="24"/>
          <w:lang w:eastAsia="en-US"/>
        </w:rPr>
        <w:t>/</w:t>
      </w:r>
      <w:r w:rsidR="009C6514" w:rsidRPr="001B7886">
        <w:rPr>
          <w:rFonts w:ascii="Symbol" w:eastAsia="SimSun" w:hAnsi="Symbol"/>
          <w:sz w:val="24"/>
          <w:szCs w:val="24"/>
          <w:lang w:eastAsia="en-US"/>
        </w:rPr>
        <w:t></w:t>
      </w:r>
      <w:r w:rsidR="009C6514" w:rsidRPr="00A23882">
        <w:rPr>
          <w:rFonts w:eastAsia="SimSun"/>
          <w:sz w:val="24"/>
          <w:szCs w:val="24"/>
          <w:vertAlign w:val="subscript"/>
          <w:lang w:eastAsia="en-US"/>
        </w:rPr>
        <w:t>em</w:t>
      </w:r>
      <w:r w:rsidR="009C6514" w:rsidRPr="00A23882">
        <w:rPr>
          <w:sz w:val="24"/>
          <w:szCs w:val="24"/>
        </w:rPr>
        <w:t xml:space="preserve"> </w:t>
      </w:r>
      <w:r w:rsidRPr="00A23882">
        <w:rPr>
          <w:sz w:val="24"/>
          <w:szCs w:val="24"/>
        </w:rPr>
        <w:t xml:space="preserve">are changing over a certain range. In the case that some light emission by </w:t>
      </w:r>
      <w:r w:rsidRPr="00A23882">
        <w:rPr>
          <w:b/>
          <w:sz w:val="24"/>
          <w:szCs w:val="24"/>
        </w:rPr>
        <w:t>T</w:t>
      </w:r>
      <w:r w:rsidRPr="00A23882">
        <w:rPr>
          <w:sz w:val="24"/>
          <w:szCs w:val="24"/>
        </w:rPr>
        <w:t xml:space="preserve"> is possible, blank synchronous spectra of </w:t>
      </w:r>
      <w:r w:rsidRPr="00A23882">
        <w:rPr>
          <w:b/>
          <w:sz w:val="24"/>
          <w:szCs w:val="24"/>
        </w:rPr>
        <w:t xml:space="preserve">T </w:t>
      </w:r>
      <w:r w:rsidRPr="00A23882">
        <w:rPr>
          <w:sz w:val="24"/>
          <w:szCs w:val="24"/>
        </w:rPr>
        <w:t xml:space="preserve">alone would better be recorded to ensure the absence of any contribution by the titrant. Also and again, inner filter effects need to be checked. In fact, the addition of an excess of </w:t>
      </w:r>
      <w:r w:rsidRPr="00A23882">
        <w:rPr>
          <w:b/>
          <w:sz w:val="24"/>
          <w:szCs w:val="24"/>
        </w:rPr>
        <w:t>T</w:t>
      </w:r>
      <w:r w:rsidRPr="00A23882">
        <w:rPr>
          <w:sz w:val="24"/>
          <w:szCs w:val="24"/>
        </w:rPr>
        <w:t xml:space="preserve"> might perturb the intensity of the exciting beam. Obviously, these checks are the more important, the smaller and subtle are the changes in the BSA emission we want to discuss and take as evidence for binding </w:t>
      </w:r>
      <w:r w:rsidRPr="00A23882">
        <w:rPr>
          <w:b/>
          <w:sz w:val="24"/>
          <w:szCs w:val="24"/>
        </w:rPr>
        <w:fldChar w:fldCharType="begin" w:fldLock="1"/>
      </w:r>
      <w:r w:rsidRPr="00A23882">
        <w:rPr>
          <w:b/>
          <w:sz w:val="24"/>
          <w:szCs w:val="24"/>
        </w:rPr>
        <w:instrText>ADDIN CSL_CITATION {"citationItems":[{"id":"ITEM-1","itemData":{"DOI":"10.1016/j.saa.2018.12.040","ISSN":"13861425","abstract":"Benazepril, a common ACE inhibitor, widely used in the treatment of arterial hypertension and congestive heart failure. In this study, We evaluated the characteristics of the interaction between benazepril and BSA under the simulated physiological condition (pH 7.4) through various spectroscopic and molecular docking methods. Fluorescence and absorption spectroscopy results showed benazepril quenched the intrinsic fluorescence of BSA through a combined dynamic and static quenching mechanism. The number of binding sites (n) and the binding constant (K b ) of benazepril–BSA complex were circa 1 and 6.81 × 10 3 M −1 at 298 K, respectively, indicating that the binding affinity between benazepril and BSA was moderate. The displacement experiments confirmed that benazepril binding to the site I of BSA, which was quite in accordance with molecular docking. The values of the Gibbs free energy (ΔG 0 ), enthalpic change (ΔH 0 ) and entropic change (ΔS 0 ) were negative, verifying that van der Waals force and hydrogen bonding interaction played a predominant roles in the process of spontaneous bonding. Furthermore, a slight change of the conformation in BSA upon benazepril interaction was proved through SF, 3-DF and FTIR spectroscopy results.","author":[{"dropping-particle":"","family":"Wang","given":"Bao Li","non-dropping-particle":"","parse-names":false,"suffix":""},{"dropping-particle":"","family":"Pan","given":"Dong Qi","non-dropping-particle":"","parse-names":false,"suffix":""},{"dropping-particle":"","family":"Zhou","given":"Kai Li","non-dropping-particle":"","parse-names":false,"suffix":""},{"dropping-particle":"","family":"Lou","given":"Yan Yue","non-dropping-particle":"","parse-names":false,"suffix":""},{"dropping-particle":"","family":"Shi","given":"Jie Hua","non-dropping-particle":"","parse-names":false,"suffix":""}],"container-title":"Spectrochimica Acta - Part A: Molecular and Biomolecular Spectroscopy","id":"ITEM-1","issued":{"date-parts":[["2019"]]},"page":"15-24","publisher":"Elsevier B.V","title":"Multi-spectroscopic approaches and molecular simulation research of the intermolecular interaction between the angiotensin-converting enzyme inhibitor (ACE inhibitor) benazepril and bovine serum albumin (BSA)","type":"article-journal","volume":"212"},"uris":["http://www.mendeley.com/documents/?uuid=2b856b50-a3ba-466d-8a76-cd8132af4828"]}],"mendeley":{"formattedCitation":"[46]","plainTextFormattedCitation":"[46]","previouslyFormattedCitation":"[46]"},"properties":{"noteIndex":0},"schema":"https://github.com/citation-style-language/schema/raw/master/csl-citation.json"}</w:instrText>
      </w:r>
      <w:r w:rsidRPr="00A23882">
        <w:rPr>
          <w:b/>
          <w:sz w:val="24"/>
          <w:szCs w:val="24"/>
        </w:rPr>
        <w:fldChar w:fldCharType="separate"/>
      </w:r>
      <w:r w:rsidRPr="00A23882">
        <w:rPr>
          <w:noProof/>
          <w:sz w:val="24"/>
          <w:szCs w:val="24"/>
        </w:rPr>
        <w:t>[46]</w:t>
      </w:r>
      <w:r w:rsidRPr="00A23882">
        <w:rPr>
          <w:b/>
          <w:sz w:val="24"/>
          <w:szCs w:val="24"/>
        </w:rPr>
        <w:fldChar w:fldCharType="end"/>
      </w:r>
      <w:r w:rsidRPr="00A23882">
        <w:rPr>
          <w:b/>
          <w:sz w:val="24"/>
          <w:szCs w:val="24"/>
        </w:rPr>
        <w:t>,</w:t>
      </w:r>
      <w:r w:rsidRPr="00A23882">
        <w:rPr>
          <w:b/>
          <w:sz w:val="24"/>
          <w:szCs w:val="24"/>
        </w:rPr>
        <w:fldChar w:fldCharType="begin" w:fldLock="1"/>
      </w:r>
      <w:r w:rsidRPr="00A23882">
        <w:rPr>
          <w:b/>
          <w:sz w:val="24"/>
          <w:szCs w:val="24"/>
        </w:rPr>
        <w:instrText>ADDIN CSL_CITATION {"citationItems":[{"id":"ITEM-1","itemData":{"DOI":"10.1016/j.molstruc.2004.11.062","ISSN":"00222860","abstract":"The interaction between anti-tumor drug, 1-hexylcarbamoyl-5-fluorouracil (Carmofur), and bovine serum albumin (BSA) were studied by spectroscopic methods including fluorescence spectroscopy, circular dichroism (CD) and UV-Visible absorption spectrum. The quenching mechanism of fluorescence of BSA by Carmofur was discussed. The number of binding sites n and apparent binding constant Kb was measured by fluorescence quenching method. The thermodynamic parameters ΔH, ΔG, ΔS at different temperatures were calculated and the results indicate the binding reaction is mainly entropy-driven and hydrophobic forces played major role in the reaction. The distance r between donor (BSA) and acceptor (Carmofur) was obtained according to Förster theory of non-radiation energy transfer. CD spectrum were used to investigate the structural change of BSA molecules with addition of Carmofur, the result indicates that the secondary structure of BSA molecules is changed in the presence of Carmofur. © 2004 Elsevier B.V. All rights reserved.","author":[{"dropping-particle":"","family":"Hu","given":"Yan Jun","non-dropping-particle":"","parse-names":false,"suffix":""},{"dropping-particle":"","family":"Liu","given":"Yi","non-dropping-particle":"","parse-names":false,"suffix":""},{"dropping-particle":"","family":"Shen","given":"Xue Song","non-dropping-particle":"","parse-names":false,"suffix":""},{"dropping-particle":"","family":"Fang","given":"Xian Yang","non-dropping-particle":"","parse-names":false,"suffix":""},{"dropping-particle":"","family":"Qu","given":"Song Sheng","non-dropping-particle":"","parse-names":false,"suffix":""}],"container-title":"Journal of Molecular Structure","id":"ITEM-1","issue":"1-3","issued":{"date-parts":[["2005"]]},"page":"143-147","title":"Studies on the interaction between 1-hexylcarbamoyl-5-fluorouracil and bovine serum albumin","type":"article-journal","volume":"738"},"uris":["http://www.mendeley.com/documents/?uuid=005a0b77-7ac3-4d69-a17e-6a14b1849a48"]}],"mendeley":{"formattedCitation":"[49]","plainTextFormattedCitation":"[49]","previouslyFormattedCitation":"[49]"},"properties":{"noteIndex":0},"schema":"https://github.com/citation-style-language/schema/raw/master/csl-citation.json"}</w:instrText>
      </w:r>
      <w:r w:rsidRPr="00A23882">
        <w:rPr>
          <w:b/>
          <w:sz w:val="24"/>
          <w:szCs w:val="24"/>
        </w:rPr>
        <w:fldChar w:fldCharType="separate"/>
      </w:r>
      <w:r w:rsidRPr="00A23882">
        <w:rPr>
          <w:noProof/>
          <w:sz w:val="24"/>
          <w:szCs w:val="24"/>
        </w:rPr>
        <w:t>[49]</w:t>
      </w:r>
      <w:r w:rsidRPr="00A23882">
        <w:rPr>
          <w:b/>
          <w:sz w:val="24"/>
          <w:szCs w:val="24"/>
        </w:rPr>
        <w:fldChar w:fldCharType="end"/>
      </w:r>
      <w:r w:rsidRPr="00A23882">
        <w:rPr>
          <w:b/>
          <w:sz w:val="24"/>
          <w:szCs w:val="24"/>
        </w:rPr>
        <w:t>,</w:t>
      </w:r>
      <w:r w:rsidRPr="00A23882">
        <w:rPr>
          <w:b/>
          <w:sz w:val="24"/>
          <w:szCs w:val="24"/>
        </w:rPr>
        <w:fldChar w:fldCharType="begin" w:fldLock="1"/>
      </w:r>
      <w:r w:rsidR="00DD5357">
        <w:rPr>
          <w:b/>
          <w:sz w:val="24"/>
          <w:szCs w:val="24"/>
        </w:rPr>
        <w:instrText>ADDIN CSL_CITATION {"citationItems":[{"id":"ITEM-1","itemData":{"DOI":"10.1016/j.jlumin.2006.06.013","ISSN":"00222313","abstract":"The interaction between the flavonoid hesperidin and bovine serum albumin (BSA) was investigated by fluorescence and UV/Vis absorption spectroscopy. The results revealed that hesperidin caused the fluorescence quenching of BSA through a static quenching procedure. The hydrophobic and electrostatic interactions play a major role in stabilizing the complex. The binding site number n, and apparent binding constant KA, corresponding thermodynamic parameters ΔGo, ΔHo, ΔSo at different temperatures were calculated. The distance r between donor (BSA) and acceptor (hesperidin) was obtained according to fluorescence resonance energy transfer. The effect of Cu2+, Zn2+, Ni2+, Co2+, and Mn2+ on the binding constants between hesperidin and BSA were studied. The effect of hesperidin on the conformation of BSA was analyzed using synchronous fluorescence spectroscopy and UV/Vis absorption spectroscopy. © 2006 Elsevier B.V. All rights reserved.","author":[{"dropping-particle":"","family":"Wang","given":"Yan Qing","non-dropping-particle":"","parse-names":false,"suffix":""},{"dropping-particle":"","family":"Zhang","given":"Hong Mei","non-dropping-particle":"","parse-names":false,"suffix":""},{"dropping-particle":"","family":"Zhang","given":"Gen Cheng","non-dropping-particle":"","parse-names":false,"suffix":""},{"dropping-particle":"","family":"Tao","given":"Wei Hua","non-dropping-particle":"","parse-names":false,"suffix":""},{"dropping-particle":"","family":"Tang","given":"Shu He","non-dropping-particle":"","parse-names":false,"suffix":""}],"container-title":"Journal of Luminescence","id":"ITEM-1","issue":"1","issued":{"date-parts":[["2007"]]},"page":"211-218","title":"Interaction of the flavonoid hesperidin with bovine serum albumin: A fluorescence quenching study","type":"article-journal","volume":"126"},"uris":["http://www.mendeley.com/documents/?uuid=754796b6-24e2-4b2d-b816-367a4f236d85"]}],"mendeley":{"formattedCitation":"[65]","plainTextFormattedCitation":"[65]","previouslyFormattedCitation":"[65]"},"properties":{"noteIndex":0},"schema":"https://github.com/citation-style-language/schema/raw/master/csl-citation.json"}</w:instrText>
      </w:r>
      <w:r w:rsidRPr="00A23882">
        <w:rPr>
          <w:b/>
          <w:sz w:val="24"/>
          <w:szCs w:val="24"/>
        </w:rPr>
        <w:fldChar w:fldCharType="separate"/>
      </w:r>
      <w:r w:rsidR="00DD5357" w:rsidRPr="00DD5357">
        <w:rPr>
          <w:noProof/>
          <w:sz w:val="24"/>
          <w:szCs w:val="24"/>
        </w:rPr>
        <w:t>[65]</w:t>
      </w:r>
      <w:r w:rsidRPr="00A23882">
        <w:rPr>
          <w:b/>
          <w:sz w:val="24"/>
          <w:szCs w:val="24"/>
        </w:rPr>
        <w:fldChar w:fldCharType="end"/>
      </w:r>
      <w:r w:rsidRPr="00A23882">
        <w:rPr>
          <w:b/>
          <w:sz w:val="24"/>
          <w:szCs w:val="24"/>
        </w:rPr>
        <w:t>,</w:t>
      </w:r>
      <w:r w:rsidRPr="00A23882">
        <w:rPr>
          <w:sz w:val="24"/>
          <w:szCs w:val="24"/>
        </w:rPr>
        <w:fldChar w:fldCharType="begin" w:fldLock="1"/>
      </w:r>
      <w:r w:rsidR="00E822E2">
        <w:rPr>
          <w:sz w:val="24"/>
          <w:szCs w:val="24"/>
        </w:rPr>
        <w:instrText>ADDIN CSL_CITATION {"citationItems":[{"id":"ITEM-1","itemData":{"DOI":"10.1016/j.jphotobiol.2016.09.025","ISSN":"18732682","abstract":"The binding interaction between a typical angiotensin-converting enzyme inhibitor (ACEI), ramipril, and a transport protein, bovine serum albumin (BSA), was studied in vitro using UV–vis absorption spectroscopy, steady-state fluorescence spectroscopic titration, synchronous fluorescence spectroscopy, three dimensional fluorescence spectroscopy, circular dichroism and molecular docking under the imitated physiological conditions (pH = 7.4). The experimental results suggested that the intrinsic fluorescence of BSA was quenched by ramipril thought a static quenching mechanism, indicating that the stable ramipril–BSA complex was formed by the intermolecular interaction. The number of binding sites (n) and binding constant of ramipril–BSA complex were about 1 and 3.50 × 104 M− 1 at 298 K, respectively, suggesting that there was stronger binding interaction of ramipril with BSA. The thermodynamic parameters together with molecular docking study revealed that both van der Waal's forces and hydrogen bonding interaction dominated the formation of the ramipril–BSA complex and the binding interaction of BSA with ramipril is enthalpy-driven processes due to | ΔH°| &gt; | TΔS°| and ΔG° &lt; 0. The spatial distance between ramipril and BSA was calculated to be 3.56 nm based on Förster's non-radiative energy transfer theory. The results of the competitive displacement experiments and molecular docking confirmed that ramipril inserted into the subdomain IIA (site I) of BSA, resulting in a slight change in the conformation of BSA but BSA still retained its secondary structure α-helicity.","author":[{"dropping-particle":"","family":"Shi","given":"Jie hua","non-dropping-particle":"","parse-names":false,"suffix":""},{"dropping-particle":"","family":"Pan","given":"Dong qi","non-dropping-particle":"","parse-names":false,"suffix":""},{"dropping-particle":"","family":"Jiang","given":"Min","non-dropping-particle":"","parse-names":false,"suffix":""},{"dropping-particle":"","family":"Liu","given":"Ting Ting","non-dropping-particle":"","parse-names":false,"suffix":""},{"dropping-particle":"","family":"Wang","given":"Qi","non-dropping-particle":"","parse-names":false,"suffix":""}],"container-title":"Journal of Photochemistry and Photobiology B: Biology","id":"ITEM-1","issued":{"date-parts":[["2016"]]},"title":"Binding interaction of ramipril with bovine serum albumin (BSA): Insights from multi-spectroscopy and molecular docking methods","type":"article-journal"},"uris":["http://www.mendeley.com/documents/?uuid=e8c3603f-47b3-499f-845b-d45c1332d7e0"]}],"mendeley":{"formattedCitation":"[105]","plainTextFormattedCitation":"[105]","previouslyFormattedCitation":"[105]"},"properties":{"noteIndex":0},"schema":"https://github.com/citation-style-language/schema/raw/master/csl-citation.json"}</w:instrText>
      </w:r>
      <w:r w:rsidRPr="00A23882">
        <w:rPr>
          <w:sz w:val="24"/>
          <w:szCs w:val="24"/>
        </w:rPr>
        <w:fldChar w:fldCharType="separate"/>
      </w:r>
      <w:r w:rsidR="00DD5357" w:rsidRPr="00DD5357">
        <w:rPr>
          <w:noProof/>
          <w:sz w:val="24"/>
          <w:szCs w:val="24"/>
        </w:rPr>
        <w:t>[105]</w:t>
      </w:r>
      <w:r w:rsidRPr="00A23882">
        <w:rPr>
          <w:sz w:val="24"/>
          <w:szCs w:val="24"/>
        </w:rPr>
        <w:fldChar w:fldCharType="end"/>
      </w:r>
      <w:r w:rsidRPr="00A23882">
        <w:rPr>
          <w:sz w:val="24"/>
          <w:szCs w:val="24"/>
        </w:rPr>
        <w:t>.</w:t>
      </w:r>
      <w:r w:rsidR="00C34931">
        <w:rPr>
          <w:b/>
          <w:sz w:val="24"/>
          <w:szCs w:val="24"/>
          <w:lang w:val="en-GB"/>
        </w:rPr>
        <w:t xml:space="preserve"> </w:t>
      </w:r>
      <w:r w:rsidRPr="00A23882">
        <w:rPr>
          <w:sz w:val="24"/>
          <w:szCs w:val="24"/>
        </w:rPr>
        <w:t xml:space="preserve">A graph which is useful in any general doubt on inner filter effect but which might be even more clarifying for synchronous experiments is that which overlaps the emission spectrum of BSA or the synchronous spectra under </w:t>
      </w:r>
      <w:r w:rsidR="003118E8">
        <w:rPr>
          <w:noProof/>
          <w:sz w:val="24"/>
          <w:szCs w:val="24"/>
        </w:rPr>
        <w:object w:dxaOrig="1440" w:dyaOrig="1440">
          <v:shape id="_x0000_s1083" type="#_x0000_t75" style="position:absolute;left:0;text-align:left;margin-left:134.5pt;margin-top:444.9pt;width:220.1pt;height:168.25pt;z-index:-251648512;mso-position-horizontal-relative:text;mso-position-vertical-relative:text" wrapcoords="18799 2025 3612 2411 3686 3568 2064 4243 2064 5014 3686 5111 3686 8196 1032 8486 1032 9739 1696 9739 958 10125 958 11668 3023 12825 2064 12921 2064 13693 3686 14368 3686 15911 2875 17454 3096 19189 9878 20443 10689 20443 12164 20443 12901 20443 19167 19189 19315 17454 18651 15911 18725 14368 20126 12825 20420 11861 19978 11282 20347 10993 20273 6654 18651 5111 18872 3568 19315 2411 19241 2025 18799 2025">
            <v:imagedata r:id="rId21" o:title=""/>
            <w10:wrap type="tight"/>
          </v:shape>
          <o:OLEObject Type="Embed" ProgID="Origin50.Graph" ShapeID="_x0000_s1083" DrawAspect="Content" ObjectID="_1660750241" r:id="rId22"/>
        </w:object>
      </w:r>
      <w:r w:rsidRPr="00A23882">
        <w:rPr>
          <w:sz w:val="24"/>
          <w:szCs w:val="24"/>
        </w:rPr>
        <w:t xml:space="preserve">discussion with the absorbance one of </w:t>
      </w:r>
      <w:r w:rsidRPr="00A23882">
        <w:rPr>
          <w:b/>
          <w:sz w:val="24"/>
          <w:szCs w:val="24"/>
        </w:rPr>
        <w:t xml:space="preserve">T </w:t>
      </w:r>
      <w:r w:rsidRPr="00A23882">
        <w:rPr>
          <w:sz w:val="24"/>
          <w:szCs w:val="24"/>
        </w:rPr>
        <w:t>(Figure 7).</w:t>
      </w:r>
    </w:p>
    <w:p w:rsidR="002A3793" w:rsidRPr="00A23882" w:rsidRDefault="002A3793" w:rsidP="00A23882">
      <w:pPr>
        <w:pStyle w:val="05-ArticleText"/>
        <w:spacing w:line="480" w:lineRule="auto"/>
        <w:rPr>
          <w:b/>
          <w:sz w:val="24"/>
          <w:szCs w:val="24"/>
          <w:lang w:val="en-GB"/>
        </w:rPr>
      </w:pPr>
    </w:p>
    <w:p w:rsidR="002A3793" w:rsidRPr="00A23882" w:rsidRDefault="002A3793" w:rsidP="00A23882">
      <w:pPr>
        <w:pStyle w:val="05-ArticleText"/>
        <w:spacing w:line="480" w:lineRule="auto"/>
        <w:rPr>
          <w:b/>
          <w:sz w:val="24"/>
          <w:szCs w:val="24"/>
          <w:lang w:val="en-GB"/>
        </w:rPr>
      </w:pPr>
    </w:p>
    <w:p w:rsidR="002A3793" w:rsidRPr="00A23882" w:rsidRDefault="002A3793" w:rsidP="00A23882">
      <w:pPr>
        <w:pStyle w:val="05-ArticleText"/>
        <w:spacing w:line="480" w:lineRule="auto"/>
        <w:rPr>
          <w:b/>
          <w:sz w:val="24"/>
          <w:szCs w:val="24"/>
          <w:lang w:val="en-GB"/>
        </w:rPr>
      </w:pPr>
    </w:p>
    <w:p w:rsidR="002A3793" w:rsidRPr="00A23882" w:rsidRDefault="002A3793" w:rsidP="00A23882">
      <w:pPr>
        <w:pStyle w:val="05-ArticleText"/>
        <w:spacing w:line="480" w:lineRule="auto"/>
        <w:rPr>
          <w:b/>
          <w:sz w:val="24"/>
          <w:szCs w:val="24"/>
          <w:lang w:val="en-GB"/>
        </w:rPr>
      </w:pPr>
    </w:p>
    <w:p w:rsidR="002A3793" w:rsidRDefault="002A3793" w:rsidP="00A23882">
      <w:pPr>
        <w:pStyle w:val="05-ArticleText"/>
        <w:spacing w:line="480" w:lineRule="auto"/>
        <w:rPr>
          <w:b/>
          <w:sz w:val="24"/>
          <w:szCs w:val="24"/>
          <w:lang w:val="en-GB"/>
        </w:rPr>
      </w:pPr>
    </w:p>
    <w:p w:rsidR="002A3793" w:rsidRPr="00FB7579" w:rsidRDefault="002A3793" w:rsidP="00A23882">
      <w:pPr>
        <w:pStyle w:val="05-ArticleText"/>
        <w:spacing w:line="480" w:lineRule="auto"/>
        <w:rPr>
          <w:spacing w:val="-4"/>
          <w:sz w:val="22"/>
          <w:szCs w:val="24"/>
        </w:rPr>
      </w:pPr>
      <w:r w:rsidRPr="00FB7579">
        <w:rPr>
          <w:b/>
          <w:spacing w:val="-4"/>
          <w:sz w:val="22"/>
          <w:szCs w:val="24"/>
          <w:lang w:val="en-GB"/>
        </w:rPr>
        <w:t>Figure 7</w:t>
      </w:r>
      <w:r w:rsidRPr="00FB7579">
        <w:rPr>
          <w:spacing w:val="-4"/>
          <w:sz w:val="22"/>
          <w:szCs w:val="24"/>
          <w:lang w:val="en-GB"/>
        </w:rPr>
        <w:t xml:space="preserve"> – Synchronous spectra at</w:t>
      </w:r>
      <w:r w:rsidRPr="00FB7579">
        <w:rPr>
          <w:sz w:val="22"/>
          <w:szCs w:val="24"/>
        </w:rPr>
        <w:t xml:space="preserve"> </w:t>
      </w:r>
      <w:r w:rsidRPr="00FB7579">
        <w:rPr>
          <w:spacing w:val="-4"/>
          <w:sz w:val="22"/>
          <w:szCs w:val="24"/>
          <w:lang w:val="en-GB"/>
        </w:rPr>
        <w:t xml:space="preserve">Δλ = 60 nm for BSA (1.0 μM) upon the addition of benazepril from 0 to 12 μM (extracted from </w:t>
      </w:r>
      <w:r w:rsidRPr="00FB7579">
        <w:rPr>
          <w:spacing w:val="-4"/>
          <w:sz w:val="22"/>
          <w:szCs w:val="24"/>
          <w:lang w:val="en-GB"/>
        </w:rPr>
        <w:fldChar w:fldCharType="begin" w:fldLock="1"/>
      </w:r>
      <w:r w:rsidRPr="00FB7579">
        <w:rPr>
          <w:spacing w:val="-4"/>
          <w:sz w:val="22"/>
          <w:szCs w:val="24"/>
          <w:lang w:val="en-GB"/>
        </w:rPr>
        <w:instrText>ADDIN CSL_CITATION {"citationItems":[{"id":"ITEM-1","itemData":{"DOI":"10.1016/j.saa.2018.12.040","ISSN":"13861425","abstract":"Benazepril, a common ACE inhibitor, widely used in the treatment of arterial hypertension and congestive heart failure. In this study, We evaluated the characteristics of the interaction between benazepril and BSA under the simulated physiological condition (pH 7.4) through various spectroscopic and molecular docking methods. Fluorescence and absorption spectroscopy results showed benazepril quenched the intrinsic fluorescence of BSA through a combined dynamic and static quenching mechanism. The number of binding sites (n) and the binding constant (K b ) of benazepril–BSA complex were circa 1 and 6.81 × 10 3 M −1 at 298 K, respectively, indicating that the binding affinity between benazepril and BSA was moderate. The displacement experiments confirmed that benazepril binding to the site I of BSA, which was quite in accordance with molecular docking. The values of the Gibbs free energy (ΔG 0 ), enthalpic change (ΔH 0 ) and entropic change (ΔS 0 ) were negative, verifying that van der Waals force and hydrogen bonding interaction played a predominant roles in the process of spontaneous bonding. Furthermore, a slight change of the conformation in BSA upon benazepril interaction was proved through SF, 3-DF and FTIR spectroscopy results.","author":[{"dropping-particle":"","family":"Wang","given":"Bao Li","non-dropping-particle":"","parse-names":false,"suffix":""},{"dropping-particle":"","family":"Pan","given":"Dong Qi","non-dropping-particle":"","parse-names":false,"suffix":""},{"dropping-particle":"","family":"Zhou","given":"Kai Li","non-dropping-particle":"","parse-names":false,"suffix":""},{"dropping-particle":"","family":"Lou","given":"Yan Yue","non-dropping-particle":"","parse-names":false,"suffix":""},{"dropping-particle":"","family":"Shi","given":"Jie Hua","non-dropping-particle":"","parse-names":false,"suffix":""}],"container-title":"Spectrochimica Acta - Part A: Molecular and Biomolecular Spectroscopy","id":"ITEM-1","issued":{"date-parts":[["2019"]]},"page":"15-24","publisher":"Elsevier B.V","title":"Multi-spectroscopic approaches and molecular simulation research of the intermolecular interaction between the angiotensin-converting enzyme inhibitor (ACE inhibitor) benazepril and bovine serum albumin (BSA)","type":"article-journal","volume":"212"},"uris":["http://www.mendeley.com/documents/?uuid=2b856b50-a3ba-466d-8a76-cd8132af4828"]}],"mendeley":{"formattedCitation":"[46]","plainTextFormattedCitation":"[46]","previouslyFormattedCitation":"[46]"},"properties":{"noteIndex":0},"schema":"https://github.com/citation-style-language/schema/raw/master/csl-citation.json"}</w:instrText>
      </w:r>
      <w:r w:rsidRPr="00FB7579">
        <w:rPr>
          <w:spacing w:val="-4"/>
          <w:sz w:val="22"/>
          <w:szCs w:val="24"/>
          <w:lang w:val="en-GB"/>
        </w:rPr>
        <w:fldChar w:fldCharType="separate"/>
      </w:r>
      <w:r w:rsidRPr="00FB7579">
        <w:rPr>
          <w:noProof/>
          <w:spacing w:val="-4"/>
          <w:sz w:val="22"/>
          <w:szCs w:val="24"/>
          <w:lang w:val="en-GB"/>
        </w:rPr>
        <w:t>[46]</w:t>
      </w:r>
      <w:r w:rsidRPr="00FB7579">
        <w:rPr>
          <w:spacing w:val="-4"/>
          <w:sz w:val="22"/>
          <w:szCs w:val="24"/>
          <w:lang w:val="en-GB"/>
        </w:rPr>
        <w:fldChar w:fldCharType="end"/>
      </w:r>
      <w:r w:rsidRPr="00FB7579">
        <w:rPr>
          <w:spacing w:val="-4"/>
          <w:sz w:val="22"/>
          <w:szCs w:val="24"/>
          <w:lang w:val="en-GB"/>
        </w:rPr>
        <w:t>). Dotted blue line is the absorbance profile of benazepril hydrochloride in water solution (pK</w:t>
      </w:r>
      <w:r w:rsidRPr="00FB7579">
        <w:rPr>
          <w:spacing w:val="-4"/>
          <w:sz w:val="22"/>
          <w:szCs w:val="24"/>
          <w:vertAlign w:val="subscript"/>
          <w:lang w:val="en-GB"/>
        </w:rPr>
        <w:t>A</w:t>
      </w:r>
      <w:r w:rsidRPr="00FB7579">
        <w:rPr>
          <w:spacing w:val="-4"/>
          <w:sz w:val="22"/>
          <w:szCs w:val="24"/>
          <w:lang w:val="en-GB"/>
        </w:rPr>
        <w:t xml:space="preserve"> = 5.4 – 3.5). Maximum absorption in the range of synchronous spectra is thus supposed to be 0.08 at 250nm and negligible at maximum (283 nm)</w:t>
      </w:r>
      <w:r w:rsidRPr="00FB7579">
        <w:rPr>
          <w:spacing w:val="-4"/>
          <w:sz w:val="22"/>
          <w:szCs w:val="24"/>
        </w:rPr>
        <w:t>.</w:t>
      </w:r>
    </w:p>
    <w:p w:rsidR="002A3793" w:rsidRPr="00A23882" w:rsidRDefault="002A3793" w:rsidP="00A23882">
      <w:pPr>
        <w:pStyle w:val="06-Heading-1"/>
        <w:spacing w:line="480" w:lineRule="auto"/>
        <w:rPr>
          <w:spacing w:val="-4"/>
          <w:sz w:val="24"/>
          <w:szCs w:val="24"/>
        </w:rPr>
      </w:pPr>
      <w:r w:rsidRPr="00A23882">
        <w:rPr>
          <w:spacing w:val="-4"/>
          <w:sz w:val="24"/>
          <w:szCs w:val="24"/>
        </w:rPr>
        <w:lastRenderedPageBreak/>
        <w:t>7. Competitive fluorescenCE displacement ASSAYS for binding site determination</w:t>
      </w:r>
    </w:p>
    <w:p w:rsidR="002A3793" w:rsidRPr="00A23882" w:rsidRDefault="002A3793" w:rsidP="00A23882">
      <w:pPr>
        <w:pStyle w:val="05-ArticleText"/>
        <w:spacing w:line="480" w:lineRule="auto"/>
        <w:rPr>
          <w:spacing w:val="-4"/>
          <w:sz w:val="24"/>
          <w:szCs w:val="24"/>
        </w:rPr>
      </w:pPr>
      <w:r w:rsidRPr="00A23882">
        <w:rPr>
          <w:spacing w:val="-4"/>
          <w:sz w:val="24"/>
          <w:szCs w:val="24"/>
        </w:rPr>
        <w:t>X-ray crystallographic studies have revealed that BSA possesses two main binding sites for small molecules/</w:t>
      </w:r>
      <w:r w:rsidRPr="00A23882">
        <w:rPr>
          <w:rFonts w:eastAsia="SimSun"/>
          <w:sz w:val="24"/>
          <w:szCs w:val="24"/>
          <w:lang w:eastAsia="en-US"/>
        </w:rPr>
        <w:t>drugs</w:t>
      </w:r>
      <w:r w:rsidRPr="00A23882">
        <w:rPr>
          <w:spacing w:val="-4"/>
          <w:sz w:val="24"/>
          <w:szCs w:val="24"/>
        </w:rPr>
        <w:t xml:space="preserve">: site I is situated in the hydrophobic pocket of subdomain IIA, whereas site II is located into the hydrophobic cavity of subdomain IIIA (Figure 8, </w:t>
      </w:r>
      <w:r w:rsidRPr="00A23882">
        <w:rPr>
          <w:spacing w:val="-4"/>
          <w:sz w:val="24"/>
          <w:szCs w:val="24"/>
        </w:rPr>
        <w:fldChar w:fldCharType="begin" w:fldLock="1"/>
      </w:r>
      <w:r w:rsidR="00E822E2">
        <w:rPr>
          <w:spacing w:val="-4"/>
          <w:sz w:val="24"/>
          <w:szCs w:val="24"/>
        </w:rPr>
        <w:instrText>ADDIN CSL_CITATION {"citationItems":[{"id":"ITEM-1","itemData":{"ISSN":"0026895X","abstract":"The binding of a number of fluorescent probe molecules to human serum albumin (HSA) has been studied. Small changes in the amino acid moiety of the dansylamino acids resulted in large changes in the binding of these compounds of HSA. It is suggested that electrostatic and dipolar forces play a role in the specificity and binding affinity of such compounds. Fluorescent probes which had one tight binding site were used for drug displacement studies. Changes in probe fluorescence were shown, by equilibrium dialysis and by fluorescence titrations, to be a result of competitive displacement by drugs. The pattern of displacement of probes by drugs enabled the identification of two specific drug binding sites. The relative affinity of drugs for these binding sites was measured by their ability to displace fluorescent probes specific for the sites. The method provides a rapid and simple means for detecting potential drug interactions based on competition for protein binding sites.","author":[{"dropping-particle":"","family":"Sudlow","given":"G.","non-dropping-particle":"","parse-names":false,"suffix":""},{"dropping-particle":"","family":"Birkett","given":"D. J.","non-dropping-particle":"","parse-names":false,"suffix":""},{"dropping-particle":"","family":"Wade","given":"D. N.","non-dropping-particle":"","parse-names":false,"suffix":""}],"container-title":"Molecular Pharmacology","id":"ITEM-1","issued":{"date-parts":[["1975"]]},"title":"The characterization of two specific drug binding sites on human serum albumin","type":"article-journal"},"uris":["http://www.mendeley.com/documents/?uuid=1421685e-f099-4288-a7db-3e50182e8a3d"]}],"mendeley":{"formattedCitation":"[106]","plainTextFormattedCitation":"[106]","previouslyFormattedCitation":"[106]"},"properties":{"noteIndex":0},"schema":"https://github.com/citation-style-language/schema/raw/master/csl-citation.json"}</w:instrText>
      </w:r>
      <w:r w:rsidRPr="00A23882">
        <w:rPr>
          <w:spacing w:val="-4"/>
          <w:sz w:val="24"/>
          <w:szCs w:val="24"/>
        </w:rPr>
        <w:fldChar w:fldCharType="separate"/>
      </w:r>
      <w:r w:rsidR="00DD5357" w:rsidRPr="00DD5357">
        <w:rPr>
          <w:noProof/>
          <w:spacing w:val="-4"/>
          <w:sz w:val="24"/>
          <w:szCs w:val="24"/>
        </w:rPr>
        <w:t>[106]</w:t>
      </w:r>
      <w:r w:rsidRPr="00A23882">
        <w:rPr>
          <w:spacing w:val="-4"/>
          <w:sz w:val="24"/>
          <w:szCs w:val="24"/>
        </w:rPr>
        <w:fldChar w:fldCharType="end"/>
      </w:r>
      <w:r w:rsidRPr="00A23882">
        <w:rPr>
          <w:spacing w:val="-4"/>
          <w:sz w:val="24"/>
          <w:szCs w:val="24"/>
        </w:rPr>
        <w:t xml:space="preserve">). Site I is relatively larger in size and it is mainly bound by neutral, bulky and heterocyclic compounds through hydrophobic interactions. On the contrary, site II is smaller and the interaction commonly occurs through a combination of hydrophobic, hydrogen bonding and electrostatic forces </w:t>
      </w:r>
      <w:r w:rsidRPr="00A23882">
        <w:rPr>
          <w:spacing w:val="-4"/>
          <w:sz w:val="24"/>
          <w:szCs w:val="24"/>
        </w:rPr>
        <w:fldChar w:fldCharType="begin" w:fldLock="1"/>
      </w:r>
      <w:r w:rsidR="00DD5357">
        <w:rPr>
          <w:spacing w:val="-4"/>
          <w:sz w:val="24"/>
          <w:szCs w:val="24"/>
        </w:rPr>
        <w:instrText>ADDIN CSL_CITATION {"citationItems":[{"id":"ITEM-1","itemData":{"DOI":"10.1016/j.jpha.2019.03.007","ISSN":"20951779","abstract":"Repaglinide (RPG) regulates the amount of glucose by stimulating the pancreas to release insulin in the blood. In view of its biological importance, we have examined the interaction between RPG and a model protein, bovine serum albumin (BSA) employing various spectroscopic, electrochemical and molecular docking methods. Fluorescence spectra of BSA were recorded in the presence and absence of RPG in phosphate buffer of pH 7.4. Fluorescence intensity of BSA was decreased upon the addition of increased concentrations of RPG, indicating the interaction between RPG and BSA. Stern-Volmer quenching analysis results revealed that RPG quenched the intensity of BSA through dynamic quenching mechanism. This was further confirmed from the time-resolved fluorescence measurements. The binding constant as calculated from the spectroscopic and voltammetric results was observed to be in the order of 104 M−1 at 298 K, suggesting the moderate binding affinity between RPG and BSA. Competitive experimental results revealed that the primary binding site for RPG on BSA was site II. Absorption and circular dichroism studies indicated the changes in the secondary structure of BSA upon its interaction with RPG. Molecular simulation studies pointed out that RPG was bound to BSA in the hydrophobic pocket of site II.","author":[{"dropping-particle":"","family":"Pawar","given":"Suma K.","non-dropping-particle":"","parse-names":false,"suffix":""},{"dropping-particle":"","family":"Jaldappagari","given":"Seetharamappa","non-dropping-particle":"","parse-names":false,"suffix":""}],"container-title":"Journal of Pharmaceutical Analysis","id":"ITEM-1","issue":"4","issued":{"date-parts":[["2019"]]},"page":"274-283","title":"Interaction of repaglinide with bovine serum albumin: Spectroscopic and molecular docking approaches","type":"article-journal","volume":"9"},"uris":["http://www.mendeley.com/documents/?uuid=73e259c1-0ed2-4cc1-9819-1838b4a28761"]}],"mendeley":{"formattedCitation":"[81]","plainTextFormattedCitation":"[81]","previouslyFormattedCitation":"[81]"},"properties":{"noteIndex":0},"schema":"https://github.com/citation-style-language/schema/raw/master/csl-citation.json"}</w:instrText>
      </w:r>
      <w:r w:rsidRPr="00A23882">
        <w:rPr>
          <w:spacing w:val="-4"/>
          <w:sz w:val="24"/>
          <w:szCs w:val="24"/>
        </w:rPr>
        <w:fldChar w:fldCharType="separate"/>
      </w:r>
      <w:r w:rsidR="00DD5357" w:rsidRPr="00DD5357">
        <w:rPr>
          <w:noProof/>
          <w:spacing w:val="-4"/>
          <w:sz w:val="24"/>
          <w:szCs w:val="24"/>
        </w:rPr>
        <w:t>[81]</w:t>
      </w:r>
      <w:r w:rsidRPr="00A23882">
        <w:rPr>
          <w:spacing w:val="-4"/>
          <w:sz w:val="24"/>
          <w:szCs w:val="24"/>
        </w:rPr>
        <w:fldChar w:fldCharType="end"/>
      </w:r>
      <w:r w:rsidRPr="00A23882">
        <w:rPr>
          <w:spacing w:val="-4"/>
          <w:sz w:val="24"/>
          <w:szCs w:val="24"/>
        </w:rPr>
        <w:t>.</w:t>
      </w:r>
      <w:r w:rsidRPr="00A23882">
        <w:rPr>
          <w:sz w:val="24"/>
          <w:szCs w:val="24"/>
        </w:rPr>
        <w:t xml:space="preserve"> </w:t>
      </w:r>
      <w:r w:rsidR="009814E2" w:rsidRPr="00A23882">
        <w:rPr>
          <w:spacing w:val="-4"/>
          <w:sz w:val="24"/>
          <w:szCs w:val="24"/>
        </w:rPr>
        <w:t>Table 1 contains some examples of selective molecules.</w:t>
      </w:r>
    </w:p>
    <w:p w:rsidR="002A3793" w:rsidRPr="00A23882" w:rsidRDefault="002A3793" w:rsidP="00A23882">
      <w:pPr>
        <w:pStyle w:val="05-ArticleText"/>
        <w:spacing w:line="480" w:lineRule="auto"/>
        <w:rPr>
          <w:spacing w:val="-4"/>
          <w:sz w:val="24"/>
          <w:szCs w:val="24"/>
        </w:rPr>
      </w:pPr>
      <w:r w:rsidRPr="00A23882">
        <w:rPr>
          <w:noProof/>
          <w:sz w:val="24"/>
          <w:szCs w:val="24"/>
          <w:lang w:val="en-GB" w:eastAsia="en-GB"/>
        </w:rPr>
        <w:drawing>
          <wp:anchor distT="0" distB="0" distL="114300" distR="114300" simplePos="0" relativeHeight="251614208" behindDoc="0" locked="0" layoutInCell="1" allowOverlap="1" wp14:anchorId="72E467FC" wp14:editId="3F76205E">
            <wp:simplePos x="0" y="0"/>
            <wp:positionH relativeFrom="column">
              <wp:posOffset>1805940</wp:posOffset>
            </wp:positionH>
            <wp:positionV relativeFrom="paragraph">
              <wp:posOffset>56249</wp:posOffset>
            </wp:positionV>
            <wp:extent cx="2444115" cy="1834515"/>
            <wp:effectExtent l="0" t="0" r="0" b="0"/>
            <wp:wrapNone/>
            <wp:docPr id="31" name="Immagine 31" descr="B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BSA"/>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444115" cy="183451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A3793" w:rsidRPr="00A23882" w:rsidRDefault="002A3793" w:rsidP="00A23882">
      <w:pPr>
        <w:pStyle w:val="05-ArticleText"/>
        <w:spacing w:line="480" w:lineRule="auto"/>
        <w:rPr>
          <w:spacing w:val="-4"/>
          <w:sz w:val="24"/>
          <w:szCs w:val="24"/>
        </w:rPr>
      </w:pPr>
    </w:p>
    <w:p w:rsidR="002A3793" w:rsidRPr="00A23882" w:rsidRDefault="002A3793" w:rsidP="00A23882">
      <w:pPr>
        <w:pStyle w:val="05-ArticleText"/>
        <w:spacing w:line="480" w:lineRule="auto"/>
        <w:rPr>
          <w:spacing w:val="-4"/>
          <w:sz w:val="24"/>
          <w:szCs w:val="24"/>
        </w:rPr>
      </w:pPr>
    </w:p>
    <w:p w:rsidR="002A3793" w:rsidRPr="00A23882" w:rsidRDefault="002A3793" w:rsidP="00A23882">
      <w:pPr>
        <w:pStyle w:val="05-ArticleText"/>
        <w:spacing w:line="480" w:lineRule="auto"/>
        <w:rPr>
          <w:spacing w:val="-4"/>
          <w:sz w:val="24"/>
          <w:szCs w:val="24"/>
        </w:rPr>
      </w:pPr>
    </w:p>
    <w:p w:rsidR="002A3793" w:rsidRDefault="002A3793" w:rsidP="00A23882">
      <w:pPr>
        <w:pStyle w:val="05-ArticleText"/>
        <w:spacing w:line="480" w:lineRule="auto"/>
        <w:rPr>
          <w:spacing w:val="-4"/>
          <w:sz w:val="24"/>
          <w:szCs w:val="24"/>
        </w:rPr>
      </w:pPr>
    </w:p>
    <w:p w:rsidR="00FB7579" w:rsidRPr="00FB7579" w:rsidRDefault="002A3793" w:rsidP="00A23882">
      <w:pPr>
        <w:pStyle w:val="05-ArticleText"/>
        <w:spacing w:line="480" w:lineRule="auto"/>
        <w:rPr>
          <w:spacing w:val="-4"/>
          <w:sz w:val="22"/>
          <w:szCs w:val="24"/>
        </w:rPr>
      </w:pPr>
      <w:r w:rsidRPr="00FB7579">
        <w:rPr>
          <w:b/>
          <w:spacing w:val="-4"/>
          <w:sz w:val="22"/>
          <w:szCs w:val="24"/>
        </w:rPr>
        <w:t>Figure 8</w:t>
      </w:r>
      <w:r w:rsidRPr="00FB7579">
        <w:rPr>
          <w:spacing w:val="-4"/>
          <w:sz w:val="22"/>
          <w:szCs w:val="24"/>
        </w:rPr>
        <w:t xml:space="preserve"> - Ribbon rendering of BSA crystal structure: the two tryptophan residues are evidenced in red, tyrosine residues are in green. The two binding sites for hydrophobic species are also indicated together with examples of specific probes.</w:t>
      </w:r>
    </w:p>
    <w:p w:rsidR="002A3793" w:rsidRPr="00A23882" w:rsidRDefault="002A3793" w:rsidP="00A23882">
      <w:pPr>
        <w:pStyle w:val="05-ArticleText"/>
        <w:spacing w:line="480" w:lineRule="auto"/>
        <w:rPr>
          <w:spacing w:val="-4"/>
          <w:sz w:val="24"/>
          <w:szCs w:val="24"/>
          <w:lang w:val="en-GB"/>
        </w:rPr>
      </w:pPr>
    </w:p>
    <w:p w:rsidR="009814E2" w:rsidRDefault="009814E2" w:rsidP="009814E2">
      <w:pPr>
        <w:pStyle w:val="05-ArticleText"/>
        <w:spacing w:after="0" w:line="480" w:lineRule="auto"/>
        <w:rPr>
          <w:spacing w:val="-4"/>
          <w:sz w:val="24"/>
          <w:szCs w:val="24"/>
          <w:lang w:val="en-GB"/>
        </w:rPr>
      </w:pPr>
      <w:r w:rsidRPr="00A23882">
        <w:rPr>
          <w:b/>
          <w:spacing w:val="-4"/>
          <w:sz w:val="24"/>
          <w:szCs w:val="24"/>
          <w:lang w:val="en-GB"/>
        </w:rPr>
        <w:t>Table 1</w:t>
      </w:r>
      <w:r w:rsidRPr="00A23882">
        <w:rPr>
          <w:spacing w:val="-4"/>
          <w:sz w:val="24"/>
          <w:szCs w:val="24"/>
          <w:lang w:val="en-GB"/>
        </w:rPr>
        <w:t xml:space="preserve"> – Examples of drugs/natural extracts/toxic species which are claimed to show selective binding for one of the sites of BSA.</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24"/>
        <w:gridCol w:w="1769"/>
        <w:gridCol w:w="1496"/>
        <w:gridCol w:w="1185"/>
        <w:gridCol w:w="1407"/>
        <w:gridCol w:w="673"/>
      </w:tblGrid>
      <w:tr w:rsidR="009814E2" w:rsidRPr="009814E2" w:rsidTr="009814E2">
        <w:trPr>
          <w:trHeight w:val="699"/>
          <w:jc w:val="center"/>
        </w:trPr>
        <w:tc>
          <w:tcPr>
            <w:tcW w:w="0" w:type="auto"/>
            <w:gridSpan w:val="3"/>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noProof/>
                <w:lang w:eastAsia="en-GB"/>
              </w:rPr>
              <w:t>MOLECULE</w:t>
            </w:r>
          </w:p>
        </w:tc>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spacing w:val="-4"/>
                <w:lang w:eastAsia="zh-CN"/>
              </w:rPr>
              <w:t>BINDING SITE</w:t>
            </w:r>
          </w:p>
        </w:tc>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spacing w:val="-4"/>
                <w:lang w:eastAsia="zh-CN"/>
              </w:rPr>
              <w:t>BINDING TYPE</w:t>
            </w:r>
          </w:p>
        </w:tc>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spacing w:val="-4"/>
                <w:lang w:eastAsia="zh-CN"/>
              </w:rPr>
              <w:t>REF</w:t>
            </w:r>
          </w:p>
        </w:tc>
      </w:tr>
      <w:tr w:rsidR="009814E2" w:rsidRPr="009814E2" w:rsidTr="009814E2">
        <w:trPr>
          <w:jc w:val="center"/>
        </w:trPr>
        <w:tc>
          <w:tcPr>
            <w:tcW w:w="0" w:type="auto"/>
            <w:shd w:val="clear" w:color="auto" w:fill="auto"/>
            <w:vAlign w:val="center"/>
          </w:tcPr>
          <w:p w:rsidR="009814E2" w:rsidRPr="009814E2" w:rsidRDefault="008D11BC" w:rsidP="009814E2">
            <w:pPr>
              <w:tabs>
                <w:tab w:val="left" w:pos="284"/>
              </w:tabs>
              <w:spacing w:after="0" w:line="240" w:lineRule="auto"/>
              <w:jc w:val="center"/>
              <w:rPr>
                <w:rFonts w:ascii="Times New Roman" w:eastAsia="Times" w:hAnsi="Times New Roman" w:cs="Times New Roman"/>
                <w:spacing w:val="-4"/>
                <w:lang w:eastAsia="zh-CN"/>
              </w:rPr>
            </w:pPr>
            <w:r>
              <w:rPr>
                <w:rFonts w:ascii="Times New Roman" w:eastAsia="Times" w:hAnsi="Times New Roman" w:cs="Times New Roman"/>
                <w:noProof/>
                <w:spacing w:val="-4"/>
                <w:lang w:eastAsia="en-GB"/>
              </w:rPr>
              <w:drawing>
                <wp:anchor distT="0" distB="0" distL="114300" distR="114300" simplePos="0" relativeHeight="251659264" behindDoc="1" locked="0" layoutInCell="1" allowOverlap="1">
                  <wp:simplePos x="0" y="0"/>
                  <wp:positionH relativeFrom="column">
                    <wp:posOffset>519430</wp:posOffset>
                  </wp:positionH>
                  <wp:positionV relativeFrom="paragraph">
                    <wp:posOffset>154305</wp:posOffset>
                  </wp:positionV>
                  <wp:extent cx="933450" cy="609600"/>
                  <wp:effectExtent l="0" t="0" r="0" b="0"/>
                  <wp:wrapTight wrapText="bothSides">
                    <wp:wrapPolygon edited="0">
                      <wp:start x="0" y="0"/>
                      <wp:lineTo x="0" y="20925"/>
                      <wp:lineTo x="21159" y="20925"/>
                      <wp:lineTo x="21159" y="0"/>
                      <wp:lineTo x="0" y="0"/>
                    </wp:wrapPolygon>
                  </wp:wrapTight>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lpinetin.tif"/>
                          <pic:cNvPicPr/>
                        </pic:nvPicPr>
                        <pic:blipFill>
                          <a:blip r:embed="rId24">
                            <a:extLst>
                              <a:ext uri="{28A0092B-C50C-407E-A947-70E740481C1C}">
                                <a14:useLocalDpi xmlns:a14="http://schemas.microsoft.com/office/drawing/2010/main" val="0"/>
                              </a:ext>
                            </a:extLst>
                          </a:blip>
                          <a:stretch>
                            <a:fillRect/>
                          </a:stretch>
                        </pic:blipFill>
                        <pic:spPr>
                          <a:xfrm>
                            <a:off x="0" y="0"/>
                            <a:ext cx="933450" cy="609600"/>
                          </a:xfrm>
                          <a:prstGeom prst="rect">
                            <a:avLst/>
                          </a:prstGeom>
                        </pic:spPr>
                      </pic:pic>
                    </a:graphicData>
                  </a:graphic>
                  <wp14:sizeRelH relativeFrom="margin">
                    <wp14:pctWidth>0</wp14:pctWidth>
                  </wp14:sizeRelH>
                  <wp14:sizeRelV relativeFrom="margin">
                    <wp14:pctHeight>0</wp14:pctHeight>
                  </wp14:sizeRelV>
                </wp:anchor>
              </w:drawing>
            </w:r>
          </w:p>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p>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p>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p>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p>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p>
        </w:tc>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spacing w:val="-4"/>
                <w:lang w:eastAsia="zh-CN"/>
              </w:rPr>
              <w:t>Alpinetin</w:t>
            </w:r>
          </w:p>
        </w:tc>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spacing w:val="-4"/>
                <w:lang w:eastAsia="zh-CN"/>
              </w:rPr>
              <w:t>Plant extract</w:t>
            </w:r>
          </w:p>
        </w:tc>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spacing w:val="-4"/>
                <w:lang w:eastAsia="zh-CN"/>
              </w:rPr>
              <w:t>I</w:t>
            </w:r>
          </w:p>
        </w:tc>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spacing w:val="-4"/>
                <w:lang w:eastAsia="zh-CN"/>
              </w:rPr>
              <w:t>hydrophobic</w:t>
            </w:r>
          </w:p>
        </w:tc>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spacing w:val="-4"/>
                <w:lang w:eastAsia="zh-CN"/>
              </w:rPr>
              <w:fldChar w:fldCharType="begin" w:fldLock="1"/>
            </w:r>
            <w:r w:rsidR="00E822E2">
              <w:rPr>
                <w:rFonts w:ascii="Times New Roman" w:eastAsia="Times" w:hAnsi="Times New Roman" w:cs="Times New Roman"/>
                <w:spacing w:val="-4"/>
                <w:lang w:eastAsia="zh-CN"/>
              </w:rPr>
              <w:instrText>ADDIN CSL_CITATION {"citationItems":[{"id":"ITEM-1","itemData":{"DOI":"10.1016/j.saa.2010.04.009","ISSN":"13861425","abstract":"The binding interaction between alpinetin and bovine serum albumin (BSA) in physiological buffer solution (pH 7.4) was investigated by fluorescence, UV-vis spectroscopy and Fourier transform infrared (FT-IR) spectroscopy. It was proved from fluorescence spectra that the fluorescence quenching of BSA by alpinetin was probably a result of the formation of BSA-alpinetin complexes, and the binding constant (Ka) were determined according to the modified Stern-Volmer equation. The thermodynamic parameters, enthalpy change (ΔH) and entropy change (ΔS), were calculated to be 22.10 kJ mol-1 and 166.04 J mol-1 K-1, respectively, which indicated that the interaction between alpinetin and BSA was driven mainly by hydrophobic interaction. Moreover, the competitive experiments of site markers suggested that the binding site of alpinetin to BSA was located in the region of subdomain IIA (sudlow site I). The binding distance (r) between the donor (BSA) and the acceptor (alpinetin) was 3.32 nm based on the Förster theory of non-radioactive energy transfer. In addition, the results of synchronous fluorescence and FT-IR spectra demonstrated that the microenvironment and the secondary structure of BSA were changed in the presence of alpinetin. © 2010 Elsevier B.V. All rights reserved.","author":[{"dropping-particle":"","family":"Zhang","given":"Guowen","non-dropping-particle":"","parse-names":false,"suffix":""},{"dropping-particle":"","family":"Zhao","given":"Nan","non-dropping-particle":"","parse-names":false,"suffix":""},{"dropping-particle":"","family":"Hu","given":"Xing","non-dropping-particle":"","parse-names":false,"suffix":""},{"dropping-particle":"","family":"Tian","given":"Jiao","non-dropping-particle":"","parse-names":false,"suffix":""}],"container-title":"Spectrochimica Acta - Part A: Molecular and Biomolecular Spectroscopy","id":"ITEM-1","issued":{"date-parts":[["2010"]]},"page":"410-417","title":"Interaction of alpinetin with bovine serum albumin: Probing of the mechanism and binding site by spectroscopic methods","type":"article-journal","volume":"76"},"uris":["http://www.mendeley.com/documents/?uuid=38380f1e-5b51-4329-8768-ad9454dfc870"]}],"mendeley":{"formattedCitation":"[107]","plainTextFormattedCitation":"[107]","previouslyFormattedCitation":"[107]"},"properties":{"noteIndex":0},"schema":"https://github.com/citation-style-language/schema/raw/master/csl-citation.json"}</w:instrText>
            </w:r>
            <w:r w:rsidRPr="009814E2">
              <w:rPr>
                <w:rFonts w:ascii="Times New Roman" w:eastAsia="Times" w:hAnsi="Times New Roman" w:cs="Times New Roman"/>
                <w:spacing w:val="-4"/>
                <w:lang w:eastAsia="zh-CN"/>
              </w:rPr>
              <w:fldChar w:fldCharType="separate"/>
            </w:r>
            <w:r w:rsidR="00DD5357" w:rsidRPr="00DD5357">
              <w:rPr>
                <w:rFonts w:ascii="Times New Roman" w:eastAsia="Times" w:hAnsi="Times New Roman" w:cs="Times New Roman"/>
                <w:noProof/>
                <w:spacing w:val="-4"/>
                <w:lang w:eastAsia="zh-CN"/>
              </w:rPr>
              <w:t>[107]</w:t>
            </w:r>
            <w:r w:rsidRPr="009814E2">
              <w:rPr>
                <w:rFonts w:ascii="Times New Roman" w:eastAsia="Times" w:hAnsi="Times New Roman" w:cs="Times New Roman"/>
                <w:spacing w:val="-4"/>
                <w:lang w:eastAsia="zh-CN"/>
              </w:rPr>
              <w:fldChar w:fldCharType="end"/>
            </w:r>
          </w:p>
        </w:tc>
      </w:tr>
      <w:tr w:rsidR="009814E2" w:rsidRPr="009814E2" w:rsidTr="009814E2">
        <w:trPr>
          <w:jc w:val="center"/>
        </w:trPr>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p>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p>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p>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p>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noProof/>
                <w:lang w:eastAsia="en-GB"/>
              </w:rPr>
              <w:drawing>
                <wp:anchor distT="0" distB="0" distL="114300" distR="114300" simplePos="0" relativeHeight="251626496" behindDoc="1" locked="0" layoutInCell="1" allowOverlap="1" wp14:anchorId="6CC6E7D6" wp14:editId="25B8E15F">
                  <wp:simplePos x="0" y="0"/>
                  <wp:positionH relativeFrom="margin">
                    <wp:posOffset>422275</wp:posOffset>
                  </wp:positionH>
                  <wp:positionV relativeFrom="margin">
                    <wp:posOffset>108585</wp:posOffset>
                  </wp:positionV>
                  <wp:extent cx="1139190" cy="539750"/>
                  <wp:effectExtent l="0" t="0" r="3810" b="0"/>
                  <wp:wrapSquare wrapText="bothSides"/>
                  <wp:docPr id="16" name="Immagine 16" descr="Chlorpyrif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3" descr="Chlorpyrifos"/>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139190" cy="53975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spacing w:val="-4"/>
                <w:lang w:eastAsia="zh-CN"/>
              </w:rPr>
              <w:t>Chlorpyrifos</w:t>
            </w:r>
          </w:p>
        </w:tc>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spacing w:val="-4"/>
                <w:lang w:eastAsia="zh-CN"/>
              </w:rPr>
              <w:t>Pesticide</w:t>
            </w:r>
          </w:p>
        </w:tc>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spacing w:val="-4"/>
                <w:lang w:eastAsia="zh-CN"/>
              </w:rPr>
              <w:t>I</w:t>
            </w:r>
          </w:p>
        </w:tc>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val="en-US" w:eastAsia="zh-CN"/>
              </w:rPr>
            </w:pPr>
            <w:r w:rsidRPr="009814E2">
              <w:rPr>
                <w:rFonts w:ascii="Times New Roman" w:eastAsia="Times" w:hAnsi="Times New Roman" w:cs="Times New Roman"/>
                <w:spacing w:val="-4"/>
                <w:lang w:val="en-US" w:eastAsia="zh-CN"/>
              </w:rPr>
              <w:t>electrostatic</w:t>
            </w:r>
          </w:p>
        </w:tc>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spacing w:val="-4"/>
                <w:lang w:val="en-US" w:eastAsia="zh-CN"/>
              </w:rPr>
              <w:fldChar w:fldCharType="begin" w:fldLock="1"/>
            </w:r>
            <w:r w:rsidR="00E822E2">
              <w:rPr>
                <w:rFonts w:ascii="Times New Roman" w:eastAsia="Times" w:hAnsi="Times New Roman" w:cs="Times New Roman"/>
                <w:spacing w:val="-4"/>
                <w:lang w:val="en-US" w:eastAsia="zh-CN"/>
              </w:rPr>
              <w:instrText>ADDIN CSL_CITATION {"citationItems":[{"id":"ITEM-1","itemData":{"DOI":"10.1016/j.jphotobiol.2011.12.010","ISSN":"10111344","abstract":"Chlorpyrifos (CPF) is a widely used organophosphate insecticide which could bind with human serum albumin (HSA) and bovine serum albumin (BSA). The binding behavior was studied employing fluorescence, three-dimensional fluorescence, Circular dichroism (CD) spectroscopy, UV-vis absorption spectroscopy, electrochemistry and molecular modeling methods. The fluorescence spectra revealed that CPF causes the quenching of the fluorescence emission of serum albumin. Stern-Volmer plots were made and quenching constants were thus obtained. The results suggested the formation of the complexes of CPF with serum albumins, which were in good agreement with the results from electrochemical experiments. Association constants at 25 °C were 3.039 × 10 5 mol L -1 for HSA, and 0.3307 × 10 5 mol L -1 for BSA, which could affect the distribution, metabolism, and excretion of pesticide. The alterations of protein secondary structure in the presence of CPF were confirmed by the evidences from UV and CD spectra. Site competitive experiments also suggested that the primary binding site for CPF on serum albumin is close to tryptophan residues 214 of HSA and 212 of BSA, which was further confirmed by molecular modeling. © 2012 Elsevier B.V. All rights reserved.","author":[{"dropping-particle":"Le","family":"Han","given":"Xiao","non-dropping-particle":"","parse-names":false,"suffix":""},{"dropping-particle":"","family":"Tian","given":"Fang Fang","non-dropping-particle":"","parse-names":false,"suffix":""},{"dropping-particle":"","family":"Ge","given":"Yu Shu","non-dropping-particle":"","parse-names":false,"suffix":""},{"dropping-particle":"","family":"Jiang","given":"Feng Lei","non-dropping-particle":"","parse-names":false,"suffix":""},{"dropping-particle":"","family":"Lai","given":"Lu","non-dropping-particle":"","parse-names":false,"suffix":""},{"dropping-particle":"","family":"Li","given":"Dong Wei","non-dropping-particle":"","parse-names":false,"suffix":""},{"dropping-particle":"","family":"Yu","given":"Qiu Liyang","non-dropping-particle":"","parse-names":false,"suffix":""},{"dropping-particle":"","family":"Wang","given":"Jia","non-dropping-particle":"","parse-names":false,"suffix":""},{"dropping-particle":"","family":"Lin","given":"Chen","non-dropping-particle":"","parse-names":false,"suffix":""},{"dropping-particle":"","family":"Liu","given":"Yi","non-dropping-particle":"","parse-names":false,"suffix":""}],"container-title":"Journal of Photochemistry and Photobiology B: Biology","id":"ITEM-1","issued":{"date-parts":[["2012"]]},"page":"1-11","publisher":"Elsevier B.V.","title":"Spectroscopic, structural and thermodynamic properties of chlorpyrifos bound to serum albumin: A comparative study between BSA and HSA","type":"article-journal","volume":"109"},"uris":["http://www.mendeley.com/documents/?uuid=31e3bc35-8b31-4a07-9914-0be9017e683f"]}],"mendeley":{"formattedCitation":"[108]","plainTextFormattedCitation":"[108]","previouslyFormattedCitation":"[108]"},"properties":{"noteIndex":0},"schema":"https://github.com/citation-style-language/schema/raw/master/csl-citation.json"}</w:instrText>
            </w:r>
            <w:r w:rsidRPr="009814E2">
              <w:rPr>
                <w:rFonts w:ascii="Times New Roman" w:eastAsia="Times" w:hAnsi="Times New Roman" w:cs="Times New Roman"/>
                <w:spacing w:val="-4"/>
                <w:lang w:val="en-US" w:eastAsia="zh-CN"/>
              </w:rPr>
              <w:fldChar w:fldCharType="separate"/>
            </w:r>
            <w:r w:rsidR="00DD5357" w:rsidRPr="00DD5357">
              <w:rPr>
                <w:rFonts w:ascii="Times New Roman" w:eastAsia="Times" w:hAnsi="Times New Roman" w:cs="Times New Roman"/>
                <w:noProof/>
                <w:spacing w:val="-4"/>
                <w:lang w:val="en-US" w:eastAsia="zh-CN"/>
              </w:rPr>
              <w:t>[108]</w:t>
            </w:r>
            <w:r w:rsidRPr="009814E2">
              <w:rPr>
                <w:rFonts w:ascii="Times New Roman" w:eastAsia="Times" w:hAnsi="Times New Roman" w:cs="Times New Roman"/>
                <w:spacing w:val="-4"/>
                <w:lang w:val="en-US" w:eastAsia="zh-CN"/>
              </w:rPr>
              <w:fldChar w:fldCharType="end"/>
            </w:r>
          </w:p>
        </w:tc>
      </w:tr>
      <w:tr w:rsidR="009814E2" w:rsidRPr="009814E2" w:rsidTr="009814E2">
        <w:trPr>
          <w:jc w:val="center"/>
        </w:trPr>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p>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p>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p>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p>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noProof/>
                <w:lang w:eastAsia="en-GB"/>
              </w:rPr>
              <w:drawing>
                <wp:anchor distT="0" distB="0" distL="114300" distR="114300" simplePos="0" relativeHeight="251632640" behindDoc="0" locked="0" layoutInCell="1" allowOverlap="1" wp14:anchorId="40AAD141" wp14:editId="742A78FC">
                  <wp:simplePos x="0" y="0"/>
                  <wp:positionH relativeFrom="margin">
                    <wp:posOffset>610235</wp:posOffset>
                  </wp:positionH>
                  <wp:positionV relativeFrom="margin">
                    <wp:posOffset>99060</wp:posOffset>
                  </wp:positionV>
                  <wp:extent cx="760730" cy="503555"/>
                  <wp:effectExtent l="0" t="0" r="1270" b="0"/>
                  <wp:wrapSquare wrapText="bothSides"/>
                  <wp:docPr id="17" name="Immagine 17" descr="Quinclorac - Wikip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1" descr="Quinclorac - Wikipedia"/>
                          <pic:cNvPicPr>
                            <a:picLocks noChangeAspect="1" noChangeArrowheads="1"/>
                          </pic:cNvPicPr>
                        </pic:nvPicPr>
                        <pic:blipFill>
                          <a:blip r:embed="rId26" r:link="rId27" cstate="print">
                            <a:extLst>
                              <a:ext uri="{28A0092B-C50C-407E-A947-70E740481C1C}">
                                <a14:useLocalDpi xmlns:a14="http://schemas.microsoft.com/office/drawing/2010/main" val="0"/>
                              </a:ext>
                            </a:extLst>
                          </a:blip>
                          <a:srcRect/>
                          <a:stretch>
                            <a:fillRect/>
                          </a:stretch>
                        </pic:blipFill>
                        <pic:spPr bwMode="auto">
                          <a:xfrm>
                            <a:off x="0" y="0"/>
                            <a:ext cx="760730" cy="50355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spacing w:val="-4"/>
                <w:lang w:eastAsia="zh-CN"/>
              </w:rPr>
              <w:t>Quinclorac</w:t>
            </w:r>
          </w:p>
        </w:tc>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spacing w:val="-4"/>
                <w:lang w:eastAsia="zh-CN"/>
              </w:rPr>
              <w:t>Herbicide</w:t>
            </w:r>
          </w:p>
        </w:tc>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spacing w:val="-4"/>
                <w:lang w:eastAsia="zh-CN"/>
              </w:rPr>
              <w:t>I</w:t>
            </w:r>
          </w:p>
        </w:tc>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spacing w:val="-4"/>
                <w:lang w:eastAsia="zh-CN"/>
              </w:rPr>
              <w:t>van der Waals / H bond</w:t>
            </w:r>
          </w:p>
        </w:tc>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spacing w:val="-4"/>
                <w:lang w:eastAsia="zh-CN"/>
              </w:rPr>
              <w:fldChar w:fldCharType="begin" w:fldLock="1"/>
            </w:r>
            <w:r w:rsidR="00E822E2">
              <w:rPr>
                <w:rFonts w:ascii="Times New Roman" w:eastAsia="Times" w:hAnsi="Times New Roman" w:cs="Times New Roman"/>
                <w:spacing w:val="-4"/>
                <w:lang w:eastAsia="zh-CN"/>
              </w:rPr>
              <w:instrText>ADDIN CSL_CITATION {"citationItems":[{"id":"ITEM-1","itemData":{"DOI":"10.1016/j.saa.2009.08.018","ISSN":"13861425","abstract":"Quinclorac (QUC) is a new class of highly selective auxin herbicides. The interaction between QUC and bovine serum albumin (BSA) was investigated by fluorescence spectroscopy, synchronous fluorescence, three-dimensional fluorescence, CD spectroscopy and UV-vis absorption spectroscopy under simulative physiological condition. It was proved that the probable quenching mechanism of BSA by quinclorac was dynamic quenching. The Stern-Volmer quenching model has been successfully applied and the activation energy of the interaction as much as 8.03 kJ mol-1, corresponding thermodynamic parameters ΔHθ, ΔSθ and ΔGθ were calculated. The results indicated that the acting forces between QUC and BSA were mainly hydrogen bonding and van der Waals forces. According to the Förster non-radiation energy transfer theory, the average binding distance between donor (BSA) and acceptor (QUC) was obtained (r = 3.12 nm). The alterations of protein secondary structure in the presence of QUC were confirmed by the evidences from three-dimensional fluorescence, synchronous fluorescence and CD spectroscopy. Furthermore, the site marker competitive experiments indicated that the binding of QUC to BSA primarily took place in Sudlow site I. © 2009 Elsevier B.V. All rights reserved.","author":[{"dropping-particle":"Le","family":"Han","given":"Xiao","non-dropping-particle":"","parse-names":false,"suffix":""},{"dropping-particle":"","family":"Mei","given":"Ping","non-dropping-particle":"","parse-names":false,"suffix":""},{"dropping-particle":"","family":"Liu","given":"Yi","non-dropping-particle":"","parse-names":false,"suffix":""},{"dropping-particle":"","family":"Xiao","given":"Qi","non-dropping-particle":"","parse-names":false,"suffix":""},{"dropping-particle":"","family":"Jiang","given":"Feng Lei","non-dropping-particle":"","parse-names":false,"suffix":""},{"dropping-particle":"","family":"Li","given":"Ran","non-dropping-particle":"","parse-names":false,"suffix":""}],"container-title":"Spectrochimica Acta - Part A: Molecular and Biomolecular Spectroscopy","id":"ITEM-1","issue":"3","issued":{"date-parts":[["2009"]]},"page":"781-787","title":"Binding interaction of quinclorac with bovine serum albumin: A biophysical study","type":"article-journal","volume":"74"},"uris":["http://www.mendeley.com/documents/?uuid=c4ae1aa8-80d3-4888-bf2b-82c55c7b6caa"]}],"mendeley":{"formattedCitation":"[109]","plainTextFormattedCitation":"[109]","previouslyFormattedCitation":"[109]"},"properties":{"noteIndex":0},"schema":"https://github.com/citation-style-language/schema/raw/master/csl-citation.json"}</w:instrText>
            </w:r>
            <w:r w:rsidRPr="009814E2">
              <w:rPr>
                <w:rFonts w:ascii="Times New Roman" w:eastAsia="Times" w:hAnsi="Times New Roman" w:cs="Times New Roman"/>
                <w:spacing w:val="-4"/>
                <w:lang w:eastAsia="zh-CN"/>
              </w:rPr>
              <w:fldChar w:fldCharType="separate"/>
            </w:r>
            <w:r w:rsidR="00DD5357" w:rsidRPr="00DD5357">
              <w:rPr>
                <w:rFonts w:ascii="Times New Roman" w:eastAsia="Times" w:hAnsi="Times New Roman" w:cs="Times New Roman"/>
                <w:noProof/>
                <w:spacing w:val="-4"/>
                <w:lang w:eastAsia="zh-CN"/>
              </w:rPr>
              <w:t>[109]</w:t>
            </w:r>
            <w:r w:rsidRPr="009814E2">
              <w:rPr>
                <w:rFonts w:ascii="Times New Roman" w:eastAsia="Times" w:hAnsi="Times New Roman" w:cs="Times New Roman"/>
                <w:spacing w:val="-4"/>
                <w:lang w:eastAsia="zh-CN"/>
              </w:rPr>
              <w:fldChar w:fldCharType="end"/>
            </w:r>
          </w:p>
        </w:tc>
      </w:tr>
      <w:tr w:rsidR="009814E2" w:rsidRPr="009814E2" w:rsidTr="009814E2">
        <w:trPr>
          <w:jc w:val="center"/>
        </w:trPr>
        <w:tc>
          <w:tcPr>
            <w:tcW w:w="0" w:type="auto"/>
            <w:shd w:val="clear" w:color="auto" w:fill="auto"/>
            <w:vAlign w:val="center"/>
          </w:tcPr>
          <w:p w:rsidR="009814E2" w:rsidRPr="009814E2" w:rsidRDefault="003118E8" w:rsidP="009814E2">
            <w:pPr>
              <w:tabs>
                <w:tab w:val="left" w:pos="284"/>
              </w:tabs>
              <w:spacing w:after="0" w:line="240" w:lineRule="auto"/>
              <w:jc w:val="center"/>
              <w:rPr>
                <w:rFonts w:ascii="Times New Roman" w:eastAsia="Times" w:hAnsi="Times New Roman" w:cs="Times New Roman"/>
                <w:spacing w:val="-4"/>
                <w:lang w:eastAsia="zh-CN"/>
              </w:rPr>
            </w:pPr>
            <w:r>
              <w:rPr>
                <w:rFonts w:ascii="Times New Roman" w:eastAsia="Times" w:hAnsi="Times New Roman" w:cs="Times New Roman"/>
                <w:noProof/>
                <w:lang w:val="en-US" w:eastAsia="zh-CN"/>
              </w:rPr>
              <w:object w:dxaOrig="1440" w:dyaOrig="1440">
                <v:shape id="_x0000_s1162" type="#_x0000_t75" style="position:absolute;left:0;text-align:left;margin-left:2.85pt;margin-top:3.75pt;width:155.05pt;height:56.7pt;z-index:251659776;mso-position-horizontal-relative:margin;mso-position-vertical-relative:margin">
                  <v:imagedata r:id="rId28" o:title=""/>
                  <w10:wrap type="square" anchorx="margin" anchory="margin"/>
                </v:shape>
                <o:OLEObject Type="Embed" ProgID="PBrush" ShapeID="_x0000_s1162" DrawAspect="Content" ObjectID="_1660750242" r:id="rId29"/>
              </w:object>
            </w:r>
          </w:p>
        </w:tc>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spacing w:val="-4"/>
                <w:lang w:eastAsia="zh-CN"/>
              </w:rPr>
              <w:t>Congo Red</w:t>
            </w:r>
          </w:p>
        </w:tc>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spacing w:val="-4"/>
                <w:lang w:eastAsia="zh-CN"/>
              </w:rPr>
              <w:t>Carcinogenic dye</w:t>
            </w:r>
          </w:p>
        </w:tc>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spacing w:val="-4"/>
                <w:lang w:eastAsia="zh-CN"/>
              </w:rPr>
              <w:t>I</w:t>
            </w:r>
          </w:p>
        </w:tc>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spacing w:val="-4"/>
                <w:lang w:eastAsia="zh-CN"/>
              </w:rPr>
              <w:t>hydrophobic / H bond</w:t>
            </w:r>
          </w:p>
        </w:tc>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spacing w:val="-4"/>
                <w:lang w:eastAsia="zh-CN"/>
              </w:rPr>
              <w:fldChar w:fldCharType="begin" w:fldLock="1"/>
            </w:r>
            <w:r w:rsidR="00DD5357">
              <w:rPr>
                <w:rFonts w:ascii="Times New Roman" w:eastAsia="Times" w:hAnsi="Times New Roman" w:cs="Times New Roman"/>
                <w:spacing w:val="-4"/>
                <w:lang w:eastAsia="zh-CN"/>
              </w:rPr>
              <w:instrText>ADDIN CSL_CITATION {"citationItems":[{"id":"ITEM-1","itemData":{"DOI":"10.1016/j.saa.2008.12.007","ISSN":"13861425","abstract":"The binding interaction of Congo Red (CGR) with bovine serum albumin (BSA) was investigated by spectroscopic techniques including fluorescence spectroscopy, UV-vis absorption, and circular dichroism (CD) spectroscopy under simulative physiological conditions. Fluorescence data revealed that the fluorescence quenching of BSA by CGR was the result of the formation of a BSA-CGR complex, and the corresponding binding constants (Ka) at the four different temperatures (292, 298, 304, and 310 K) were obtained according to the modified Stern-Volmer equation. The thermodynamic parameters ΔH and ΔS were calculated to be -12.67 kJ mol-1 and 58.60 J mol-1 K-1, respectively, which suggested that both hydrophobic force and hydrogen bond played major roles in stabilizing the BSA-CGR complex. Site marker competitive experiments showed that the binding of CGR to BSA primarily took place in site I of BSA. The distance r between CGR (acceptor) and tryptophan residues of BSA (donor) was calculated to be 3.89 nm based on Förster's non-radioactive energy transfer theory. The conformational investigation showed that the presence of CGR resulted in the change of BSA secondary structure and induced the slight unfolding of the polypeptides of protein, which confirmed some micro-environmental and conformational changes of BSA molecules. © 2008 Elsevier B.V. All rights reserved.","author":[{"dropping-particle":"","family":"Zhang","given":"Ye Zhong","non-dropping-particle":"","parse-names":false,"suffix":""},{"dropping-particle":"","family":"Xiang","given":"Xia","non-dropping-particle":"","parse-names":false,"suffix":""},{"dropping-particle":"","family":"Mei","given":"Ping","non-dropping-particle":"","parse-names":false,"suffix":""},{"dropping-particle":"","family":"Dai","given":"Jie","non-dropping-particle":"","parse-names":false,"suffix":""},{"dropping-particle":"","family":"Zhang","given":"Lin Lin","non-dropping-particle":"","parse-names":false,"suffix":""},{"dropping-particle":"","family":"Liu","given":"Yi","non-dropping-particle":"","parse-names":false,"suffix":""}],"container-title":"Spectrochimica Acta - Part A: Molecular and Biomolecular Spectroscopy","id":"ITEM-1","issue":"4","issued":{"date-parts":[["2009"]]},"page":"907-914","title":"Spectroscopic studies on the interaction of Congo Red with bovine serum albumin","type":"article-journal","volume":"72"},"uris":["http://www.mendeley.com/documents/?uuid=c8051eb3-5685-4b61-a728-5c9a9a3d2dab"]}],"mendeley":{"formattedCitation":"[60]","plainTextFormattedCitation":"[60]","previouslyFormattedCitation":"[60]"},"properties":{"noteIndex":0},"schema":"https://github.com/citation-style-language/schema/raw/master/csl-citation.json"}</w:instrText>
            </w:r>
            <w:r w:rsidRPr="009814E2">
              <w:rPr>
                <w:rFonts w:ascii="Times New Roman" w:eastAsia="Times" w:hAnsi="Times New Roman" w:cs="Times New Roman"/>
                <w:spacing w:val="-4"/>
                <w:lang w:eastAsia="zh-CN"/>
              </w:rPr>
              <w:fldChar w:fldCharType="separate"/>
            </w:r>
            <w:r w:rsidR="00DD5357" w:rsidRPr="00DD5357">
              <w:rPr>
                <w:rFonts w:ascii="Times New Roman" w:eastAsia="Times" w:hAnsi="Times New Roman" w:cs="Times New Roman"/>
                <w:noProof/>
                <w:spacing w:val="-4"/>
                <w:lang w:eastAsia="zh-CN"/>
              </w:rPr>
              <w:t>[60]</w:t>
            </w:r>
            <w:r w:rsidRPr="009814E2">
              <w:rPr>
                <w:rFonts w:ascii="Times New Roman" w:eastAsia="Times" w:hAnsi="Times New Roman" w:cs="Times New Roman"/>
                <w:spacing w:val="-4"/>
                <w:lang w:eastAsia="zh-CN"/>
              </w:rPr>
              <w:fldChar w:fldCharType="end"/>
            </w:r>
          </w:p>
        </w:tc>
      </w:tr>
      <w:tr w:rsidR="009814E2" w:rsidRPr="009814E2" w:rsidTr="009814E2">
        <w:trPr>
          <w:jc w:val="center"/>
        </w:trPr>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noProof/>
                <w:lang w:eastAsia="en-GB"/>
              </w:rPr>
              <w:drawing>
                <wp:anchor distT="0" distB="0" distL="114300" distR="114300" simplePos="0" relativeHeight="251638784" behindDoc="0" locked="0" layoutInCell="1" allowOverlap="1" wp14:anchorId="1C705B9A" wp14:editId="1D76E6C2">
                  <wp:simplePos x="0" y="0"/>
                  <wp:positionH relativeFrom="margin">
                    <wp:posOffset>454025</wp:posOffset>
                  </wp:positionH>
                  <wp:positionV relativeFrom="margin">
                    <wp:posOffset>59055</wp:posOffset>
                  </wp:positionV>
                  <wp:extent cx="1097915" cy="719455"/>
                  <wp:effectExtent l="0" t="0" r="6985" b="4445"/>
                  <wp:wrapSquare wrapText="bothSides"/>
                  <wp:docPr id="18" name="Immagine 18" descr="Malachite green structure.sv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4" descr="Malachite green structure.svg"/>
                          <pic:cNvPicPr>
                            <a:picLocks noChangeAspect="1" noChangeArrowheads="1"/>
                          </pic:cNvPicPr>
                        </pic:nvPicPr>
                        <pic:blipFill>
                          <a:blip r:embed="rId30" r:link="rId31" cstate="print">
                            <a:extLst>
                              <a:ext uri="{28A0092B-C50C-407E-A947-70E740481C1C}">
                                <a14:useLocalDpi xmlns:a14="http://schemas.microsoft.com/office/drawing/2010/main" val="0"/>
                              </a:ext>
                            </a:extLst>
                          </a:blip>
                          <a:srcRect/>
                          <a:stretch>
                            <a:fillRect/>
                          </a:stretch>
                        </pic:blipFill>
                        <pic:spPr bwMode="auto">
                          <a:xfrm>
                            <a:off x="0" y="0"/>
                            <a:ext cx="1097915" cy="71945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spacing w:val="-4"/>
                <w:lang w:eastAsia="zh-CN"/>
              </w:rPr>
              <w:t>Malachite green</w:t>
            </w:r>
          </w:p>
        </w:tc>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spacing w:val="-4"/>
                <w:lang w:eastAsia="zh-CN"/>
              </w:rPr>
              <w:t>Commercial stain</w:t>
            </w:r>
          </w:p>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spacing w:val="-4"/>
                <w:lang w:eastAsia="zh-CN"/>
              </w:rPr>
              <w:t>Antimicrobial agent</w:t>
            </w:r>
          </w:p>
        </w:tc>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spacing w:val="-4"/>
                <w:lang w:eastAsia="zh-CN"/>
              </w:rPr>
              <w:t>I</w:t>
            </w:r>
          </w:p>
        </w:tc>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spacing w:val="-4"/>
                <w:lang w:eastAsia="zh-CN"/>
              </w:rPr>
              <w:t>van der Waals / H bond</w:t>
            </w:r>
          </w:p>
        </w:tc>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spacing w:val="-4"/>
                <w:lang w:eastAsia="zh-CN"/>
              </w:rPr>
              <w:fldChar w:fldCharType="begin" w:fldLock="1"/>
            </w:r>
            <w:r w:rsidR="00DD5357">
              <w:rPr>
                <w:rFonts w:ascii="Times New Roman" w:eastAsia="Times" w:hAnsi="Times New Roman" w:cs="Times New Roman"/>
                <w:spacing w:val="-4"/>
                <w:lang w:eastAsia="zh-CN"/>
              </w:rPr>
              <w:instrText>ADDIN CSL_CITATION {"citationItems":[{"id":"ITEM-1","itemData":{"DOI":"10.1016/j.jhazmat.2008.07.132","ISSN":"03043894","abstract":"The interaction between malachite green (MG) and bovine serum albumin (BSA) under simulative physiological conditions was investigated by the methods of fluorescence spectroscopy, UV-vis absorption and circular dichroism (CD) spectroscopy. Fluorescence data showed that the fluorescence quenching of BSA by MG was the result of the formation of the MG-BSA complex. According to the modified Stern-Volmer equation, the effective quenching constants (Ka) between MG and BSA at four different temperatures were obtained to be 3.734 × 104, 3.264 × 104, 2.718 × 104, and 2.164 × 104 L mol-1, respectively. The enthalpy change (ΔH) and entropy change (ΔS) were calculated to be -27.25 kJ mol-1 and -11.23 J mol-1 K-1, indicating that van der Waals force and hydrogen bonds were the dominant intermolecular force in stabilizing the complex. Site marker competitive experiments indicated that the binding of MG to BSA primarily took place in sub-domain IIA. The binding distance (r) between MG and the tryptophan residue of BSA was obtained to be 4.79 nm according to Förster theory of non-radioactive energy transfer. The conformational investigation showed that the presence of MG decreased the α-helical content of BSA (from 62.6% to 55.6%) and induced the slight unfolding of the polypeptides of protein, which confirmed some micro-environmental and conformational changes of BSA molecules. © 2008 Elsevier B.V. All rights reserved.","author":[{"dropping-particle":"","family":"Zhang","given":"Ye Zhong","non-dropping-particle":"","parse-names":false,"suffix":""},{"dropping-particle":"","family":"Zhou","given":"Bo","non-dropping-particle":"","parse-names":false,"suffix":""},{"dropping-particle":"","family":"Zhang","given":"Xiao Ping","non-dropping-particle":"","parse-names":false,"suffix":""},{"dropping-particle":"","family":"Huang","given":"Ping","non-dropping-particle":"","parse-names":false,"suffix":""},{"dropping-particle":"","family":"Li","given":"Chao Hong","non-dropping-particle":"","parse-names":false,"suffix":""},{"dropping-particle":"","family":"Liu","given":"Yi","non-dropping-particle":"","parse-names":false,"suffix":""}],"container-title":"Journal of Hazardous Materials","id":"ITEM-1","issue":"2-3","issued":{"date-parts":[["2009"]]},"page":"1345-1352","title":"Interaction of malachite green with bovine serum albumin: Determination of the binding mechanism and binding site by spectroscopic methods","type":"article-journal","volume":"163"},"uris":["http://www.mendeley.com/documents/?uuid=112878c2-6619-4dcd-be53-d99bb05f5c2d"]}],"mendeley":{"formattedCitation":"[59]","plainTextFormattedCitation":"[59]","previouslyFormattedCitation":"[59]"},"properties":{"noteIndex":0},"schema":"https://github.com/citation-style-language/schema/raw/master/csl-citation.json"}</w:instrText>
            </w:r>
            <w:r w:rsidRPr="009814E2">
              <w:rPr>
                <w:rFonts w:ascii="Times New Roman" w:eastAsia="Times" w:hAnsi="Times New Roman" w:cs="Times New Roman"/>
                <w:spacing w:val="-4"/>
                <w:lang w:eastAsia="zh-CN"/>
              </w:rPr>
              <w:fldChar w:fldCharType="separate"/>
            </w:r>
            <w:r w:rsidR="00DD5357" w:rsidRPr="00DD5357">
              <w:rPr>
                <w:rFonts w:ascii="Times New Roman" w:eastAsia="Times" w:hAnsi="Times New Roman" w:cs="Times New Roman"/>
                <w:noProof/>
                <w:spacing w:val="-4"/>
                <w:lang w:eastAsia="zh-CN"/>
              </w:rPr>
              <w:t>[59]</w:t>
            </w:r>
            <w:r w:rsidRPr="009814E2">
              <w:rPr>
                <w:rFonts w:ascii="Times New Roman" w:eastAsia="Times" w:hAnsi="Times New Roman" w:cs="Times New Roman"/>
                <w:spacing w:val="-4"/>
                <w:lang w:eastAsia="zh-CN"/>
              </w:rPr>
              <w:fldChar w:fldCharType="end"/>
            </w:r>
          </w:p>
        </w:tc>
      </w:tr>
      <w:tr w:rsidR="009814E2" w:rsidRPr="009814E2" w:rsidTr="009814E2">
        <w:trPr>
          <w:jc w:val="center"/>
        </w:trPr>
        <w:tc>
          <w:tcPr>
            <w:tcW w:w="0" w:type="auto"/>
            <w:shd w:val="clear" w:color="auto" w:fill="auto"/>
            <w:vAlign w:val="center"/>
          </w:tcPr>
          <w:p w:rsidR="009814E2" w:rsidRPr="009814E2" w:rsidRDefault="003118E8" w:rsidP="009814E2">
            <w:pPr>
              <w:tabs>
                <w:tab w:val="left" w:pos="284"/>
              </w:tabs>
              <w:spacing w:after="0" w:line="240" w:lineRule="auto"/>
              <w:jc w:val="center"/>
              <w:rPr>
                <w:rFonts w:ascii="Times New Roman" w:eastAsia="Times" w:hAnsi="Times New Roman" w:cs="Times New Roman"/>
                <w:spacing w:val="-4"/>
                <w:lang w:eastAsia="zh-CN"/>
              </w:rPr>
            </w:pPr>
            <w:r>
              <w:rPr>
                <w:rFonts w:ascii="Times New Roman" w:eastAsia="Times" w:hAnsi="Times New Roman" w:cs="Times New Roman"/>
                <w:noProof/>
                <w:lang w:val="en-US" w:eastAsia="zh-CN"/>
              </w:rPr>
              <w:object w:dxaOrig="1440" w:dyaOrig="1440">
                <v:shape id="_x0000_s1163" type="#_x0000_t75" style="position:absolute;left:0;text-align:left;margin-left:58.35pt;margin-top:6.85pt;width:52.55pt;height:45.35pt;z-index:251660800;mso-position-horizontal-relative:margin;mso-position-vertical-relative:margin">
                  <v:imagedata r:id="rId32" o:title=""/>
                  <w10:wrap type="square" anchorx="margin" anchory="margin"/>
                </v:shape>
                <o:OLEObject Type="Embed" ProgID="PBrush" ShapeID="_x0000_s1163" DrawAspect="Content" ObjectID="_1660750243" r:id="rId33"/>
              </w:object>
            </w:r>
          </w:p>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p>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p>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p>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p>
        </w:tc>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spacing w:val="-4"/>
                <w:lang w:eastAsia="zh-CN"/>
              </w:rPr>
              <w:t>Co(II) 1,10-phenanthroline</w:t>
            </w:r>
          </w:p>
        </w:tc>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spacing w:val="-4"/>
                <w:lang w:eastAsia="zh-CN"/>
              </w:rPr>
              <w:t xml:space="preserve">Metal complex </w:t>
            </w:r>
          </w:p>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spacing w:val="-4"/>
                <w:lang w:eastAsia="zh-CN"/>
              </w:rPr>
              <w:t>possible anti tumor agent</w:t>
            </w:r>
          </w:p>
        </w:tc>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spacing w:val="-4"/>
                <w:lang w:eastAsia="zh-CN"/>
              </w:rPr>
              <w:t>I</w:t>
            </w:r>
          </w:p>
        </w:tc>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spacing w:val="-4"/>
                <w:lang w:eastAsia="zh-CN"/>
              </w:rPr>
              <w:t xml:space="preserve">electrostatic / hydrophobic  </w:t>
            </w:r>
          </w:p>
        </w:tc>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spacing w:val="-4"/>
                <w:lang w:eastAsia="zh-CN"/>
              </w:rPr>
              <w:fldChar w:fldCharType="begin" w:fldLock="1"/>
            </w:r>
            <w:r w:rsidR="00E822E2">
              <w:rPr>
                <w:rFonts w:ascii="Times New Roman" w:eastAsia="Times" w:hAnsi="Times New Roman" w:cs="Times New Roman"/>
                <w:spacing w:val="-4"/>
                <w:lang w:eastAsia="zh-CN"/>
              </w:rPr>
              <w:instrText>ADDIN CSL_CITATION {"citationItems":[{"id":"ITEM-1","itemData":{"DOI":"10.1007/s12011-009-8502-y","ISSN":"01634984","abstract":"The binding interaction of the cobalt(II) 1,10-phenanthroline complex (Co(phen) 32+, phen = 1,10-phenanthroline) with bovine serum albumin (BSA) was investigated by fluorescence spectroscopy combined with UV-Vis absorption and circular dichroism measurements under simulative physiological conditions. The experiment results showed that the fluorescence intensity of BSA was dramatically decreased owing to the formation of Co(phen) 32+ -BSA complex. The corresponding association constants (K a) between Co(phen) 32+ and BSA at four different temperatures were calculated according to the modified Stern-Volmer equation. The enthalpy change (ΔH°) and entropy change (ΔS°) were calculated to be -2.73 kJ mol-1 and 82.27 J mol -1K-1, respectively, which suggested that electrostatic interaction and hydrophobic force played major roles in stabilizing the Co(phen) 32+ -BSA complex. Site marker competitive experiments indicated that the binding of Co(phen) 32+ to BSA primarily took place in site I of BSA. A value of 4.11 nm for the average distance r between Co(phen) 32+ (acceptor) and tryptophan residues of BSA (donor) was derived from Förster's energy transfer theory. The conformational investigation showed that the presence of Co(phen) 32+ resulted in the change of BSA secondary structure and induced the slight unfolding of the polypeptides of protein, which confirmed the microenvironment and conformational changes of BSA molecules. © 2009 Humana Press Inc.","author":[{"dropping-particle":"","family":"Zhang","given":"Ye Zhong","non-dropping-particle":"","parse-names":false,"suffix":""},{"dropping-particle":"","family":"Li","given":"Hua Rong","non-dropping-particle":"","parse-names":false,"suffix":""},{"dropping-particle":"","family":"Dai","given":"Jie","non-dropping-particle":"","parse-names":false,"suffix":""},{"dropping-particle":"","family":"Chen","given":"Wen Juan","non-dropping-particle":"","parse-names":false,"suffix":""},{"dropping-particle":"","family":"Zhang","given":"Jing","non-dropping-particle":"","parse-names":false,"suffix":""},{"dropping-particle":"","family":"Liu","given":"Yi","non-dropping-particle":"","parse-names":false,"suffix":""}],"container-title":"Biological Trace Element Research","id":"ITEM-1","issued":{"date-parts":[["2010"]]},"page":"136-152","title":"Spectroscopic studies on the binding of cobalt(II) 1,10-Phenanthroline complex to bovine serum albumin","type":"article-journal","volume":"135"},"uris":["http://www.mendeley.com/documents/?uuid=adfbc518-d25b-47ae-b9df-a295e3110521"]}],"mendeley":{"formattedCitation":"[110]","plainTextFormattedCitation":"[110]","previouslyFormattedCitation":"[110]"},"properties":{"noteIndex":0},"schema":"https://github.com/citation-style-language/schema/raw/master/csl-citation.json"}</w:instrText>
            </w:r>
            <w:r w:rsidRPr="009814E2">
              <w:rPr>
                <w:rFonts w:ascii="Times New Roman" w:eastAsia="Times" w:hAnsi="Times New Roman" w:cs="Times New Roman"/>
                <w:spacing w:val="-4"/>
                <w:lang w:eastAsia="zh-CN"/>
              </w:rPr>
              <w:fldChar w:fldCharType="separate"/>
            </w:r>
            <w:r w:rsidR="00DD5357" w:rsidRPr="00DD5357">
              <w:rPr>
                <w:rFonts w:ascii="Times New Roman" w:eastAsia="Times" w:hAnsi="Times New Roman" w:cs="Times New Roman"/>
                <w:noProof/>
                <w:spacing w:val="-4"/>
                <w:lang w:eastAsia="zh-CN"/>
              </w:rPr>
              <w:t>[110]</w:t>
            </w:r>
            <w:r w:rsidRPr="009814E2">
              <w:rPr>
                <w:rFonts w:ascii="Times New Roman" w:eastAsia="Times" w:hAnsi="Times New Roman" w:cs="Times New Roman"/>
                <w:spacing w:val="-4"/>
                <w:lang w:eastAsia="zh-CN"/>
              </w:rPr>
              <w:fldChar w:fldCharType="end"/>
            </w:r>
          </w:p>
        </w:tc>
      </w:tr>
      <w:tr w:rsidR="009814E2" w:rsidRPr="009814E2" w:rsidTr="009814E2">
        <w:trPr>
          <w:jc w:val="center"/>
        </w:trPr>
        <w:tc>
          <w:tcPr>
            <w:tcW w:w="0" w:type="auto"/>
            <w:shd w:val="clear" w:color="auto" w:fill="auto"/>
            <w:vAlign w:val="center"/>
          </w:tcPr>
          <w:p w:rsidR="009814E2" w:rsidRPr="009814E2" w:rsidRDefault="003118E8" w:rsidP="009814E2">
            <w:pPr>
              <w:tabs>
                <w:tab w:val="left" w:pos="284"/>
              </w:tabs>
              <w:spacing w:after="0" w:line="240" w:lineRule="auto"/>
              <w:jc w:val="both"/>
              <w:rPr>
                <w:rFonts w:ascii="Times New Roman" w:eastAsia="Times" w:hAnsi="Times New Roman" w:cs="Times New Roman"/>
                <w:lang w:val="en-US" w:eastAsia="zh-CN"/>
              </w:rPr>
            </w:pPr>
            <w:r>
              <w:rPr>
                <w:rFonts w:ascii="Times New Roman" w:eastAsia="Times" w:hAnsi="Times New Roman" w:cs="Times New Roman"/>
                <w:noProof/>
                <w:lang w:val="en-US" w:eastAsia="zh-CN"/>
              </w:rPr>
              <w:object w:dxaOrig="1440" w:dyaOrig="1440">
                <v:shape id="_x0000_s1166" type="#_x0000_t75" style="position:absolute;left:0;text-align:left;margin-left:14.4pt;margin-top:7.95pt;width:114.7pt;height:69.1pt;z-index:251661824;mso-position-horizontal-relative:margin;mso-position-vertical-relative:margin">
                  <v:imagedata r:id="rId34" o:title=""/>
                  <w10:wrap type="square" anchorx="margin" anchory="margin"/>
                </v:shape>
                <o:OLEObject Type="Embed" ProgID="PBrush" ShapeID="_x0000_s1166" DrawAspect="Content" ObjectID="_1660750244" r:id="rId35"/>
              </w:object>
            </w:r>
          </w:p>
        </w:tc>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spacing w:val="-4"/>
                <w:lang w:eastAsia="zh-CN"/>
              </w:rPr>
              <w:t>Schiff base complexes of Mg(II), Mn(II), Zn(II)</w:t>
            </w:r>
          </w:p>
        </w:tc>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spacing w:val="-4"/>
                <w:lang w:eastAsia="zh-CN"/>
              </w:rPr>
              <w:t>Anticancer agents</w:t>
            </w:r>
          </w:p>
        </w:tc>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spacing w:val="-4"/>
                <w:lang w:eastAsia="zh-CN"/>
              </w:rPr>
              <w:t>I</w:t>
            </w:r>
          </w:p>
        </w:tc>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spacing w:val="-4"/>
                <w:lang w:val="en-US" w:eastAsia="zh-CN"/>
              </w:rPr>
              <w:t>hydrophobic</w:t>
            </w:r>
          </w:p>
        </w:tc>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spacing w:val="-4"/>
                <w:lang w:eastAsia="zh-CN"/>
              </w:rPr>
              <w:fldChar w:fldCharType="begin" w:fldLock="1"/>
            </w:r>
            <w:r w:rsidR="00DD5357">
              <w:rPr>
                <w:rFonts w:ascii="Times New Roman" w:eastAsia="Times" w:hAnsi="Times New Roman" w:cs="Times New Roman"/>
                <w:spacing w:val="-4"/>
                <w:lang w:eastAsia="zh-CN"/>
              </w:rPr>
              <w:instrText>ADDIN CSL_CITATION {"citationItems":[{"id":"ITEM-1","itemData":{"DOI":"10.1016/j.saa.2014.05.031","ISSN":"13861425","PMID":"24996211","abstract":"Metal Schiff-base complexes show biological activity but they are usually insoluble in water so four new water-soluble metal Schiff base complexes of Na2[M(5-SO3-1,2-salben]; (5-SO3-1,2-salben denoted N,N′-bis(5-sulphosalicyliden)-1,2-diaminobenzylamine and M = Mg, Mn, Cu, Zn) were synthesized and characterized. The formation constants of the metal complexes were determined by UV-Vis absorption spectroscopy. The interaction of these complexes with bovine serum albumin (BSA) was studied by fluorescence spectroscopy. Type of quenching, binding constants, number of binding sites and binding stoichiometries were determined by fluorescence quenching method. The results showed that the mentioned complexes strongly bound to BSA. Thermodynamic parameters indicated that hydrophobic association was the major binding force and that the interaction was entropy driven and enthalpically disfavoured. The displacement experiment showed that these complexes could bind to the subdomain IIA (site I) of albumin. Furthermore the synchronous fluorescence spectra showed that the microenvironment of the tryptophan residues was not apparently changed. Based on the Förster theory of non-radiation energy transfer, the distance between the donor (Trp residues) and the acceptor metal complexes was obtained. The growth inhibitory effect of complexes toward the K562 cancer cell line was measured. © 2014 Elsevier B.V. All rights reserved.","author":[{"dropping-particle":"","family":"Asadi","given":"Mozaffar","non-dropping-particle":"","parse-names":false,"suffix":""},{"dropping-particle":"","family":"Asadi","given":"Zahra","non-dropping-particle":"","parse-names":false,"suffix":""},{"dropping-particle":"","family":"Zarei","given":"Leila","non-dropping-particle":"","parse-names":false,"suffix":""},{"dropping-particle":"","family":"Sadi","given":"Somaye Barzegar","non-dropping-particle":"","parse-names":false,"suffix":""},{"dropping-particle":"","family":"Amirghofran","given":"Zahra","non-dropping-particle":"","parse-names":false,"suffix":""}],"container-title":"Spectrochimica Acta - Part A: Molecular and Biomolecular Spectroscopy","id":"ITEM-1","issue":"3","issued":{"date-parts":[["2014"]]},"page":"697-706","publisher":"Elsevier B.V.","title":"Affinity to bovine serum albumin and anticancer activity of some new water-soluble metal Schiff base complexes","type":"article-journal","volume":"133"},"uris":["http://www.mendeley.com/documents/?uuid=c31b43b4-6dbf-422f-a097-0c57815109c5"]}],"mendeley":{"formattedCitation":"[88]","plainTextFormattedCitation":"[88]","previouslyFormattedCitation":"[88]"},"properties":{"noteIndex":0},"schema":"https://github.com/citation-style-language/schema/raw/master/csl-citation.json"}</w:instrText>
            </w:r>
            <w:r w:rsidRPr="009814E2">
              <w:rPr>
                <w:rFonts w:ascii="Times New Roman" w:eastAsia="Times" w:hAnsi="Times New Roman" w:cs="Times New Roman"/>
                <w:spacing w:val="-4"/>
                <w:lang w:eastAsia="zh-CN"/>
              </w:rPr>
              <w:fldChar w:fldCharType="separate"/>
            </w:r>
            <w:r w:rsidR="00DD5357" w:rsidRPr="00DD5357">
              <w:rPr>
                <w:rFonts w:ascii="Times New Roman" w:eastAsia="Times" w:hAnsi="Times New Roman" w:cs="Times New Roman"/>
                <w:noProof/>
                <w:spacing w:val="-4"/>
                <w:lang w:eastAsia="zh-CN"/>
              </w:rPr>
              <w:t>[88]</w:t>
            </w:r>
            <w:r w:rsidRPr="009814E2">
              <w:rPr>
                <w:rFonts w:ascii="Times New Roman" w:eastAsia="Times" w:hAnsi="Times New Roman" w:cs="Times New Roman"/>
                <w:spacing w:val="-4"/>
                <w:lang w:eastAsia="zh-CN"/>
              </w:rPr>
              <w:fldChar w:fldCharType="end"/>
            </w:r>
          </w:p>
        </w:tc>
      </w:tr>
      <w:tr w:rsidR="009814E2" w:rsidRPr="009814E2" w:rsidTr="009814E2">
        <w:trPr>
          <w:jc w:val="center"/>
        </w:trPr>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noProof/>
                <w:lang w:eastAsia="en-GB"/>
              </w:rPr>
              <w:drawing>
                <wp:anchor distT="0" distB="0" distL="114300" distR="114300" simplePos="0" relativeHeight="251644928" behindDoc="0" locked="0" layoutInCell="1" allowOverlap="1" wp14:anchorId="757F62B6" wp14:editId="32FACFD6">
                  <wp:simplePos x="0" y="0"/>
                  <wp:positionH relativeFrom="margin">
                    <wp:posOffset>532765</wp:posOffset>
                  </wp:positionH>
                  <wp:positionV relativeFrom="margin">
                    <wp:posOffset>78740</wp:posOffset>
                  </wp:positionV>
                  <wp:extent cx="875665" cy="863600"/>
                  <wp:effectExtent l="0" t="0" r="635" b="0"/>
                  <wp:wrapSquare wrapText="bothSides"/>
                  <wp:docPr id="19" name="Immagine 19" descr="Berbamine - Wikip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9" descr="Berbamine - Wikipedia"/>
                          <pic:cNvPicPr>
                            <a:picLocks noChangeAspect="1" noChangeArrowheads="1"/>
                          </pic:cNvPicPr>
                        </pic:nvPicPr>
                        <pic:blipFill>
                          <a:blip r:embed="rId36" r:link="rId37" cstate="print">
                            <a:extLst>
                              <a:ext uri="{28A0092B-C50C-407E-A947-70E740481C1C}">
                                <a14:useLocalDpi xmlns:a14="http://schemas.microsoft.com/office/drawing/2010/main" val="0"/>
                              </a:ext>
                            </a:extLst>
                          </a:blip>
                          <a:srcRect/>
                          <a:stretch>
                            <a:fillRect/>
                          </a:stretch>
                        </pic:blipFill>
                        <pic:spPr bwMode="auto">
                          <a:xfrm>
                            <a:off x="0" y="0"/>
                            <a:ext cx="875665" cy="86360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spacing w:val="-4"/>
                <w:lang w:eastAsia="zh-CN"/>
              </w:rPr>
              <w:t>Berbamine</w:t>
            </w:r>
          </w:p>
        </w:tc>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spacing w:val="-4"/>
                <w:lang w:eastAsia="zh-CN"/>
              </w:rPr>
              <w:t>Calcium channel blocker</w:t>
            </w:r>
          </w:p>
        </w:tc>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spacing w:val="-4"/>
                <w:lang w:eastAsia="zh-CN"/>
              </w:rPr>
              <w:t>I</w:t>
            </w:r>
          </w:p>
        </w:tc>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spacing w:val="-4"/>
                <w:lang w:eastAsia="zh-CN"/>
              </w:rPr>
              <w:t>van der Waals / H bond</w:t>
            </w:r>
          </w:p>
        </w:tc>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spacing w:val="-4"/>
                <w:lang w:eastAsia="zh-CN"/>
              </w:rPr>
              <w:fldChar w:fldCharType="begin" w:fldLock="1"/>
            </w:r>
            <w:r w:rsidR="00E822E2">
              <w:rPr>
                <w:rFonts w:ascii="Times New Roman" w:eastAsia="Times" w:hAnsi="Times New Roman" w:cs="Times New Roman"/>
                <w:spacing w:val="-4"/>
                <w:lang w:eastAsia="zh-CN"/>
              </w:rPr>
              <w:instrText>ADDIN CSL_CITATION {"citationItems":[{"id":"ITEM-1","itemData":{"DOI":"10.1016/j.saa.2008.12.003","ISSN":"13861425","abstract":"Berbamine, a naturally occurring isoquinoline alkaloid extracted from Berberis sp., is the active constituent of some Chinese herbal medicines and exhibits a variety of pharmacological activities. The effects of berbamine on the structure of bovine serum albumin (BSA) were investigated by circular dichroism, fluorescence and absorption spectroscopy under physiological conditions. Berbamine caused a static quenching of the intrinsic fluorescence of BSA, and the quenching data were analyzed by application of the Stern-Volmer equation. There was a single primary berbamine-binding site on BSA with a binding constant of 2.577 × 104 L mol-1 at 298 K. The thermodynamic parameters, enthalpy change (ΔH0) and entropy change (ΔS0) for the reaction were -76.5 kJ mol-1 and -173.4 J mol-1 K-1 according to the van't Hoff equation. The results showed that the hydrogen bond and van der Waals interaction were the predominant forces in the binding process. Competitive experiments revealed a displacement of warfarin by berbamine, indicating that the binding site was located at Drug sites I. The distance r between the donor (BSA) and the acceptor (berbamine) was obtained according to the Förster non-radiation energy transfer theory. The results of three-dimensional fluorescence spectra, UV-vis absorption difference spectra and circular dichroism of BSA in the presence of berbamine showed that the conformation of BSA was changed. The results provide a quantitative understanding of the effect of berbamine on the structure of bovine serum albumin, providing a useful guideline for further drug design. © 2008 Elsevier B.V. All rights reserved.","author":[{"dropping-particle":"","family":"Cheng","given":"Xiao Xia","non-dropping-particle":"","parse-names":false,"suffix":""},{"dropping-particle":"","family":"Lui","given":"Yi","non-dropping-particle":"","parse-names":false,"suffix":""},{"dropping-particle":"","family":"Zhou","given":"Bo","non-dropping-particle":"","parse-names":false,"suffix":""},{"dropping-particle":"","family":"Xiao","given":"Xiao He","non-dropping-particle":"","parse-names":false,"suffix":""},{"dropping-particle":"","family":"Liu","given":"Yi","non-dropping-particle":"","parse-names":false,"suffix":""}],"container-title":"Spectrochimica Acta - Part A: Molecular and Biomolecular Spectroscopy","id":"ITEM-1","issued":{"date-parts":[["2009"]]},"page":"922-928","title":"Probing the binding sites and the effect of berbamine on the structure of bovine serum albumin","type":"article-journal","volume":"72"},"uris":["http://www.mendeley.com/documents/?uuid=247d33d6-c1f4-418c-84c5-63ea124e8ab3"]}],"mendeley":{"formattedCitation":"[111]","plainTextFormattedCitation":"[111]","previouslyFormattedCitation":"[111]"},"properties":{"noteIndex":0},"schema":"https://github.com/citation-style-language/schema/raw/master/csl-citation.json"}</w:instrText>
            </w:r>
            <w:r w:rsidRPr="009814E2">
              <w:rPr>
                <w:rFonts w:ascii="Times New Roman" w:eastAsia="Times" w:hAnsi="Times New Roman" w:cs="Times New Roman"/>
                <w:spacing w:val="-4"/>
                <w:lang w:eastAsia="zh-CN"/>
              </w:rPr>
              <w:fldChar w:fldCharType="separate"/>
            </w:r>
            <w:r w:rsidR="00DD5357" w:rsidRPr="00DD5357">
              <w:rPr>
                <w:rFonts w:ascii="Times New Roman" w:eastAsia="Times" w:hAnsi="Times New Roman" w:cs="Times New Roman"/>
                <w:noProof/>
                <w:spacing w:val="-4"/>
                <w:lang w:eastAsia="zh-CN"/>
              </w:rPr>
              <w:t>[111]</w:t>
            </w:r>
            <w:r w:rsidRPr="009814E2">
              <w:rPr>
                <w:rFonts w:ascii="Times New Roman" w:eastAsia="Times" w:hAnsi="Times New Roman" w:cs="Times New Roman"/>
                <w:spacing w:val="-4"/>
                <w:lang w:eastAsia="zh-CN"/>
              </w:rPr>
              <w:fldChar w:fldCharType="end"/>
            </w:r>
          </w:p>
        </w:tc>
      </w:tr>
      <w:tr w:rsidR="009814E2" w:rsidRPr="009814E2" w:rsidTr="009814E2">
        <w:trPr>
          <w:jc w:val="center"/>
        </w:trPr>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noProof/>
                <w:lang w:eastAsia="en-GB"/>
              </w:rPr>
              <w:drawing>
                <wp:anchor distT="0" distB="0" distL="114300" distR="114300" simplePos="0" relativeHeight="251651072" behindDoc="0" locked="0" layoutInCell="1" allowOverlap="1" wp14:anchorId="5B0417FC" wp14:editId="4719172E">
                  <wp:simplePos x="0" y="0"/>
                  <wp:positionH relativeFrom="margin">
                    <wp:posOffset>417830</wp:posOffset>
                  </wp:positionH>
                  <wp:positionV relativeFrom="margin">
                    <wp:posOffset>5080</wp:posOffset>
                  </wp:positionV>
                  <wp:extent cx="1026795" cy="827405"/>
                  <wp:effectExtent l="0" t="0" r="1905" b="0"/>
                  <wp:wrapSquare wrapText="bothSides"/>
                  <wp:docPr id="20" name="Immagine 20" descr="1280px-Berber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5" descr="1280px-Berberin"/>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1026795" cy="82740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spacing w:val="-4"/>
                <w:lang w:eastAsia="zh-CN"/>
              </w:rPr>
              <w:t>Berberine</w:t>
            </w:r>
          </w:p>
        </w:tc>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spacing w:val="-4"/>
                <w:lang w:eastAsia="zh-CN"/>
              </w:rPr>
              <w:t>Alkaloid</w:t>
            </w:r>
          </w:p>
        </w:tc>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spacing w:val="-4"/>
                <w:lang w:eastAsia="zh-CN"/>
              </w:rPr>
              <w:t>I</w:t>
            </w:r>
          </w:p>
        </w:tc>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spacing w:val="-4"/>
                <w:lang w:eastAsia="zh-CN"/>
              </w:rPr>
              <w:t>electrostatic</w:t>
            </w:r>
          </w:p>
        </w:tc>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spacing w:val="-4"/>
                <w:lang w:eastAsia="zh-CN"/>
              </w:rPr>
              <w:fldChar w:fldCharType="begin" w:fldLock="1"/>
            </w:r>
            <w:r w:rsidR="00E822E2">
              <w:rPr>
                <w:rFonts w:ascii="Times New Roman" w:eastAsia="Times" w:hAnsi="Times New Roman" w:cs="Times New Roman"/>
                <w:spacing w:val="-4"/>
                <w:lang w:eastAsia="zh-CN"/>
              </w:rPr>
              <w:instrText>ADDIN CSL_CITATION {"citationItems":[{"id":"ITEM-1","itemData":{"DOI":"10.1007/s11033-010-0038-x","ISSN":"03014851","abstract":"Fluorescence spectroscopy in combination with UV-vis absorption spectroscopy was employed to investigate the binding of an important traditional medicinal herb berberine to bovine serum albumin (BSA) under the physiological conditions. In the mechanism discussion, it was proved that the fluorescence quenching of BSA by berberine is a result of the formation of berberine-BSA complex. Fluorescence quenching constants were determined using the Stern-Volmer equation and Scatchard equation to provide a measure of the binding affinity between berberine and BSA. The results of thermodynamic parameters ΔG, ΔH, ΔS at different temperatures indicate that the electrostatic interactions play a major role for berberine-BSA association. Site marker competitive experiments indicated that the binding of berberine to BSA primarily took place in site II. Furthermore, the Effect of supramolecules to berberine-BSA system, and the distance r between donor (BSA) and acceptor (berberine) was obtained according to fluorescence resonance energy transfer (FRET). © 2010 Springer Science+Business Media B.V.","author":[{"dropping-particle":"","family":"Hu","given":"Yan Jun","non-dropping-particle":"","parse-names":false,"suffix":""},{"dropping-particle":"","family":"Ou-Yang","given":"Yu","non-dropping-particle":"","parse-names":false,"suffix":""},{"dropping-particle":"","family":"Dai","given":"Chun Mei","non-dropping-particle":"","parse-names":false,"suffix":""},{"dropping-particle":"","family":"Liu","given":"Yi","non-dropping-particle":"","parse-names":false,"suffix":""},{"dropping-particle":"","family":"Xiao","given":"Xiao He","non-dropping-particle":"","parse-names":false,"suffix":""}],"container-title":"Molecular Biology Reports","id":"ITEM-1","issued":{"date-parts":[["2010"]]},"page":"3827-3832","title":"Binding of berberine to bovine serum albumin: Spectroscopic approach","type":"article-journal","volume":"37"},"uris":["http://www.mendeley.com/documents/?uuid=c855b945-3ced-4e69-8b1a-6cdf4aae9047"]}],"mendeley":{"formattedCitation":"[112]","plainTextFormattedCitation":"[112]","previouslyFormattedCitation":"[112]"},"properties":{"noteIndex":0},"schema":"https://github.com/citation-style-language/schema/raw/master/csl-citation.json"}</w:instrText>
            </w:r>
            <w:r w:rsidRPr="009814E2">
              <w:rPr>
                <w:rFonts w:ascii="Times New Roman" w:eastAsia="Times" w:hAnsi="Times New Roman" w:cs="Times New Roman"/>
                <w:spacing w:val="-4"/>
                <w:lang w:eastAsia="zh-CN"/>
              </w:rPr>
              <w:fldChar w:fldCharType="separate"/>
            </w:r>
            <w:r w:rsidR="00DD5357" w:rsidRPr="00DD5357">
              <w:rPr>
                <w:rFonts w:ascii="Times New Roman" w:eastAsia="Times" w:hAnsi="Times New Roman" w:cs="Times New Roman"/>
                <w:noProof/>
                <w:spacing w:val="-4"/>
                <w:lang w:eastAsia="zh-CN"/>
              </w:rPr>
              <w:t>[112]</w:t>
            </w:r>
            <w:r w:rsidRPr="009814E2">
              <w:rPr>
                <w:rFonts w:ascii="Times New Roman" w:eastAsia="Times" w:hAnsi="Times New Roman" w:cs="Times New Roman"/>
                <w:spacing w:val="-4"/>
                <w:lang w:eastAsia="zh-CN"/>
              </w:rPr>
              <w:fldChar w:fldCharType="end"/>
            </w:r>
          </w:p>
        </w:tc>
      </w:tr>
      <w:tr w:rsidR="009814E2" w:rsidRPr="009814E2" w:rsidTr="009814E2">
        <w:trPr>
          <w:jc w:val="center"/>
        </w:trPr>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p>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p>
          <w:p w:rsidR="009814E2" w:rsidRPr="009814E2" w:rsidRDefault="003118E8" w:rsidP="009814E2">
            <w:pPr>
              <w:tabs>
                <w:tab w:val="left" w:pos="284"/>
              </w:tabs>
              <w:spacing w:after="0" w:line="240" w:lineRule="auto"/>
              <w:jc w:val="center"/>
              <w:rPr>
                <w:rFonts w:ascii="Times New Roman" w:eastAsia="Times" w:hAnsi="Times New Roman" w:cs="Times New Roman"/>
                <w:spacing w:val="-4"/>
                <w:lang w:eastAsia="zh-CN"/>
              </w:rPr>
            </w:pPr>
            <w:r>
              <w:rPr>
                <w:rFonts w:ascii="Times New Roman" w:eastAsia="Times" w:hAnsi="Times New Roman" w:cs="Times New Roman"/>
                <w:noProof/>
                <w:lang w:val="en-US" w:eastAsia="zh-CN"/>
              </w:rPr>
              <w:object w:dxaOrig="1440" w:dyaOrig="1440">
                <v:shape id="_x0000_s1164" type="#_x0000_t75" style="position:absolute;left:0;text-align:left;margin-left:34.2pt;margin-top:12.7pt;width:88.05pt;height:56.7pt;z-index:251662848;mso-position-horizontal-relative:margin;mso-position-vertical-relative:margin">
                  <v:imagedata r:id="rId39" o:title=""/>
                  <w10:wrap type="square" anchorx="margin" anchory="margin"/>
                </v:shape>
                <o:OLEObject Type="Embed" ProgID="PBrush" ShapeID="_x0000_s1164" DrawAspect="Content" ObjectID="_1660750245" r:id="rId40"/>
              </w:object>
            </w:r>
          </w:p>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p>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p>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p>
        </w:tc>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spacing w:val="-4"/>
                <w:lang w:eastAsia="zh-CN"/>
              </w:rPr>
              <w:t>Ramipril</w:t>
            </w:r>
          </w:p>
        </w:tc>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spacing w:val="-4"/>
                <w:lang w:eastAsia="zh-CN"/>
              </w:rPr>
              <w:t>Commercial drug</w:t>
            </w:r>
          </w:p>
        </w:tc>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spacing w:val="-4"/>
                <w:lang w:eastAsia="zh-CN"/>
              </w:rPr>
              <w:t>I</w:t>
            </w:r>
          </w:p>
        </w:tc>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spacing w:val="-4"/>
                <w:lang w:eastAsia="zh-CN"/>
              </w:rPr>
              <w:t>van der Waals / H bond</w:t>
            </w:r>
          </w:p>
        </w:tc>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spacing w:val="-4"/>
                <w:lang w:eastAsia="zh-CN"/>
              </w:rPr>
              <w:fldChar w:fldCharType="begin" w:fldLock="1"/>
            </w:r>
            <w:r w:rsidR="00E822E2">
              <w:rPr>
                <w:rFonts w:ascii="Times New Roman" w:eastAsia="Times" w:hAnsi="Times New Roman" w:cs="Times New Roman"/>
                <w:spacing w:val="-4"/>
                <w:lang w:eastAsia="zh-CN"/>
              </w:rPr>
              <w:instrText>ADDIN CSL_CITATION {"citationItems":[{"id":"ITEM-1","itemData":{"DOI":"10.1016/j.jphotobiol.2016.09.025","ISSN":"18732682","abstract":"The binding interaction between a typical angiotensin-converting enzyme inhibitor (ACEI), ramipril, and a transport protein, bovine serum albumin (BSA), was studied in vitro using UV–vis absorption spectroscopy, steady-state fluorescence spectroscopic titration, synchronous fluorescence spectroscopy, three dimensional fluorescence spectroscopy, circular dichroism and molecular docking under the imitated physiological conditions (pH = 7.4). The experimental results suggested that the intrinsic fluorescence of BSA was quenched by ramipril thought a static quenching mechanism, indicating that the stable ramipril–BSA complex was formed by the intermolecular interaction. The number of binding sites (n) and binding constant of ramipril–BSA complex were about 1 and 3.50 × 104 M− 1 at 298 K, respectively, suggesting that there was stronger binding interaction of ramipril with BSA. The thermodynamic parameters together with molecular docking study revealed that both van der Waal's forces and hydrogen bonding interaction dominated the formation of the ramipril–BSA complex and the binding interaction of BSA with ramipril is enthalpy-driven processes due to | ΔH°| &gt; | TΔS°| and ΔG° &lt; 0. The spatial distance between ramipril and BSA was calculated to be 3.56 nm based on Förster's non-radiative energy transfer theory. The results of the competitive displacement experiments and molecular docking confirmed that ramipril inserted into the subdomain IIA (site I) of BSA, resulting in a slight change in the conformation of BSA but BSA still retained its secondary structure α-helicity.","author":[{"dropping-particle":"","family":"Shi","given":"Jie hua","non-dropping-particle":"","parse-names":false,"suffix":""},{"dropping-particle":"","family":"Pan","given":"Dong qi","non-dropping-particle":"","parse-names":false,"suffix":""},{"dropping-particle":"","family":"Jiang","given":"Min","non-dropping-particle":"","parse-names":false,"suffix":""},{"dropping-particle":"","family":"Liu","given":"Ting Ting","non-dropping-particle":"","parse-names":false,"suffix":""},{"dropping-particle":"","family":"Wang","given":"Qi","non-dropping-particle":"","parse-names":false,"suffix":""}],"container-title":"Journal of Photochemistry and Photobiology B: Biology","id":"ITEM-1","issued":{"date-parts":[["2016"]]},"title":"Binding interaction of ramipril with bovine serum albumin (BSA): Insights from multi-spectroscopy and molecular docking methods","type":"article-journal"},"uris":["http://www.mendeley.com/documents/?uuid=e8c3603f-47b3-499f-845b-d45c1332d7e0"]}],"mendeley":{"formattedCitation":"[105]","plainTextFormattedCitation":"[105]","previouslyFormattedCitation":"[105]"},"properties":{"noteIndex":0},"schema":"https://github.com/citation-style-language/schema/raw/master/csl-citation.json"}</w:instrText>
            </w:r>
            <w:r w:rsidRPr="009814E2">
              <w:rPr>
                <w:rFonts w:ascii="Times New Roman" w:eastAsia="Times" w:hAnsi="Times New Roman" w:cs="Times New Roman"/>
                <w:spacing w:val="-4"/>
                <w:lang w:eastAsia="zh-CN"/>
              </w:rPr>
              <w:fldChar w:fldCharType="separate"/>
            </w:r>
            <w:r w:rsidR="00DD5357" w:rsidRPr="00DD5357">
              <w:rPr>
                <w:rFonts w:ascii="Times New Roman" w:eastAsia="Times" w:hAnsi="Times New Roman" w:cs="Times New Roman"/>
                <w:noProof/>
                <w:spacing w:val="-4"/>
                <w:lang w:eastAsia="zh-CN"/>
              </w:rPr>
              <w:t>[105]</w:t>
            </w:r>
            <w:r w:rsidRPr="009814E2">
              <w:rPr>
                <w:rFonts w:ascii="Times New Roman" w:eastAsia="Times" w:hAnsi="Times New Roman" w:cs="Times New Roman"/>
                <w:spacing w:val="-4"/>
                <w:lang w:eastAsia="zh-CN"/>
              </w:rPr>
              <w:fldChar w:fldCharType="end"/>
            </w:r>
          </w:p>
        </w:tc>
      </w:tr>
      <w:tr w:rsidR="009814E2" w:rsidRPr="009814E2" w:rsidTr="009814E2">
        <w:trPr>
          <w:jc w:val="center"/>
        </w:trPr>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noProof/>
                <w:lang w:eastAsia="en-GB"/>
              </w:rPr>
              <w:drawing>
                <wp:anchor distT="0" distB="0" distL="114300" distR="114300" simplePos="0" relativeHeight="251657216" behindDoc="0" locked="0" layoutInCell="1" allowOverlap="1" wp14:anchorId="289B2A7C" wp14:editId="63B9AAAA">
                  <wp:simplePos x="0" y="0"/>
                  <wp:positionH relativeFrom="margin">
                    <wp:posOffset>561975</wp:posOffset>
                  </wp:positionH>
                  <wp:positionV relativeFrom="margin">
                    <wp:posOffset>84455</wp:posOffset>
                  </wp:positionV>
                  <wp:extent cx="711835" cy="836295"/>
                  <wp:effectExtent l="0" t="0" r="0" b="1905"/>
                  <wp:wrapSquare wrapText="bothSides"/>
                  <wp:docPr id="21" name="Immagine 21" descr="Artemether.sv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 descr="Artemether.svg"/>
                          <pic:cNvPicPr>
                            <a:picLocks noChangeAspect="1" noChangeArrowheads="1"/>
                          </pic:cNvPicPr>
                        </pic:nvPicPr>
                        <pic:blipFill>
                          <a:blip r:embed="rId41" r:link="rId42" cstate="print">
                            <a:extLst>
                              <a:ext uri="{28A0092B-C50C-407E-A947-70E740481C1C}">
                                <a14:useLocalDpi xmlns:a14="http://schemas.microsoft.com/office/drawing/2010/main" val="0"/>
                              </a:ext>
                            </a:extLst>
                          </a:blip>
                          <a:srcRect/>
                          <a:stretch>
                            <a:fillRect/>
                          </a:stretch>
                        </pic:blipFill>
                        <pic:spPr bwMode="auto">
                          <a:xfrm>
                            <a:off x="0" y="0"/>
                            <a:ext cx="711835" cy="83629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spacing w:val="-4"/>
                <w:lang w:eastAsia="zh-CN"/>
              </w:rPr>
              <w:t>Artemether</w:t>
            </w:r>
          </w:p>
        </w:tc>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spacing w:val="-4"/>
                <w:lang w:eastAsia="zh-CN"/>
              </w:rPr>
              <w:t>Commercial drug</w:t>
            </w:r>
          </w:p>
        </w:tc>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spacing w:val="-4"/>
                <w:lang w:eastAsia="zh-CN"/>
              </w:rPr>
              <w:t>Interface I/II</w:t>
            </w:r>
          </w:p>
        </w:tc>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spacing w:val="-4"/>
                <w:lang w:eastAsia="zh-CN"/>
              </w:rPr>
              <w:t>van der Waals / H bond</w:t>
            </w:r>
          </w:p>
        </w:tc>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spacing w:val="-4"/>
                <w:lang w:eastAsia="zh-CN"/>
              </w:rPr>
              <w:fldChar w:fldCharType="begin" w:fldLock="1"/>
            </w:r>
            <w:r w:rsidR="00E822E2">
              <w:rPr>
                <w:rFonts w:ascii="Times New Roman" w:eastAsia="Times" w:hAnsi="Times New Roman" w:cs="Times New Roman"/>
                <w:spacing w:val="-4"/>
                <w:lang w:eastAsia="zh-CN"/>
              </w:rPr>
              <w:instrText>ADDIN CSL_CITATION {"citationItems":[{"id":"ITEM-1","itemData":{"DOI":"10.1016/j.jphotobiol.2016.06.025","ISSN":"18732682","abstract":"Artemether (AMT), a peroxide sesquiterpenoides, has been widely used as an antimalarial for the treatment of multiple drug-resistant strains of plasmodium falciparum malaria. In this work, the binding interaction of AMT with bovine serum albumin (BSA) under the imitated physiological conditions (pH 7.4) was investigated by UV spectroscopy, fluorescence emission spectroscopy, synchronous fluorescence spectroscopy, Fourier transform infrared spectroscopy (FT-IR), circular dichroism (CD), three-dimensional fluorescence spectroscopy and molecular docking methods. The experimental results indicated that there was a change in UV absorption of BSA along with a slight red shift of absorption wavelength, indicating that the interaction of AMT with BSA occurred. The intrinsic fluorescence of BSA was quenched by AMT due to the formation of AMT–BSA complex. The number of binding sites (n) and binding constant of AMT–BSA complex were about 1 and 2.63 × 103 M− 1 at 298 K, respectively, suggesting that there was stronger binding interaction of AMT with BSA. Based on the analysis of the signs and magnitudes of the free energy change (ΔG0), enthalpic change (ΔH0) and entropic change (ΔS0) in the binding process, it can be concluded that the binding of AMT with BSA was enthalpy-driven process due to | ΔH°| &gt; | TΔS°|. The results of experiment and molecular docking confirmed the main interaction forces between AMT and BSA were van der Waals force. And, there was a slight change in the BSA conformation after binding AMT but BSA still retains its secondary structure α-helicity. However, it had been confirmed that AMT binds on the interface between sub-domain IIA and IIB of BSA.","author":[{"dropping-particle":"","family":"Shi","given":"Jie hua","non-dropping-particle":"","parse-names":false,"suffix":""},{"dropping-particle":"","family":"Pan","given":"Dong qi","non-dropping-particle":"","parse-names":false,"suffix":""},{"dropping-particle":"","family":"Wang","given":"Xiou xiou","non-dropping-particle":"","parse-names":false,"suffix":""},{"dropping-particle":"","family":"Liu","given":"Ting Ting","non-dropping-particle":"","parse-names":false,"suffix":""},{"dropping-particle":"","family":"Jiang","given":"Min","non-dropping-particle":"","parse-names":false,"suffix":""},{"dropping-particle":"","family":"Wang","given":"Qi","non-dropping-particle":"","parse-names":false,"suffix":""}],"container-title":"Journal of Photochemistry and Photobiology B: Biology","id":"ITEM-1","issued":{"date-parts":[["2016"]]},"page":"14-23","title":"Characterizing the binding interaction between antimalarial artemether (AMT) and bovine serum albumin (BSA): Spectroscopic and molecular docking methods","type":"article-journal","volume":"162"},"uris":["http://www.mendeley.com/documents/?uuid=a2399aae-0159-470c-9a59-9f6d9149b9b4"]}],"mendeley":{"formattedCitation":"[113]","plainTextFormattedCitation":"[113]","previouslyFormattedCitation":"[113]"},"properties":{"noteIndex":0},"schema":"https://github.com/citation-style-language/schema/raw/master/csl-citation.json"}</w:instrText>
            </w:r>
            <w:r w:rsidRPr="009814E2">
              <w:rPr>
                <w:rFonts w:ascii="Times New Roman" w:eastAsia="Times" w:hAnsi="Times New Roman" w:cs="Times New Roman"/>
                <w:spacing w:val="-4"/>
                <w:lang w:eastAsia="zh-CN"/>
              </w:rPr>
              <w:fldChar w:fldCharType="separate"/>
            </w:r>
            <w:r w:rsidR="00DD5357" w:rsidRPr="00DD5357">
              <w:rPr>
                <w:rFonts w:ascii="Times New Roman" w:eastAsia="Times" w:hAnsi="Times New Roman" w:cs="Times New Roman"/>
                <w:noProof/>
                <w:spacing w:val="-4"/>
                <w:lang w:eastAsia="zh-CN"/>
              </w:rPr>
              <w:t>[113]</w:t>
            </w:r>
            <w:r w:rsidRPr="009814E2">
              <w:rPr>
                <w:rFonts w:ascii="Times New Roman" w:eastAsia="Times" w:hAnsi="Times New Roman" w:cs="Times New Roman"/>
                <w:spacing w:val="-4"/>
                <w:lang w:eastAsia="zh-CN"/>
              </w:rPr>
              <w:fldChar w:fldCharType="end"/>
            </w:r>
          </w:p>
        </w:tc>
      </w:tr>
      <w:tr w:rsidR="009814E2" w:rsidRPr="009814E2" w:rsidTr="009814E2">
        <w:trPr>
          <w:jc w:val="center"/>
        </w:trPr>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p>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p>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p>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p>
          <w:p w:rsidR="009814E2" w:rsidRPr="009814E2" w:rsidRDefault="003118E8" w:rsidP="009814E2">
            <w:pPr>
              <w:tabs>
                <w:tab w:val="left" w:pos="284"/>
              </w:tabs>
              <w:spacing w:after="0" w:line="240" w:lineRule="auto"/>
              <w:jc w:val="center"/>
              <w:rPr>
                <w:rFonts w:ascii="Times New Roman" w:eastAsia="Times" w:hAnsi="Times New Roman" w:cs="Times New Roman"/>
                <w:spacing w:val="-4"/>
                <w:lang w:eastAsia="zh-CN"/>
              </w:rPr>
            </w:pPr>
            <w:r>
              <w:rPr>
                <w:rFonts w:ascii="Times New Roman" w:eastAsia="Times" w:hAnsi="Times New Roman" w:cs="Times New Roman"/>
                <w:noProof/>
                <w:lang w:val="en-US" w:eastAsia="zh-CN"/>
              </w:rPr>
              <w:object w:dxaOrig="1440" w:dyaOrig="1440">
                <v:shape id="_x0000_s1165" type="#_x0000_t75" style="position:absolute;left:0;text-align:left;margin-left:49.8pt;margin-top:12.45pt;width:49.8pt;height:36.85pt;z-index:251663872;mso-position-horizontal-relative:margin;mso-position-vertical-relative:margin">
                  <v:imagedata r:id="rId43" o:title=""/>
                  <w10:wrap type="square" anchorx="margin" anchory="margin"/>
                </v:shape>
                <o:OLEObject Type="Embed" ProgID="PBrush" ShapeID="_x0000_s1165" DrawAspect="Content" ObjectID="_1660750246" r:id="rId44"/>
              </w:object>
            </w:r>
          </w:p>
        </w:tc>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spacing w:val="-4"/>
                <w:lang w:eastAsia="zh-CN"/>
              </w:rPr>
              <w:t>Aspirin</w:t>
            </w:r>
          </w:p>
        </w:tc>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spacing w:val="-4"/>
                <w:lang w:eastAsia="zh-CN"/>
              </w:rPr>
              <w:t>Commercial drug</w:t>
            </w:r>
          </w:p>
        </w:tc>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spacing w:val="-4"/>
                <w:lang w:eastAsia="zh-CN"/>
              </w:rPr>
              <w:t>II, small quantity I</w:t>
            </w:r>
          </w:p>
        </w:tc>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spacing w:val="-4"/>
                <w:lang w:eastAsia="zh-CN"/>
              </w:rPr>
              <w:t>van der Waals / H bond</w:t>
            </w:r>
          </w:p>
        </w:tc>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spacing w:val="-4"/>
                <w:lang w:eastAsia="zh-CN"/>
              </w:rPr>
              <w:fldChar w:fldCharType="begin" w:fldLock="1"/>
            </w:r>
            <w:r w:rsidR="00E822E2">
              <w:rPr>
                <w:rFonts w:ascii="Times New Roman" w:eastAsia="Times" w:hAnsi="Times New Roman" w:cs="Times New Roman"/>
                <w:spacing w:val="-4"/>
                <w:lang w:eastAsia="zh-CN"/>
              </w:rPr>
              <w:instrText>ADDIN CSL_CITATION {"citationItems":[{"id":"ITEM-1","itemData":{"DOI":"10.1039/c1an15550d","ISSN":"13645528","abstract":"The interaction of aspirin and ibuprofen with bovine serum albumin (BSA) was studied by spectrofluorimetry under simulated physiological conditions. Both aspirin and ibuprofen quenched the intrinsic fluorescence of BSA and the binding ratios obtained were 2:1 for aspirin-BSA and 3:1 for ibuprofen-BSA interactions, respectively. The thermodynamic parameters (ΔH, ΔS and ΔG) obtained from the fluorescence spectroscopy data showed that the binding of aspirin to BSA involved van der Waals interactions and hydrogen bonds. Competitive experiments using warfarin and diazepam as site markers indicated that aspirin was mainly located in the hydrophobic pocket of site II of the protein as well as to a small extent in site I. Furthermore, the competitive interaction of the aspirin and ibuprofen with BSA, which was studied with the use of the three-way excitation-emission fluorescence spectra and a parallel factor analysis (PARAFAC) chemometrics method, showed that the competitive effect of ibuprofen was stronger than that of aspirin, i.e. the former molecule replaced the aspirin from the aspirin-BSA complex. © 2011 The Royal Society of Chemistry.","author":[{"dropping-particle":"","family":"Ni","given":"Yongnian","non-dropping-particle":"","parse-names":false,"suffix":""},{"dropping-particle":"","family":"Zhu","given":"Ruirui","non-dropping-particle":"","parse-names":false,"suffix":""},{"dropping-particle":"","family":"Kokot","given":"Serge","non-dropping-particle":"","parse-names":false,"suffix":""}],"container-title":"Analyst","id":"ITEM-1","issued":{"date-parts":[["2011"]]},"page":"4794","title":"Competitive binding of small molecules with biopolymers: A fluorescence spectroscopy and chemometrics study of the interaction of aspirin and ibuprofen with BSA","type":"article-journal","volume":"136"},"uris":["http://www.mendeley.com/documents/?uuid=971fc61d-b231-45f1-a4db-18891aadbe63"]}],"mendeley":{"formattedCitation":"[114]","plainTextFormattedCitation":"[114]","previouslyFormattedCitation":"[114]"},"properties":{"noteIndex":0},"schema":"https://github.com/citation-style-language/schema/raw/master/csl-citation.json"}</w:instrText>
            </w:r>
            <w:r w:rsidRPr="009814E2">
              <w:rPr>
                <w:rFonts w:ascii="Times New Roman" w:eastAsia="Times" w:hAnsi="Times New Roman" w:cs="Times New Roman"/>
                <w:spacing w:val="-4"/>
                <w:lang w:eastAsia="zh-CN"/>
              </w:rPr>
              <w:fldChar w:fldCharType="separate"/>
            </w:r>
            <w:r w:rsidR="00DD5357" w:rsidRPr="00DD5357">
              <w:rPr>
                <w:rFonts w:ascii="Times New Roman" w:eastAsia="Times" w:hAnsi="Times New Roman" w:cs="Times New Roman"/>
                <w:noProof/>
                <w:spacing w:val="-4"/>
                <w:lang w:eastAsia="zh-CN"/>
              </w:rPr>
              <w:t>[114]</w:t>
            </w:r>
            <w:r w:rsidRPr="009814E2">
              <w:rPr>
                <w:rFonts w:ascii="Times New Roman" w:eastAsia="Times" w:hAnsi="Times New Roman" w:cs="Times New Roman"/>
                <w:spacing w:val="-4"/>
                <w:lang w:eastAsia="zh-CN"/>
              </w:rPr>
              <w:fldChar w:fldCharType="end"/>
            </w:r>
          </w:p>
        </w:tc>
      </w:tr>
      <w:tr w:rsidR="009814E2" w:rsidRPr="009814E2" w:rsidTr="009814E2">
        <w:trPr>
          <w:jc w:val="center"/>
        </w:trPr>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noProof/>
                <w:lang w:eastAsia="en-GB"/>
              </w:rPr>
              <w:drawing>
                <wp:anchor distT="0" distB="0" distL="114300" distR="114300" simplePos="0" relativeHeight="251663360" behindDoc="0" locked="0" layoutInCell="1" allowOverlap="1" wp14:anchorId="64D530DE" wp14:editId="61C0B12D">
                  <wp:simplePos x="0" y="0"/>
                  <wp:positionH relativeFrom="margin">
                    <wp:posOffset>506095</wp:posOffset>
                  </wp:positionH>
                  <wp:positionV relativeFrom="margin">
                    <wp:posOffset>37465</wp:posOffset>
                  </wp:positionV>
                  <wp:extent cx="948690" cy="1223645"/>
                  <wp:effectExtent l="0" t="0" r="3810" b="0"/>
                  <wp:wrapSquare wrapText="bothSides"/>
                  <wp:docPr id="22" name="Immagine 22" descr="Darunavir.sv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5" descr="Darunavir.svg"/>
                          <pic:cNvPicPr>
                            <a:picLocks noChangeAspect="1" noChangeArrowheads="1"/>
                          </pic:cNvPicPr>
                        </pic:nvPicPr>
                        <pic:blipFill>
                          <a:blip r:embed="rId45" r:link="rId46" cstate="print">
                            <a:extLst>
                              <a:ext uri="{28A0092B-C50C-407E-A947-70E740481C1C}">
                                <a14:useLocalDpi xmlns:a14="http://schemas.microsoft.com/office/drawing/2010/main" val="0"/>
                              </a:ext>
                            </a:extLst>
                          </a:blip>
                          <a:srcRect/>
                          <a:stretch>
                            <a:fillRect/>
                          </a:stretch>
                        </pic:blipFill>
                        <pic:spPr bwMode="auto">
                          <a:xfrm>
                            <a:off x="0" y="0"/>
                            <a:ext cx="948690" cy="122364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spacing w:val="-4"/>
                <w:lang w:eastAsia="zh-CN"/>
              </w:rPr>
              <w:t>Darunavir</w:t>
            </w:r>
          </w:p>
        </w:tc>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spacing w:val="-4"/>
                <w:lang w:eastAsia="zh-CN"/>
              </w:rPr>
              <w:t>Commercial drug</w:t>
            </w:r>
          </w:p>
        </w:tc>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spacing w:val="-4"/>
                <w:lang w:eastAsia="zh-CN"/>
              </w:rPr>
              <w:t>II</w:t>
            </w:r>
          </w:p>
        </w:tc>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spacing w:val="-4"/>
                <w:lang w:eastAsia="zh-CN"/>
              </w:rPr>
              <w:t>van der Waals / H bond</w:t>
            </w:r>
          </w:p>
        </w:tc>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spacing w:val="-4"/>
                <w:lang w:eastAsia="zh-CN"/>
              </w:rPr>
              <w:fldChar w:fldCharType="begin" w:fldLock="1"/>
            </w:r>
            <w:r w:rsidR="00E822E2">
              <w:rPr>
                <w:rFonts w:ascii="Times New Roman" w:eastAsia="Times" w:hAnsi="Times New Roman" w:cs="Times New Roman"/>
                <w:spacing w:val="-4"/>
                <w:lang w:eastAsia="zh-CN"/>
              </w:rPr>
              <w:instrText>ADDIN CSL_CITATION {"citationItems":[{"id":"ITEM-1","itemData":{"DOI":"10.1016/j.saa.2017.07.040","ISSN":"13861425","abstract":"Darunavir (DRV), a second-generation HIV protease inhibitor, is widely used across the world as an important component of HIV therapy. The interaction of DRV with bovine serum albumin (BSA), a major carrier protein, has been studied under simulated physiological conditions (pH 7.4) by multi-spectroscopic techniques in combination with molecular modeling. Fluorescence data revealed that the intrinsic fluorescence of BSA was quenched by DRV in terms of a static quenching procedure due to the formation of the DRV-BSA complex. The results indicated the presence of single weak affinity binding site (~ 103 M− 1, 310 K) on protein. The thermodynamic parameters, namely enthalpy change (ΔH0), entropy change (ΔS0) and Gibbs free energy change (ΔG0) were calculated, which signified that the binding reaction was spontaneous, the main binding forces were hydrogen bonding and van der Waals forces. Importantly, competitive binding experiments with three site probes, phenylbutazone (in sub-domain IIA, site I), ibuprofen (in sub-domain IIIA, site II) and artemether (in the interface between sub-domain IIA and IIB, site II’), suggested that DRV was preferentially bound to the hydrophobic cavity in site II’ of BSA, and this finding was validated by the docking results. Additionally, synchronous fluorescence, three-dimensional fluorescence and Resonance Rayleigh Scattering (RRS) spectroscopy gave qualitative information on the conformational changes of BSA upon adding DRV, while quantitative data were obtained with Fourier transform infrared spectroscopy (FT-IR).","author":[{"dropping-particle":"","family":"Shi","given":"Jie Hua","non-dropping-particle":"","parse-names":false,"suffix":""},{"dropping-particle":"","family":"Zhou","given":"Kai Li","non-dropping-particle":"","parse-names":false,"suffix":""},{"dropping-particle":"","family":"Lou","given":"Yan Yue","non-dropping-particle":"","parse-names":false,"suffix":""},{"dropping-particle":"","family":"Pan","given":"Dong Qi","non-dropping-particle":"","parse-names":false,"suffix":""}],"container-title":"Spectrochimica Acta - Part A: Molecular and Biomolecular Spectroscopy","id":"ITEM-1","issued":{"date-parts":[["2018"]]},"page":"362-371","title":"Multi-spectroscopic and molecular modeling approaches to elucidate the binding interaction between bovine serum albumin and darunavir, a HIV protease inhibitor","type":"article-journal","volume":"188"},"uris":["http://www.mendeley.com/documents/?uuid=b4c61ce2-2dff-4a5f-ba07-5f5b84ac15e5"]}],"mendeley":{"formattedCitation":"[115]","plainTextFormattedCitation":"[115]","previouslyFormattedCitation":"[115]"},"properties":{"noteIndex":0},"schema":"https://github.com/citation-style-language/schema/raw/master/csl-citation.json"}</w:instrText>
            </w:r>
            <w:r w:rsidRPr="009814E2">
              <w:rPr>
                <w:rFonts w:ascii="Times New Roman" w:eastAsia="Times" w:hAnsi="Times New Roman" w:cs="Times New Roman"/>
                <w:spacing w:val="-4"/>
                <w:lang w:eastAsia="zh-CN"/>
              </w:rPr>
              <w:fldChar w:fldCharType="separate"/>
            </w:r>
            <w:r w:rsidR="00DD5357" w:rsidRPr="00DD5357">
              <w:rPr>
                <w:rFonts w:ascii="Times New Roman" w:eastAsia="Times" w:hAnsi="Times New Roman" w:cs="Times New Roman"/>
                <w:noProof/>
                <w:spacing w:val="-4"/>
                <w:lang w:eastAsia="zh-CN"/>
              </w:rPr>
              <w:t>[115]</w:t>
            </w:r>
            <w:r w:rsidRPr="009814E2">
              <w:rPr>
                <w:rFonts w:ascii="Times New Roman" w:eastAsia="Times" w:hAnsi="Times New Roman" w:cs="Times New Roman"/>
                <w:spacing w:val="-4"/>
                <w:lang w:eastAsia="zh-CN"/>
              </w:rPr>
              <w:fldChar w:fldCharType="end"/>
            </w:r>
          </w:p>
        </w:tc>
      </w:tr>
      <w:tr w:rsidR="009814E2" w:rsidRPr="009814E2" w:rsidTr="009814E2">
        <w:trPr>
          <w:jc w:val="center"/>
        </w:trPr>
        <w:tc>
          <w:tcPr>
            <w:tcW w:w="0" w:type="auto"/>
            <w:shd w:val="clear" w:color="auto" w:fill="auto"/>
            <w:vAlign w:val="center"/>
          </w:tcPr>
          <w:p w:rsidR="009814E2" w:rsidRDefault="00542C24" w:rsidP="009814E2">
            <w:pPr>
              <w:tabs>
                <w:tab w:val="left" w:pos="284"/>
              </w:tabs>
              <w:spacing w:after="0" w:line="240" w:lineRule="auto"/>
              <w:jc w:val="center"/>
              <w:rPr>
                <w:rFonts w:ascii="Times New Roman" w:eastAsia="Times" w:hAnsi="Times New Roman" w:cs="Times New Roman"/>
                <w:spacing w:val="-4"/>
                <w:lang w:eastAsia="zh-CN"/>
              </w:rPr>
            </w:pPr>
            <w:bookmarkStart w:id="0" w:name="_GoBack"/>
            <w:r>
              <w:rPr>
                <w:rFonts w:ascii="Times New Roman" w:eastAsia="Times" w:hAnsi="Times New Roman" w:cs="Times New Roman"/>
                <w:noProof/>
                <w:spacing w:val="-4"/>
                <w:lang w:eastAsia="en-GB"/>
              </w:rPr>
              <w:drawing>
                <wp:anchor distT="0" distB="0" distL="114300" distR="114300" simplePos="0" relativeHeight="251659264" behindDoc="1" locked="0" layoutInCell="1" allowOverlap="1">
                  <wp:simplePos x="0" y="0"/>
                  <wp:positionH relativeFrom="column">
                    <wp:posOffset>454660</wp:posOffset>
                  </wp:positionH>
                  <wp:positionV relativeFrom="paragraph">
                    <wp:posOffset>116840</wp:posOffset>
                  </wp:positionV>
                  <wp:extent cx="1123950" cy="714375"/>
                  <wp:effectExtent l="0" t="0" r="0" b="9525"/>
                  <wp:wrapTight wrapText="bothSides">
                    <wp:wrapPolygon edited="0">
                      <wp:start x="0" y="0"/>
                      <wp:lineTo x="0" y="21312"/>
                      <wp:lineTo x="21234" y="21312"/>
                      <wp:lineTo x="21234" y="0"/>
                      <wp:lineTo x="0" y="0"/>
                    </wp:wrapPolygon>
                  </wp:wrapTight>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luvastatin.tif"/>
                          <pic:cNvPicPr/>
                        </pic:nvPicPr>
                        <pic:blipFill>
                          <a:blip r:embed="rId47">
                            <a:extLst>
                              <a:ext uri="{28A0092B-C50C-407E-A947-70E740481C1C}">
                                <a14:useLocalDpi xmlns:a14="http://schemas.microsoft.com/office/drawing/2010/main" val="0"/>
                              </a:ext>
                            </a:extLst>
                          </a:blip>
                          <a:stretch>
                            <a:fillRect/>
                          </a:stretch>
                        </pic:blipFill>
                        <pic:spPr>
                          <a:xfrm>
                            <a:off x="0" y="0"/>
                            <a:ext cx="1123950" cy="714375"/>
                          </a:xfrm>
                          <a:prstGeom prst="rect">
                            <a:avLst/>
                          </a:prstGeom>
                        </pic:spPr>
                      </pic:pic>
                    </a:graphicData>
                  </a:graphic>
                  <wp14:sizeRelH relativeFrom="margin">
                    <wp14:pctWidth>0</wp14:pctWidth>
                  </wp14:sizeRelH>
                  <wp14:sizeRelV relativeFrom="margin">
                    <wp14:pctHeight>0</wp14:pctHeight>
                  </wp14:sizeRelV>
                </wp:anchor>
              </w:drawing>
            </w:r>
          </w:p>
          <w:p w:rsidR="00542C24" w:rsidRDefault="00542C24" w:rsidP="009814E2">
            <w:pPr>
              <w:tabs>
                <w:tab w:val="left" w:pos="284"/>
              </w:tabs>
              <w:spacing w:after="0" w:line="240" w:lineRule="auto"/>
              <w:jc w:val="center"/>
              <w:rPr>
                <w:rFonts w:ascii="Times New Roman" w:eastAsia="Times" w:hAnsi="Times New Roman" w:cs="Times New Roman"/>
                <w:spacing w:val="-4"/>
                <w:lang w:eastAsia="zh-CN"/>
              </w:rPr>
            </w:pPr>
          </w:p>
          <w:p w:rsidR="00542C24" w:rsidRDefault="00542C24" w:rsidP="009814E2">
            <w:pPr>
              <w:tabs>
                <w:tab w:val="left" w:pos="284"/>
              </w:tabs>
              <w:spacing w:after="0" w:line="240" w:lineRule="auto"/>
              <w:jc w:val="center"/>
              <w:rPr>
                <w:rFonts w:ascii="Times New Roman" w:eastAsia="Times" w:hAnsi="Times New Roman" w:cs="Times New Roman"/>
                <w:spacing w:val="-4"/>
                <w:lang w:eastAsia="zh-CN"/>
              </w:rPr>
            </w:pPr>
          </w:p>
          <w:p w:rsidR="00542C24" w:rsidRDefault="00542C24" w:rsidP="009814E2">
            <w:pPr>
              <w:tabs>
                <w:tab w:val="left" w:pos="284"/>
              </w:tabs>
              <w:spacing w:after="0" w:line="240" w:lineRule="auto"/>
              <w:jc w:val="center"/>
              <w:rPr>
                <w:rFonts w:ascii="Times New Roman" w:eastAsia="Times" w:hAnsi="Times New Roman" w:cs="Times New Roman"/>
                <w:spacing w:val="-4"/>
                <w:lang w:eastAsia="zh-CN"/>
              </w:rPr>
            </w:pPr>
          </w:p>
          <w:p w:rsidR="00542C24" w:rsidRDefault="00542C24" w:rsidP="009814E2">
            <w:pPr>
              <w:tabs>
                <w:tab w:val="left" w:pos="284"/>
              </w:tabs>
              <w:spacing w:after="0" w:line="240" w:lineRule="auto"/>
              <w:jc w:val="center"/>
              <w:rPr>
                <w:rFonts w:ascii="Times New Roman" w:eastAsia="Times" w:hAnsi="Times New Roman" w:cs="Times New Roman"/>
                <w:spacing w:val="-4"/>
                <w:lang w:eastAsia="zh-CN"/>
              </w:rPr>
            </w:pPr>
          </w:p>
          <w:p w:rsidR="00542C24" w:rsidRPr="009814E2" w:rsidRDefault="00542C24" w:rsidP="009814E2">
            <w:pPr>
              <w:tabs>
                <w:tab w:val="left" w:pos="284"/>
              </w:tabs>
              <w:spacing w:after="0" w:line="240" w:lineRule="auto"/>
              <w:jc w:val="center"/>
              <w:rPr>
                <w:rFonts w:ascii="Times New Roman" w:eastAsia="Times" w:hAnsi="Times New Roman" w:cs="Times New Roman"/>
                <w:spacing w:val="-4"/>
                <w:lang w:eastAsia="zh-CN"/>
              </w:rPr>
            </w:pPr>
          </w:p>
        </w:tc>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spacing w:val="-4"/>
                <w:lang w:eastAsia="zh-CN"/>
              </w:rPr>
              <w:t>Fluvastatin</w:t>
            </w:r>
          </w:p>
        </w:tc>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spacing w:val="-4"/>
                <w:lang w:eastAsia="zh-CN"/>
              </w:rPr>
              <w:t>Commercial drug</w:t>
            </w:r>
          </w:p>
        </w:tc>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spacing w:val="-4"/>
                <w:lang w:eastAsia="zh-CN"/>
              </w:rPr>
              <w:t>II</w:t>
            </w:r>
          </w:p>
        </w:tc>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spacing w:val="-4"/>
                <w:lang w:eastAsia="zh-CN"/>
              </w:rPr>
              <w:t>van der Waals / H bond</w:t>
            </w:r>
          </w:p>
        </w:tc>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spacing w:val="-4"/>
                <w:lang w:eastAsia="zh-CN"/>
              </w:rPr>
              <w:fldChar w:fldCharType="begin" w:fldLock="1"/>
            </w:r>
            <w:r w:rsidR="00E822E2">
              <w:rPr>
                <w:rFonts w:ascii="Times New Roman" w:eastAsia="Times" w:hAnsi="Times New Roman" w:cs="Times New Roman"/>
                <w:spacing w:val="-4"/>
                <w:lang w:eastAsia="zh-CN"/>
              </w:rPr>
              <w:instrText>ADDIN CSL_CITATION {"citationItems":[{"id":"ITEM-1","itemData":{"DOI":"10.1080/07391102.2016.1188416","ISSN":"15380254","abstract":"The binding interactions of simvastatin (SIM), pravastatin (PRA), fluvastatin (FLU), and pitavastatin (PIT) with bovine serum albumin (BSA) were investigated for determining the affinity of four statins with BSA through multiple spectroscopic and molecular docking methods. The experimental results showed that SIM, PRA, FLU, and PIT statins quenched the intrinsic fluorescence of BSA through a static quenching process and the stable stains–BSA complexes with the binding constants in the order of 104 M−1 at 298 K were formed through intermolecular nonbond interaction. The values of ΔH0, ΔS0 and ΔG0 in the binding process of SIM, PRA, FLU, and PIT with BSA were negative at the studied temperature range, suggesting that the binding process of four statins and BSA was spontaneous and the main interaction forces were van der Waals force and hydrogen-bonding interactions. Moreover, the binding of four statins with BSA was enthalpy-driven process due to |ΔH°|&gt;|TΔS°| under the studied temperature range. From the results of site marker competitive experiments and molecular docking, subdomain IIIA (site II) was the primary binding site for SIM, PRA, FLU, and PIT on BSA. The results of UV–vis absorption, synchronous fluorescence, 3D fluorescence and FT-IR spectra proved that the slight change in the conformation of BSA, while the significant changes in the conformation of SIM, PRA, FLU, and PIT drug in statin–BSA complexes, indicating that the flexibility of statin molecules plays an important role in increasing the stability of statin–BSA complexes.","author":[{"dropping-particle":"","family":"Shi","given":"Jie Hua","non-dropping-particle":"","parse-names":false,"suffix":""},{"dropping-particle":"","family":"Wang","given":"Qi","non-dropping-particle":"","parse-names":false,"suffix":""},{"dropping-particle":"","family":"Pan","given":"Dong Qi","non-dropping-particle":"","parse-names":false,"suffix":""},{"dropping-particle":"","family":"Liu","given":"Ting Ting","non-dropping-particle":"","parse-names":false,"suffix":""},{"dropping-particle":"","family":"Jiang","given":"Min","non-dropping-particle":"","parse-names":false,"suffix":""}],"container-title":"Journal of Biomolecular Structure and Dynamics","id":"ITEM-1","issued":{"date-parts":[["2017"]]},"page":"1529-1546","title":"Characterization of interactions of simvastatin, pravastatin, fluvastatin, and pitavastatin with bovine serum albumin: multiple spectroscopic and molecular docking","type":"article-journal","volume":"35"},"uris":["http://www.mendeley.com/documents/?uuid=14b47f3d-6341-4062-b41d-d8082f85be7c"]}],"mendeley":{"formattedCitation":"[116]","plainTextFormattedCitation":"[116]","previouslyFormattedCitation":"[116]"},"properties":{"noteIndex":0},"schema":"https://github.com/citation-style-language/schema/raw/master/csl-citation.json"}</w:instrText>
            </w:r>
            <w:r w:rsidRPr="009814E2">
              <w:rPr>
                <w:rFonts w:ascii="Times New Roman" w:eastAsia="Times" w:hAnsi="Times New Roman" w:cs="Times New Roman"/>
                <w:spacing w:val="-4"/>
                <w:lang w:eastAsia="zh-CN"/>
              </w:rPr>
              <w:fldChar w:fldCharType="separate"/>
            </w:r>
            <w:r w:rsidR="00DD5357" w:rsidRPr="00DD5357">
              <w:rPr>
                <w:rFonts w:ascii="Times New Roman" w:eastAsia="Times" w:hAnsi="Times New Roman" w:cs="Times New Roman"/>
                <w:noProof/>
                <w:spacing w:val="-4"/>
                <w:lang w:eastAsia="zh-CN"/>
              </w:rPr>
              <w:t>[116]</w:t>
            </w:r>
            <w:r w:rsidRPr="009814E2">
              <w:rPr>
                <w:rFonts w:ascii="Times New Roman" w:eastAsia="Times" w:hAnsi="Times New Roman" w:cs="Times New Roman"/>
                <w:spacing w:val="-4"/>
                <w:lang w:eastAsia="zh-CN"/>
              </w:rPr>
              <w:fldChar w:fldCharType="end"/>
            </w:r>
          </w:p>
        </w:tc>
      </w:tr>
      <w:bookmarkEnd w:id="0"/>
      <w:tr w:rsidR="009814E2" w:rsidRPr="009814E2" w:rsidTr="009814E2">
        <w:trPr>
          <w:jc w:val="center"/>
        </w:trPr>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p>
          <w:p w:rsidR="009814E2" w:rsidRPr="009814E2" w:rsidRDefault="00542C24" w:rsidP="009814E2">
            <w:pPr>
              <w:tabs>
                <w:tab w:val="left" w:pos="284"/>
              </w:tabs>
              <w:spacing w:after="0" w:line="240" w:lineRule="auto"/>
              <w:jc w:val="center"/>
              <w:rPr>
                <w:rFonts w:ascii="Times New Roman" w:eastAsia="Times" w:hAnsi="Times New Roman" w:cs="Times New Roman"/>
                <w:spacing w:val="-4"/>
                <w:lang w:eastAsia="zh-CN"/>
              </w:rPr>
            </w:pPr>
            <w:r>
              <w:rPr>
                <w:rFonts w:ascii="Times New Roman" w:eastAsia="Times" w:hAnsi="Times New Roman" w:cs="Times New Roman"/>
                <w:noProof/>
                <w:spacing w:val="-4"/>
                <w:lang w:eastAsia="en-GB"/>
              </w:rPr>
              <w:drawing>
                <wp:inline distT="0" distB="0" distL="0" distR="0">
                  <wp:extent cx="1295400" cy="828675"/>
                  <wp:effectExtent l="0" t="0" r="0" b="9525"/>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apatinib.tif"/>
                          <pic:cNvPicPr/>
                        </pic:nvPicPr>
                        <pic:blipFill>
                          <a:blip r:embed="rId48">
                            <a:extLst>
                              <a:ext uri="{28A0092B-C50C-407E-A947-70E740481C1C}">
                                <a14:useLocalDpi xmlns:a14="http://schemas.microsoft.com/office/drawing/2010/main" val="0"/>
                              </a:ext>
                            </a:extLst>
                          </a:blip>
                          <a:stretch>
                            <a:fillRect/>
                          </a:stretch>
                        </pic:blipFill>
                        <pic:spPr>
                          <a:xfrm>
                            <a:off x="0" y="0"/>
                            <a:ext cx="1295400" cy="828675"/>
                          </a:xfrm>
                          <a:prstGeom prst="rect">
                            <a:avLst/>
                          </a:prstGeom>
                        </pic:spPr>
                      </pic:pic>
                    </a:graphicData>
                  </a:graphic>
                </wp:inline>
              </w:drawing>
            </w:r>
          </w:p>
          <w:p w:rsidR="009814E2" w:rsidRPr="009814E2" w:rsidRDefault="009814E2" w:rsidP="00542C24">
            <w:pPr>
              <w:tabs>
                <w:tab w:val="left" w:pos="284"/>
              </w:tabs>
              <w:spacing w:after="0" w:line="240" w:lineRule="auto"/>
              <w:rPr>
                <w:rFonts w:ascii="Times New Roman" w:eastAsia="Times" w:hAnsi="Times New Roman" w:cs="Times New Roman"/>
                <w:spacing w:val="-4"/>
                <w:lang w:eastAsia="zh-CN"/>
              </w:rPr>
            </w:pPr>
          </w:p>
        </w:tc>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spacing w:val="-4"/>
                <w:lang w:eastAsia="zh-CN"/>
              </w:rPr>
              <w:t>Lapatinib</w:t>
            </w:r>
          </w:p>
        </w:tc>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spacing w:val="-4"/>
                <w:lang w:eastAsia="zh-CN"/>
              </w:rPr>
              <w:t>Commercial drug</w:t>
            </w:r>
          </w:p>
        </w:tc>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spacing w:val="-4"/>
                <w:lang w:eastAsia="zh-CN"/>
              </w:rPr>
              <w:t>II</w:t>
            </w:r>
          </w:p>
        </w:tc>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spacing w:val="-4"/>
                <w:lang w:eastAsia="zh-CN"/>
              </w:rPr>
              <w:t>van der Waals / H bond</w:t>
            </w:r>
          </w:p>
        </w:tc>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spacing w:val="-4"/>
                <w:lang w:eastAsia="zh-CN"/>
              </w:rPr>
              <w:fldChar w:fldCharType="begin" w:fldLock="1"/>
            </w:r>
            <w:r w:rsidR="00DD5357">
              <w:rPr>
                <w:rFonts w:ascii="Times New Roman" w:eastAsia="Times" w:hAnsi="Times New Roman" w:cs="Times New Roman"/>
                <w:spacing w:val="-4"/>
                <w:lang w:eastAsia="zh-CN"/>
              </w:rPr>
              <w:instrText>ADDIN CSL_CITATION {"citationItems":[{"id":"ITEM-1","itemData":{"DOI":"10.1016/j.jphotobiol.2015.10.023","ISSN":"18732682","abstract":"The binding interactions of three kinds of tyrosine kinase inhibitors (TKIs), such as gefitinib, lapatinib and sunitinib, with bovine serum albumin (BSA) were studied using ultraviolet spectrophotometry, fluorescence spectroscopy, circular dichroism (CD), Fourier transform infrared spectroscopy (FT-IR) and molecular docking methods. The experimental results showed that the intrinsic fluorescence quenching of BSA induced by the three TKIs resulted from the formation of stable TKIs-BSA complexes through the binding interaction of TKIs with BSA. The stoichiometry of three stable TKIs-BSA complexes was 1:1 and the binding constants (Kb) of the three TKIs-BSA complexes were in the order of 104 M- 1 at 310 K, indicating that there was a strong binding interaction of the three TKIs with BSA. Based on the analysis of the signs and magnitudes of the free energy change (ΔG0), enthalpic change (ΔH0) and entropic change (ΔS0) in the binding process, it can be deduced that the binding process of the three TKIs with BSA was spontaneous and enthalpy-driven process, and the main interaction forces between the three TKIs and BSA were van der Waals force and hydrogen bonding interaction. Moreover, from the results of CD, FT-IR and molecular docking, it can be concluded that there was a significant difference between the three TKIs in the binding site on BSA, lapatinib was located on site II (m) of BSA while gefitinib and sunitinib were bound on site I of BSA, and there were some changes in the BSA conformation when binding three TKIs to BSA but BSA still retains its secondary structure α-helicity.","author":[{"dropping-particle":"","family":"Shen","given":"Guo Feng","non-dropping-particle":"","parse-names":false,"suffix":""},{"dropping-particle":"","family":"Liu","given":"Ting Ting","non-dropping-particle":"","parse-names":false,"suffix":""},{"dropping-particle":"","family":"Wang","given":"Qi","non-dropping-particle":"","parse-names":false,"suffix":""},{"dropping-particle":"","family":"Jiang","given":"Min","non-dropping-particle":"","parse-names":false,"suffix":""},{"dropping-particle":"","family":"Shi","given":"Jie Hua","non-dropping-particle":"","parse-names":false,"suffix":""}],"container-title":"Journal of Photochemistry and Photobiology B: Biology","id":"ITEM-1","issued":{"date-parts":[["2015"]]},"page":"380-390","title":"Spectroscopic and molecular docking studies of binding interaction of gefitinib, lapatinib and sunitinib with bovine serum albumin (BSA)","type":"article-journal","volume":"153"},"uris":["http://www.mendeley.com/documents/?uuid=b1d89a60-6a65-4ad0-bfcd-1abb3c9b2a7e"]}],"mendeley":{"formattedCitation":"[66]","plainTextFormattedCitation":"[66]","previouslyFormattedCitation":"[66]"},"properties":{"noteIndex":0},"schema":"https://github.com/citation-style-language/schema/raw/master/csl-citation.json"}</w:instrText>
            </w:r>
            <w:r w:rsidRPr="009814E2">
              <w:rPr>
                <w:rFonts w:ascii="Times New Roman" w:eastAsia="Times" w:hAnsi="Times New Roman" w:cs="Times New Roman"/>
                <w:spacing w:val="-4"/>
                <w:lang w:eastAsia="zh-CN"/>
              </w:rPr>
              <w:fldChar w:fldCharType="separate"/>
            </w:r>
            <w:r w:rsidR="00DD5357" w:rsidRPr="00DD5357">
              <w:rPr>
                <w:rFonts w:ascii="Times New Roman" w:eastAsia="Times" w:hAnsi="Times New Roman" w:cs="Times New Roman"/>
                <w:noProof/>
                <w:spacing w:val="-4"/>
                <w:lang w:eastAsia="zh-CN"/>
              </w:rPr>
              <w:t>[66]</w:t>
            </w:r>
            <w:r w:rsidRPr="009814E2">
              <w:rPr>
                <w:rFonts w:ascii="Times New Roman" w:eastAsia="Times" w:hAnsi="Times New Roman" w:cs="Times New Roman"/>
                <w:spacing w:val="-4"/>
                <w:lang w:eastAsia="zh-CN"/>
              </w:rPr>
              <w:fldChar w:fldCharType="end"/>
            </w:r>
          </w:p>
        </w:tc>
      </w:tr>
      <w:tr w:rsidR="009814E2" w:rsidRPr="009814E2" w:rsidTr="009814E2">
        <w:trPr>
          <w:jc w:val="center"/>
        </w:trPr>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noProof/>
                <w:lang w:eastAsia="en-GB"/>
              </w:rPr>
              <w:drawing>
                <wp:anchor distT="0" distB="0" distL="114300" distR="114300" simplePos="0" relativeHeight="251669504" behindDoc="0" locked="0" layoutInCell="1" allowOverlap="1" wp14:anchorId="4C2F8C5B" wp14:editId="572853BA">
                  <wp:simplePos x="0" y="0"/>
                  <wp:positionH relativeFrom="margin">
                    <wp:posOffset>348615</wp:posOffset>
                  </wp:positionH>
                  <wp:positionV relativeFrom="margin">
                    <wp:posOffset>160655</wp:posOffset>
                  </wp:positionV>
                  <wp:extent cx="1039495" cy="971550"/>
                  <wp:effectExtent l="0" t="0" r="8255" b="0"/>
                  <wp:wrapSquare wrapText="bothSides"/>
                  <wp:docPr id="25" name="Immagine 25" descr="Pravastatin.sv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3" descr="Pravastatin.svg"/>
                          <pic:cNvPicPr>
                            <a:picLocks noChangeAspect="1" noChangeArrowheads="1"/>
                          </pic:cNvPicPr>
                        </pic:nvPicPr>
                        <pic:blipFill>
                          <a:blip r:embed="rId49" r:link="rId50" cstate="print">
                            <a:extLst>
                              <a:ext uri="{28A0092B-C50C-407E-A947-70E740481C1C}">
                                <a14:useLocalDpi xmlns:a14="http://schemas.microsoft.com/office/drawing/2010/main" val="0"/>
                              </a:ext>
                            </a:extLst>
                          </a:blip>
                          <a:srcRect/>
                          <a:stretch>
                            <a:fillRect/>
                          </a:stretch>
                        </pic:blipFill>
                        <pic:spPr bwMode="auto">
                          <a:xfrm>
                            <a:off x="0" y="0"/>
                            <a:ext cx="1039495" cy="9715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p>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p>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p>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p>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p>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p>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p>
        </w:tc>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spacing w:val="-4"/>
                <w:lang w:eastAsia="zh-CN"/>
              </w:rPr>
              <w:t>Pravastatin</w:t>
            </w:r>
          </w:p>
        </w:tc>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spacing w:val="-4"/>
                <w:lang w:eastAsia="zh-CN"/>
              </w:rPr>
              <w:t>Commercial drug</w:t>
            </w:r>
          </w:p>
        </w:tc>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spacing w:val="-4"/>
                <w:lang w:eastAsia="zh-CN"/>
              </w:rPr>
              <w:t>II</w:t>
            </w:r>
          </w:p>
        </w:tc>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spacing w:val="-4"/>
                <w:lang w:eastAsia="zh-CN"/>
              </w:rPr>
              <w:t>van der Waals / H bond</w:t>
            </w:r>
          </w:p>
        </w:tc>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spacing w:val="-4"/>
                <w:lang w:eastAsia="zh-CN"/>
              </w:rPr>
              <w:fldChar w:fldCharType="begin" w:fldLock="1"/>
            </w:r>
            <w:r w:rsidR="00E822E2">
              <w:rPr>
                <w:rFonts w:ascii="Times New Roman" w:eastAsia="Times" w:hAnsi="Times New Roman" w:cs="Times New Roman"/>
                <w:spacing w:val="-4"/>
                <w:lang w:eastAsia="zh-CN"/>
              </w:rPr>
              <w:instrText>ADDIN CSL_CITATION {"citationItems":[{"id":"ITEM-1","itemData":{"DOI":"10.1080/07391102.2016.1188416","ISSN":"15380254","abstract":"The binding interactions of simvastatin (SIM), pravastatin (PRA), fluvastatin (FLU), and pitavastatin (PIT) with bovine serum albumin (BSA) were investigated for determining the affinity of four statins with BSA through multiple spectroscopic and molecular docking methods. The experimental results showed that SIM, PRA, FLU, and PIT statins quenched the intrinsic fluorescence of BSA through a static quenching process and the stable stains–BSA complexes with the binding constants in the order of 104 M−1 at 298 K were formed through intermolecular nonbond interaction. The values of ΔH0, ΔS0 and ΔG0 in the binding process of SIM, PRA, FLU, and PIT with BSA were negative at the studied temperature range, suggesting that the binding process of four statins and BSA was spontaneous and the main interaction forces were van der Waals force and hydrogen-bonding interactions. Moreover, the binding of four statins with BSA was enthalpy-driven process due to |ΔH°|&gt;|TΔS°| under the studied temperature range. From the results of site marker competitive experiments and molecular docking, subdomain IIIA (site II) was the primary binding site for SIM, PRA, FLU, and PIT on BSA. The results of UV–vis absorption, synchronous fluorescence, 3D fluorescence and FT-IR spectra proved that the slight change in the conformation of BSA, while the significant changes in the conformation of SIM, PRA, FLU, and PIT drug in statin–BSA complexes, indicating that the flexibility of statin molecules plays an important role in increasing the stability of statin–BSA complexes.","author":[{"dropping-particle":"","family":"Shi","given":"Jie Hua","non-dropping-particle":"","parse-names":false,"suffix":""},{"dropping-particle":"","family":"Wang","given":"Qi","non-dropping-particle":"","parse-names":false,"suffix":""},{"dropping-particle":"","family":"Pan","given":"Dong Qi","non-dropping-particle":"","parse-names":false,"suffix":""},{"dropping-particle":"","family":"Liu","given":"Ting Ting","non-dropping-particle":"","parse-names":false,"suffix":""},{"dropping-particle":"","family":"Jiang","given":"Min","non-dropping-particle":"","parse-names":false,"suffix":""}],"container-title":"Journal of Biomolecular Structure and Dynamics","id":"ITEM-1","issued":{"date-parts":[["2017"]]},"page":"1529-1546","title":"Characterization of interactions of simvastatin, pravastatin, fluvastatin, and pitavastatin with bovine serum albumin: multiple spectroscopic and molecular docking","type":"article-journal","volume":"35"},"uris":["http://www.mendeley.com/documents/?uuid=14b47f3d-6341-4062-b41d-d8082f85be7c"]}],"mendeley":{"formattedCitation":"[116]","plainTextFormattedCitation":"[116]","previouslyFormattedCitation":"[116]"},"properties":{"noteIndex":0},"schema":"https://github.com/citation-style-language/schema/raw/master/csl-citation.json"}</w:instrText>
            </w:r>
            <w:r w:rsidRPr="009814E2">
              <w:rPr>
                <w:rFonts w:ascii="Times New Roman" w:eastAsia="Times" w:hAnsi="Times New Roman" w:cs="Times New Roman"/>
                <w:spacing w:val="-4"/>
                <w:lang w:eastAsia="zh-CN"/>
              </w:rPr>
              <w:fldChar w:fldCharType="separate"/>
            </w:r>
            <w:r w:rsidR="00DD5357" w:rsidRPr="00DD5357">
              <w:rPr>
                <w:rFonts w:ascii="Times New Roman" w:eastAsia="Times" w:hAnsi="Times New Roman" w:cs="Times New Roman"/>
                <w:noProof/>
                <w:spacing w:val="-4"/>
                <w:lang w:eastAsia="zh-CN"/>
              </w:rPr>
              <w:t>[116]</w:t>
            </w:r>
            <w:r w:rsidRPr="009814E2">
              <w:rPr>
                <w:rFonts w:ascii="Times New Roman" w:eastAsia="Times" w:hAnsi="Times New Roman" w:cs="Times New Roman"/>
                <w:spacing w:val="-4"/>
                <w:lang w:eastAsia="zh-CN"/>
              </w:rPr>
              <w:fldChar w:fldCharType="end"/>
            </w:r>
          </w:p>
        </w:tc>
      </w:tr>
      <w:tr w:rsidR="009814E2" w:rsidRPr="009814E2" w:rsidTr="009814E2">
        <w:trPr>
          <w:jc w:val="center"/>
        </w:trPr>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p>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p>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p>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p>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p>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noProof/>
                <w:lang w:eastAsia="en-GB"/>
              </w:rPr>
              <w:drawing>
                <wp:anchor distT="0" distB="0" distL="114300" distR="114300" simplePos="0" relativeHeight="251700224" behindDoc="0" locked="0" layoutInCell="1" allowOverlap="1" wp14:anchorId="4120EA26" wp14:editId="26C39D02">
                  <wp:simplePos x="0" y="0"/>
                  <wp:positionH relativeFrom="margin">
                    <wp:posOffset>494030</wp:posOffset>
                  </wp:positionH>
                  <wp:positionV relativeFrom="margin">
                    <wp:posOffset>50800</wp:posOffset>
                  </wp:positionV>
                  <wp:extent cx="916940" cy="719455"/>
                  <wp:effectExtent l="0" t="0" r="0" b="4445"/>
                  <wp:wrapSquare wrapText="bothSides"/>
                  <wp:docPr id="26" name="Immagine 26" descr="Prednisolone.sv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6" descr="Prednisolone.svg"/>
                          <pic:cNvPicPr>
                            <a:picLocks noChangeAspect="1" noChangeArrowheads="1"/>
                          </pic:cNvPicPr>
                        </pic:nvPicPr>
                        <pic:blipFill>
                          <a:blip r:embed="rId51" r:link="rId52" cstate="print">
                            <a:extLst>
                              <a:ext uri="{28A0092B-C50C-407E-A947-70E740481C1C}">
                                <a14:useLocalDpi xmlns:a14="http://schemas.microsoft.com/office/drawing/2010/main" val="0"/>
                              </a:ext>
                            </a:extLst>
                          </a:blip>
                          <a:srcRect/>
                          <a:stretch>
                            <a:fillRect/>
                          </a:stretch>
                        </pic:blipFill>
                        <pic:spPr bwMode="auto">
                          <a:xfrm>
                            <a:off x="0" y="0"/>
                            <a:ext cx="916940" cy="71945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spacing w:val="-4"/>
                <w:lang w:eastAsia="zh-CN"/>
              </w:rPr>
              <w:t>Prednisolone</w:t>
            </w:r>
          </w:p>
        </w:tc>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spacing w:val="-4"/>
                <w:lang w:eastAsia="zh-CN"/>
              </w:rPr>
              <w:t>Commercial drug</w:t>
            </w:r>
          </w:p>
        </w:tc>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spacing w:val="-4"/>
                <w:lang w:eastAsia="zh-CN"/>
              </w:rPr>
              <w:t>II</w:t>
            </w:r>
          </w:p>
        </w:tc>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spacing w:val="-4"/>
                <w:lang w:eastAsia="zh-CN"/>
              </w:rPr>
              <w:t>van der Waals / H bond</w:t>
            </w:r>
          </w:p>
        </w:tc>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spacing w:val="-4"/>
                <w:lang w:eastAsia="zh-CN"/>
              </w:rPr>
              <w:fldChar w:fldCharType="begin" w:fldLock="1"/>
            </w:r>
            <w:r w:rsidR="00E822E2">
              <w:rPr>
                <w:rFonts w:ascii="Times New Roman" w:eastAsia="Times" w:hAnsi="Times New Roman" w:cs="Times New Roman"/>
                <w:spacing w:val="-4"/>
                <w:lang w:eastAsia="zh-CN"/>
              </w:rPr>
              <w:instrText>ADDIN CSL_CITATION {"citationItems":[{"id":"ITEM-1","itemData":{"DOI":"10.1016/j.saa.2012.11.034","ISSN":"13861425","abstract":"The intermolecular interaction of prednisolone with bovine serum albumin (BSA) was studied using fluorescence, circular dichroism (CD) and molecular docking methods. The experimental results showed that the fluorescence quenching of the BSA at 338 nm by prednisolone resulted from the formation of prednisolone-BSA complex. The number of binding sites (n) for prednisolone binding on BSA was approximately equal to 1. Base on the sign and magnitude of the enthalpy and entropy changes (ΔH0 = -149.6 kJ mol -1 and ΔS0 = -370.7 J mol-1 K -1) and the results of molecular docking, it could be suggested that the interaction forces were mainly Van der Waals and hydrogen bonding interactions. Moreover, in the binding process of BSA with prednisolone, prednisolone molecule can be inserted into the hydrophobic cavity of subdomain IIIA (site II) of BSA. The distance between prednisolone and Trp residue of BSA was calculated as 2.264 nm according to Forster's non-radiative energy transfer theory. © 2012 Elsevier B.V. All rights reserved.","author":[{"dropping-particle":"","family":"Shi","given":"Jie Hua","non-dropping-particle":"","parse-names":false,"suffix":""},{"dropping-particle":"","family":"Zhu","given":"Ying Yao","non-dropping-particle":"","parse-names":false,"suffix":""},{"dropping-particle":"","family":"Wang","given":"Jing","non-dropping-particle":"","parse-names":false,"suffix":""},{"dropping-particle":"","family":"Chen","given":"Jun","non-dropping-particle":"","parse-names":false,"suffix":""},{"dropping-particle":"","family":"Shen","given":"Ya Jing","non-dropping-particle":"","parse-names":false,"suffix":""}],"container-title":"Spectrochimica Acta - Part A: Molecular and Biomolecular Spectroscopy","id":"ITEM-1","issued":{"date-parts":[["2013"]]},"page":"287-294","title":"Intermolecular interaction of prednisolone with bovine serum albumin: Spectroscopic and molecular docking methods","type":"article-journal","volume":"103"},"uris":["http://www.mendeley.com/documents/?uuid=8d409e91-6918-4d6d-b5bb-b02e9dddad68"]}],"mendeley":{"formattedCitation":"[117]","plainTextFormattedCitation":"[117]","previouslyFormattedCitation":"[117]"},"properties":{"noteIndex":0},"schema":"https://github.com/citation-style-language/schema/raw/master/csl-citation.json"}</w:instrText>
            </w:r>
            <w:r w:rsidRPr="009814E2">
              <w:rPr>
                <w:rFonts w:ascii="Times New Roman" w:eastAsia="Times" w:hAnsi="Times New Roman" w:cs="Times New Roman"/>
                <w:spacing w:val="-4"/>
                <w:lang w:eastAsia="zh-CN"/>
              </w:rPr>
              <w:fldChar w:fldCharType="separate"/>
            </w:r>
            <w:r w:rsidR="00DD5357" w:rsidRPr="00DD5357">
              <w:rPr>
                <w:rFonts w:ascii="Times New Roman" w:eastAsia="Times" w:hAnsi="Times New Roman" w:cs="Times New Roman"/>
                <w:noProof/>
                <w:spacing w:val="-4"/>
                <w:lang w:eastAsia="zh-CN"/>
              </w:rPr>
              <w:t>[117]</w:t>
            </w:r>
            <w:r w:rsidRPr="009814E2">
              <w:rPr>
                <w:rFonts w:ascii="Times New Roman" w:eastAsia="Times" w:hAnsi="Times New Roman" w:cs="Times New Roman"/>
                <w:spacing w:val="-4"/>
                <w:lang w:eastAsia="zh-CN"/>
              </w:rPr>
              <w:fldChar w:fldCharType="end"/>
            </w:r>
          </w:p>
        </w:tc>
      </w:tr>
      <w:tr w:rsidR="009814E2" w:rsidRPr="009814E2" w:rsidTr="009814E2">
        <w:trPr>
          <w:jc w:val="center"/>
        </w:trPr>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p>
          <w:p w:rsidR="009814E2" w:rsidRPr="009814E2" w:rsidRDefault="009814E2" w:rsidP="009814E2">
            <w:pPr>
              <w:tabs>
                <w:tab w:val="left" w:pos="284"/>
              </w:tabs>
              <w:spacing w:after="0" w:line="240" w:lineRule="auto"/>
              <w:jc w:val="both"/>
              <w:rPr>
                <w:rFonts w:ascii="Times New Roman" w:eastAsia="Times" w:hAnsi="Times New Roman" w:cs="Times New Roman"/>
                <w:spacing w:val="-4"/>
                <w:lang w:eastAsia="zh-CN"/>
              </w:rPr>
            </w:pPr>
          </w:p>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p>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noProof/>
                <w:lang w:eastAsia="en-GB"/>
              </w:rPr>
              <w:drawing>
                <wp:anchor distT="0" distB="0" distL="114300" distR="114300" simplePos="0" relativeHeight="251694080" behindDoc="0" locked="0" layoutInCell="1" allowOverlap="1" wp14:anchorId="396B0A1A" wp14:editId="5A6F6002">
                  <wp:simplePos x="0" y="0"/>
                  <wp:positionH relativeFrom="margin">
                    <wp:posOffset>430530</wp:posOffset>
                  </wp:positionH>
                  <wp:positionV relativeFrom="margin">
                    <wp:posOffset>66675</wp:posOffset>
                  </wp:positionV>
                  <wp:extent cx="1144905" cy="539750"/>
                  <wp:effectExtent l="0" t="0" r="0" b="0"/>
                  <wp:wrapSquare wrapText="bothSides"/>
                  <wp:docPr id="27" name="Immagine 27" descr="Repaglini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7" descr="Repaglinide"/>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1144905" cy="53975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spacing w:val="-4"/>
                <w:lang w:eastAsia="zh-CN"/>
              </w:rPr>
              <w:t>Repaniglide</w:t>
            </w:r>
          </w:p>
        </w:tc>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spacing w:val="-4"/>
                <w:lang w:eastAsia="zh-CN"/>
              </w:rPr>
              <w:t>Commercial drug</w:t>
            </w:r>
          </w:p>
        </w:tc>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spacing w:val="-4"/>
                <w:lang w:eastAsia="zh-CN"/>
              </w:rPr>
              <w:t>II</w:t>
            </w:r>
          </w:p>
        </w:tc>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val="en-US" w:eastAsia="zh-CN"/>
              </w:rPr>
            </w:pPr>
            <w:r w:rsidRPr="009814E2">
              <w:rPr>
                <w:rFonts w:ascii="Times New Roman" w:eastAsia="Times" w:hAnsi="Times New Roman" w:cs="Times New Roman"/>
                <w:spacing w:val="-4"/>
                <w:lang w:val="en-US" w:eastAsia="zh-CN"/>
              </w:rPr>
              <w:t>hydrophobic</w:t>
            </w:r>
          </w:p>
        </w:tc>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spacing w:val="-4"/>
                <w:lang w:val="en-US" w:eastAsia="zh-CN"/>
              </w:rPr>
              <w:fldChar w:fldCharType="begin" w:fldLock="1"/>
            </w:r>
            <w:r w:rsidR="00DD5357">
              <w:rPr>
                <w:rFonts w:ascii="Times New Roman" w:eastAsia="Times" w:hAnsi="Times New Roman" w:cs="Times New Roman"/>
                <w:spacing w:val="-4"/>
                <w:lang w:val="en-US" w:eastAsia="zh-CN"/>
              </w:rPr>
              <w:instrText>ADDIN CSL_CITATION {"citationItems":[{"id":"ITEM-1","itemData":{"DOI":"10.1016/j.jpha.2019.03.007","ISSN":"20951779","abstract":"Repaglinide (RPG) regulates the amount of glucose by stimulating the pancreas to release insulin in the blood. In view of its biological importance, we have examined the interaction between RPG and a model protein, bovine serum albumin (BSA) employing various spectroscopic, electrochemical and molecular docking methods. Fluorescence spectra of BSA were recorded in the presence and absence of RPG in phosphate buffer of pH 7.4. Fluorescence intensity of BSA was decreased upon the addition of increased concentrations of RPG, indicating the interaction between RPG and BSA. Stern-Volmer quenching analysis results revealed that RPG quenched the intensity of BSA through dynamic quenching mechanism. This was further confirmed from the time-resolved fluorescence measurements. The binding constant as calculated from the spectroscopic and voltammetric results was observed to be in the order of 104 M−1 at 298 K, suggesting the moderate binding affinity between RPG and BSA. Competitive experimental results revealed that the primary binding site for RPG on BSA was site II. Absorption and circular dichroism studies indicated the changes in the secondary structure of BSA upon its interaction with RPG. Molecular simulation studies pointed out that RPG was bound to BSA in the hydrophobic pocket of site II.","author":[{"dropping-particle":"","family":"Pawar","given":"Suma K.","non-dropping-particle":"","parse-names":false,"suffix":""},{"dropping-particle":"","family":"Jaldappagari","given":"Seetharamappa","non-dropping-particle":"","parse-names":false,"suffix":""}],"container-title":"Journal of Pharmaceutical Analysis","id":"ITEM-1","issue":"4","issued":{"date-parts":[["2019"]]},"page":"274-283","title":"Interaction of repaglinide with bovine serum albumin: Spectroscopic and molecular docking approaches","type":"article-journal","volume":"9"},"uris":["http://www.mendeley.com/documents/?uuid=73e259c1-0ed2-4cc1-9819-1838b4a28761"]}],"mendeley":{"formattedCitation":"[81]","plainTextFormattedCitation":"[81]","previouslyFormattedCitation":"[81]"},"properties":{"noteIndex":0},"schema":"https://github.com/citation-style-language/schema/raw/master/csl-citation.json"}</w:instrText>
            </w:r>
            <w:r w:rsidRPr="009814E2">
              <w:rPr>
                <w:rFonts w:ascii="Times New Roman" w:eastAsia="Times" w:hAnsi="Times New Roman" w:cs="Times New Roman"/>
                <w:spacing w:val="-4"/>
                <w:lang w:val="en-US" w:eastAsia="zh-CN"/>
              </w:rPr>
              <w:fldChar w:fldCharType="separate"/>
            </w:r>
            <w:r w:rsidR="00DD5357" w:rsidRPr="00DD5357">
              <w:rPr>
                <w:rFonts w:ascii="Times New Roman" w:eastAsia="Times" w:hAnsi="Times New Roman" w:cs="Times New Roman"/>
                <w:noProof/>
                <w:spacing w:val="-4"/>
                <w:lang w:val="en-US" w:eastAsia="zh-CN"/>
              </w:rPr>
              <w:t>[81]</w:t>
            </w:r>
            <w:r w:rsidRPr="009814E2">
              <w:rPr>
                <w:rFonts w:ascii="Times New Roman" w:eastAsia="Times" w:hAnsi="Times New Roman" w:cs="Times New Roman"/>
                <w:spacing w:val="-4"/>
                <w:lang w:val="en-US" w:eastAsia="zh-CN"/>
              </w:rPr>
              <w:fldChar w:fldCharType="end"/>
            </w:r>
          </w:p>
        </w:tc>
      </w:tr>
      <w:tr w:rsidR="009814E2" w:rsidRPr="009814E2" w:rsidTr="009814E2">
        <w:trPr>
          <w:jc w:val="center"/>
        </w:trPr>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p>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p>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p>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p>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noProof/>
                <w:lang w:eastAsia="en-GB"/>
              </w:rPr>
              <w:drawing>
                <wp:anchor distT="0" distB="0" distL="114300" distR="114300" simplePos="0" relativeHeight="251687936" behindDoc="0" locked="0" layoutInCell="1" allowOverlap="1" wp14:anchorId="7DC32163" wp14:editId="41E4CC0D">
                  <wp:simplePos x="0" y="0"/>
                  <wp:positionH relativeFrom="margin">
                    <wp:posOffset>502285</wp:posOffset>
                  </wp:positionH>
                  <wp:positionV relativeFrom="margin">
                    <wp:posOffset>137160</wp:posOffset>
                  </wp:positionV>
                  <wp:extent cx="958215" cy="431800"/>
                  <wp:effectExtent l="0" t="0" r="0" b="6350"/>
                  <wp:wrapSquare wrapText="bothSides"/>
                  <wp:docPr id="28" name="Immagine 28" descr="formula di struttu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4" descr="formula di struttura"/>
                          <pic:cNvPicPr>
                            <a:picLocks noChangeAspect="1" noChangeArrowheads="1"/>
                          </pic:cNvPicPr>
                        </pic:nvPicPr>
                        <pic:blipFill>
                          <a:blip r:embed="rId54" r:link="rId55" cstate="print">
                            <a:extLst>
                              <a:ext uri="{28A0092B-C50C-407E-A947-70E740481C1C}">
                                <a14:useLocalDpi xmlns:a14="http://schemas.microsoft.com/office/drawing/2010/main" val="0"/>
                              </a:ext>
                            </a:extLst>
                          </a:blip>
                          <a:srcRect/>
                          <a:stretch>
                            <a:fillRect/>
                          </a:stretch>
                        </pic:blipFill>
                        <pic:spPr bwMode="auto">
                          <a:xfrm>
                            <a:off x="0" y="0"/>
                            <a:ext cx="958215" cy="43180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spacing w:val="-4"/>
                <w:lang w:eastAsia="zh-CN"/>
              </w:rPr>
              <w:t>Triclosan</w:t>
            </w:r>
          </w:p>
        </w:tc>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spacing w:val="-4"/>
                <w:lang w:eastAsia="zh-CN"/>
              </w:rPr>
              <w:t>Antibacterial agent</w:t>
            </w:r>
          </w:p>
        </w:tc>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spacing w:val="-4"/>
                <w:lang w:eastAsia="zh-CN"/>
              </w:rPr>
              <w:t>II</w:t>
            </w:r>
          </w:p>
        </w:tc>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spacing w:val="-4"/>
                <w:lang w:eastAsia="zh-CN"/>
              </w:rPr>
              <w:t>van der Waals / H bond</w:t>
            </w:r>
          </w:p>
        </w:tc>
        <w:tc>
          <w:tcPr>
            <w:tcW w:w="0" w:type="auto"/>
            <w:shd w:val="clear" w:color="auto" w:fill="auto"/>
            <w:vAlign w:val="center"/>
          </w:tcPr>
          <w:p w:rsidR="009814E2" w:rsidRPr="009814E2" w:rsidRDefault="009814E2" w:rsidP="009814E2">
            <w:pPr>
              <w:tabs>
                <w:tab w:val="left" w:pos="284"/>
              </w:tabs>
              <w:spacing w:after="0" w:line="240" w:lineRule="auto"/>
              <w:jc w:val="center"/>
              <w:rPr>
                <w:rFonts w:ascii="Times New Roman" w:eastAsia="Times" w:hAnsi="Times New Roman" w:cs="Times New Roman"/>
                <w:spacing w:val="-4"/>
                <w:lang w:eastAsia="zh-CN"/>
              </w:rPr>
            </w:pPr>
            <w:r w:rsidRPr="009814E2">
              <w:rPr>
                <w:rFonts w:ascii="Times New Roman" w:eastAsia="Times" w:hAnsi="Times New Roman" w:cs="Times New Roman"/>
                <w:spacing w:val="-4"/>
                <w:lang w:eastAsia="zh-CN"/>
              </w:rPr>
              <w:fldChar w:fldCharType="begin" w:fldLock="1"/>
            </w:r>
            <w:r w:rsidR="00E822E2">
              <w:rPr>
                <w:rFonts w:ascii="Times New Roman" w:eastAsia="Times" w:hAnsi="Times New Roman" w:cs="Times New Roman"/>
                <w:spacing w:val="-4"/>
                <w:lang w:eastAsia="zh-CN"/>
              </w:rPr>
              <w:instrText>ADDIN CSL_CITATION {"citationItems":[{"id":"ITEM-1","itemData":{"DOI":"10.1080/10934529.2019.1694346","ISSN":"15324117","abstract":"Triclosan (TCS) is widely used in personal care products and acts as an antibacterial agent. Residues of TCS may have potential effects on the human health. In this article, the interaction between TCS and bovine serum albumin (BSA) has been characterized by using multi-spectroscopic approaches and molecular docking method under physiological conditions. Thermodynamic investigations revealed that TCS spontaneously bound to a binding site of BSA and hydrogen bonds played a dominant role in this process. The site marker competition experiments indicated that TCS bound at site II (subdomain IIIA) of BSA, which was well substantiated by molecular docking. The binding of TCS further led to changes of conformation and microenvironment of BSA. This work explored the interaction of TCS with BSA, which might be beneficial for evaluating the binding mechanism of other environmental pollutant at molecular level.","author":[{"dropping-particle":"","family":"Wang","given":"Xiaofang","non-dropping-particle":"","parse-names":false,"suffix":""},{"dropping-particle":"","family":"Zou","given":"Luyi","non-dropping-particle":"","parse-names":false,"suffix":""},{"dropping-particle":"","family":"Mi","given":"Chenyu","non-dropping-particle":"","parse-names":false,"suffix":""},{"dropping-particle":"","family":"Yu","given":"Hongyan","non-dropping-particle":"","parse-names":false,"suffix":""},{"dropping-particle":"","family":"Dong","given":"Mengxue","non-dropping-particle":"","parse-names":false,"suffix":""},{"dropping-particle":"","family":"Teng","given":"Yue","non-dropping-particle":"","parse-names":false,"suffix":""}],"container-title":"Journal of Environmental Science and Health - Part A Toxic/Hazardous Substances and Environmental Engineering","id":"ITEM-1","issue":"3","issued":{"date-parts":[["2020"]]},"page":"318-325","publisher":"Taylor &amp; Francis","title":"Characterization of binding interaction of triclosan and bovine serum albumin","type":"article-journal","volume":"55"},"uris":["http://www.mendeley.com/documents/?uuid=749e37e7-3817-4afb-bdf6-2a72efa631ee"]}],"mendeley":{"formattedCitation":"[118]","plainTextFormattedCitation":"[118]","previouslyFormattedCitation":"[118]"},"properties":{"noteIndex":0},"schema":"https://github.com/citation-style-language/schema/raw/master/csl-citation.json"}</w:instrText>
            </w:r>
            <w:r w:rsidRPr="009814E2">
              <w:rPr>
                <w:rFonts w:ascii="Times New Roman" w:eastAsia="Times" w:hAnsi="Times New Roman" w:cs="Times New Roman"/>
                <w:spacing w:val="-4"/>
                <w:lang w:eastAsia="zh-CN"/>
              </w:rPr>
              <w:fldChar w:fldCharType="separate"/>
            </w:r>
            <w:r w:rsidR="00DD5357" w:rsidRPr="00DD5357">
              <w:rPr>
                <w:rFonts w:ascii="Times New Roman" w:eastAsia="Times" w:hAnsi="Times New Roman" w:cs="Times New Roman"/>
                <w:noProof/>
                <w:spacing w:val="-4"/>
                <w:lang w:eastAsia="zh-CN"/>
              </w:rPr>
              <w:t>[118]</w:t>
            </w:r>
            <w:r w:rsidRPr="009814E2">
              <w:rPr>
                <w:rFonts w:ascii="Times New Roman" w:eastAsia="Times" w:hAnsi="Times New Roman" w:cs="Times New Roman"/>
                <w:spacing w:val="-4"/>
                <w:lang w:eastAsia="zh-CN"/>
              </w:rPr>
              <w:fldChar w:fldCharType="end"/>
            </w:r>
          </w:p>
        </w:tc>
      </w:tr>
      <w:tr w:rsidR="007A79EF" w:rsidRPr="009814E2" w:rsidTr="009814E2">
        <w:trPr>
          <w:jc w:val="center"/>
        </w:trPr>
        <w:tc>
          <w:tcPr>
            <w:tcW w:w="0" w:type="auto"/>
            <w:shd w:val="clear" w:color="auto" w:fill="auto"/>
            <w:vAlign w:val="center"/>
          </w:tcPr>
          <w:p w:rsidR="007A79EF" w:rsidRPr="009814E2" w:rsidRDefault="000F7F30" w:rsidP="009814E2">
            <w:pPr>
              <w:tabs>
                <w:tab w:val="left" w:pos="284"/>
              </w:tabs>
              <w:spacing w:after="0" w:line="240" w:lineRule="auto"/>
              <w:jc w:val="center"/>
              <w:rPr>
                <w:rFonts w:ascii="Times New Roman" w:eastAsia="Times" w:hAnsi="Times New Roman" w:cs="Times New Roman"/>
                <w:spacing w:val="-4"/>
                <w:lang w:eastAsia="zh-CN"/>
              </w:rPr>
            </w:pPr>
            <w:r>
              <w:object w:dxaOrig="7260" w:dyaOrig="4260">
                <v:shape id="_x0000_i1025" type="#_x0000_t75" style="width:115.5pt;height:67.5pt" o:ole="">
                  <v:imagedata r:id="rId56" o:title=""/>
                </v:shape>
                <o:OLEObject Type="Embed" ProgID="PBrush" ShapeID="_x0000_i1025" DrawAspect="Content" ObjectID="_1660750234" r:id="rId57"/>
              </w:object>
            </w:r>
          </w:p>
        </w:tc>
        <w:tc>
          <w:tcPr>
            <w:tcW w:w="0" w:type="auto"/>
            <w:shd w:val="clear" w:color="auto" w:fill="auto"/>
            <w:vAlign w:val="center"/>
          </w:tcPr>
          <w:p w:rsidR="007A79EF" w:rsidRPr="009814E2" w:rsidRDefault="007A79EF" w:rsidP="008F1338">
            <w:pPr>
              <w:tabs>
                <w:tab w:val="left" w:pos="284"/>
              </w:tabs>
              <w:spacing w:after="0" w:line="240" w:lineRule="auto"/>
              <w:jc w:val="center"/>
              <w:rPr>
                <w:rFonts w:ascii="Times New Roman" w:eastAsia="Times" w:hAnsi="Times New Roman" w:cs="Times New Roman"/>
                <w:spacing w:val="-4"/>
                <w:lang w:eastAsia="zh-CN"/>
              </w:rPr>
            </w:pPr>
            <w:r>
              <w:rPr>
                <w:rFonts w:ascii="Times New Roman" w:eastAsia="Times" w:hAnsi="Times New Roman" w:cs="Times New Roman"/>
                <w:spacing w:val="-4"/>
                <w:lang w:eastAsia="zh-CN"/>
              </w:rPr>
              <w:t>Pd</w:t>
            </w:r>
            <w:r w:rsidR="008F1338">
              <w:rPr>
                <w:rFonts w:ascii="Times New Roman" w:eastAsia="Times" w:hAnsi="Times New Roman" w:cs="Times New Roman"/>
                <w:spacing w:val="-4"/>
                <w:lang w:eastAsia="zh-CN"/>
              </w:rPr>
              <w:t>(II) hisp</w:t>
            </w:r>
            <w:r>
              <w:rPr>
                <w:rFonts w:ascii="Times New Roman" w:eastAsia="Times" w:hAnsi="Times New Roman" w:cs="Times New Roman"/>
                <w:spacing w:val="-4"/>
                <w:lang w:eastAsia="zh-CN"/>
              </w:rPr>
              <w:t>olon derivatives complexes</w:t>
            </w:r>
          </w:p>
        </w:tc>
        <w:tc>
          <w:tcPr>
            <w:tcW w:w="0" w:type="auto"/>
            <w:shd w:val="clear" w:color="auto" w:fill="auto"/>
            <w:vAlign w:val="center"/>
          </w:tcPr>
          <w:p w:rsidR="007A79EF" w:rsidRPr="009814E2" w:rsidRDefault="007A79EF" w:rsidP="009814E2">
            <w:pPr>
              <w:tabs>
                <w:tab w:val="left" w:pos="284"/>
              </w:tabs>
              <w:spacing w:after="0" w:line="240" w:lineRule="auto"/>
              <w:jc w:val="center"/>
              <w:rPr>
                <w:rFonts w:ascii="Times New Roman" w:eastAsia="Times" w:hAnsi="Times New Roman" w:cs="Times New Roman"/>
                <w:spacing w:val="-4"/>
                <w:lang w:eastAsia="zh-CN"/>
              </w:rPr>
            </w:pPr>
            <w:r>
              <w:rPr>
                <w:rFonts w:ascii="Times New Roman" w:eastAsia="Times" w:hAnsi="Times New Roman" w:cs="Times New Roman"/>
                <w:spacing w:val="-4"/>
                <w:lang w:eastAsia="zh-CN"/>
              </w:rPr>
              <w:t>Therapeutic agent</w:t>
            </w:r>
          </w:p>
        </w:tc>
        <w:tc>
          <w:tcPr>
            <w:tcW w:w="0" w:type="auto"/>
            <w:shd w:val="clear" w:color="auto" w:fill="auto"/>
            <w:vAlign w:val="center"/>
          </w:tcPr>
          <w:p w:rsidR="007A79EF" w:rsidRPr="009814E2" w:rsidRDefault="007A79EF" w:rsidP="009814E2">
            <w:pPr>
              <w:tabs>
                <w:tab w:val="left" w:pos="284"/>
              </w:tabs>
              <w:spacing w:after="0" w:line="240" w:lineRule="auto"/>
              <w:jc w:val="center"/>
              <w:rPr>
                <w:rFonts w:ascii="Times New Roman" w:eastAsia="Times" w:hAnsi="Times New Roman" w:cs="Times New Roman"/>
                <w:spacing w:val="-4"/>
                <w:lang w:eastAsia="zh-CN"/>
              </w:rPr>
            </w:pPr>
            <w:r>
              <w:rPr>
                <w:rFonts w:ascii="Times New Roman" w:eastAsia="Times" w:hAnsi="Times New Roman" w:cs="Times New Roman"/>
                <w:spacing w:val="-4"/>
                <w:lang w:eastAsia="zh-CN"/>
              </w:rPr>
              <w:t>II</w:t>
            </w:r>
          </w:p>
        </w:tc>
        <w:tc>
          <w:tcPr>
            <w:tcW w:w="0" w:type="auto"/>
            <w:shd w:val="clear" w:color="auto" w:fill="auto"/>
            <w:vAlign w:val="center"/>
          </w:tcPr>
          <w:p w:rsidR="007A79EF" w:rsidRPr="009814E2" w:rsidRDefault="00535EA6" w:rsidP="009814E2">
            <w:pPr>
              <w:tabs>
                <w:tab w:val="left" w:pos="284"/>
              </w:tabs>
              <w:spacing w:after="0" w:line="240" w:lineRule="auto"/>
              <w:jc w:val="center"/>
              <w:rPr>
                <w:rFonts w:ascii="Times New Roman" w:eastAsia="Times" w:hAnsi="Times New Roman" w:cs="Times New Roman"/>
                <w:spacing w:val="-4"/>
                <w:lang w:eastAsia="zh-CN"/>
              </w:rPr>
            </w:pPr>
            <w:r>
              <w:rPr>
                <w:rFonts w:ascii="Times New Roman" w:eastAsia="Times" w:hAnsi="Times New Roman" w:cs="Times New Roman"/>
                <w:spacing w:val="-4"/>
                <w:lang w:eastAsia="zh-CN"/>
              </w:rPr>
              <w:t>-</w:t>
            </w:r>
          </w:p>
        </w:tc>
        <w:tc>
          <w:tcPr>
            <w:tcW w:w="0" w:type="auto"/>
            <w:shd w:val="clear" w:color="auto" w:fill="auto"/>
            <w:vAlign w:val="center"/>
          </w:tcPr>
          <w:p w:rsidR="007A79EF" w:rsidRPr="009814E2" w:rsidRDefault="00535EA6" w:rsidP="009814E2">
            <w:pPr>
              <w:tabs>
                <w:tab w:val="left" w:pos="284"/>
              </w:tabs>
              <w:spacing w:after="0" w:line="240" w:lineRule="auto"/>
              <w:jc w:val="center"/>
              <w:rPr>
                <w:rFonts w:ascii="Times New Roman" w:eastAsia="Times" w:hAnsi="Times New Roman" w:cs="Times New Roman"/>
                <w:spacing w:val="-4"/>
                <w:lang w:eastAsia="zh-CN"/>
              </w:rPr>
            </w:pPr>
            <w:r>
              <w:rPr>
                <w:rFonts w:ascii="Times New Roman" w:eastAsia="Times" w:hAnsi="Times New Roman" w:cs="Times New Roman"/>
                <w:spacing w:val="-4"/>
                <w:lang w:eastAsia="zh-CN"/>
              </w:rPr>
              <w:fldChar w:fldCharType="begin" w:fldLock="1"/>
            </w:r>
            <w:r w:rsidR="002D64E9">
              <w:rPr>
                <w:rFonts w:ascii="Times New Roman" w:eastAsia="Times" w:hAnsi="Times New Roman" w:cs="Times New Roman"/>
                <w:spacing w:val="-4"/>
                <w:lang w:eastAsia="zh-CN"/>
              </w:rPr>
              <w:instrText>ADDIN CSL_CITATION {"citationItems":[{"id":"ITEM-1","itemData":{"DOI":"10.1016/j.jinorgbio.2019.110857","ISSN":"18733344","PMID":"31669695","abstract":"Thirteen novel palladium(II) complexes of the general formula [Pd(bipy)(O,O′-dkt)](PF6), (where bipy is 2,2′-bipyridine and O,O′-dkt is β-diketonate ligand hispolon or its derivative) have been prepared through a metal-ligand coordination method that involves spontaneous formation of the corresponding diketonate scaffold. The obtained palladium(II) complexes have been characterized by NMR spectroscopy, ESI-mass spectrometry as well as elemental analysis. The cytotoxicity analysis indicates that most of the obtained palladium(II) complexes show promising growth inhibition in three human cancer cell lines. Flow cytometry analysis shows complex 3e could promote intracellular reactive oxygen species (ROS) accumulation and lead cancer cell death. And the suppression of ROS accumulation and the rescue of cell viability in HeLa cells by N-acetyl-L-cysteine (NAC) suggest the possible link between the increase in ROS generation and cytotoxicity of complex 3e. Flow cytometry analysis also reveal that complex 3e cause cell cycle arrest in the G2/M phase and collapse of the mitochondrial membrane potential, promote the generation of ROS and lead to tumor cell apoptosis. The interactions of complex 3e with calf thymus DNA (CT-DNA) have been evaluated by UV–Vis spectroscopy, fluorescence quenching experiments and viscosity measurements, which reveal that the complex interact with CT-DNA through minor groove binding and/or electrostatic interactions. Further, the results of fluorescence titration and site marker competitive experiment on bovine serum albumin (BSA) suggest that complex 3e can quench the fluorescence of BSA via a static quenching process and bind to BSA in Sudlow's site II.","author":[{"dropping-particle":"","family":"Wei","given":"Xiaonan","non-dropping-particle":"","parse-names":false,"suffix":""},{"dropping-particle":"","family":"Yang","given":"Yaxing","non-dropping-particle":"","parse-names":false,"suffix":""},{"dropping-particle":"","family":"Ge","given":"Jiangfeng","non-dropping-particle":"","parse-names":false,"suffix":""},{"dropping-particle":"","family":"Lin","given":"Xue","non-dropping-particle":"","parse-names":false,"suffix":""},{"dropping-particle":"","family":"Liu","given":"Dandan","non-dropping-particle":"","parse-names":false,"suffix":""},{"dropping-particle":"","family":"Wang","given":"Shuxiang","non-dropping-particle":"","parse-names":false,"suffix":""},{"dropping-particle":"","family":"Zhang","given":"Jinchao","non-dropping-particle":"","parse-names":false,"suffix":""},{"dropping-particle":"","family":"Zhou","given":"Guoqiang","non-dropping-particle":"","parse-names":false,"suffix":""},{"dropping-particle":"","family":"Li","given":"Shenghui","non-dropping-particle":"","parse-names":false,"suffix":""}],"container-title":"Journal of Inorganic Biochemistry","id":"ITEM-1","issue":"October 2019","issued":{"date-parts":[["2020"]]},"page":"110857","publisher":"Elsevier","title":"Synthesis, characterization, DNA/BSA interactions and in vitro cytotoxicity study of palladium(II) complexes of hispolon derivatives","type":"article-journal","volume":"202"},"uris":["http://www.mendeley.com/documents/?uuid=ef4069ff-6817-4e18-8853-24b1fe480fd6"]}],"mendeley":{"formattedCitation":"[119]","plainTextFormattedCitation":"[119]","previouslyFormattedCitation":"[119]"},"properties":{"noteIndex":0},"schema":"https://github.com/citation-style-language/schema/raw/master/csl-citation.json"}</w:instrText>
            </w:r>
            <w:r>
              <w:rPr>
                <w:rFonts w:ascii="Times New Roman" w:eastAsia="Times" w:hAnsi="Times New Roman" w:cs="Times New Roman"/>
                <w:spacing w:val="-4"/>
                <w:lang w:eastAsia="zh-CN"/>
              </w:rPr>
              <w:fldChar w:fldCharType="separate"/>
            </w:r>
            <w:r w:rsidRPr="00535EA6">
              <w:rPr>
                <w:rFonts w:ascii="Times New Roman" w:eastAsia="Times" w:hAnsi="Times New Roman" w:cs="Times New Roman"/>
                <w:noProof/>
                <w:spacing w:val="-4"/>
                <w:lang w:eastAsia="zh-CN"/>
              </w:rPr>
              <w:t>[119]</w:t>
            </w:r>
            <w:r>
              <w:rPr>
                <w:rFonts w:ascii="Times New Roman" w:eastAsia="Times" w:hAnsi="Times New Roman" w:cs="Times New Roman"/>
                <w:spacing w:val="-4"/>
                <w:lang w:eastAsia="zh-CN"/>
              </w:rPr>
              <w:fldChar w:fldCharType="end"/>
            </w:r>
          </w:p>
        </w:tc>
      </w:tr>
    </w:tbl>
    <w:p w:rsidR="009814E2" w:rsidRDefault="009814E2" w:rsidP="009814E2">
      <w:pPr>
        <w:pStyle w:val="05-ArticleText"/>
        <w:spacing w:after="0" w:line="480" w:lineRule="auto"/>
        <w:rPr>
          <w:spacing w:val="-4"/>
          <w:sz w:val="24"/>
          <w:szCs w:val="24"/>
          <w:lang w:val="en-GB"/>
        </w:rPr>
      </w:pPr>
    </w:p>
    <w:p w:rsidR="002A3793" w:rsidRPr="009814E2" w:rsidRDefault="009814E2" w:rsidP="00A23882">
      <w:pPr>
        <w:pStyle w:val="05-ArticleText"/>
        <w:spacing w:line="480" w:lineRule="auto"/>
        <w:rPr>
          <w:spacing w:val="-4"/>
          <w:sz w:val="24"/>
          <w:szCs w:val="24"/>
          <w:lang w:val="en-GB"/>
        </w:rPr>
      </w:pPr>
      <w:r w:rsidRPr="00A23882">
        <w:rPr>
          <w:spacing w:val="-4"/>
          <w:sz w:val="24"/>
          <w:szCs w:val="24"/>
          <w:lang w:val="en-GB"/>
        </w:rPr>
        <w:lastRenderedPageBreak/>
        <w:t xml:space="preserve">To determine the preferential binding site of </w:t>
      </w:r>
      <w:r w:rsidRPr="00A23882">
        <w:rPr>
          <w:b/>
          <w:spacing w:val="-4"/>
          <w:sz w:val="24"/>
          <w:szCs w:val="24"/>
          <w:lang w:val="en-GB"/>
        </w:rPr>
        <w:t>T</w:t>
      </w:r>
      <w:r w:rsidRPr="00A23882">
        <w:rPr>
          <w:spacing w:val="-4"/>
          <w:sz w:val="24"/>
          <w:szCs w:val="24"/>
          <w:lang w:val="en-GB"/>
        </w:rPr>
        <w:t xml:space="preserve">, spectrofluorometric competitive studies are usually performed </w:t>
      </w:r>
      <w:r w:rsidRPr="00A23882">
        <w:rPr>
          <w:spacing w:val="-4"/>
          <w:sz w:val="24"/>
          <w:szCs w:val="24"/>
          <w:lang w:val="en-GB"/>
        </w:rPr>
        <w:fldChar w:fldCharType="begin" w:fldLock="1"/>
      </w:r>
      <w:r w:rsidR="002D64E9">
        <w:rPr>
          <w:spacing w:val="-4"/>
          <w:sz w:val="24"/>
          <w:szCs w:val="24"/>
          <w:lang w:val="en-GB"/>
        </w:rPr>
        <w:instrText>ADDIN CSL_CITATION {"citationItems":[{"id":"ITEM-1","itemData":{"DOI":"10.1002/bio.2494","ISSN":"15227235","abstract":"Co-administration of several drugs in multidrug therapy may alter the binding of each to human serum albumin (HSA) and hence their pharmacological activity. Thirty-two frequently prescribed drug combinations, consisting of four fluoroquinolone antibiotics and eight competing drugs, have been studied using fluorescence and circular dichroism spectroscopic techniques. Competitive binding studies on the drug combinations are not available in the literature. In most cases, the presence of competing drug decreased the binding affinity of fluoroquinolone, resulting in an increase in the concentration of free pharmacologically active drug. The competitive binding mechanism involved could be interpreted in terms of the site specificity of the binding and competing drugs. For levofloxacin, the change in the binding affinity was small because in the presence of site II-specific competing drugs, levofloxacin mainly occupied site I. A competitive interference mechanism was operative for sparfloxacin, whereas competitive interference as well as site-to-site displacement of competing drugs was observed in the case of ciprofloxacin hydrochloride. For enrofloxacin, a different behavior was observed for different combinations; site-to-site displacement and conformational changes as well as independent binding has been observed for various drug combinations. Circular dichroism spectral studies showed that competitive binding did not cause any major structural changes in the HSA molecule. Copyright © 2013 John Wiley &amp; Sons, Ltd. Copyright © 2013 John Wiley &amp; Sons, Ltd.","author":[{"dropping-particle":"","family":"Seedher","given":"Neelam","non-dropping-particle":"","parse-names":false,"suffix":""},{"dropping-particle":"","family":"Agarwal","given":"Pooja","non-dropping-particle":"","parse-names":false,"suffix":""}],"container-title":"Luminescence","id":"ITEM-1","issued":{"date-parts":[["2013"]]},"page":"562-568","title":"Competitive binding of fluoroquinolone antibiotics and some other drugs to human serum albumin: A luminescence spectroscopic study","type":"article-journal","volume":"28"},"uris":["http://www.mendeley.com/documents/?uuid=5af01c72-2a84-4669-add0-cfef27bd84b7"]}],"mendeley":{"formattedCitation":"[120]","plainTextFormattedCitation":"[120]","previouslyFormattedCitation":"[120]"},"properties":{"noteIndex":0},"schema":"https://github.com/citation-style-language/schema/raw/master/csl-citation.json"}</w:instrText>
      </w:r>
      <w:r w:rsidRPr="00A23882">
        <w:rPr>
          <w:spacing w:val="-4"/>
          <w:sz w:val="24"/>
          <w:szCs w:val="24"/>
          <w:lang w:val="en-GB"/>
        </w:rPr>
        <w:fldChar w:fldCharType="separate"/>
      </w:r>
      <w:r w:rsidR="00535EA6" w:rsidRPr="00535EA6">
        <w:rPr>
          <w:noProof/>
          <w:spacing w:val="-4"/>
          <w:sz w:val="24"/>
          <w:szCs w:val="24"/>
          <w:lang w:val="en-GB"/>
        </w:rPr>
        <w:t>[120]</w:t>
      </w:r>
      <w:r w:rsidRPr="00A23882">
        <w:rPr>
          <w:spacing w:val="-4"/>
          <w:sz w:val="24"/>
          <w:szCs w:val="24"/>
          <w:lang w:val="en-GB"/>
        </w:rPr>
        <w:fldChar w:fldCharType="end"/>
      </w:r>
      <w:r w:rsidRPr="00A23882">
        <w:rPr>
          <w:spacing w:val="-4"/>
          <w:sz w:val="24"/>
          <w:szCs w:val="24"/>
          <w:lang w:val="en-GB"/>
        </w:rPr>
        <w:t>,</w:t>
      </w:r>
      <w:r w:rsidRPr="00A23882">
        <w:rPr>
          <w:spacing w:val="-4"/>
          <w:sz w:val="24"/>
          <w:szCs w:val="24"/>
          <w:lang w:val="en-GB"/>
        </w:rPr>
        <w:fldChar w:fldCharType="begin" w:fldLock="1"/>
      </w:r>
      <w:r w:rsidR="002D64E9">
        <w:rPr>
          <w:spacing w:val="-4"/>
          <w:sz w:val="24"/>
          <w:szCs w:val="24"/>
          <w:lang w:val="en-GB"/>
        </w:rPr>
        <w:instrText>ADDIN CSL_CITATION {"citationItems":[{"id":"ITEM-1","itemData":{"DOI":"10.1016/j.molstruc.2008.12.023","ISSN":"00222860","abstract":"Combination of several drugs is often necessary especially during long-them therapy. The competition between drugs can cause a decrease of the amount of a drug bound to albumin. This results in an increase of the free, biological active fraction of the drug. The aim of the presented study was to describe the competition between phenylbutazone (Phe) and methotrexate (MTX), two drugs recommended for the treatment of rheumatology in binding to bovine (BSA) and human (HSA) serum albumin in the high affinity binding site. Fluorescence analysis was used to estimate the effect of drugs on the protein fluorescence and to define the binding and quenching properties of drugs-serum albumin complexes. The effect of the displacement of one drug from the complex of the other with serum albumin has been described on the basis of the comparison of the quenching curves and binding constants for the binary and ternary systems. The conclusion that both Phe and MTX form a binding site in the same subdomain (IIA) points to the necessity of using a monitoring therapy owning to the possible increase of the uncontrolled toxic effects. © 2008 Elsevier B.V. All rights reserved.","author":[{"dropping-particle":"","family":"Maciazek-Jurczyk","given":"M.","non-dropping-particle":"","parse-names":false,"suffix":""},{"dropping-particle":"","family":"Sułkowska","given":"A.","non-dropping-particle":"","parse-names":false,"suffix":""},{"dropping-particle":"","family":"Bojko","given":"B.","non-dropping-particle":"","parse-names":false,"suffix":""},{"dropping-particle":"","family":"Równicka","given":"J.","non-dropping-particle":"","parse-names":false,"suffix":""},{"dropping-particle":"","family":"Sułkowski","given":"W. W.","non-dropping-particle":"","parse-names":false,"suffix":""}],"container-title":"Journal of Molecular Structure","id":"ITEM-1","issued":{"date-parts":[["2009"]]},"page":"378-384","title":"Fluorescence analysis of competition of phenylbutazone and methotrexate in binding to serum albumin in combination treatment in rheumatology","type":"article-journal","volume":"924-926"},"uris":["http://www.mendeley.com/documents/?uuid=12160c96-a74a-4f31-b5ca-d945849ead63"]}],"mendeley":{"formattedCitation":"[121]","plainTextFormattedCitation":"[121]","previouslyFormattedCitation":"[121]"},"properties":{"noteIndex":0},"schema":"https://github.com/citation-style-language/schema/raw/master/csl-citation.json"}</w:instrText>
      </w:r>
      <w:r w:rsidRPr="00A23882">
        <w:rPr>
          <w:spacing w:val="-4"/>
          <w:sz w:val="24"/>
          <w:szCs w:val="24"/>
          <w:lang w:val="en-GB"/>
        </w:rPr>
        <w:fldChar w:fldCharType="separate"/>
      </w:r>
      <w:r w:rsidR="00535EA6" w:rsidRPr="00535EA6">
        <w:rPr>
          <w:noProof/>
          <w:spacing w:val="-4"/>
          <w:sz w:val="24"/>
          <w:szCs w:val="24"/>
          <w:lang w:val="en-GB"/>
        </w:rPr>
        <w:t>[121]</w:t>
      </w:r>
      <w:r w:rsidRPr="00A23882">
        <w:rPr>
          <w:spacing w:val="-4"/>
          <w:sz w:val="24"/>
          <w:szCs w:val="24"/>
          <w:lang w:val="en-GB"/>
        </w:rPr>
        <w:fldChar w:fldCharType="end"/>
      </w:r>
      <w:r w:rsidRPr="00A23882">
        <w:rPr>
          <w:spacing w:val="-4"/>
          <w:sz w:val="24"/>
          <w:szCs w:val="24"/>
          <w:lang w:val="en-GB"/>
        </w:rPr>
        <w:t xml:space="preserve">. </w:t>
      </w:r>
      <w:r w:rsidRPr="00A23882">
        <w:rPr>
          <w:spacing w:val="-4"/>
          <w:sz w:val="24"/>
          <w:szCs w:val="24"/>
        </w:rPr>
        <w:t xml:space="preserve">In the more simple approach, firstly, the protein is saturated with a specific probe. Phenylbutazone is used to bind BSA at site I, whereas ibuprofen is used to mark site II </w:t>
      </w:r>
      <w:r w:rsidRPr="00A23882">
        <w:rPr>
          <w:spacing w:val="-4"/>
          <w:sz w:val="24"/>
          <w:szCs w:val="24"/>
        </w:rPr>
        <w:fldChar w:fldCharType="begin" w:fldLock="1"/>
      </w:r>
      <w:r w:rsidR="002D64E9">
        <w:rPr>
          <w:spacing w:val="-4"/>
          <w:sz w:val="24"/>
          <w:szCs w:val="24"/>
        </w:rPr>
        <w:instrText>ADDIN CSL_CITATION {"citationItems":[{"id":"ITEM-1","itemData":{"DOI":"10.1039/c6ra08283a","ISSN":"20462069","abstract":"Albumin, a major plasma protein with extraordinary ligand binding properties, transports various ligands ranging from drugs, hormones, fatty acids, and toxins to different tissues and organs in the body. Albumin can undergo glycation on reacting with circulating reducing sugars, and this modification can occur even more frequently under hyperglycaemic conditions. Glycation is a non-enzymatic reaction of proteins and sugars, which gives rise to the formation of early and advanced glycation end products (AGEs). AGEs are a fundamental factor in the development and progression of severe diabetic complications such as nephropathy, neuropathy, retinopathy and cardiovascular disorders. The pathological impact of AGEs is mainly attributed to the structural modifications of proteins due to their cross-linking properties and the modification of lysine and arginine side chains. Herein, we review the structure-function effects of glycation on albumin, specifically focusing on its drug binding functions. Considering its physiological significance, there is a need to focus current research on determining the structure-function impacts of non-enzymatic glycation on serum albumin.","author":[{"dropping-particle":"","family":"Awasthi","given":"Saurabh","non-dropping-particle":"","parse-names":false,"suffix":""},{"dropping-particle":"","family":"Saraswathi","given":"N. T.","non-dropping-particle":"","parse-names":false,"suffix":""}],"container-title":"RSC Advances","id":"ITEM-1","issue":"93","issued":{"date-parts":[["2016"]]},"page":"90739-90753","publisher":"Royal Society of Chemistry","title":"Non-enzymatic glycation mediated structure-function changes in proteins: Case of serum albumin","type":"article-journal","volume":"6"},"uris":["http://www.mendeley.com/documents/?uuid=983200c5-728f-4512-883b-314b538074b2"]}],"mendeley":{"formattedCitation":"[122]","plainTextFormattedCitation":"[122]","previouslyFormattedCitation":"[122]"},"properties":{"noteIndex":0},"schema":"https://github.com/citation-style-language/schema/raw/master/csl-citation.json"}</w:instrText>
      </w:r>
      <w:r w:rsidRPr="00A23882">
        <w:rPr>
          <w:spacing w:val="-4"/>
          <w:sz w:val="24"/>
          <w:szCs w:val="24"/>
        </w:rPr>
        <w:fldChar w:fldCharType="separate"/>
      </w:r>
      <w:r w:rsidR="00535EA6" w:rsidRPr="00535EA6">
        <w:rPr>
          <w:noProof/>
          <w:spacing w:val="-4"/>
          <w:sz w:val="24"/>
          <w:szCs w:val="24"/>
        </w:rPr>
        <w:t>[122]</w:t>
      </w:r>
      <w:r w:rsidRPr="00A23882">
        <w:rPr>
          <w:spacing w:val="-4"/>
          <w:sz w:val="24"/>
          <w:szCs w:val="24"/>
        </w:rPr>
        <w:fldChar w:fldCharType="end"/>
      </w:r>
      <w:r w:rsidRPr="00A23882">
        <w:rPr>
          <w:spacing w:val="-4"/>
          <w:sz w:val="24"/>
          <w:szCs w:val="24"/>
        </w:rPr>
        <w:t xml:space="preserve">. Warfarin is employed as a probe for site I as well </w:t>
      </w:r>
      <w:r w:rsidRPr="00A23882">
        <w:rPr>
          <w:spacing w:val="-4"/>
          <w:sz w:val="24"/>
          <w:szCs w:val="24"/>
        </w:rPr>
        <w:fldChar w:fldCharType="begin" w:fldLock="1"/>
      </w:r>
      <w:r w:rsidR="002D64E9">
        <w:rPr>
          <w:spacing w:val="-4"/>
          <w:sz w:val="24"/>
          <w:szCs w:val="24"/>
        </w:rPr>
        <w:instrText>ADDIN CSL_CITATION {"citationItems":[{"id":"ITEM-1","itemData":{"DOI":"10.1016/j.aca.2006.07.059","ISSN":"00032670","abstract":"The interactions of salicylic acid (SL) and two different site markers (warfarin for site I and ibuprofen for site II) with bovine serum albumin (BSA) in pH 7.4 Tris-HCl buffer have been investigated with the use of spectrofluorimetry. An equilibrium solution of BSA and SA was titrated separately with the two markers. This initial work showed that the binding of SL with BSA could be quite complex, and that there was probably a competitive interaction occurring between ibuprofen and SL. However, the spectral results were difficult to interpret clearly for the interaction of warfarin and SL in similar circumstances. To extract more information from the resolution of fluorescence excitation-emission spectra, the contour plots of the fluorescence spectra indicated that the optimal excitation wavelengths for BSA, SL, warfarin and ibuprofen were different, and were found to be at 278, 295, 306 and 218 nm, respectively. The spectral information was arranged into three-way excitation-emission fluorescence matrix (EEM) stack arrays, and was submitted for analysis by the parallel factor analysis (PARAFAC) algorithm. Firstly, it was demonstrated that the estimated excitation and emission spectral responses for SL, BSA and the site markers, warfarin and ibuprofen, agreed well with the measured spectra. Then, the interpretation of the plots of simultaneously extracted (by PARAFAC) equilibrium concentrations for the above four reactants, showed that: (i) the SL primarily appears to bind in site I but at a different location from the high-affinity binding site (HAS) for warfarin, and the interaction partially overlaps with the low-affinity binding site (LAS) for warfarin. (ii) The SL may have two LAS-one in site II where the HAS for ibuprofen is located, and the other in site I at the LAS for ibuprofen. Thus, application of the PARAFAC method for the study of competitive interaction of SL and BSA with the aid of two different site markers has extracted information unobtainable by traditional methods such as the Scatchard plot, and provided useful means of data visualization. © 2006 Elsevier B.V. All rights reserved.","author":[{"dropping-particle":"","family":"Ni","given":"Yongnian","non-dropping-particle":"","parse-names":false,"suffix":""},{"dropping-particle":"","family":"Su","given":"Shaojing","non-dropping-particle":"","parse-names":false,"suffix":""},{"dropping-particle":"","family":"Kokot","given":"Serge","non-dropping-particle":"","parse-names":false,"suffix":""}],"container-title":"Analytica Chimica Acta","id":"ITEM-1","issue":"2","issued":{"date-parts":[["2006"]]},"page":"206-215","title":"Spectrofluorimetric studies on the binding of salicylic acid to bovine serum albumin using warfarin and ibuprofen as site markers with the aid of parallel factor analysis","type":"article-journal","volume":"580"},"uris":["http://www.mendeley.com/documents/?uuid=080cf9e4-e32a-4026-8eb5-677bf11706b0"]}],"mendeley":{"formattedCitation":"[123]","plainTextFormattedCitation":"[123]","previouslyFormattedCitation":"[123]"},"properties":{"noteIndex":0},"schema":"https://github.com/citation-style-language/schema/raw/master/csl-citation.json"}</w:instrText>
      </w:r>
      <w:r w:rsidRPr="00A23882">
        <w:rPr>
          <w:spacing w:val="-4"/>
          <w:sz w:val="24"/>
          <w:szCs w:val="24"/>
        </w:rPr>
        <w:fldChar w:fldCharType="separate"/>
      </w:r>
      <w:r w:rsidR="00535EA6" w:rsidRPr="00535EA6">
        <w:rPr>
          <w:noProof/>
          <w:spacing w:val="-4"/>
          <w:sz w:val="24"/>
          <w:szCs w:val="24"/>
        </w:rPr>
        <w:t>[123]</w:t>
      </w:r>
      <w:r w:rsidRPr="00A23882">
        <w:rPr>
          <w:spacing w:val="-4"/>
          <w:sz w:val="24"/>
          <w:szCs w:val="24"/>
        </w:rPr>
        <w:fldChar w:fldCharType="end"/>
      </w:r>
      <w:r w:rsidRPr="00A23882">
        <w:rPr>
          <w:spacing w:val="-4"/>
          <w:sz w:val="24"/>
          <w:szCs w:val="24"/>
        </w:rPr>
        <w:t xml:space="preserve">, whereas diazepam and flufenamic acid are alternatives probes for site II </w:t>
      </w:r>
      <w:r w:rsidRPr="00A23882">
        <w:rPr>
          <w:spacing w:val="-4"/>
          <w:sz w:val="24"/>
          <w:szCs w:val="24"/>
        </w:rPr>
        <w:fldChar w:fldCharType="begin" w:fldLock="1"/>
      </w:r>
      <w:r w:rsidR="002D64E9">
        <w:rPr>
          <w:spacing w:val="-4"/>
          <w:sz w:val="24"/>
          <w:szCs w:val="24"/>
        </w:rPr>
        <w:instrText>ADDIN CSL_CITATION {"citationItems":[{"id":"ITEM-1","itemData":{"DOI":"10.1016/j.dyepig.2009.05.003","ISSN":"01437208","abstract":"The mechanism of interaction between C.I. Acid Red 2 and human serum albumin was studied using different spectroscopic methods. The binding constants for the formation of a complex between the dye and albumin were 2.557, 2.461 and 2.383 × 105 M-1 at 298, 304 and 310 K, respectively. The associated changes in enthalpy and entropy were -4.512 kJ mol-1 and 88.38 J mol-1 K-1, indicating that hydrophobic interactions as well as H-bonding were the dominant intermolecular forces stabilizing the complex. Site marker competitive experiments revealed that the binding of the dye to albumin occurred in subdomain IIA; the distance between dye and albumin was 3.91 nm according to fluorescence resonance energy transfer theory. Changes in the albumin secondary structure imparted by the dye were confirmed using synchronous fluorescence, electronic absorption, circular dichroism and three-dimensional fluorescence spectroscopy. © 2009 Elsevier Ltd. All rights reserved.","author":[{"dropping-particle":"","family":"Ding","given":"Fei","non-dropping-particle":"","parse-names":false,"suffix":""},{"dropping-particle":"","family":"Li","given":"Nan","non-dropping-particle":"","parse-names":false,"suffix":""},{"dropping-particle":"","family":"Han","given":"Binyue","non-dropping-particle":"","parse-names":false,"suffix":""},{"dropping-particle":"","family":"Liu","given":"Feng","non-dropping-particle":"","parse-names":false,"suffix":""},{"dropping-particle":"","family":"Zhang","given":"Li","non-dropping-particle":"","parse-names":false,"suffix":""},{"dropping-particle":"","family":"Sun","given":"Ying","non-dropping-particle":"","parse-names":false,"suffix":""}],"container-title":"Dyes and Pigments","id":"ITEM-1","issue":"2","issued":{"date-parts":[["2009"]]},"page":"249-257","publisher":"Elsevier Ltd","title":"The binding of C.I. Acid Red 2 to human serum albumin: Determination of binding mechanism and binding site using fluorescence spectroscopy","type":"article-journal","volume":"83"},"uris":["http://www.mendeley.com/documents/?uuid=0a4ce38e-1b9d-4266-835b-45420dfa5c7e"]}],"mendeley":{"formattedCitation":"[124]","plainTextFormattedCitation":"[124]","previouslyFormattedCitation":"[124]"},"properties":{"noteIndex":0},"schema":"https://github.com/citation-style-language/schema/raw/master/csl-citation.json"}</w:instrText>
      </w:r>
      <w:r w:rsidRPr="00A23882">
        <w:rPr>
          <w:spacing w:val="-4"/>
          <w:sz w:val="24"/>
          <w:szCs w:val="24"/>
        </w:rPr>
        <w:fldChar w:fldCharType="separate"/>
      </w:r>
      <w:r w:rsidR="00535EA6" w:rsidRPr="00535EA6">
        <w:rPr>
          <w:noProof/>
          <w:spacing w:val="-4"/>
          <w:sz w:val="24"/>
          <w:szCs w:val="24"/>
        </w:rPr>
        <w:t>[124]</w:t>
      </w:r>
      <w:r w:rsidRPr="00A23882">
        <w:rPr>
          <w:spacing w:val="-4"/>
          <w:sz w:val="24"/>
          <w:szCs w:val="24"/>
        </w:rPr>
        <w:fldChar w:fldCharType="end"/>
      </w:r>
      <w:r w:rsidRPr="00A23882">
        <w:rPr>
          <w:spacing w:val="-4"/>
          <w:sz w:val="24"/>
          <w:szCs w:val="24"/>
        </w:rPr>
        <w:t xml:space="preserve">. Displacement experiments are then carried out by adding increasing amounts of </w:t>
      </w:r>
      <w:r w:rsidRPr="00A23882">
        <w:rPr>
          <w:b/>
          <w:spacing w:val="-4"/>
          <w:sz w:val="24"/>
          <w:szCs w:val="24"/>
        </w:rPr>
        <w:t>T</w:t>
      </w:r>
      <w:r w:rsidRPr="00A23882">
        <w:rPr>
          <w:spacing w:val="-4"/>
          <w:sz w:val="24"/>
          <w:szCs w:val="24"/>
        </w:rPr>
        <w:t xml:space="preserve"> to the labelled-BSA solutions </w:t>
      </w:r>
      <w:r w:rsidRPr="00A23882">
        <w:rPr>
          <w:spacing w:val="-4"/>
          <w:sz w:val="24"/>
          <w:szCs w:val="24"/>
        </w:rPr>
        <w:fldChar w:fldCharType="begin" w:fldLock="1"/>
      </w:r>
      <w:r w:rsidR="00DD5357">
        <w:rPr>
          <w:spacing w:val="-4"/>
          <w:sz w:val="24"/>
          <w:szCs w:val="24"/>
        </w:rPr>
        <w:instrText>ADDIN CSL_CITATION {"citationItems":[{"id":"ITEM-1","itemData":{"DOI":"10.1016/j.jphotobiol.2015.10.023","ISSN":"18732682","abstract":"The binding interactions of three kinds of tyrosine kinase inhibitors (TKIs), such as gefitinib, lapatinib and sunitinib, with bovine serum albumin (BSA) were studied using ultraviolet spectrophotometry, fluorescence spectroscopy, circular dichroism (CD), Fourier transform infrared spectroscopy (FT-IR) and molecular docking methods. The experimental results showed that the intrinsic fluorescence quenching of BSA induced by the three TKIs resulted from the formation of stable TKIs-BSA complexes through the binding interaction of TKIs with BSA. The stoichiometry of three stable TKIs-BSA complexes was 1:1 and the binding constants (Kb) of the three TKIs-BSA complexes were in the order of 104 M- 1 at 310 K, indicating that there was a strong binding interaction of the three TKIs with BSA. Based on the analysis of the signs and magnitudes of the free energy change (ΔG0), enthalpic change (ΔH0) and entropic change (ΔS0) in the binding process, it can be deduced that the binding process of the three TKIs with BSA was spontaneous and enthalpy-driven process, and the main interaction forces between the three TKIs and BSA were van der Waals force and hydrogen bonding interaction. Moreover, from the results of CD, FT-IR and molecular docking, it can be concluded that there was a significant difference between the three TKIs in the binding site on BSA, lapatinib was located on site II (m) of BSA while gefitinib and sunitinib were bound on site I of BSA, and there were some changes in the BSA conformation when binding three TKIs to BSA but BSA still retains its secondary structure α-helicity.","author":[{"dropping-particle":"","family":"Shen","given":"Guo Feng","non-dropping-particle":"","parse-names":false,"suffix":""},{"dropping-particle":"","family":"Liu","given":"Ting Ting","non-dropping-particle":"","parse-names":false,"suffix":""},{"dropping-particle":"","family":"Wang","given":"Qi","non-dropping-particle":"","parse-names":false,"suffix":""},{"dropping-particle":"","family":"Jiang","given":"Min","non-dropping-particle":"","parse-names":false,"suffix":""},{"dropping-particle":"","family":"Shi","given":"Jie Hua","non-dropping-particle":"","parse-names":false,"suffix":""}],"container-title":"Journal of Photochemistry and Photobiology B: Biology","id":"ITEM-1","issued":{"date-parts":[["2015"]]},"page":"380-390","title":"Spectroscopic and molecular docking studies of binding interaction of gefitinib, lapatinib and sunitinib with bovine serum albumin (BSA)","type":"article-journal","volume":"153"},"uris":["http://www.mendeley.com/documents/?uuid=b1d89a60-6a65-4ad0-bfcd-1abb3c9b2a7e"]}],"mendeley":{"formattedCitation":"[66]","plainTextFormattedCitation":"[66]","previouslyFormattedCitation":"[66]"},"properties":{"noteIndex":0},"schema":"https://github.com/citation-style-language/schema/raw/master/csl-citation.json"}</w:instrText>
      </w:r>
      <w:r w:rsidRPr="00A23882">
        <w:rPr>
          <w:spacing w:val="-4"/>
          <w:sz w:val="24"/>
          <w:szCs w:val="24"/>
        </w:rPr>
        <w:fldChar w:fldCharType="separate"/>
      </w:r>
      <w:r w:rsidR="00DD5357" w:rsidRPr="00DD5357">
        <w:rPr>
          <w:noProof/>
          <w:spacing w:val="-4"/>
          <w:sz w:val="24"/>
          <w:szCs w:val="24"/>
        </w:rPr>
        <w:t>[66]</w:t>
      </w:r>
      <w:r w:rsidRPr="00A23882">
        <w:rPr>
          <w:spacing w:val="-4"/>
          <w:sz w:val="24"/>
          <w:szCs w:val="24"/>
        </w:rPr>
        <w:fldChar w:fldCharType="end"/>
      </w:r>
      <w:r w:rsidRPr="00A23882">
        <w:rPr>
          <w:spacing w:val="-4"/>
          <w:sz w:val="24"/>
          <w:szCs w:val="24"/>
        </w:rPr>
        <w:t xml:space="preserve">. The equilibrium constant for binding to BSA alone, probe I-BSA and probe II-BSA are thereby compared. Significant variations of K for the free and the marked protein indicate that the ligand and the probe compete for the same binding site, therefore this can be determined. </w:t>
      </w:r>
      <w:r w:rsidR="002A3793" w:rsidRPr="00A23882">
        <w:rPr>
          <w:spacing w:val="-4"/>
          <w:sz w:val="24"/>
          <w:szCs w:val="24"/>
        </w:rPr>
        <w:t xml:space="preserve">The qualitative meaning of such a practical comparison is quite straightforward. However, again, these experiments may not be as simple as it might seem at first sight. The detailed analysis of the exchange process needs more complicated solution equilibria studies </w:t>
      </w:r>
      <w:r w:rsidR="002A3793" w:rsidRPr="00A23882">
        <w:rPr>
          <w:spacing w:val="-4"/>
          <w:sz w:val="24"/>
          <w:szCs w:val="24"/>
        </w:rPr>
        <w:fldChar w:fldCharType="begin" w:fldLock="1"/>
      </w:r>
      <w:r w:rsidR="002D64E9">
        <w:rPr>
          <w:spacing w:val="-4"/>
          <w:sz w:val="24"/>
          <w:szCs w:val="24"/>
        </w:rPr>
        <w:instrText>ADDIN CSL_CITATION {"citationItems":[{"id":"ITEM-1","itemData":{"DOI":"10.1016/j.bbagen.2004.10.013","ISSN":"03044165","abstract":"After a meal rich in plant products, dietary flavonols can be detected in plasma as serum albumin-bound conjugates. Flavonol-albumin binding is expected to modulate the bioavailability of flavonols. In this work, the binding of structurally different flavonoids to human and bovine serum albumins is investigated by fluorescence spectroscopy using three methods: the quenching of the albumin fluorescence, the enhancement of the flavonoid fluorescence, the quenching of the fluorescence of the quercetin-albumin complex by a second flavonoid. The latter method is extended to probes whose high-affinity binding sites are known to be located in one of the two major subdomains (warfarin and dansyl-l-asparagine for subdomain IIA, ibuprofen and diazepam for subdomain IIIA). Overall, flavonoids display moderate affinities for albumins (binding constants in the range 1-15×10 4 M -1), flavones and flavonols being most tightly bound. Glycosidation and sulfation could lower the affinity to albumin by one order of magnitude depending on the conjugation site. Despite multiple binding of both quercetin and site probes, it can be proposed that the binding of flavonols primarily takes place in subdomain IIA. Significant differences in affinity and binding location are observed for the highly homologous HSA and BSA. © 2004 Elsevier B.V. All rights reserved.","author":[{"dropping-particle":"","family":"Dufour","given":"Claire","non-dropping-particle":"","parse-names":false,"suffix":""},{"dropping-particle":"","family":"Dangles","given":"Olivier","non-dropping-particle":"","parse-names":false,"suffix":""}],"container-title":"Biochimica et Biophysica Acta - General Subjects","id":"ITEM-1","issued":{"date-parts":[["2005"]]},"page":"164-173","title":"Flavonoid-serum albumin complexation: Determination of binding constants and binding sites by fluorescence spectroscopy","type":"article-journal","volume":"1721"},"uris":["http://www.mendeley.com/documents/?uuid=fc257e62-38f9-4ebc-b603-dcd5c9be1670"]}],"mendeley":{"formattedCitation":"[125]","plainTextFormattedCitation":"[125]","previouslyFormattedCitation":"[125]"},"properties":{"noteIndex":0},"schema":"https://github.com/citation-style-language/schema/raw/master/csl-citation.json"}</w:instrText>
      </w:r>
      <w:r w:rsidR="002A3793" w:rsidRPr="00A23882">
        <w:rPr>
          <w:spacing w:val="-4"/>
          <w:sz w:val="24"/>
          <w:szCs w:val="24"/>
        </w:rPr>
        <w:fldChar w:fldCharType="separate"/>
      </w:r>
      <w:r w:rsidR="00535EA6" w:rsidRPr="00535EA6">
        <w:rPr>
          <w:noProof/>
          <w:spacing w:val="-4"/>
          <w:sz w:val="24"/>
          <w:szCs w:val="24"/>
        </w:rPr>
        <w:t>[125]</w:t>
      </w:r>
      <w:r w:rsidR="002A3793" w:rsidRPr="00A23882">
        <w:rPr>
          <w:spacing w:val="-4"/>
          <w:sz w:val="24"/>
          <w:szCs w:val="24"/>
        </w:rPr>
        <w:fldChar w:fldCharType="end"/>
      </w:r>
      <w:r w:rsidR="002A3793" w:rsidRPr="00A23882">
        <w:rPr>
          <w:spacing w:val="-4"/>
          <w:sz w:val="24"/>
          <w:szCs w:val="24"/>
        </w:rPr>
        <w:t>,</w:t>
      </w:r>
      <w:r w:rsidR="002A3793" w:rsidRPr="00A23882">
        <w:rPr>
          <w:spacing w:val="-4"/>
          <w:sz w:val="24"/>
          <w:szCs w:val="24"/>
        </w:rPr>
        <w:fldChar w:fldCharType="begin" w:fldLock="1"/>
      </w:r>
      <w:r w:rsidR="002D64E9">
        <w:rPr>
          <w:spacing w:val="-4"/>
          <w:sz w:val="24"/>
          <w:szCs w:val="24"/>
        </w:rPr>
        <w:instrText>ADDIN CSL_CITATION {"citationItems":[{"id":"ITEM-1","itemData":{"DOI":"10.1016/j.saa.2008.07.004","ISSN":"13861425","abstract":"The interaction of quercetin, which is a bioflavonoid, with bovine serum albumin (BSA) was investigated under pseudo-physiological conditions by the application of UV-vis spectrometry, spectrofluorimetry and cyclic voltammetry (CV). These studies indicated a cooperative interaction between the quercetin-BSA complex and warfarin, which produced a ternary complex, quercetin-BSA-warfarin. It was found that both quercetin and warfarin were located in site I. However, the spectra of these three components overlapped and the chemometrics method - multivariate curve resolution-alternating least squares (MCR-ALS) was applied to resolve the spectra. The resolved spectra of quercetin-BSA and warfarin agreed well with their measured spectra, and importantly, the spectrum of the quercetin-BSA-warfarin complex was extracted. These results allowed the rationalization of the behaviour of the overlapping spectra. At lower concentrations ([warfarin] &lt; 1 × 10-5 mol L-1), most of the site marker reacted with the quercetin-BSA, but free warfarin was present at higher concentrations. Interestingly, the ratio between quercetin-BSA and warfarin was found to be 1:2, suggesting a quercetin-BSA-(warfarin)2 complex, and the estimated equilibrium constant was 1.4 × 1011 M-2. The results suggest that at low concentrations, warfarin binds at the high-affinity sites (HAS), while low-affinity binding sites (LAS) are occupied at higher concentrations. © 2008 Elsevier B.V. All rights reserved.","author":[{"dropping-particle":"","family":"Ni","given":"Yongnian","non-dropping-particle":"","parse-names":false,"suffix":""},{"dropping-particle":"","family":"Zhang","given":"Xia","non-dropping-particle":"","parse-names":false,"suffix":""},{"dropping-particle":"","family":"Kokot","given":"Serge","non-dropping-particle":"","parse-names":false,"suffix":""}],"container-title":"Spectrochimica Acta - Part A: Molecular and Biomolecular Spectroscopy","id":"ITEM-1","issued":{"date-parts":[["2009"]]},"page":"1865-1872","title":"Spectrometric and voltammetric studies of the interaction between quercetin and bovine serum albumin using warfarin as site marker with the aid of chemometrics","type":"article-journal","volume":"71"},"uris":["http://www.mendeley.com/documents/?uuid=b711f491-b18d-4171-8e9a-300d7c380036"]}],"mendeley":{"formattedCitation":"[126]","plainTextFormattedCitation":"[126]","previouslyFormattedCitation":"[126]"},"properties":{"noteIndex":0},"schema":"https://github.com/citation-style-language/schema/raw/master/csl-citation.json"}</w:instrText>
      </w:r>
      <w:r w:rsidR="002A3793" w:rsidRPr="00A23882">
        <w:rPr>
          <w:spacing w:val="-4"/>
          <w:sz w:val="24"/>
          <w:szCs w:val="24"/>
        </w:rPr>
        <w:fldChar w:fldCharType="separate"/>
      </w:r>
      <w:r w:rsidR="00535EA6" w:rsidRPr="00535EA6">
        <w:rPr>
          <w:noProof/>
          <w:spacing w:val="-4"/>
          <w:sz w:val="24"/>
          <w:szCs w:val="24"/>
        </w:rPr>
        <w:t>[126]</w:t>
      </w:r>
      <w:r w:rsidR="002A3793" w:rsidRPr="00A23882">
        <w:rPr>
          <w:spacing w:val="-4"/>
          <w:sz w:val="24"/>
          <w:szCs w:val="24"/>
        </w:rPr>
        <w:fldChar w:fldCharType="end"/>
      </w:r>
      <w:r w:rsidR="002A3793" w:rsidRPr="00A23882">
        <w:rPr>
          <w:spacing w:val="-4"/>
          <w:sz w:val="24"/>
          <w:szCs w:val="24"/>
        </w:rPr>
        <w:t xml:space="preserve">. Also, experimentally, the addition of high amounts of </w:t>
      </w:r>
      <w:r w:rsidR="002A3793" w:rsidRPr="00A23882">
        <w:rPr>
          <w:b/>
          <w:spacing w:val="-4"/>
          <w:sz w:val="24"/>
          <w:szCs w:val="24"/>
        </w:rPr>
        <w:t xml:space="preserve">T </w:t>
      </w:r>
      <w:r w:rsidR="002A3793" w:rsidRPr="00A23882">
        <w:rPr>
          <w:spacing w:val="-4"/>
          <w:sz w:val="24"/>
          <w:szCs w:val="24"/>
        </w:rPr>
        <w:t xml:space="preserve">may produce too high bias in the measured fluorescence (which is often already lowered by the addition of the probe) if the already discussed inner filter effects are strongly at play. Another point, which is often not well described in many papers, concerns the details and rationale of the probe-BSA mixture preparation. Let’s take warfarin as an example. A robust value to be used as the warfarin-BSA binding constant is not easily found in the literature, given the different experimental conditions/buffers possible together with different techniques and mathematical equations used </w:t>
      </w:r>
      <w:r w:rsidR="002A3793" w:rsidRPr="00A23882">
        <w:rPr>
          <w:spacing w:val="-4"/>
          <w:sz w:val="24"/>
          <w:szCs w:val="24"/>
        </w:rPr>
        <w:fldChar w:fldCharType="begin" w:fldLock="1"/>
      </w:r>
      <w:r w:rsidR="002D64E9">
        <w:rPr>
          <w:spacing w:val="-4"/>
          <w:sz w:val="24"/>
          <w:szCs w:val="24"/>
        </w:rPr>
        <w:instrText>ADDIN CSL_CITATION {"citationItems":[{"id":"ITEM-1","itemData":{"DOI":"10.1016/j.jpba.2017.12.008","ISSN":"1873264X","abstract":"Interaction thermodynamics between warfarin, a very popular anticoagulant, and Sudlow I binding site of human (HSA) or bovine (BSA) serum albumin have been examined in strictly controlled experimental conditions (HEPES buffer 50 mM, pH 7.4 and 25 °C) by means of isothermal titration calorimetry (ITC), fluorescence spectrometry (FS) and frontal analysis capillary electrophoresis (FA/CE). Each technique is based on measurements of a different property of the biochemical system, and then the results allow a critical discussion about the suitability of each approach to estimate the drug-protein binding parameters. The strongest interaction step is properly evaluated by the three assayed approaches being the derived binding constants strongly consistent: from 4 × 104 to 7 × 104 for HSA and from 0.8 × 105 to 1.2 × 105 for BSA. Binding enthalpy variations also show consistent results: −5.4 and −5.6 Kcal/mol for HSA and −4.3 and −3.7 Kcal/mol for BSA, as measured by ITC and FS, respectively. Further high order interaction events for both albumins are detected only by FA/CE.","author":[{"dropping-particle":"","family":"Ràfols","given":"Clara","non-dropping-particle":"","parse-names":false,"suffix":""},{"dropping-particle":"","family":"Amézqueta","given":"Susana","non-dropping-particle":"","parse-names":false,"suffix":""},{"dropping-particle":"","family":"Fuguet","given":"Elisabet","non-dropping-particle":"","parse-names":false,"suffix":""},{"dropping-particle":"","family":"Bosch","given":"Elisabeth","non-dropping-particle":"","parse-names":false,"suffix":""}],"container-title":"Journal of Pharmaceutical and Biomedical Analysis","id":"ITEM-1","issued":{"date-parts":[["2018"]]},"page":"452-459","title":"Molecular interactions between warfarin and human (HSA) or bovine (BSA) serum albumin evaluated by isothermal titration calorimetry (ITC), fluorescence spectrometry (FS) and frontal analysis capillary electrophoresis (FA/CE)","type":"article-journal","volume":"150"},"uris":["http://www.mendeley.com/documents/?uuid=09f637c3-99c4-4762-8b34-f645d0bfbe89"]}],"mendeley":{"formattedCitation":"[127]","plainTextFormattedCitation":"[127]","previouslyFormattedCitation":"[127]"},"properties":{"noteIndex":0},"schema":"https://github.com/citation-style-language/schema/raw/master/csl-citation.json"}</w:instrText>
      </w:r>
      <w:r w:rsidR="002A3793" w:rsidRPr="00A23882">
        <w:rPr>
          <w:spacing w:val="-4"/>
          <w:sz w:val="24"/>
          <w:szCs w:val="24"/>
        </w:rPr>
        <w:fldChar w:fldCharType="separate"/>
      </w:r>
      <w:r w:rsidR="00535EA6" w:rsidRPr="00535EA6">
        <w:rPr>
          <w:noProof/>
          <w:spacing w:val="-4"/>
          <w:sz w:val="24"/>
          <w:szCs w:val="24"/>
        </w:rPr>
        <w:t>[127]</w:t>
      </w:r>
      <w:r w:rsidR="002A3793" w:rsidRPr="00A23882">
        <w:rPr>
          <w:spacing w:val="-4"/>
          <w:sz w:val="24"/>
          <w:szCs w:val="24"/>
        </w:rPr>
        <w:fldChar w:fldCharType="end"/>
      </w:r>
      <w:r w:rsidR="002A3793" w:rsidRPr="00A23882">
        <w:rPr>
          <w:spacing w:val="-4"/>
          <w:sz w:val="24"/>
          <w:szCs w:val="24"/>
        </w:rPr>
        <w:t xml:space="preserve">. Under diluted conditions for both BSA and probe concentrations  (often 1-10 µM range), the percentage of probe-BSA complex formation could be low. Thus, being most of the target sites still free, the exchange experiment might be less effective. The attentive preparation of the test would better first consider a titration of the probe-BSA system under the same experimental conditions used for the subsequent addition of </w:t>
      </w:r>
      <w:r w:rsidR="002A3793" w:rsidRPr="00A23882">
        <w:rPr>
          <w:b/>
          <w:spacing w:val="-4"/>
          <w:sz w:val="24"/>
          <w:szCs w:val="24"/>
        </w:rPr>
        <w:t>T</w:t>
      </w:r>
      <w:r w:rsidR="002A3793" w:rsidRPr="00A23882">
        <w:rPr>
          <w:spacing w:val="-4"/>
          <w:sz w:val="24"/>
          <w:szCs w:val="24"/>
        </w:rPr>
        <w:t xml:space="preserve">. The binding affinity for both single probe-BSA and </w:t>
      </w:r>
      <w:r w:rsidR="002A3793" w:rsidRPr="00A23882">
        <w:rPr>
          <w:b/>
          <w:spacing w:val="-4"/>
          <w:sz w:val="24"/>
          <w:szCs w:val="24"/>
        </w:rPr>
        <w:t>T</w:t>
      </w:r>
      <w:r w:rsidR="002A3793" w:rsidRPr="00A23882">
        <w:rPr>
          <w:spacing w:val="-4"/>
          <w:sz w:val="24"/>
          <w:szCs w:val="24"/>
        </w:rPr>
        <w:t xml:space="preserve">-BSA systems will be known and a high percentage of site labelling can be ensured. Species distribution diagrams confirming probe-BSA complex formation (and describing the process for the addition of increasing amounts of </w:t>
      </w:r>
      <w:r w:rsidR="002A3793" w:rsidRPr="00A23882">
        <w:rPr>
          <w:b/>
          <w:spacing w:val="-4"/>
          <w:sz w:val="24"/>
          <w:szCs w:val="24"/>
        </w:rPr>
        <w:t>T</w:t>
      </w:r>
      <w:r w:rsidR="002A3793" w:rsidRPr="00A23882">
        <w:rPr>
          <w:spacing w:val="-4"/>
          <w:sz w:val="24"/>
          <w:szCs w:val="24"/>
        </w:rPr>
        <w:t xml:space="preserve"> over a certain range) can be a useful additional tool (software</w:t>
      </w:r>
      <w:r w:rsidR="00C34931">
        <w:rPr>
          <w:spacing w:val="-4"/>
          <w:sz w:val="24"/>
          <w:szCs w:val="24"/>
        </w:rPr>
        <w:t>s</w:t>
      </w:r>
      <w:r w:rsidR="002A3793" w:rsidRPr="00A23882">
        <w:rPr>
          <w:spacing w:val="-4"/>
          <w:sz w:val="24"/>
          <w:szCs w:val="24"/>
        </w:rPr>
        <w:t xml:space="preserve"> such as HySS </w:t>
      </w:r>
      <w:r w:rsidR="002A3793" w:rsidRPr="00A23882">
        <w:rPr>
          <w:spacing w:val="-4"/>
          <w:sz w:val="24"/>
          <w:szCs w:val="24"/>
        </w:rPr>
        <w:fldChar w:fldCharType="begin" w:fldLock="1"/>
      </w:r>
      <w:r w:rsidR="002D64E9">
        <w:rPr>
          <w:spacing w:val="-4"/>
          <w:sz w:val="24"/>
          <w:szCs w:val="24"/>
        </w:rPr>
        <w:instrText>ADDIN CSL_CITATION {"citationItems":[{"id":"ITEM-1","itemData":{"DOI":"10.1016/S0010-8545(98)00260-4","ISSN":"00108545","abstract":"Hyperquad simulation and speciation (HySS) is a computer program written for the Windows operating system on personal computers which provides (a) a system for simulating titration curves and (b) a system for providing speciation diagrams. The calculations relate to equilibria in solution and also include the possibility of formation of a partially soluble precipitate. There are no restrictions as to the number of reagents that may be present or the number of complexes that may be formed. © 1999 Elsevier Science S.A. All rights reserved.","author":[{"dropping-particle":"","family":"Alderighi","given":"Lucia","non-dropping-particle":"","parse-names":false,"suffix":""},{"dropping-particle":"","family":"Gans","given":"Peter","non-dropping-particle":"","parse-names":false,"suffix":""},{"dropping-particle":"","family":"Ienco","given":"Andrea","non-dropping-particle":"","parse-names":false,"suffix":""},{"dropping-particle":"","family":"Peters","given":"Daniel","non-dropping-particle":"","parse-names":false,"suffix":""},{"dropping-particle":"","family":"Sabatini","given":"Antonio","non-dropping-particle":"","parse-names":false,"suffix":""},{"dropping-particle":"","family":"Vacca","given":"Alberto","non-dropping-particle":"","parse-names":false,"suffix":""}],"container-title":"Coordination Chemistry Reviews","id":"ITEM-1","issued":{"date-parts":[["1999"]]},"page":"311-318","title":"Hyperquad simulation and speciation (HySS): A utility program for the investigation of equilibria involving soluble and partially soluble species","type":"article"},"uris":["http://www.mendeley.com/documents/?uuid=80efe585-309c-4a7b-88ed-d79ba32425f7"]}],"mendeley":{"formattedCitation":"[128]","plainTextFormattedCitation":"[128]","previouslyFormattedCitation":"[128]"},"properties":{"noteIndex":0},"schema":"https://github.com/citation-style-language/schema/raw/master/csl-citation.json"}</w:instrText>
      </w:r>
      <w:r w:rsidR="002A3793" w:rsidRPr="00A23882">
        <w:rPr>
          <w:spacing w:val="-4"/>
          <w:sz w:val="24"/>
          <w:szCs w:val="24"/>
        </w:rPr>
        <w:fldChar w:fldCharType="separate"/>
      </w:r>
      <w:r w:rsidR="00535EA6" w:rsidRPr="00535EA6">
        <w:rPr>
          <w:noProof/>
          <w:spacing w:val="-4"/>
          <w:sz w:val="24"/>
          <w:szCs w:val="24"/>
        </w:rPr>
        <w:t>[128]</w:t>
      </w:r>
      <w:r w:rsidR="002A3793" w:rsidRPr="00A23882">
        <w:rPr>
          <w:spacing w:val="-4"/>
          <w:sz w:val="24"/>
          <w:szCs w:val="24"/>
        </w:rPr>
        <w:fldChar w:fldCharType="end"/>
      </w:r>
      <w:r w:rsidR="002A3793" w:rsidRPr="00A23882">
        <w:rPr>
          <w:spacing w:val="-4"/>
          <w:sz w:val="24"/>
          <w:szCs w:val="24"/>
        </w:rPr>
        <w:t xml:space="preserve"> are freely available online).</w:t>
      </w:r>
    </w:p>
    <w:p w:rsidR="002A3793" w:rsidRPr="00A23882" w:rsidRDefault="002A3793" w:rsidP="00A23882">
      <w:pPr>
        <w:pStyle w:val="06-Heading-1"/>
        <w:spacing w:line="480" w:lineRule="auto"/>
        <w:rPr>
          <w:bCs/>
          <w:sz w:val="24"/>
          <w:szCs w:val="24"/>
        </w:rPr>
      </w:pPr>
      <w:r w:rsidRPr="00A23882">
        <w:rPr>
          <w:bCs/>
          <w:sz w:val="24"/>
          <w:szCs w:val="24"/>
        </w:rPr>
        <w:lastRenderedPageBreak/>
        <w:t>CONCLUSION</w:t>
      </w:r>
    </w:p>
    <w:p w:rsidR="002A3793" w:rsidRPr="00A23882" w:rsidRDefault="002A3793" w:rsidP="00A23882">
      <w:pPr>
        <w:pStyle w:val="05-ArticleText"/>
        <w:spacing w:line="480" w:lineRule="auto"/>
        <w:rPr>
          <w:color w:val="0F243E"/>
          <w:sz w:val="24"/>
          <w:szCs w:val="24"/>
        </w:rPr>
      </w:pPr>
      <w:r w:rsidRPr="00A23882">
        <w:rPr>
          <w:sz w:val="24"/>
          <w:szCs w:val="24"/>
        </w:rPr>
        <w:t xml:space="preserve">The mechanistic analysis of the binding of a target </w:t>
      </w:r>
      <w:r w:rsidR="00383762">
        <w:rPr>
          <w:sz w:val="24"/>
          <w:szCs w:val="24"/>
        </w:rPr>
        <w:t xml:space="preserve">molecules </w:t>
      </w:r>
      <w:r w:rsidRPr="00A23882">
        <w:rPr>
          <w:b/>
          <w:sz w:val="24"/>
          <w:szCs w:val="24"/>
        </w:rPr>
        <w:t>T</w:t>
      </w:r>
      <w:r w:rsidRPr="00A23882">
        <w:rPr>
          <w:sz w:val="24"/>
          <w:szCs w:val="24"/>
        </w:rPr>
        <w:t xml:space="preserve"> </w:t>
      </w:r>
      <w:r w:rsidR="00383762">
        <w:rPr>
          <w:sz w:val="24"/>
          <w:szCs w:val="24"/>
        </w:rPr>
        <w:t xml:space="preserve">(which may often be a metal complex </w:t>
      </w:r>
      <w:r w:rsidRPr="00A23882">
        <w:rPr>
          <w:sz w:val="24"/>
          <w:szCs w:val="24"/>
        </w:rPr>
        <w:t xml:space="preserve">to </w:t>
      </w:r>
      <w:r w:rsidR="00383762">
        <w:rPr>
          <w:sz w:val="24"/>
          <w:szCs w:val="24"/>
        </w:rPr>
        <w:t xml:space="preserve">be tested as a drug) to </w:t>
      </w:r>
      <w:r w:rsidRPr="00A23882">
        <w:rPr>
          <w:sz w:val="24"/>
          <w:szCs w:val="24"/>
        </w:rPr>
        <w:t xml:space="preserve">a fluorescent protein can be done using direct fluorescence titrations where </w:t>
      </w:r>
      <w:r w:rsidRPr="00A23882">
        <w:rPr>
          <w:b/>
          <w:sz w:val="24"/>
          <w:szCs w:val="24"/>
        </w:rPr>
        <w:t>T</w:t>
      </w:r>
      <w:r w:rsidRPr="00A23882">
        <w:rPr>
          <w:sz w:val="24"/>
          <w:szCs w:val="24"/>
        </w:rPr>
        <w:t xml:space="preserve"> is the titrant. Titrations are basic experimental approaches which may wrongly appear old-fashioned with respect to complicated techniques. However, this is not the case. They are very powerful and useful tools, even in cutting-edge research, which might hold bad surprises besides their apparent simplicity. Fluorescence measurements are even more delicate. When the fluorescence signal is excited in the UV range as in general for BSA, given that </w:t>
      </w:r>
      <w:r w:rsidRPr="00A23882">
        <w:rPr>
          <w:b/>
          <w:sz w:val="24"/>
          <w:szCs w:val="24"/>
        </w:rPr>
        <w:t>T</w:t>
      </w:r>
      <w:r w:rsidRPr="00A23882">
        <w:rPr>
          <w:sz w:val="24"/>
          <w:szCs w:val="24"/>
        </w:rPr>
        <w:t xml:space="preserve"> will very likely be UV-absorbing, non-negligible inner filter effects might afflict our data. In practice, as it so often occurs, at every step, the researcher needs to decide whether or not the datum is robust or biased. Signal correspondence with species concentration, dilution and inner filter effects need to be checked, weighed and compared to the changes we are ascribing to binding effects. The equations, even those that we most commonly encounter, might be non-unequivocally and misleadingly defined. The very well know Stern-Volmer equation can be more difficult to use as expected. Binding constants evaluation and relevant thermodynamic parameters attainment might become a non-straightforward task and quantitative data on drug-BSA interaction are not always provided </w:t>
      </w:r>
      <w:r w:rsidRPr="00A23882">
        <w:rPr>
          <w:sz w:val="24"/>
          <w:szCs w:val="24"/>
        </w:rPr>
        <w:fldChar w:fldCharType="begin" w:fldLock="1"/>
      </w:r>
      <w:r w:rsidR="002D64E9">
        <w:rPr>
          <w:sz w:val="24"/>
          <w:szCs w:val="24"/>
        </w:rPr>
        <w:instrText>ADDIN CSL_CITATION {"citationItems":[{"id":"ITEM-1","itemData":{"DOI":"10.1016/j.saa.2014.06.105","ISBN":"8415683111","ISSN":"13861425","abstract":"Two mononuclear iron complexes, [Fe(tppz)2](PF6) 2·H2O (1) and Fe(tppz)Cl3· 2CHCl3 (2) where tppz is (2,3,5,6-tetra(2-pyridyl)pyrazine), have been synthesized and characterized by elemental analysis, spectroscopic methods (UV-Vis and IR) and single crystal X-ray structure analysis. The interaction of (1) as the nitrate salt ([Fe(tppz)2](NO3)2) with calf-thymus DNA (CT-DNA) has been monitored by UV-Vis spectroscopy, competitive fluorescence titration, circular dichroism (CD), voltammetric techniques, viscosity measurement, and gel electrophoresis. Gel electrophoresis of DNA with [Fe(tppz)2](NO3)2 demonstrated that the complex also has the ability to cleave supercoiled plasmid DNA. The results have indicated that the complex binds to CT-DNA by three binding modes, viz., electrostatic, groove and partial insertion of the pyridyl rings between the base stacks of double-stranded DNA. Molecular docking of [Fe(tppz) 2](NO3)2 with the DNA sequence d(ACCGACGTCGGT)2 suggests the complex fits into the major groove. The water-insoluble complex (2) can catalyze the cleavage of BSA at 40 °C. There are no reports of the catalytic effect of polypyridyl metal complexes on the BSA cleavage. Molecular docking of (2) with BSA suggests that, when the chloro ligands in the axial positions are replaced by water molecules, the BSA can interact with the Fe(III) complex more easily. © 2014 Elsevier B.V. All rights reserved.","author":[{"dropping-particle":"","family":"Behnamfar","given":"Mohammad Taghi","non-dropping-particle":"","parse-names":false,"suffix":""},{"dropping-particle":"","family":"Hadadzadeh","given":"Hassan","non-dropping-particle":"","parse-names":false,"suffix":""},{"dropping-particle":"","family":"Simpson","given":"Jim","non-dropping-particle":"","parse-names":false,"suffix":""},{"dropping-particle":"","family":"Darabi","given":"Farivash","non-dropping-particle":"","parse-names":false,"suffix":""},{"dropping-particle":"","family":"Shahpiri","given":"Azar","non-dropping-particle":"","parse-names":false,"suffix":""},{"dropping-particle":"","family":"Khayamian","given":"Taghi","non-dropping-particle":"","parse-names":false,"suffix":""},{"dropping-particle":"","family":"Ebrahimi","given":"Malihe","non-dropping-particle":"","parse-names":false,"suffix":""},{"dropping-particle":"","family":"Amiri Rudbari","given":"Hadi","non-dropping-particle":"","parse-names":false,"suffix":""},{"dropping-particle":"","family":"Salimi","given":"Mona","non-dropping-particle":"","parse-names":false,"suffix":""}],"container-title":"Spectrochimica Acta - Part A: Molecular and Biomolecular Spectroscopy","id":"ITEM-1","issued":{"date-parts":[["2015"]]},"page":"502-516","publisher":"Elsevier B.V.","title":"Experimental and molecular modeling studies of the interaction of the polypyridyl Fe(II) and Fe(III) complexes with DNA and BSA","type":"article-journal","volume":"134"},"uris":["http://www.mendeley.com/documents/?uuid=5ac0c61e-bb5d-46bf-90c2-18d3be2f735a"]}],"mendeley":{"formattedCitation":"[129]","plainTextFormattedCitation":"[129]","previouslyFormattedCitation":"[129]"},"properties":{"noteIndex":0},"schema":"https://github.com/citation-style-language/schema/raw/master/csl-citation.json"}</w:instrText>
      </w:r>
      <w:r w:rsidRPr="00A23882">
        <w:rPr>
          <w:sz w:val="24"/>
          <w:szCs w:val="24"/>
        </w:rPr>
        <w:fldChar w:fldCharType="separate"/>
      </w:r>
      <w:r w:rsidR="00535EA6" w:rsidRPr="00535EA6">
        <w:rPr>
          <w:noProof/>
          <w:sz w:val="24"/>
          <w:szCs w:val="24"/>
        </w:rPr>
        <w:t>[129]</w:t>
      </w:r>
      <w:r w:rsidRPr="00A23882">
        <w:rPr>
          <w:sz w:val="24"/>
          <w:szCs w:val="24"/>
        </w:rPr>
        <w:fldChar w:fldCharType="end"/>
      </w:r>
      <w:r w:rsidRPr="00A23882">
        <w:rPr>
          <w:sz w:val="24"/>
          <w:szCs w:val="24"/>
        </w:rPr>
        <w:t>,</w:t>
      </w:r>
      <w:r w:rsidRPr="00A23882">
        <w:rPr>
          <w:sz w:val="24"/>
          <w:szCs w:val="24"/>
        </w:rPr>
        <w:fldChar w:fldCharType="begin" w:fldLock="1"/>
      </w:r>
      <w:r w:rsidR="002D64E9">
        <w:rPr>
          <w:sz w:val="24"/>
          <w:szCs w:val="24"/>
        </w:rPr>
        <w:instrText>ADDIN CSL_CITATION {"citationItems":[{"id":"ITEM-1","itemData":{"DOI":"10.1016/j.ejmech.2013.08.051","ISBN":"8415683111","ISSN":"02235234","abstract":"A mononuclear Ru(II) complex containing two piroxicam (Pir-) ligands was synthesized and fully characterized. Interaction studies of the Pir- anion and the Ru(II) complex with DNA and BSA were carried out using spectroscopic techniques. The results suggested that the Pir- anion binds to DNA in a moderately strong fashion via intercalation between the base stacks of double-stranded DNA, while the Ru(II) complex is a groove binder and interacts with DNA with more affinity. Moreover, the results demonstrated that the microenvironment and the secondary structure of BSA were changed in the presence of Pirâ€ and Ru(II) complex. The free Pir â€ ligand and the Ru(II) complex can lead to the photocleavage of DNA supercoiled pUC57. Finally, the binding of the Ru(II) complex to BSA and DNA was modeled by molecular docking and molecular dynamic simulation methods. © 2013 Elsevier Masson SAS. All rights reserved.","author":[{"dropping-particle":"","family":"Jannesari","given":"Zahra","non-dropping-particle":"","parse-names":false,"suffix":""},{"dropping-particle":"","family":"Hadadzadeh","given":"Hassan","non-dropping-particle":"","parse-names":false,"suffix":""},{"dropping-particle":"","family":"Khayamian","given":"Taghi","non-dropping-particle":"","parse-names":false,"suffix":""},{"dropping-particle":"","family":"Maleki","given":"Batool","non-dropping-particle":"","parse-names":false,"suffix":""},{"dropping-particle":"","family":"Rudbari","given":"Hadi Amiri","non-dropping-particle":"","parse-names":false,"suffix":""}],"container-title":"European Journal of Medicinal Chemistry","id":"ITEM-1","issued":{"date-parts":[["2013"]]},"page":"577-590","publisher":"Elsevier Masson SAS","title":"Experimental and molecular modeling studies on the interaction of the Ru(II)-piroxicam with DNA and BSA","type":"article-journal","volume":"69"},"uris":["http://www.mendeley.com/documents/?uuid=c49817fe-b33c-4484-ab5c-a70b3d2e44c0"]}],"mendeley":{"formattedCitation":"[130]","plainTextFormattedCitation":"[130]","previouslyFormattedCitation":"[130]"},"properties":{"noteIndex":0},"schema":"https://github.com/citation-style-language/schema/raw/master/csl-citation.json"}</w:instrText>
      </w:r>
      <w:r w:rsidRPr="00A23882">
        <w:rPr>
          <w:sz w:val="24"/>
          <w:szCs w:val="24"/>
        </w:rPr>
        <w:fldChar w:fldCharType="separate"/>
      </w:r>
      <w:r w:rsidR="00535EA6" w:rsidRPr="00535EA6">
        <w:rPr>
          <w:noProof/>
          <w:sz w:val="24"/>
          <w:szCs w:val="24"/>
        </w:rPr>
        <w:t>[130]</w:t>
      </w:r>
      <w:r w:rsidRPr="00A23882">
        <w:rPr>
          <w:sz w:val="24"/>
          <w:szCs w:val="24"/>
        </w:rPr>
        <w:fldChar w:fldCharType="end"/>
      </w:r>
      <w:r w:rsidRPr="00A23882">
        <w:rPr>
          <w:sz w:val="24"/>
          <w:szCs w:val="24"/>
        </w:rPr>
        <w:t xml:space="preserve">. Discussion on how exactly an exchange reaction may occur is not simple, in particular for systems where more than one binding site is possible. In this </w:t>
      </w:r>
      <w:r w:rsidR="00383762">
        <w:rPr>
          <w:sz w:val="24"/>
          <w:szCs w:val="24"/>
        </w:rPr>
        <w:t>paper</w:t>
      </w:r>
      <w:r w:rsidRPr="00A23882">
        <w:rPr>
          <w:sz w:val="24"/>
          <w:szCs w:val="24"/>
        </w:rPr>
        <w:t>, some experimental and data treatment aspects have been highlighted that it might be useful to stay attentive to. We do not have the presumption to have exhausted the topic. Each single of the proposed aspects might be better fully explored in the details with appropriate dedicated texts. However, we hope that the reader can find here some interesting tips to better prepare experiments and analyse data, together with</w:t>
      </w:r>
      <w:r w:rsidRPr="00A23882">
        <w:rPr>
          <w:color w:val="0F243E"/>
          <w:sz w:val="24"/>
          <w:szCs w:val="24"/>
        </w:rPr>
        <w:t xml:space="preserve"> </w:t>
      </w:r>
      <w:r w:rsidRPr="00A23882">
        <w:rPr>
          <w:sz w:val="24"/>
          <w:szCs w:val="24"/>
        </w:rPr>
        <w:t>interesting illustrative references on model systems and a basis for further studies. This mechanistic approach might be precious in studies devoted to the identification and implementation of new bio-agents and drugs.</w:t>
      </w:r>
    </w:p>
    <w:p w:rsidR="00370802" w:rsidRDefault="00370802" w:rsidP="00A23882">
      <w:pPr>
        <w:pStyle w:val="05-ArticleText"/>
        <w:spacing w:line="480" w:lineRule="auto"/>
        <w:rPr>
          <w:b/>
          <w:bCs/>
          <w:sz w:val="24"/>
          <w:szCs w:val="24"/>
        </w:rPr>
      </w:pPr>
    </w:p>
    <w:p w:rsidR="002A3793" w:rsidRPr="00A23882" w:rsidRDefault="002A3793" w:rsidP="00A23882">
      <w:pPr>
        <w:pStyle w:val="05-ArticleText"/>
        <w:spacing w:line="480" w:lineRule="auto"/>
        <w:rPr>
          <w:b/>
          <w:bCs/>
          <w:sz w:val="24"/>
          <w:szCs w:val="24"/>
        </w:rPr>
      </w:pPr>
      <w:r w:rsidRPr="00A23882">
        <w:rPr>
          <w:b/>
          <w:bCs/>
          <w:sz w:val="24"/>
          <w:szCs w:val="24"/>
        </w:rPr>
        <w:t>ACKNOWLEDGEMENTS</w:t>
      </w:r>
    </w:p>
    <w:p w:rsidR="009814E2" w:rsidRDefault="002A3793" w:rsidP="00383762">
      <w:pPr>
        <w:pStyle w:val="05-ArticleText"/>
        <w:spacing w:line="480" w:lineRule="auto"/>
        <w:rPr>
          <w:spacing w:val="-4"/>
          <w:sz w:val="24"/>
          <w:szCs w:val="24"/>
        </w:rPr>
      </w:pPr>
      <w:r w:rsidRPr="00A23882">
        <w:rPr>
          <w:spacing w:val="-4"/>
          <w:sz w:val="24"/>
          <w:szCs w:val="24"/>
        </w:rPr>
        <w:t>This contribution is based upon work from COST Action CA18202, NECTAR - Network for Equilibria and Chemical Thermodynamics Advanced Research, supported by COST (European Cooperation in Science and Technology). Funding from</w:t>
      </w:r>
      <w:r w:rsidRPr="00A23882">
        <w:rPr>
          <w:sz w:val="24"/>
          <w:szCs w:val="24"/>
        </w:rPr>
        <w:t xml:space="preserve"> </w:t>
      </w:r>
      <w:r w:rsidRPr="00A23882">
        <w:rPr>
          <w:spacing w:val="-4"/>
          <w:sz w:val="24"/>
          <w:szCs w:val="24"/>
        </w:rPr>
        <w:t>National Research in Antarctica (PNRA18_00194, PNRA18_00216) is also gratefully acknowledged.</w:t>
      </w:r>
    </w:p>
    <w:p w:rsidR="00AD5B9D" w:rsidRDefault="00AD5B9D" w:rsidP="00A23882">
      <w:pPr>
        <w:spacing w:line="480" w:lineRule="auto"/>
        <w:rPr>
          <w:rFonts w:ascii="Times New Roman" w:hAnsi="Times New Roman" w:cs="Times New Roman"/>
          <w:sz w:val="24"/>
          <w:szCs w:val="24"/>
          <w:lang w:val="en-US"/>
        </w:rPr>
      </w:pPr>
    </w:p>
    <w:p w:rsidR="00D16252" w:rsidRPr="00D16252" w:rsidRDefault="00D16252" w:rsidP="00A23882">
      <w:pPr>
        <w:spacing w:line="480" w:lineRule="auto"/>
        <w:rPr>
          <w:rFonts w:ascii="Times New Roman" w:hAnsi="Times New Roman" w:cs="Times New Roman"/>
          <w:b/>
          <w:sz w:val="24"/>
          <w:szCs w:val="24"/>
          <w:lang w:val="en-US"/>
        </w:rPr>
      </w:pPr>
    </w:p>
    <w:p w:rsidR="00D16252" w:rsidRPr="004B7F45" w:rsidRDefault="004B7F45" w:rsidP="00A23882">
      <w:pPr>
        <w:spacing w:line="480" w:lineRule="auto"/>
        <w:rPr>
          <w:rFonts w:ascii="Times New Roman" w:hAnsi="Times New Roman" w:cs="Times New Roman"/>
          <w:b/>
          <w:sz w:val="24"/>
          <w:szCs w:val="24"/>
          <w:lang w:val="en-US"/>
        </w:rPr>
      </w:pPr>
      <w:r>
        <w:rPr>
          <w:rFonts w:ascii="Times New Roman" w:hAnsi="Times New Roman" w:cs="Times New Roman"/>
          <w:b/>
          <w:sz w:val="24"/>
          <w:szCs w:val="24"/>
          <w:lang w:val="en-US"/>
        </w:rPr>
        <w:t>BIBLIOGRAFY</w:t>
      </w:r>
    </w:p>
    <w:p w:rsidR="002D64E9" w:rsidRPr="002D64E9" w:rsidRDefault="00AD5B9D"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A23882">
        <w:rPr>
          <w:rFonts w:ascii="Times New Roman" w:hAnsi="Times New Roman" w:cs="Times New Roman"/>
          <w:sz w:val="24"/>
          <w:szCs w:val="24"/>
          <w:lang w:val="en-US"/>
        </w:rPr>
        <w:fldChar w:fldCharType="begin" w:fldLock="1"/>
      </w:r>
      <w:r w:rsidRPr="00A23882">
        <w:rPr>
          <w:rFonts w:ascii="Times New Roman" w:hAnsi="Times New Roman" w:cs="Times New Roman"/>
          <w:sz w:val="24"/>
          <w:szCs w:val="24"/>
          <w:lang w:val="en-US"/>
        </w:rPr>
        <w:instrText xml:space="preserve">ADDIN Mendeley Bibliography CSL_BIBLIOGRAPHY </w:instrText>
      </w:r>
      <w:r w:rsidRPr="00A23882">
        <w:rPr>
          <w:rFonts w:ascii="Times New Roman" w:hAnsi="Times New Roman" w:cs="Times New Roman"/>
          <w:sz w:val="24"/>
          <w:szCs w:val="24"/>
          <w:lang w:val="en-US"/>
        </w:rPr>
        <w:fldChar w:fldCharType="separate"/>
      </w:r>
      <w:r w:rsidR="002D64E9" w:rsidRPr="002D64E9">
        <w:rPr>
          <w:rFonts w:ascii="Times New Roman" w:hAnsi="Times New Roman" w:cs="Times New Roman"/>
          <w:noProof/>
          <w:sz w:val="24"/>
          <w:szCs w:val="24"/>
        </w:rPr>
        <w:t xml:space="preserve">[1] </w:t>
      </w:r>
      <w:r w:rsidR="002D64E9" w:rsidRPr="002D64E9">
        <w:rPr>
          <w:rFonts w:ascii="Times New Roman" w:hAnsi="Times New Roman" w:cs="Times New Roman"/>
          <w:noProof/>
          <w:sz w:val="24"/>
          <w:szCs w:val="24"/>
        </w:rPr>
        <w:tab/>
        <w:t xml:space="preserve">Moitessier, N.; Pottel, J.; Therrien, E.; Englebienne, P.; Liu, Z.; Tomberg, A.; Corbeil, C.R. Medicinal Chemistry Projects Requiring Imaginative Structure-Based Drug Design Methods. </w:t>
      </w:r>
      <w:r w:rsidR="002D64E9" w:rsidRPr="002D64E9">
        <w:rPr>
          <w:rFonts w:ascii="Times New Roman" w:hAnsi="Times New Roman" w:cs="Times New Roman"/>
          <w:i/>
          <w:iCs/>
          <w:noProof/>
          <w:sz w:val="24"/>
          <w:szCs w:val="24"/>
        </w:rPr>
        <w:t>Acc. Chem. Res.</w:t>
      </w:r>
      <w:r w:rsidR="002D64E9" w:rsidRPr="002D64E9">
        <w:rPr>
          <w:rFonts w:ascii="Times New Roman" w:hAnsi="Times New Roman" w:cs="Times New Roman"/>
          <w:noProof/>
          <w:sz w:val="24"/>
          <w:szCs w:val="24"/>
        </w:rPr>
        <w:t xml:space="preserve">, </w:t>
      </w:r>
      <w:r w:rsidR="002D64E9" w:rsidRPr="002D64E9">
        <w:rPr>
          <w:rFonts w:ascii="Times New Roman" w:hAnsi="Times New Roman" w:cs="Times New Roman"/>
          <w:b/>
          <w:bCs/>
          <w:noProof/>
          <w:sz w:val="24"/>
          <w:szCs w:val="24"/>
        </w:rPr>
        <w:t>2016</w:t>
      </w:r>
      <w:r w:rsidR="002D64E9" w:rsidRPr="002D64E9">
        <w:rPr>
          <w:rFonts w:ascii="Times New Roman" w:hAnsi="Times New Roman" w:cs="Times New Roman"/>
          <w:noProof/>
          <w:sz w:val="24"/>
          <w:szCs w:val="24"/>
        </w:rPr>
        <w:t xml:space="preserve">, </w:t>
      </w:r>
      <w:r w:rsidR="002D64E9" w:rsidRPr="002D64E9">
        <w:rPr>
          <w:rFonts w:ascii="Times New Roman" w:hAnsi="Times New Roman" w:cs="Times New Roman"/>
          <w:i/>
          <w:iCs/>
          <w:noProof/>
          <w:sz w:val="24"/>
          <w:szCs w:val="24"/>
        </w:rPr>
        <w:t>49</w:t>
      </w:r>
      <w:r w:rsidR="002D64E9" w:rsidRPr="002D64E9">
        <w:rPr>
          <w:rFonts w:ascii="Times New Roman" w:hAnsi="Times New Roman" w:cs="Times New Roman"/>
          <w:noProof/>
          <w:sz w:val="24"/>
          <w:szCs w:val="24"/>
        </w:rPr>
        <w:t>, 1646–1657.</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[2] </w:t>
      </w:r>
      <w:r w:rsidRPr="002D64E9">
        <w:rPr>
          <w:rFonts w:ascii="Times New Roman" w:hAnsi="Times New Roman" w:cs="Times New Roman"/>
          <w:noProof/>
          <w:sz w:val="24"/>
          <w:szCs w:val="24"/>
        </w:rPr>
        <w:tab/>
        <w:t xml:space="preserve">Marzo, T.; Ferraro, G.; Merlino, A.; Messori, L. Protein Metalation by Inorganic Anticancer Drugs. </w:t>
      </w:r>
      <w:r w:rsidRPr="002D64E9">
        <w:rPr>
          <w:rFonts w:ascii="Times New Roman" w:hAnsi="Times New Roman" w:cs="Times New Roman"/>
          <w:i/>
          <w:iCs/>
          <w:noProof/>
          <w:sz w:val="24"/>
          <w:szCs w:val="24"/>
        </w:rPr>
        <w:t>Encycl. Inorg. Bioinorg. Chem.</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2020</w:t>
      </w:r>
      <w:r w:rsidRPr="002D64E9">
        <w:rPr>
          <w:rFonts w:ascii="Times New Roman" w:hAnsi="Times New Roman" w:cs="Times New Roman"/>
          <w:noProof/>
          <w:sz w:val="24"/>
          <w:szCs w:val="24"/>
        </w:rPr>
        <w:t>, 1–17.</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[3] </w:t>
      </w:r>
      <w:r w:rsidRPr="002D64E9">
        <w:rPr>
          <w:rFonts w:ascii="Times New Roman" w:hAnsi="Times New Roman" w:cs="Times New Roman"/>
          <w:noProof/>
          <w:sz w:val="24"/>
          <w:szCs w:val="24"/>
        </w:rPr>
        <w:tab/>
        <w:t xml:space="preserve">Cirri, D.; Fabbrini, M.G.; Massai, L.; Pillozzi, S.; Guerri, A.; Menconi, A.; Messori, L.; Marzo, T.; Pratesi, A. Structural and Solution Chemistry, Antiproliferative Effects, and Serum Albumin Binding of Three Pseudohalide Derivatives of Auranofin. </w:t>
      </w:r>
      <w:r w:rsidRPr="002D64E9">
        <w:rPr>
          <w:rFonts w:ascii="Times New Roman" w:hAnsi="Times New Roman" w:cs="Times New Roman"/>
          <w:i/>
          <w:iCs/>
          <w:noProof/>
          <w:sz w:val="24"/>
          <w:szCs w:val="24"/>
        </w:rPr>
        <w:t>BioMetals</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2019</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32</w:t>
      </w:r>
      <w:r w:rsidRPr="002D64E9">
        <w:rPr>
          <w:rFonts w:ascii="Times New Roman" w:hAnsi="Times New Roman" w:cs="Times New Roman"/>
          <w:noProof/>
          <w:sz w:val="24"/>
          <w:szCs w:val="24"/>
        </w:rPr>
        <w:t>, 939–948.</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[4] </w:t>
      </w:r>
      <w:r w:rsidRPr="002D64E9">
        <w:rPr>
          <w:rFonts w:ascii="Times New Roman" w:hAnsi="Times New Roman" w:cs="Times New Roman"/>
          <w:noProof/>
          <w:sz w:val="24"/>
          <w:szCs w:val="24"/>
        </w:rPr>
        <w:tab/>
        <w:t xml:space="preserve">Zorzi, A.; Linciano, S.; Angelini, A. Non-Covalent Albumin-Binding Ligands for Extending the Circulating Half-Life of Small Biotherapeutics. </w:t>
      </w:r>
      <w:r w:rsidRPr="002D64E9">
        <w:rPr>
          <w:rFonts w:ascii="Times New Roman" w:hAnsi="Times New Roman" w:cs="Times New Roman"/>
          <w:i/>
          <w:iCs/>
          <w:noProof/>
          <w:sz w:val="24"/>
          <w:szCs w:val="24"/>
        </w:rPr>
        <w:t>Medchemcomm</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2019</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10</w:t>
      </w:r>
      <w:r w:rsidRPr="002D64E9">
        <w:rPr>
          <w:rFonts w:ascii="Times New Roman" w:hAnsi="Times New Roman" w:cs="Times New Roman"/>
          <w:noProof/>
          <w:sz w:val="24"/>
          <w:szCs w:val="24"/>
        </w:rPr>
        <w:t>, 1068–1081.</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[5] </w:t>
      </w:r>
      <w:r w:rsidRPr="002D64E9">
        <w:rPr>
          <w:rFonts w:ascii="Times New Roman" w:hAnsi="Times New Roman" w:cs="Times New Roman"/>
          <w:noProof/>
          <w:sz w:val="24"/>
          <w:szCs w:val="24"/>
        </w:rPr>
        <w:tab/>
        <w:t xml:space="preserve">Merlino, A. Interactions between Proteins and Ru Compounds of Medicinal Interest: A Structural Perspective. </w:t>
      </w:r>
      <w:r w:rsidRPr="002D64E9">
        <w:rPr>
          <w:rFonts w:ascii="Times New Roman" w:hAnsi="Times New Roman" w:cs="Times New Roman"/>
          <w:i/>
          <w:iCs/>
          <w:noProof/>
          <w:sz w:val="24"/>
          <w:szCs w:val="24"/>
        </w:rPr>
        <w:t>Coord. Chem. Rev.</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2016</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326</w:t>
      </w:r>
      <w:r w:rsidRPr="002D64E9">
        <w:rPr>
          <w:rFonts w:ascii="Times New Roman" w:hAnsi="Times New Roman" w:cs="Times New Roman"/>
          <w:noProof/>
          <w:sz w:val="24"/>
          <w:szCs w:val="24"/>
        </w:rPr>
        <w:t>, 111–134.</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[6] </w:t>
      </w:r>
      <w:r w:rsidRPr="002D64E9">
        <w:rPr>
          <w:rFonts w:ascii="Times New Roman" w:hAnsi="Times New Roman" w:cs="Times New Roman"/>
          <w:noProof/>
          <w:sz w:val="24"/>
          <w:szCs w:val="24"/>
        </w:rPr>
        <w:tab/>
        <w:t xml:space="preserve">Rowley, M.; Kulagowski, J.J.; Watt, A.P.; Rathbone, D.; Stevenson, G.I.; Carling, R.W.; </w:t>
      </w:r>
      <w:r w:rsidRPr="002D64E9">
        <w:rPr>
          <w:rFonts w:ascii="Times New Roman" w:hAnsi="Times New Roman" w:cs="Times New Roman"/>
          <w:noProof/>
          <w:sz w:val="24"/>
          <w:szCs w:val="24"/>
        </w:rPr>
        <w:lastRenderedPageBreak/>
        <w:t xml:space="preserve">Baker, R.; Marshall, G.R.; Kemp, J.A.; Foster, A.C.; Grimwood, S.; Hargreaves, R.; Hurley, C.; Saywell, K.L.; Tricklebank, M.D.; Leeson, P.D. Effect of Plasma Protein Binding-on in Vivo Activity and Brain Penetration of Glycine/NMDA Receptor Antagonists. </w:t>
      </w:r>
      <w:r w:rsidRPr="002D64E9">
        <w:rPr>
          <w:rFonts w:ascii="Times New Roman" w:hAnsi="Times New Roman" w:cs="Times New Roman"/>
          <w:i/>
          <w:iCs/>
          <w:noProof/>
          <w:sz w:val="24"/>
          <w:szCs w:val="24"/>
        </w:rPr>
        <w:t>J. Med. Chem.</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1997</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40</w:t>
      </w:r>
      <w:r w:rsidRPr="002D64E9">
        <w:rPr>
          <w:rFonts w:ascii="Times New Roman" w:hAnsi="Times New Roman" w:cs="Times New Roman"/>
          <w:noProof/>
          <w:sz w:val="24"/>
          <w:szCs w:val="24"/>
        </w:rPr>
        <w:t>, 4053–4068.</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[7] </w:t>
      </w:r>
      <w:r w:rsidRPr="002D64E9">
        <w:rPr>
          <w:rFonts w:ascii="Times New Roman" w:hAnsi="Times New Roman" w:cs="Times New Roman"/>
          <w:noProof/>
          <w:sz w:val="24"/>
          <w:szCs w:val="24"/>
        </w:rPr>
        <w:tab/>
        <w:t xml:space="preserve">Bijsterbosch, M.K. Modulation of Plasma Protein Binding and in Vivo Liver Cell Uptake of Phosphorothioate Oligodeoxynucleotides by Cholesterol Conjugation. </w:t>
      </w:r>
      <w:r w:rsidRPr="002D64E9">
        <w:rPr>
          <w:rFonts w:ascii="Times New Roman" w:hAnsi="Times New Roman" w:cs="Times New Roman"/>
          <w:i/>
          <w:iCs/>
          <w:noProof/>
          <w:sz w:val="24"/>
          <w:szCs w:val="24"/>
        </w:rPr>
        <w:t>Nucleic Acids Res.</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2000</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28</w:t>
      </w:r>
      <w:r w:rsidRPr="002D64E9">
        <w:rPr>
          <w:rFonts w:ascii="Times New Roman" w:hAnsi="Times New Roman" w:cs="Times New Roman"/>
          <w:noProof/>
          <w:sz w:val="24"/>
          <w:szCs w:val="24"/>
        </w:rPr>
        <w:t>, 2717–2725.</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[8] </w:t>
      </w:r>
      <w:r w:rsidRPr="002D64E9">
        <w:rPr>
          <w:rFonts w:ascii="Times New Roman" w:hAnsi="Times New Roman" w:cs="Times New Roman"/>
          <w:noProof/>
          <w:sz w:val="24"/>
          <w:szCs w:val="24"/>
        </w:rPr>
        <w:tab/>
        <w:t xml:space="preserve">He, X.M.; Carter, D.C. Atomic Structure and Chemistry of Human Serum Albumin. </w:t>
      </w:r>
      <w:r w:rsidRPr="002D64E9">
        <w:rPr>
          <w:rFonts w:ascii="Times New Roman" w:hAnsi="Times New Roman" w:cs="Times New Roman"/>
          <w:i/>
          <w:iCs/>
          <w:noProof/>
          <w:sz w:val="24"/>
          <w:szCs w:val="24"/>
        </w:rPr>
        <w:t>Nature</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1992</w:t>
      </w:r>
      <w:r w:rsidRPr="002D64E9">
        <w:rPr>
          <w:rFonts w:ascii="Times New Roman" w:hAnsi="Times New Roman" w:cs="Times New Roman"/>
          <w:noProof/>
          <w:sz w:val="24"/>
          <w:szCs w:val="24"/>
        </w:rPr>
        <w:t>.</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[9] </w:t>
      </w:r>
      <w:r w:rsidRPr="002D64E9">
        <w:rPr>
          <w:rFonts w:ascii="Times New Roman" w:hAnsi="Times New Roman" w:cs="Times New Roman"/>
          <w:noProof/>
          <w:sz w:val="24"/>
          <w:szCs w:val="24"/>
        </w:rPr>
        <w:tab/>
        <w:t xml:space="preserve">A. Blindauer, C.; Khazaipoul, S.; Yu, R.; J. Stewart, A. Fatty Acid-Mediated Inhibition of Metal Binding to the Multi-Metal Site on Serum Albumin: Implications for Cardiovascular Disease. </w:t>
      </w:r>
      <w:r w:rsidRPr="002D64E9">
        <w:rPr>
          <w:rFonts w:ascii="Times New Roman" w:hAnsi="Times New Roman" w:cs="Times New Roman"/>
          <w:i/>
          <w:iCs/>
          <w:noProof/>
          <w:sz w:val="24"/>
          <w:szCs w:val="24"/>
        </w:rPr>
        <w:t>Curr. Top. Med. Chem.</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2016</w:t>
      </w:r>
      <w:r w:rsidRPr="002D64E9">
        <w:rPr>
          <w:rFonts w:ascii="Times New Roman" w:hAnsi="Times New Roman" w:cs="Times New Roman"/>
          <w:noProof/>
          <w:sz w:val="24"/>
          <w:szCs w:val="24"/>
        </w:rPr>
        <w:t>.</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[10] </w:t>
      </w:r>
      <w:r w:rsidRPr="002D64E9">
        <w:rPr>
          <w:rFonts w:ascii="Times New Roman" w:hAnsi="Times New Roman" w:cs="Times New Roman"/>
          <w:noProof/>
          <w:sz w:val="24"/>
          <w:szCs w:val="24"/>
        </w:rPr>
        <w:tab/>
        <w:t xml:space="preserve">Zhang, Y.; Zhou, K.; Lou, Y.; Pan, D.; Shi, J. Investigation of the Binding Interaction between Estazolam and Bovine Serum Albumin : Multi- Spectroscopic Methods and Molecular Docking Technique. </w:t>
      </w:r>
      <w:r w:rsidRPr="002D64E9">
        <w:rPr>
          <w:rFonts w:ascii="Times New Roman" w:hAnsi="Times New Roman" w:cs="Times New Roman"/>
          <w:i/>
          <w:iCs/>
          <w:noProof/>
          <w:sz w:val="24"/>
          <w:szCs w:val="24"/>
        </w:rPr>
        <w:t>J. Biomol. Struct. Dyn.</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2017</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1102</w:t>
      </w:r>
      <w:r w:rsidRPr="002D64E9">
        <w:rPr>
          <w:rFonts w:ascii="Times New Roman" w:hAnsi="Times New Roman" w:cs="Times New Roman"/>
          <w:noProof/>
          <w:sz w:val="24"/>
          <w:szCs w:val="24"/>
        </w:rPr>
        <w:t>, 1–10.</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[11] </w:t>
      </w:r>
      <w:r w:rsidRPr="002D64E9">
        <w:rPr>
          <w:rFonts w:ascii="Times New Roman" w:hAnsi="Times New Roman" w:cs="Times New Roman"/>
          <w:noProof/>
          <w:sz w:val="24"/>
          <w:szCs w:val="24"/>
        </w:rPr>
        <w:tab/>
        <w:t xml:space="preserve">Olson, R.E.; Christ, D.D. Chapter 33. Plasma Protein Binding of Drugs. </w:t>
      </w:r>
      <w:r w:rsidRPr="002D64E9">
        <w:rPr>
          <w:rFonts w:ascii="Times New Roman" w:hAnsi="Times New Roman" w:cs="Times New Roman"/>
          <w:i/>
          <w:iCs/>
          <w:noProof/>
          <w:sz w:val="24"/>
          <w:szCs w:val="24"/>
        </w:rPr>
        <w:t>Annu. Rep. Med. Chem.</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1996</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31</w:t>
      </w:r>
      <w:r w:rsidRPr="002D64E9">
        <w:rPr>
          <w:rFonts w:ascii="Times New Roman" w:hAnsi="Times New Roman" w:cs="Times New Roman"/>
          <w:noProof/>
          <w:sz w:val="24"/>
          <w:szCs w:val="24"/>
        </w:rPr>
        <w:t>, 327–336.</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[12] </w:t>
      </w:r>
      <w:r w:rsidRPr="002D64E9">
        <w:rPr>
          <w:rFonts w:ascii="Times New Roman" w:hAnsi="Times New Roman" w:cs="Times New Roman"/>
          <w:noProof/>
          <w:sz w:val="24"/>
          <w:szCs w:val="24"/>
        </w:rPr>
        <w:tab/>
        <w:t xml:space="preserve">Gou, Y.; Yang, F.; Liang, H. Designing Prodrugs Based on Special Residues of Human Serum Albumin. </w:t>
      </w:r>
      <w:r w:rsidRPr="002D64E9">
        <w:rPr>
          <w:rFonts w:ascii="Times New Roman" w:hAnsi="Times New Roman" w:cs="Times New Roman"/>
          <w:i/>
          <w:iCs/>
          <w:noProof/>
          <w:sz w:val="24"/>
          <w:szCs w:val="24"/>
        </w:rPr>
        <w:t>Curr. Top. Med. Chem.</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2016</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9</w:t>
      </w:r>
      <w:r w:rsidRPr="002D64E9">
        <w:rPr>
          <w:rFonts w:ascii="Times New Roman" w:hAnsi="Times New Roman" w:cs="Times New Roman"/>
          <w:noProof/>
          <w:sz w:val="24"/>
          <w:szCs w:val="24"/>
        </w:rPr>
        <w:t>, 996–1008.</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[13] </w:t>
      </w:r>
      <w:r w:rsidRPr="002D64E9">
        <w:rPr>
          <w:rFonts w:ascii="Times New Roman" w:hAnsi="Times New Roman" w:cs="Times New Roman"/>
          <w:noProof/>
          <w:sz w:val="24"/>
          <w:szCs w:val="24"/>
        </w:rPr>
        <w:tab/>
        <w:t xml:space="preserve">Pardridge, W.M. Plasma Protein-Mediated Transport of Steroid and Thyroid Hormones. </w:t>
      </w:r>
      <w:r w:rsidRPr="002D64E9">
        <w:rPr>
          <w:rFonts w:ascii="Times New Roman" w:hAnsi="Times New Roman" w:cs="Times New Roman"/>
          <w:i/>
          <w:iCs/>
          <w:noProof/>
          <w:sz w:val="24"/>
          <w:szCs w:val="24"/>
        </w:rPr>
        <w:t>American Journal of Physiology - Endocrinology and Metabolism</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1987</w:t>
      </w:r>
      <w:r w:rsidRPr="002D64E9">
        <w:rPr>
          <w:rFonts w:ascii="Times New Roman" w:hAnsi="Times New Roman" w:cs="Times New Roman"/>
          <w:noProof/>
          <w:sz w:val="24"/>
          <w:szCs w:val="24"/>
        </w:rPr>
        <w:t>.</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[14] </w:t>
      </w:r>
      <w:r w:rsidRPr="002D64E9">
        <w:rPr>
          <w:rFonts w:ascii="Times New Roman" w:hAnsi="Times New Roman" w:cs="Times New Roman"/>
          <w:noProof/>
          <w:sz w:val="24"/>
          <w:szCs w:val="24"/>
        </w:rPr>
        <w:tab/>
        <w:t xml:space="preserve">Hu, Y.J.; Liu, Y.; Xiao, X.H. Investigation of the Interaction between Berberine and Human Serum Albumin. </w:t>
      </w:r>
      <w:r w:rsidRPr="002D64E9">
        <w:rPr>
          <w:rFonts w:ascii="Times New Roman" w:hAnsi="Times New Roman" w:cs="Times New Roman"/>
          <w:i/>
          <w:iCs/>
          <w:noProof/>
          <w:sz w:val="24"/>
          <w:szCs w:val="24"/>
        </w:rPr>
        <w:t>Biomacromolecules</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2009</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10</w:t>
      </w:r>
      <w:r w:rsidRPr="002D64E9">
        <w:rPr>
          <w:rFonts w:ascii="Times New Roman" w:hAnsi="Times New Roman" w:cs="Times New Roman"/>
          <w:noProof/>
          <w:sz w:val="24"/>
          <w:szCs w:val="24"/>
        </w:rPr>
        <w:t>, 517–521.</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lastRenderedPageBreak/>
        <w:t xml:space="preserve">[15] </w:t>
      </w:r>
      <w:r w:rsidRPr="002D64E9">
        <w:rPr>
          <w:rFonts w:ascii="Times New Roman" w:hAnsi="Times New Roman" w:cs="Times New Roman"/>
          <w:noProof/>
          <w:sz w:val="24"/>
          <w:szCs w:val="24"/>
        </w:rPr>
        <w:tab/>
        <w:t xml:space="preserve">Tarhoni, M.H.; Lister, T.; Ray, D.E.; Carter, W.G. Albumin Binding as a Potential Biomarker of Exposure to Moderately Low Levels of Organophosphorus Pesticides. </w:t>
      </w:r>
      <w:r w:rsidRPr="002D64E9">
        <w:rPr>
          <w:rFonts w:ascii="Times New Roman" w:hAnsi="Times New Roman" w:cs="Times New Roman"/>
          <w:i/>
          <w:iCs/>
          <w:noProof/>
          <w:sz w:val="24"/>
          <w:szCs w:val="24"/>
        </w:rPr>
        <w:t>Biomarkers</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2008</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13</w:t>
      </w:r>
      <w:r w:rsidRPr="002D64E9">
        <w:rPr>
          <w:rFonts w:ascii="Times New Roman" w:hAnsi="Times New Roman" w:cs="Times New Roman"/>
          <w:noProof/>
          <w:sz w:val="24"/>
          <w:szCs w:val="24"/>
        </w:rPr>
        <w:t>, 343–363.</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[16] </w:t>
      </w:r>
      <w:r w:rsidRPr="002D64E9">
        <w:rPr>
          <w:rFonts w:ascii="Times New Roman" w:hAnsi="Times New Roman" w:cs="Times New Roman"/>
          <w:noProof/>
          <w:sz w:val="24"/>
          <w:szCs w:val="24"/>
        </w:rPr>
        <w:tab/>
        <w:t xml:space="preserve">Sułkowska, A.; Maciazek-Jurczyk, M.; Bojko, B.; Równicka, J.; Zubik-Skupień, I.; Temba, E.; Pentak, D.; Sułkowski, W.W. Competitive Binding of Phenylbutazone and Colchicine to Serum Albumin in Multidrug Therapy: A Spectroscopic Study. </w:t>
      </w:r>
      <w:r w:rsidRPr="002D64E9">
        <w:rPr>
          <w:rFonts w:ascii="Times New Roman" w:hAnsi="Times New Roman" w:cs="Times New Roman"/>
          <w:i/>
          <w:iCs/>
          <w:noProof/>
          <w:sz w:val="24"/>
          <w:szCs w:val="24"/>
        </w:rPr>
        <w:t>J. Mol. Struct.</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2008</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881</w:t>
      </w:r>
      <w:r w:rsidRPr="002D64E9">
        <w:rPr>
          <w:rFonts w:ascii="Times New Roman" w:hAnsi="Times New Roman" w:cs="Times New Roman"/>
          <w:noProof/>
          <w:sz w:val="24"/>
          <w:szCs w:val="24"/>
        </w:rPr>
        <w:t>, 97–106.</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[17] </w:t>
      </w:r>
      <w:r w:rsidRPr="002D64E9">
        <w:rPr>
          <w:rFonts w:ascii="Times New Roman" w:hAnsi="Times New Roman" w:cs="Times New Roman"/>
          <w:noProof/>
          <w:sz w:val="24"/>
          <w:szCs w:val="24"/>
        </w:rPr>
        <w:tab/>
        <w:t xml:space="preserve">Tian, J.; Liu, J.; Hu, Z.; Chen, X. Binding of the Scutellarin to Albumin Using Tryptophan Fluorescence Quenching , CD and FT-IR Spectra College of Chemistry and Chemical Engineering , Guangxi Normal University , Guilin 541004 , China Department of Chemistry , Lanzhou University , Lanzhou 7. </w:t>
      </w:r>
      <w:r w:rsidRPr="002D64E9">
        <w:rPr>
          <w:rFonts w:ascii="Times New Roman" w:hAnsi="Times New Roman" w:cs="Times New Roman"/>
          <w:i/>
          <w:iCs/>
          <w:noProof/>
          <w:sz w:val="24"/>
          <w:szCs w:val="24"/>
        </w:rPr>
        <w:t>Interactions</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2005</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1</w:t>
      </w:r>
      <w:r w:rsidRPr="002D64E9">
        <w:rPr>
          <w:rFonts w:ascii="Times New Roman" w:hAnsi="Times New Roman" w:cs="Times New Roman"/>
          <w:noProof/>
          <w:sz w:val="24"/>
          <w:szCs w:val="24"/>
        </w:rPr>
        <w:t>, 21–23.</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[18] </w:t>
      </w:r>
      <w:r w:rsidRPr="002D64E9">
        <w:rPr>
          <w:rFonts w:ascii="Times New Roman" w:hAnsi="Times New Roman" w:cs="Times New Roman"/>
          <w:noProof/>
          <w:sz w:val="24"/>
          <w:szCs w:val="24"/>
        </w:rPr>
        <w:tab/>
        <w:t xml:space="preserve">Carter, D.C.; Ho, J.X. Structure of Serum Albumin. </w:t>
      </w:r>
      <w:r w:rsidRPr="002D64E9">
        <w:rPr>
          <w:rFonts w:ascii="Times New Roman" w:hAnsi="Times New Roman" w:cs="Times New Roman"/>
          <w:i/>
          <w:iCs/>
          <w:noProof/>
          <w:sz w:val="24"/>
          <w:szCs w:val="24"/>
        </w:rPr>
        <w:t>Adv. Protein Chem.</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1994</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45</w:t>
      </w:r>
      <w:r w:rsidRPr="002D64E9">
        <w:rPr>
          <w:rFonts w:ascii="Times New Roman" w:hAnsi="Times New Roman" w:cs="Times New Roman"/>
          <w:noProof/>
          <w:sz w:val="24"/>
          <w:szCs w:val="24"/>
        </w:rPr>
        <w:t>, 153–176.</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[19] </w:t>
      </w:r>
      <w:r w:rsidRPr="002D64E9">
        <w:rPr>
          <w:rFonts w:ascii="Times New Roman" w:hAnsi="Times New Roman" w:cs="Times New Roman"/>
          <w:noProof/>
          <w:sz w:val="24"/>
          <w:szCs w:val="24"/>
        </w:rPr>
        <w:tab/>
        <w:t xml:space="preserve">Banker, M.J.; Clark, T.H.; Williams, J.A. Development and Validation of a 96-Well Equilibrium Dialysis Apparatus for Measuring Plasma Protein Binding. </w:t>
      </w:r>
      <w:r w:rsidRPr="002D64E9">
        <w:rPr>
          <w:rFonts w:ascii="Times New Roman" w:hAnsi="Times New Roman" w:cs="Times New Roman"/>
          <w:i/>
          <w:iCs/>
          <w:noProof/>
          <w:sz w:val="24"/>
          <w:szCs w:val="24"/>
        </w:rPr>
        <w:t>J. Pharm. Sci.</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2003</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92</w:t>
      </w:r>
      <w:r w:rsidRPr="002D64E9">
        <w:rPr>
          <w:rFonts w:ascii="Times New Roman" w:hAnsi="Times New Roman" w:cs="Times New Roman"/>
          <w:noProof/>
          <w:sz w:val="24"/>
          <w:szCs w:val="24"/>
        </w:rPr>
        <w:t>, 967–974.</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[20] </w:t>
      </w:r>
      <w:r w:rsidRPr="002D64E9">
        <w:rPr>
          <w:rFonts w:ascii="Times New Roman" w:hAnsi="Times New Roman" w:cs="Times New Roman"/>
          <w:noProof/>
          <w:sz w:val="24"/>
          <w:szCs w:val="24"/>
        </w:rPr>
        <w:tab/>
        <w:t xml:space="preserve">Oravcová, J.; Böhs, B.; Lindner, W. Drug-Protein Binding Studies New Trends in Analytical and Experimental Methodology. </w:t>
      </w:r>
      <w:r w:rsidRPr="002D64E9">
        <w:rPr>
          <w:rFonts w:ascii="Times New Roman" w:hAnsi="Times New Roman" w:cs="Times New Roman"/>
          <w:i/>
          <w:iCs/>
          <w:noProof/>
          <w:sz w:val="24"/>
          <w:szCs w:val="24"/>
        </w:rPr>
        <w:t>J. Chromatogr. B Biomed. Appl.</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1996</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677</w:t>
      </w:r>
      <w:r w:rsidRPr="002D64E9">
        <w:rPr>
          <w:rFonts w:ascii="Times New Roman" w:hAnsi="Times New Roman" w:cs="Times New Roman"/>
          <w:noProof/>
          <w:sz w:val="24"/>
          <w:szCs w:val="24"/>
        </w:rPr>
        <w:t>, 1–28.</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[21] </w:t>
      </w:r>
      <w:r w:rsidRPr="002D64E9">
        <w:rPr>
          <w:rFonts w:ascii="Times New Roman" w:hAnsi="Times New Roman" w:cs="Times New Roman"/>
          <w:noProof/>
          <w:sz w:val="24"/>
          <w:szCs w:val="24"/>
        </w:rPr>
        <w:tab/>
        <w:t xml:space="preserve">Pérez-Arnaiz, C.; Leal, J.; Busto, N.; Carrión, M.C.; Rubio, A.R.; Ortiz, I.; Barone, G.; Díaz De Greñu, B.; Santolaya, J.; Leal, J.M.; Vaquero, M.; Jalón, F.A.; Manzano, B.R.; García, B. Role of Seroalbumin in the Cytotoxicity of Cis-Dichloro Pt(II) Complexes with (N^N)-Donor Ligands Bearing Functionalized Tails. </w:t>
      </w:r>
      <w:r w:rsidRPr="002D64E9">
        <w:rPr>
          <w:rFonts w:ascii="Times New Roman" w:hAnsi="Times New Roman" w:cs="Times New Roman"/>
          <w:i/>
          <w:iCs/>
          <w:noProof/>
          <w:sz w:val="24"/>
          <w:szCs w:val="24"/>
        </w:rPr>
        <w:t>Inorg. Chem.</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2018</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57</w:t>
      </w:r>
      <w:r w:rsidRPr="002D64E9">
        <w:rPr>
          <w:rFonts w:ascii="Times New Roman" w:hAnsi="Times New Roman" w:cs="Times New Roman"/>
          <w:noProof/>
          <w:sz w:val="24"/>
          <w:szCs w:val="24"/>
        </w:rPr>
        <w:t>, 6124–6134.</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[22] </w:t>
      </w:r>
      <w:r w:rsidRPr="002D64E9">
        <w:rPr>
          <w:rFonts w:ascii="Times New Roman" w:hAnsi="Times New Roman" w:cs="Times New Roman"/>
          <w:noProof/>
          <w:sz w:val="24"/>
          <w:szCs w:val="24"/>
        </w:rPr>
        <w:tab/>
        <w:t xml:space="preserve">Whitlam, J.B.; Brown, K.F. Ultrafiltration in Serum Protein Binding Determinations. </w:t>
      </w:r>
      <w:r w:rsidRPr="002D64E9">
        <w:rPr>
          <w:rFonts w:ascii="Times New Roman" w:hAnsi="Times New Roman" w:cs="Times New Roman"/>
          <w:i/>
          <w:iCs/>
          <w:noProof/>
          <w:sz w:val="24"/>
          <w:szCs w:val="24"/>
        </w:rPr>
        <w:t>J. Pharm. Sci.</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1981</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70</w:t>
      </w:r>
      <w:r w:rsidRPr="002D64E9">
        <w:rPr>
          <w:rFonts w:ascii="Times New Roman" w:hAnsi="Times New Roman" w:cs="Times New Roman"/>
          <w:noProof/>
          <w:sz w:val="24"/>
          <w:szCs w:val="24"/>
        </w:rPr>
        <w:t>, 146–150.</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[23] </w:t>
      </w:r>
      <w:r w:rsidRPr="002D64E9">
        <w:rPr>
          <w:rFonts w:ascii="Times New Roman" w:hAnsi="Times New Roman" w:cs="Times New Roman"/>
          <w:noProof/>
          <w:sz w:val="24"/>
          <w:szCs w:val="24"/>
        </w:rPr>
        <w:tab/>
        <w:t xml:space="preserve">Campbell, K.P.; Maclennantll, D.H.; Jorgensen, A. Staining of the Ca2 ’ -Binding Proteins , </w:t>
      </w:r>
      <w:r w:rsidRPr="002D64E9">
        <w:rPr>
          <w:rFonts w:ascii="Times New Roman" w:hAnsi="Times New Roman" w:cs="Times New Roman"/>
          <w:noProof/>
          <w:sz w:val="24"/>
          <w:szCs w:val="24"/>
        </w:rPr>
        <w:lastRenderedPageBreak/>
        <w:t xml:space="preserve">Calsequestrin , Calmodulin ,. </w:t>
      </w:r>
      <w:r w:rsidRPr="002D64E9">
        <w:rPr>
          <w:rFonts w:ascii="Times New Roman" w:hAnsi="Times New Roman" w:cs="Times New Roman"/>
          <w:i/>
          <w:iCs/>
          <w:noProof/>
          <w:sz w:val="24"/>
          <w:szCs w:val="24"/>
        </w:rPr>
        <w:t>New York</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1983</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258</w:t>
      </w:r>
      <w:r w:rsidRPr="002D64E9">
        <w:rPr>
          <w:rFonts w:ascii="Times New Roman" w:hAnsi="Times New Roman" w:cs="Times New Roman"/>
          <w:noProof/>
          <w:sz w:val="24"/>
          <w:szCs w:val="24"/>
        </w:rPr>
        <w:t>, 11267–11273.</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[24] </w:t>
      </w:r>
      <w:r w:rsidRPr="002D64E9">
        <w:rPr>
          <w:rFonts w:ascii="Times New Roman" w:hAnsi="Times New Roman" w:cs="Times New Roman"/>
          <w:noProof/>
          <w:sz w:val="24"/>
          <w:szCs w:val="24"/>
        </w:rPr>
        <w:tab/>
        <w:t xml:space="preserve">Zsila, F.; Bikádi, Z.; Simonyi, M. Probing the Binding of the Flavonoid, Quercetin to Human Serum Albumin by Circular Dichroism, Electronic Absorption Spectroscopy and Molecular Modelling Methods. </w:t>
      </w:r>
      <w:r w:rsidRPr="002D64E9">
        <w:rPr>
          <w:rFonts w:ascii="Times New Roman" w:hAnsi="Times New Roman" w:cs="Times New Roman"/>
          <w:i/>
          <w:iCs/>
          <w:noProof/>
          <w:sz w:val="24"/>
          <w:szCs w:val="24"/>
        </w:rPr>
        <w:t>Biochem. Pharmacol.</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2003</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65</w:t>
      </w:r>
      <w:r w:rsidRPr="002D64E9">
        <w:rPr>
          <w:rFonts w:ascii="Times New Roman" w:hAnsi="Times New Roman" w:cs="Times New Roman"/>
          <w:noProof/>
          <w:sz w:val="24"/>
          <w:szCs w:val="24"/>
        </w:rPr>
        <w:t>, 447–456.</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[25] </w:t>
      </w:r>
      <w:r w:rsidRPr="002D64E9">
        <w:rPr>
          <w:rFonts w:ascii="Times New Roman" w:hAnsi="Times New Roman" w:cs="Times New Roman"/>
          <w:noProof/>
          <w:sz w:val="24"/>
          <w:szCs w:val="24"/>
        </w:rPr>
        <w:tab/>
        <w:t xml:space="preserve">Wolfbeis, O.S. </w:t>
      </w:r>
      <w:r w:rsidRPr="002D64E9">
        <w:rPr>
          <w:rFonts w:ascii="Times New Roman" w:hAnsi="Times New Roman" w:cs="Times New Roman"/>
          <w:i/>
          <w:iCs/>
          <w:noProof/>
          <w:sz w:val="24"/>
          <w:szCs w:val="24"/>
        </w:rPr>
        <w:t>Fluorescence Methods and Applications: Spectroscopy, Imaging, and Probes</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2008</w:t>
      </w:r>
      <w:r w:rsidRPr="002D64E9">
        <w:rPr>
          <w:rFonts w:ascii="Times New Roman" w:hAnsi="Times New Roman" w:cs="Times New Roman"/>
          <w:noProof/>
          <w:sz w:val="24"/>
          <w:szCs w:val="24"/>
        </w:rPr>
        <w:t>.</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[26] </w:t>
      </w:r>
      <w:r w:rsidRPr="002D64E9">
        <w:rPr>
          <w:rFonts w:ascii="Times New Roman" w:hAnsi="Times New Roman" w:cs="Times New Roman"/>
          <w:noProof/>
          <w:sz w:val="24"/>
          <w:szCs w:val="24"/>
        </w:rPr>
        <w:tab/>
        <w:t xml:space="preserve">Jimenez, M.; Miranda, M. Triplet Excited States as a Source of Relevant (Bio)Chemical Information. </w:t>
      </w:r>
      <w:r w:rsidRPr="002D64E9">
        <w:rPr>
          <w:rFonts w:ascii="Times New Roman" w:hAnsi="Times New Roman" w:cs="Times New Roman"/>
          <w:i/>
          <w:iCs/>
          <w:noProof/>
          <w:sz w:val="24"/>
          <w:szCs w:val="24"/>
        </w:rPr>
        <w:t>Curr. Top. Med. Chem.</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2014</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14</w:t>
      </w:r>
      <w:r w:rsidRPr="002D64E9">
        <w:rPr>
          <w:rFonts w:ascii="Times New Roman" w:hAnsi="Times New Roman" w:cs="Times New Roman"/>
          <w:noProof/>
          <w:sz w:val="24"/>
          <w:szCs w:val="24"/>
        </w:rPr>
        <w:t>, 2734–2742.</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[27] </w:t>
      </w:r>
      <w:r w:rsidRPr="002D64E9">
        <w:rPr>
          <w:rFonts w:ascii="Times New Roman" w:hAnsi="Times New Roman" w:cs="Times New Roman"/>
          <w:noProof/>
          <w:sz w:val="24"/>
          <w:szCs w:val="24"/>
        </w:rPr>
        <w:tab/>
        <w:t xml:space="preserve">Zhang, G.; Wang, A.; Jiang, T.; Guo, J. Interaction of the Irisflorentin with Bovine Serum Albumin: A Fluorescence Quenching Study. </w:t>
      </w:r>
      <w:r w:rsidRPr="002D64E9">
        <w:rPr>
          <w:rFonts w:ascii="Times New Roman" w:hAnsi="Times New Roman" w:cs="Times New Roman"/>
          <w:i/>
          <w:iCs/>
          <w:noProof/>
          <w:sz w:val="24"/>
          <w:szCs w:val="24"/>
        </w:rPr>
        <w:t>J. Mol. Struct.</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2008</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891</w:t>
      </w:r>
      <w:r w:rsidRPr="002D64E9">
        <w:rPr>
          <w:rFonts w:ascii="Times New Roman" w:hAnsi="Times New Roman" w:cs="Times New Roman"/>
          <w:noProof/>
          <w:sz w:val="24"/>
          <w:szCs w:val="24"/>
        </w:rPr>
        <w:t>, 93–97.</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[28] </w:t>
      </w:r>
      <w:r w:rsidRPr="002D64E9">
        <w:rPr>
          <w:rFonts w:ascii="Times New Roman" w:hAnsi="Times New Roman" w:cs="Times New Roman"/>
          <w:noProof/>
          <w:sz w:val="24"/>
          <w:szCs w:val="24"/>
        </w:rPr>
        <w:tab/>
        <w:t xml:space="preserve">Topală, T.; Bodoki, A.; Oprean, L.; Oprean, R. Bovine Serum Albumin Interactions with Metal Complexes. </w:t>
      </w:r>
      <w:r w:rsidRPr="002D64E9">
        <w:rPr>
          <w:rFonts w:ascii="Times New Roman" w:hAnsi="Times New Roman" w:cs="Times New Roman"/>
          <w:i/>
          <w:iCs/>
          <w:noProof/>
          <w:sz w:val="24"/>
          <w:szCs w:val="24"/>
        </w:rPr>
        <w:t>Clujul Med.</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2014</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87</w:t>
      </w:r>
      <w:r w:rsidRPr="002D64E9">
        <w:rPr>
          <w:rFonts w:ascii="Times New Roman" w:hAnsi="Times New Roman" w:cs="Times New Roman"/>
          <w:noProof/>
          <w:sz w:val="24"/>
          <w:szCs w:val="24"/>
        </w:rPr>
        <w:t>, 5.</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[29] </w:t>
      </w:r>
      <w:r w:rsidRPr="002D64E9">
        <w:rPr>
          <w:rFonts w:ascii="Times New Roman" w:hAnsi="Times New Roman" w:cs="Times New Roman"/>
          <w:noProof/>
          <w:sz w:val="24"/>
          <w:szCs w:val="24"/>
        </w:rPr>
        <w:tab/>
        <w:t xml:space="preserve">Lakowicz, J.R. </w:t>
      </w:r>
      <w:r w:rsidRPr="002D64E9">
        <w:rPr>
          <w:rFonts w:ascii="Times New Roman" w:hAnsi="Times New Roman" w:cs="Times New Roman"/>
          <w:i/>
          <w:iCs/>
          <w:noProof/>
          <w:sz w:val="24"/>
          <w:szCs w:val="24"/>
        </w:rPr>
        <w:t>Principles of Fluorescence Spectroscopy</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2006</w:t>
      </w:r>
      <w:r w:rsidRPr="002D64E9">
        <w:rPr>
          <w:rFonts w:ascii="Times New Roman" w:hAnsi="Times New Roman" w:cs="Times New Roman"/>
          <w:noProof/>
          <w:sz w:val="24"/>
          <w:szCs w:val="24"/>
        </w:rPr>
        <w:t>.</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[30] </w:t>
      </w:r>
      <w:r w:rsidRPr="002D64E9">
        <w:rPr>
          <w:rFonts w:ascii="Times New Roman" w:hAnsi="Times New Roman" w:cs="Times New Roman"/>
          <w:noProof/>
          <w:sz w:val="24"/>
          <w:szCs w:val="24"/>
        </w:rPr>
        <w:tab/>
        <w:t xml:space="preserve">Zhu, M.; Wang, L.; Wang, Y.; Zhou, J.; Ding, J.; Li, W.; Xin, Y.; Fan, S.; Wang, Z.; Wang, Y. Biointeractions of Herbicide Atrazine with Human Serum Albumin: UV-Vis, Fluorescence and Circular Dichroism Approaches. </w:t>
      </w:r>
      <w:r w:rsidRPr="002D64E9">
        <w:rPr>
          <w:rFonts w:ascii="Times New Roman" w:hAnsi="Times New Roman" w:cs="Times New Roman"/>
          <w:i/>
          <w:iCs/>
          <w:noProof/>
          <w:sz w:val="24"/>
          <w:szCs w:val="24"/>
        </w:rPr>
        <w:t>Int. J. Environ. Res. Public Health</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2018</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15</w:t>
      </w:r>
      <w:r w:rsidRPr="002D64E9">
        <w:rPr>
          <w:rFonts w:ascii="Times New Roman" w:hAnsi="Times New Roman" w:cs="Times New Roman"/>
          <w:noProof/>
          <w:sz w:val="24"/>
          <w:szCs w:val="24"/>
        </w:rPr>
        <w:t>.</w:t>
      </w:r>
    </w:p>
    <w:p w:rsidR="002D64E9" w:rsidRPr="00DB0884"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lang w:val="it-IT"/>
        </w:rPr>
      </w:pPr>
      <w:r w:rsidRPr="002D64E9">
        <w:rPr>
          <w:rFonts w:ascii="Times New Roman" w:hAnsi="Times New Roman" w:cs="Times New Roman"/>
          <w:noProof/>
          <w:sz w:val="24"/>
          <w:szCs w:val="24"/>
        </w:rPr>
        <w:t xml:space="preserve">[31] </w:t>
      </w:r>
      <w:r w:rsidRPr="002D64E9">
        <w:rPr>
          <w:rFonts w:ascii="Times New Roman" w:hAnsi="Times New Roman" w:cs="Times New Roman"/>
          <w:noProof/>
          <w:sz w:val="24"/>
          <w:szCs w:val="24"/>
        </w:rPr>
        <w:tab/>
        <w:t xml:space="preserve">Mahendiran, D.; Kumar, R.S.; Viswanathan, V.; Velmurugan, D.; Rahiman, A.K. Targeting of DNA Molecules, BSA/: C -Met Tyrosine Kinase Receptors and Anti-Proliferative Activity of Bis(Terpyridine)Copper(II) Complexes. </w:t>
      </w:r>
      <w:r w:rsidRPr="00DB0884">
        <w:rPr>
          <w:rFonts w:ascii="Times New Roman" w:hAnsi="Times New Roman" w:cs="Times New Roman"/>
          <w:i/>
          <w:iCs/>
          <w:noProof/>
          <w:sz w:val="24"/>
          <w:szCs w:val="24"/>
          <w:lang w:val="it-IT"/>
        </w:rPr>
        <w:t>Dalt. Trans.</w:t>
      </w:r>
      <w:r w:rsidRPr="00DB0884">
        <w:rPr>
          <w:rFonts w:ascii="Times New Roman" w:hAnsi="Times New Roman" w:cs="Times New Roman"/>
          <w:noProof/>
          <w:sz w:val="24"/>
          <w:szCs w:val="24"/>
          <w:lang w:val="it-IT"/>
        </w:rPr>
        <w:t xml:space="preserve">, </w:t>
      </w:r>
      <w:r w:rsidRPr="00DB0884">
        <w:rPr>
          <w:rFonts w:ascii="Times New Roman" w:hAnsi="Times New Roman" w:cs="Times New Roman"/>
          <w:b/>
          <w:bCs/>
          <w:noProof/>
          <w:sz w:val="24"/>
          <w:szCs w:val="24"/>
          <w:lang w:val="it-IT"/>
        </w:rPr>
        <w:t>2016</w:t>
      </w:r>
      <w:r w:rsidRPr="00DB0884">
        <w:rPr>
          <w:rFonts w:ascii="Times New Roman" w:hAnsi="Times New Roman" w:cs="Times New Roman"/>
          <w:noProof/>
          <w:sz w:val="24"/>
          <w:szCs w:val="24"/>
          <w:lang w:val="it-IT"/>
        </w:rPr>
        <w:t xml:space="preserve">, </w:t>
      </w:r>
      <w:r w:rsidRPr="00DB0884">
        <w:rPr>
          <w:rFonts w:ascii="Times New Roman" w:hAnsi="Times New Roman" w:cs="Times New Roman"/>
          <w:i/>
          <w:iCs/>
          <w:noProof/>
          <w:sz w:val="24"/>
          <w:szCs w:val="24"/>
          <w:lang w:val="it-IT"/>
        </w:rPr>
        <w:t>45</w:t>
      </w:r>
      <w:r w:rsidRPr="00DB0884">
        <w:rPr>
          <w:rFonts w:ascii="Times New Roman" w:hAnsi="Times New Roman" w:cs="Times New Roman"/>
          <w:noProof/>
          <w:sz w:val="24"/>
          <w:szCs w:val="24"/>
          <w:lang w:val="it-IT"/>
        </w:rPr>
        <w:t>, 7794–7814.</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DB0884">
        <w:rPr>
          <w:rFonts w:ascii="Times New Roman" w:hAnsi="Times New Roman" w:cs="Times New Roman"/>
          <w:noProof/>
          <w:sz w:val="24"/>
          <w:szCs w:val="24"/>
          <w:lang w:val="it-IT"/>
        </w:rPr>
        <w:t xml:space="preserve">[32] </w:t>
      </w:r>
      <w:r w:rsidRPr="00DB0884">
        <w:rPr>
          <w:rFonts w:ascii="Times New Roman" w:hAnsi="Times New Roman" w:cs="Times New Roman"/>
          <w:noProof/>
          <w:sz w:val="24"/>
          <w:szCs w:val="24"/>
          <w:lang w:val="it-IT"/>
        </w:rPr>
        <w:tab/>
        <w:t xml:space="preserve">Canil, G.; Braccini, S.; Marzo, T.; Marchetti, L.; Pratesi, A.; Biver, T.; Funaioli, T.; Chiellini, F.; Hoeschele, J.D.; Gabbiani, C. Photocytotoxic Pt(Iv) Complexes as Prospective Anticancer Agents. </w:t>
      </w:r>
      <w:r w:rsidRPr="002D64E9">
        <w:rPr>
          <w:rFonts w:ascii="Times New Roman" w:hAnsi="Times New Roman" w:cs="Times New Roman"/>
          <w:i/>
          <w:iCs/>
          <w:noProof/>
          <w:sz w:val="24"/>
          <w:szCs w:val="24"/>
        </w:rPr>
        <w:t>Dalt. Trans.</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2019</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48</w:t>
      </w:r>
      <w:r w:rsidRPr="002D64E9">
        <w:rPr>
          <w:rFonts w:ascii="Times New Roman" w:hAnsi="Times New Roman" w:cs="Times New Roman"/>
          <w:noProof/>
          <w:sz w:val="24"/>
          <w:szCs w:val="24"/>
        </w:rPr>
        <w:t>, 10933–10944.</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lastRenderedPageBreak/>
        <w:t xml:space="preserve">[33] </w:t>
      </w:r>
      <w:r w:rsidRPr="002D64E9">
        <w:rPr>
          <w:rFonts w:ascii="Times New Roman" w:hAnsi="Times New Roman" w:cs="Times New Roman"/>
          <w:noProof/>
          <w:sz w:val="24"/>
          <w:szCs w:val="24"/>
        </w:rPr>
        <w:tab/>
        <w:t xml:space="preserve">Biver, T.; Eltugral, N.; Pucci, A.; Ruggeri, G.; Schena, A.; Secco, F.; Venturini, M. Synthesis, Characterization, DNA Interaction and Potential Applications of Gold Nanoparticles Functionalized with Acridine Orange Fluorophores. </w:t>
      </w:r>
      <w:r w:rsidRPr="002D64E9">
        <w:rPr>
          <w:rFonts w:ascii="Times New Roman" w:hAnsi="Times New Roman" w:cs="Times New Roman"/>
          <w:i/>
          <w:iCs/>
          <w:noProof/>
          <w:sz w:val="24"/>
          <w:szCs w:val="24"/>
        </w:rPr>
        <w:t>Dalt. Trans.</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2011</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40</w:t>
      </w:r>
      <w:r w:rsidRPr="002D64E9">
        <w:rPr>
          <w:rFonts w:ascii="Times New Roman" w:hAnsi="Times New Roman" w:cs="Times New Roman"/>
          <w:noProof/>
          <w:sz w:val="24"/>
          <w:szCs w:val="24"/>
        </w:rPr>
        <w:t>, 4190–4199.</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[34] </w:t>
      </w:r>
      <w:r w:rsidRPr="002D64E9">
        <w:rPr>
          <w:rFonts w:ascii="Times New Roman" w:hAnsi="Times New Roman" w:cs="Times New Roman"/>
          <w:noProof/>
          <w:sz w:val="24"/>
          <w:szCs w:val="24"/>
        </w:rPr>
        <w:tab/>
        <w:t xml:space="preserve">Kubista, M.; Sjöback, R.; Eriksson, S.; Albinsson, B. Experimental Correction for the Inner-Filter Effect in Fluorescence Spectra. </w:t>
      </w:r>
      <w:r w:rsidRPr="002D64E9">
        <w:rPr>
          <w:rFonts w:ascii="Times New Roman" w:hAnsi="Times New Roman" w:cs="Times New Roman"/>
          <w:i/>
          <w:iCs/>
          <w:noProof/>
          <w:sz w:val="24"/>
          <w:szCs w:val="24"/>
        </w:rPr>
        <w:t>Analyst</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1994</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119</w:t>
      </w:r>
      <w:r w:rsidRPr="002D64E9">
        <w:rPr>
          <w:rFonts w:ascii="Times New Roman" w:hAnsi="Times New Roman" w:cs="Times New Roman"/>
          <w:noProof/>
          <w:sz w:val="24"/>
          <w:szCs w:val="24"/>
        </w:rPr>
        <w:t>, 417–419.</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[35] </w:t>
      </w:r>
      <w:r w:rsidRPr="002D64E9">
        <w:rPr>
          <w:rFonts w:ascii="Times New Roman" w:hAnsi="Times New Roman" w:cs="Times New Roman"/>
          <w:noProof/>
          <w:sz w:val="24"/>
          <w:szCs w:val="24"/>
        </w:rPr>
        <w:tab/>
        <w:t xml:space="preserve">Chatterjee, S.; Srivastava, T.S. Spectral Investigations of the Interaction of Some Porphyrins with Bovine Serum Albumin. </w:t>
      </w:r>
      <w:r w:rsidRPr="002D64E9">
        <w:rPr>
          <w:rFonts w:ascii="Times New Roman" w:hAnsi="Times New Roman" w:cs="Times New Roman"/>
          <w:i/>
          <w:iCs/>
          <w:noProof/>
          <w:sz w:val="24"/>
          <w:szCs w:val="24"/>
        </w:rPr>
        <w:t>J. Porphyr. Phthalocyanines</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2000</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4</w:t>
      </w:r>
      <w:r w:rsidRPr="002D64E9">
        <w:rPr>
          <w:rFonts w:ascii="Times New Roman" w:hAnsi="Times New Roman" w:cs="Times New Roman"/>
          <w:noProof/>
          <w:sz w:val="24"/>
          <w:szCs w:val="24"/>
        </w:rPr>
        <w:t>, 147–157.</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[36] </w:t>
      </w:r>
      <w:r w:rsidRPr="002D64E9">
        <w:rPr>
          <w:rFonts w:ascii="Times New Roman" w:hAnsi="Times New Roman" w:cs="Times New Roman"/>
          <w:noProof/>
          <w:sz w:val="24"/>
          <w:szCs w:val="24"/>
        </w:rPr>
        <w:tab/>
        <w:t xml:space="preserve">Rocco, D.; Batchelor, L.K.; Agonigi, G.; Braccini, S.; Chiellini, F.; Schoch, S.; Biver, T.; Funaioli, T.; Zacchini, S.; Biancalana, L.; Ruggeri, M.; Pampaloni, G.; Dyson, P.J.; Marchetti, F. Anticancer Potential of Diiron Vinyliminium Complexes. </w:t>
      </w:r>
      <w:r w:rsidRPr="002D64E9">
        <w:rPr>
          <w:rFonts w:ascii="Times New Roman" w:hAnsi="Times New Roman" w:cs="Times New Roman"/>
          <w:i/>
          <w:iCs/>
          <w:noProof/>
          <w:sz w:val="24"/>
          <w:szCs w:val="24"/>
        </w:rPr>
        <w:t>Chem. - A Eur. J.</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2019</w:t>
      </w:r>
      <w:r w:rsidRPr="002D64E9">
        <w:rPr>
          <w:rFonts w:ascii="Times New Roman" w:hAnsi="Times New Roman" w:cs="Times New Roman"/>
          <w:noProof/>
          <w:sz w:val="24"/>
          <w:szCs w:val="24"/>
        </w:rPr>
        <w:t>, 1–17.</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[37] </w:t>
      </w:r>
      <w:r w:rsidRPr="002D64E9">
        <w:rPr>
          <w:rFonts w:ascii="Times New Roman" w:hAnsi="Times New Roman" w:cs="Times New Roman"/>
          <w:noProof/>
          <w:sz w:val="24"/>
          <w:szCs w:val="24"/>
        </w:rPr>
        <w:tab/>
        <w:t xml:space="preserve">Agonigi, G.; Biancalana, L.; Lupo, M.G.; Montopoli, M.; Ferri, N.; Zacchini, S.; Binacchi, F.; Biver, T.; Campanella, B.; Pampaloni, G.; Zanotti, V.; Marchetti, F. Exploring the Anticancer Potential of Diiron Bis-Cyclopentadienyl Complexes with Bridging Hydrocarbyl Ligands: Behavior in Aqueous Media and in Vitro Cytotoxicity. </w:t>
      </w:r>
      <w:r w:rsidRPr="002D64E9">
        <w:rPr>
          <w:rFonts w:ascii="Times New Roman" w:hAnsi="Times New Roman" w:cs="Times New Roman"/>
          <w:i/>
          <w:iCs/>
          <w:noProof/>
          <w:sz w:val="24"/>
          <w:szCs w:val="24"/>
        </w:rPr>
        <w:t>Organometallics</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2020</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39</w:t>
      </w:r>
      <w:r w:rsidRPr="002D64E9">
        <w:rPr>
          <w:rFonts w:ascii="Times New Roman" w:hAnsi="Times New Roman" w:cs="Times New Roman"/>
          <w:noProof/>
          <w:sz w:val="24"/>
          <w:szCs w:val="24"/>
        </w:rPr>
        <w:t>, 645–657.</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[38] </w:t>
      </w:r>
      <w:r w:rsidRPr="002D64E9">
        <w:rPr>
          <w:rFonts w:ascii="Times New Roman" w:hAnsi="Times New Roman" w:cs="Times New Roman"/>
          <w:noProof/>
          <w:sz w:val="24"/>
          <w:szCs w:val="24"/>
        </w:rPr>
        <w:tab/>
        <w:t xml:space="preserve">Guo, Q.; Yuan, J.; Zeng, J. Binding of Dihydromyricetin and Its Metal Ion Complexes with Bovine Serum Albumin. </w:t>
      </w:r>
      <w:r w:rsidRPr="002D64E9">
        <w:rPr>
          <w:rFonts w:ascii="Times New Roman" w:hAnsi="Times New Roman" w:cs="Times New Roman"/>
          <w:i/>
          <w:iCs/>
          <w:noProof/>
          <w:sz w:val="24"/>
          <w:szCs w:val="24"/>
        </w:rPr>
        <w:t>Biotechnol. Biotechnol. Equip.</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2014</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28</w:t>
      </w:r>
      <w:r w:rsidRPr="002D64E9">
        <w:rPr>
          <w:rFonts w:ascii="Times New Roman" w:hAnsi="Times New Roman" w:cs="Times New Roman"/>
          <w:noProof/>
          <w:sz w:val="24"/>
          <w:szCs w:val="24"/>
        </w:rPr>
        <w:t>, 333–341.</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[39] </w:t>
      </w:r>
      <w:r w:rsidRPr="002D64E9">
        <w:rPr>
          <w:rFonts w:ascii="Times New Roman" w:hAnsi="Times New Roman" w:cs="Times New Roman"/>
          <w:noProof/>
          <w:sz w:val="24"/>
          <w:szCs w:val="24"/>
        </w:rPr>
        <w:tab/>
        <w:t xml:space="preserve">Van De Weert, M.; Stella, L. Fluorescence Quenching and Ligand Binding: A Critical Discussion of a Popular Methodology. </w:t>
      </w:r>
      <w:r w:rsidRPr="002D64E9">
        <w:rPr>
          <w:rFonts w:ascii="Times New Roman" w:hAnsi="Times New Roman" w:cs="Times New Roman"/>
          <w:i/>
          <w:iCs/>
          <w:noProof/>
          <w:sz w:val="24"/>
          <w:szCs w:val="24"/>
        </w:rPr>
        <w:t>J. Mol. Struct.</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2011</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998</w:t>
      </w:r>
      <w:r w:rsidRPr="002D64E9">
        <w:rPr>
          <w:rFonts w:ascii="Times New Roman" w:hAnsi="Times New Roman" w:cs="Times New Roman"/>
          <w:noProof/>
          <w:sz w:val="24"/>
          <w:szCs w:val="24"/>
        </w:rPr>
        <w:t>, 144–150.</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[40] </w:t>
      </w:r>
      <w:r w:rsidRPr="002D64E9">
        <w:rPr>
          <w:rFonts w:ascii="Times New Roman" w:hAnsi="Times New Roman" w:cs="Times New Roman"/>
          <w:noProof/>
          <w:sz w:val="24"/>
          <w:szCs w:val="24"/>
        </w:rPr>
        <w:tab/>
        <w:t xml:space="preserve">Gu, Q.; Kenny, J.E. Improvement of Inner Filter Effect Correction Based on Determination of Effective Geometric Parameters Using a Conventional Fluorimeter. </w:t>
      </w:r>
      <w:r w:rsidRPr="002D64E9">
        <w:rPr>
          <w:rFonts w:ascii="Times New Roman" w:hAnsi="Times New Roman" w:cs="Times New Roman"/>
          <w:i/>
          <w:iCs/>
          <w:noProof/>
          <w:sz w:val="24"/>
          <w:szCs w:val="24"/>
        </w:rPr>
        <w:t>Anal. Chem.</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2009</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81</w:t>
      </w:r>
      <w:r w:rsidRPr="002D64E9">
        <w:rPr>
          <w:rFonts w:ascii="Times New Roman" w:hAnsi="Times New Roman" w:cs="Times New Roman"/>
          <w:noProof/>
          <w:sz w:val="24"/>
          <w:szCs w:val="24"/>
        </w:rPr>
        <w:t>, 420–426.</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lastRenderedPageBreak/>
        <w:t xml:space="preserve">[41] </w:t>
      </w:r>
      <w:r w:rsidRPr="002D64E9">
        <w:rPr>
          <w:rFonts w:ascii="Times New Roman" w:hAnsi="Times New Roman" w:cs="Times New Roman"/>
          <w:noProof/>
          <w:sz w:val="24"/>
          <w:szCs w:val="24"/>
        </w:rPr>
        <w:tab/>
        <w:t xml:space="preserve">Valeur, B. </w:t>
      </w:r>
      <w:r w:rsidRPr="002D64E9">
        <w:rPr>
          <w:rFonts w:ascii="Times New Roman" w:hAnsi="Times New Roman" w:cs="Times New Roman"/>
          <w:i/>
          <w:iCs/>
          <w:noProof/>
          <w:sz w:val="24"/>
          <w:szCs w:val="24"/>
        </w:rPr>
        <w:t>Molecular Fluorescence - Principles and Applications</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2001</w:t>
      </w:r>
      <w:r w:rsidRPr="002D64E9">
        <w:rPr>
          <w:rFonts w:ascii="Times New Roman" w:hAnsi="Times New Roman" w:cs="Times New Roman"/>
          <w:noProof/>
          <w:sz w:val="24"/>
          <w:szCs w:val="24"/>
        </w:rPr>
        <w:t>.</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[42] </w:t>
      </w:r>
      <w:r w:rsidRPr="002D64E9">
        <w:rPr>
          <w:rFonts w:ascii="Times New Roman" w:hAnsi="Times New Roman" w:cs="Times New Roman"/>
          <w:noProof/>
          <w:sz w:val="24"/>
          <w:szCs w:val="24"/>
        </w:rPr>
        <w:tab/>
        <w:t xml:space="preserve">Ray, A.; Koley Seth, B.; Pal, U.; Basu, S. Nickel(II)-Schiff Base Complex Recognizing Domain II of Bovine and Human Serum Albumin: Spectroscopic and Docking Studies. </w:t>
      </w:r>
      <w:r w:rsidRPr="002D64E9">
        <w:rPr>
          <w:rFonts w:ascii="Times New Roman" w:hAnsi="Times New Roman" w:cs="Times New Roman"/>
          <w:i/>
          <w:iCs/>
          <w:noProof/>
          <w:sz w:val="24"/>
          <w:szCs w:val="24"/>
        </w:rPr>
        <w:t>Spectrochim. Acta - Part A Mol. Biomol. Spectrosc.</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2012</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92</w:t>
      </w:r>
      <w:r w:rsidRPr="002D64E9">
        <w:rPr>
          <w:rFonts w:ascii="Times New Roman" w:hAnsi="Times New Roman" w:cs="Times New Roman"/>
          <w:noProof/>
          <w:sz w:val="24"/>
          <w:szCs w:val="24"/>
        </w:rPr>
        <w:t>, 164–174.</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[43] </w:t>
      </w:r>
      <w:r w:rsidRPr="002D64E9">
        <w:rPr>
          <w:rFonts w:ascii="Times New Roman" w:hAnsi="Times New Roman" w:cs="Times New Roman"/>
          <w:noProof/>
          <w:sz w:val="24"/>
          <w:szCs w:val="24"/>
        </w:rPr>
        <w:tab/>
        <w:t xml:space="preserve">Jayabharathi, J.; Thanikachalam, V.; Venkatesh Perumal, M. A Study on the Binding Interaction between the Imidazole Derivative and Bovine Serum Albumin by Fluorescence Spectroscopy. </w:t>
      </w:r>
      <w:r w:rsidRPr="002D64E9">
        <w:rPr>
          <w:rFonts w:ascii="Times New Roman" w:hAnsi="Times New Roman" w:cs="Times New Roman"/>
          <w:i/>
          <w:iCs/>
          <w:noProof/>
          <w:sz w:val="24"/>
          <w:szCs w:val="24"/>
        </w:rPr>
        <w:t>J. Lumin.</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2012</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132</w:t>
      </w:r>
      <w:r w:rsidRPr="002D64E9">
        <w:rPr>
          <w:rFonts w:ascii="Times New Roman" w:hAnsi="Times New Roman" w:cs="Times New Roman"/>
          <w:noProof/>
          <w:sz w:val="24"/>
          <w:szCs w:val="24"/>
        </w:rPr>
        <w:t>, 707–712.</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[44] </w:t>
      </w:r>
      <w:r w:rsidRPr="002D64E9">
        <w:rPr>
          <w:rFonts w:ascii="Times New Roman" w:hAnsi="Times New Roman" w:cs="Times New Roman"/>
          <w:noProof/>
          <w:sz w:val="24"/>
          <w:szCs w:val="24"/>
        </w:rPr>
        <w:tab/>
        <w:t xml:space="preserve">Fraiji, L.K.; Hayes, D.M.; Werner, T.C. Static and Dynamic Fluorescence Quenching Experiments for the Physical Chemistry Laboratory. </w:t>
      </w:r>
      <w:r w:rsidRPr="002D64E9">
        <w:rPr>
          <w:rFonts w:ascii="Times New Roman" w:hAnsi="Times New Roman" w:cs="Times New Roman"/>
          <w:i/>
          <w:iCs/>
          <w:noProof/>
          <w:sz w:val="24"/>
          <w:szCs w:val="24"/>
        </w:rPr>
        <w:t>J. Chem. Educ.</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1992</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69</w:t>
      </w:r>
      <w:r w:rsidRPr="002D64E9">
        <w:rPr>
          <w:rFonts w:ascii="Times New Roman" w:hAnsi="Times New Roman" w:cs="Times New Roman"/>
          <w:noProof/>
          <w:sz w:val="24"/>
          <w:szCs w:val="24"/>
        </w:rPr>
        <w:t>, 424–428.</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[45] </w:t>
      </w:r>
      <w:r w:rsidRPr="002D64E9">
        <w:rPr>
          <w:rFonts w:ascii="Times New Roman" w:hAnsi="Times New Roman" w:cs="Times New Roman"/>
          <w:noProof/>
          <w:sz w:val="24"/>
          <w:szCs w:val="24"/>
        </w:rPr>
        <w:tab/>
        <w:t xml:space="preserve">Eftink, M.R.; Ghiron, C.A. Fluorescence Quenching Studies with Proteins. </w:t>
      </w:r>
      <w:r w:rsidRPr="002D64E9">
        <w:rPr>
          <w:rFonts w:ascii="Times New Roman" w:hAnsi="Times New Roman" w:cs="Times New Roman"/>
          <w:i/>
          <w:iCs/>
          <w:noProof/>
          <w:sz w:val="24"/>
          <w:szCs w:val="24"/>
        </w:rPr>
        <w:t>Anal. Biochem.</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1981</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114</w:t>
      </w:r>
      <w:r w:rsidRPr="002D64E9">
        <w:rPr>
          <w:rFonts w:ascii="Times New Roman" w:hAnsi="Times New Roman" w:cs="Times New Roman"/>
          <w:noProof/>
          <w:sz w:val="24"/>
          <w:szCs w:val="24"/>
        </w:rPr>
        <w:t>, 199–227.</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[46] </w:t>
      </w:r>
      <w:r w:rsidRPr="002D64E9">
        <w:rPr>
          <w:rFonts w:ascii="Times New Roman" w:hAnsi="Times New Roman" w:cs="Times New Roman"/>
          <w:noProof/>
          <w:sz w:val="24"/>
          <w:szCs w:val="24"/>
        </w:rPr>
        <w:tab/>
        <w:t xml:space="preserve">Wang, B.L.; Pan, D.Q.; Zhou, K.L.; Lou, Y.Y.; Shi, J.H. Multi-Spectroscopic Approaches and Molecular Simulation Research of the Intermolecular Interaction between the Angiotensin-Converting Enzyme Inhibitor (ACE Inhibitor) Benazepril and Bovine Serum Albumin (BSA). </w:t>
      </w:r>
      <w:r w:rsidRPr="002D64E9">
        <w:rPr>
          <w:rFonts w:ascii="Times New Roman" w:hAnsi="Times New Roman" w:cs="Times New Roman"/>
          <w:i/>
          <w:iCs/>
          <w:noProof/>
          <w:sz w:val="24"/>
          <w:szCs w:val="24"/>
        </w:rPr>
        <w:t>Spectrochim. Acta - Part A Mol. Biomol. Spectrosc.</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2019</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212</w:t>
      </w:r>
      <w:r w:rsidRPr="002D64E9">
        <w:rPr>
          <w:rFonts w:ascii="Times New Roman" w:hAnsi="Times New Roman" w:cs="Times New Roman"/>
          <w:noProof/>
          <w:sz w:val="24"/>
          <w:szCs w:val="24"/>
        </w:rPr>
        <w:t>, 15–24.</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[47] </w:t>
      </w:r>
      <w:r w:rsidRPr="002D64E9">
        <w:rPr>
          <w:rFonts w:ascii="Times New Roman" w:hAnsi="Times New Roman" w:cs="Times New Roman"/>
          <w:noProof/>
          <w:sz w:val="24"/>
          <w:szCs w:val="24"/>
        </w:rPr>
        <w:tab/>
        <w:t xml:space="preserve">Geethanjali, H.S.; Nagaraja, D.; Melavanki, R.M.; Kusanur, R.A. Fluorescence Quenching of Boronic Acid Derivatives by Aniline in Alcohols - A Negative Deviation from Stern-Volmer Equation. </w:t>
      </w:r>
      <w:r w:rsidRPr="002D64E9">
        <w:rPr>
          <w:rFonts w:ascii="Times New Roman" w:hAnsi="Times New Roman" w:cs="Times New Roman"/>
          <w:i/>
          <w:iCs/>
          <w:noProof/>
          <w:sz w:val="24"/>
          <w:szCs w:val="24"/>
        </w:rPr>
        <w:t>J. Lumin.</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2015</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167</w:t>
      </w:r>
      <w:r w:rsidRPr="002D64E9">
        <w:rPr>
          <w:rFonts w:ascii="Times New Roman" w:hAnsi="Times New Roman" w:cs="Times New Roman"/>
          <w:noProof/>
          <w:sz w:val="24"/>
          <w:szCs w:val="24"/>
        </w:rPr>
        <w:t>, 216–221.</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[48] </w:t>
      </w:r>
      <w:r w:rsidRPr="002D64E9">
        <w:rPr>
          <w:rFonts w:ascii="Times New Roman" w:hAnsi="Times New Roman" w:cs="Times New Roman"/>
          <w:noProof/>
          <w:sz w:val="24"/>
          <w:szCs w:val="24"/>
        </w:rPr>
        <w:tab/>
        <w:t xml:space="preserve">Queiroz, A.M.; Mezacasa, A. V.; Graciano, D.E.; Falco, W.F.; M’Peko, J.C.; Guimarães, F.E.G.; Lawson, T.; Colbeck, I.; Oliveira, S.L.; Caires, A.R.L. Quenching of Chlorophyll Fluorescence Induced by Silver Nanoparticles. </w:t>
      </w:r>
      <w:r w:rsidRPr="002D64E9">
        <w:rPr>
          <w:rFonts w:ascii="Times New Roman" w:hAnsi="Times New Roman" w:cs="Times New Roman"/>
          <w:i/>
          <w:iCs/>
          <w:noProof/>
          <w:sz w:val="24"/>
          <w:szCs w:val="24"/>
        </w:rPr>
        <w:t>Spectrochim. Acta - Part A Mol. Biomol. Spectrosc.</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2016</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168</w:t>
      </w:r>
      <w:r w:rsidRPr="002D64E9">
        <w:rPr>
          <w:rFonts w:ascii="Times New Roman" w:hAnsi="Times New Roman" w:cs="Times New Roman"/>
          <w:noProof/>
          <w:sz w:val="24"/>
          <w:szCs w:val="24"/>
        </w:rPr>
        <w:t>, 73–77.</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[49] </w:t>
      </w:r>
      <w:r w:rsidRPr="002D64E9">
        <w:rPr>
          <w:rFonts w:ascii="Times New Roman" w:hAnsi="Times New Roman" w:cs="Times New Roman"/>
          <w:noProof/>
          <w:sz w:val="24"/>
          <w:szCs w:val="24"/>
        </w:rPr>
        <w:tab/>
        <w:t xml:space="preserve">Hu, Y.J.; Liu, Y.; Shen, X.S.; Fang, X.Y.; Qu, S.S. Studies on the Interaction between 1-Hexylcarbamoyl-5-Fluorouracil and Bovine Serum Albumin. </w:t>
      </w:r>
      <w:r w:rsidRPr="002D64E9">
        <w:rPr>
          <w:rFonts w:ascii="Times New Roman" w:hAnsi="Times New Roman" w:cs="Times New Roman"/>
          <w:i/>
          <w:iCs/>
          <w:noProof/>
          <w:sz w:val="24"/>
          <w:szCs w:val="24"/>
        </w:rPr>
        <w:t>J. Mol. Struct.</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2005</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738</w:t>
      </w:r>
      <w:r w:rsidRPr="002D64E9">
        <w:rPr>
          <w:rFonts w:ascii="Times New Roman" w:hAnsi="Times New Roman" w:cs="Times New Roman"/>
          <w:noProof/>
          <w:sz w:val="24"/>
          <w:szCs w:val="24"/>
        </w:rPr>
        <w:t>, 143–</w:t>
      </w:r>
      <w:r w:rsidRPr="002D64E9">
        <w:rPr>
          <w:rFonts w:ascii="Times New Roman" w:hAnsi="Times New Roman" w:cs="Times New Roman"/>
          <w:noProof/>
          <w:sz w:val="24"/>
          <w:szCs w:val="24"/>
        </w:rPr>
        <w:lastRenderedPageBreak/>
        <w:t>147.</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[50] </w:t>
      </w:r>
      <w:r w:rsidRPr="002D64E9">
        <w:rPr>
          <w:rFonts w:ascii="Times New Roman" w:hAnsi="Times New Roman" w:cs="Times New Roman"/>
          <w:noProof/>
          <w:sz w:val="24"/>
          <w:szCs w:val="24"/>
        </w:rPr>
        <w:tab/>
        <w:t xml:space="preserve">Phopin, K.; Ruankham, W.; Prachayasittikul, S.; Prachayasittikul, V.; Tantimongcolwat, T. Insight into the Molecular Interaction of Cloxyquin (5-Chloro-8-Hydroxyquinoline) with Bovine Serum Albumin: Biophysical Analysis and Computational Simulation. </w:t>
      </w:r>
      <w:r w:rsidRPr="002D64E9">
        <w:rPr>
          <w:rFonts w:ascii="Times New Roman" w:hAnsi="Times New Roman" w:cs="Times New Roman"/>
          <w:i/>
          <w:iCs/>
          <w:noProof/>
          <w:sz w:val="24"/>
          <w:szCs w:val="24"/>
        </w:rPr>
        <w:t>Int. J. Mol. Sci.</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2020</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21</w:t>
      </w:r>
      <w:r w:rsidRPr="002D64E9">
        <w:rPr>
          <w:rFonts w:ascii="Times New Roman" w:hAnsi="Times New Roman" w:cs="Times New Roman"/>
          <w:noProof/>
          <w:sz w:val="24"/>
          <w:szCs w:val="24"/>
        </w:rPr>
        <w:t>.</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[51] </w:t>
      </w:r>
      <w:r w:rsidRPr="002D64E9">
        <w:rPr>
          <w:rFonts w:ascii="Times New Roman" w:hAnsi="Times New Roman" w:cs="Times New Roman"/>
          <w:noProof/>
          <w:sz w:val="24"/>
          <w:szCs w:val="24"/>
        </w:rPr>
        <w:tab/>
        <w:t xml:space="preserve">Macii, F.; Salvadori, G.; Bonini, R.; Giannarelli, S.; Mennucci, B.; Biver, T. Binding of Model Polycyclic Aromatic Hydrocarbons and Carbamate-Pesticides to DNA, BSA, Micelles and Liposomes. </w:t>
      </w:r>
      <w:r w:rsidRPr="002D64E9">
        <w:rPr>
          <w:rFonts w:ascii="Times New Roman" w:hAnsi="Times New Roman" w:cs="Times New Roman"/>
          <w:i/>
          <w:iCs/>
          <w:noProof/>
          <w:sz w:val="24"/>
          <w:szCs w:val="24"/>
        </w:rPr>
        <w:t>Spectrochim. Acta - Part A Mol. Biomol. Spectrosc.</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2019</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223</w:t>
      </w:r>
      <w:r w:rsidRPr="002D64E9">
        <w:rPr>
          <w:rFonts w:ascii="Times New Roman" w:hAnsi="Times New Roman" w:cs="Times New Roman"/>
          <w:noProof/>
          <w:sz w:val="24"/>
          <w:szCs w:val="24"/>
        </w:rPr>
        <w:t>, 117313.</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[52] </w:t>
      </w:r>
      <w:r w:rsidRPr="002D64E9">
        <w:rPr>
          <w:rFonts w:ascii="Times New Roman" w:hAnsi="Times New Roman" w:cs="Times New Roman"/>
          <w:noProof/>
          <w:sz w:val="24"/>
          <w:szCs w:val="24"/>
        </w:rPr>
        <w:tab/>
        <w:t xml:space="preserve">Ware, W.R. Oxygen Quenching of Fluorescence in Solution: An Experimental Study of the Diffusion Process. </w:t>
      </w:r>
      <w:r w:rsidRPr="002D64E9">
        <w:rPr>
          <w:rFonts w:ascii="Times New Roman" w:hAnsi="Times New Roman" w:cs="Times New Roman"/>
          <w:i/>
          <w:iCs/>
          <w:noProof/>
          <w:sz w:val="24"/>
          <w:szCs w:val="24"/>
        </w:rPr>
        <w:t>J. Phys. Chem.</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1962</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66</w:t>
      </w:r>
      <w:r w:rsidRPr="002D64E9">
        <w:rPr>
          <w:rFonts w:ascii="Times New Roman" w:hAnsi="Times New Roman" w:cs="Times New Roman"/>
          <w:noProof/>
          <w:sz w:val="24"/>
          <w:szCs w:val="24"/>
        </w:rPr>
        <w:t>, 455–458.</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[53] </w:t>
      </w:r>
      <w:r w:rsidRPr="002D64E9">
        <w:rPr>
          <w:rFonts w:ascii="Times New Roman" w:hAnsi="Times New Roman" w:cs="Times New Roman"/>
          <w:noProof/>
          <w:sz w:val="24"/>
          <w:szCs w:val="24"/>
        </w:rPr>
        <w:tab/>
        <w:t xml:space="preserve">Tayeh, N.; Rungassamy, T.; Albani, J.R. Fluorescence Spectral Resolution of Tryptophan Residues in Bovine and Human Serum Albumins. </w:t>
      </w:r>
      <w:r w:rsidRPr="002D64E9">
        <w:rPr>
          <w:rFonts w:ascii="Times New Roman" w:hAnsi="Times New Roman" w:cs="Times New Roman"/>
          <w:i/>
          <w:iCs/>
          <w:noProof/>
          <w:sz w:val="24"/>
          <w:szCs w:val="24"/>
        </w:rPr>
        <w:t>J. Pharm. Biomed. Anal.</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2009</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50</w:t>
      </w:r>
      <w:r w:rsidRPr="002D64E9">
        <w:rPr>
          <w:rFonts w:ascii="Times New Roman" w:hAnsi="Times New Roman" w:cs="Times New Roman"/>
          <w:noProof/>
          <w:sz w:val="24"/>
          <w:szCs w:val="24"/>
        </w:rPr>
        <w:t>, 107–116.</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[54] </w:t>
      </w:r>
      <w:r w:rsidRPr="002D64E9">
        <w:rPr>
          <w:rFonts w:ascii="Times New Roman" w:hAnsi="Times New Roman" w:cs="Times New Roman"/>
          <w:noProof/>
          <w:sz w:val="24"/>
          <w:szCs w:val="24"/>
        </w:rPr>
        <w:tab/>
        <w:t xml:space="preserve">Alcala, J.R.; Gratton, E.; Prendergast, F.G. Fluorescence Lifetime Distributions in Proteins. </w:t>
      </w:r>
      <w:r w:rsidRPr="002D64E9">
        <w:rPr>
          <w:rFonts w:ascii="Times New Roman" w:hAnsi="Times New Roman" w:cs="Times New Roman"/>
          <w:i/>
          <w:iCs/>
          <w:noProof/>
          <w:sz w:val="24"/>
          <w:szCs w:val="24"/>
        </w:rPr>
        <w:t>Biophys. J.</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1987</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51</w:t>
      </w:r>
      <w:r w:rsidRPr="002D64E9">
        <w:rPr>
          <w:rFonts w:ascii="Times New Roman" w:hAnsi="Times New Roman" w:cs="Times New Roman"/>
          <w:noProof/>
          <w:sz w:val="24"/>
          <w:szCs w:val="24"/>
        </w:rPr>
        <w:t>, 597–604.</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[55] </w:t>
      </w:r>
      <w:r w:rsidRPr="002D64E9">
        <w:rPr>
          <w:rFonts w:ascii="Times New Roman" w:hAnsi="Times New Roman" w:cs="Times New Roman"/>
          <w:noProof/>
          <w:sz w:val="24"/>
          <w:szCs w:val="24"/>
        </w:rPr>
        <w:tab/>
        <w:t xml:space="preserve">Beechem, J.M.; Brand, L. Time Resolved Fluorescence of Proteins. </w:t>
      </w:r>
      <w:r w:rsidRPr="002D64E9">
        <w:rPr>
          <w:rFonts w:ascii="Times New Roman" w:hAnsi="Times New Roman" w:cs="Times New Roman"/>
          <w:i/>
          <w:iCs/>
          <w:noProof/>
          <w:sz w:val="24"/>
          <w:szCs w:val="24"/>
        </w:rPr>
        <w:t>Ann. Rev. Biochem.</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1985</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54</w:t>
      </w:r>
      <w:r w:rsidRPr="002D64E9">
        <w:rPr>
          <w:rFonts w:ascii="Times New Roman" w:hAnsi="Times New Roman" w:cs="Times New Roman"/>
          <w:noProof/>
          <w:sz w:val="24"/>
          <w:szCs w:val="24"/>
        </w:rPr>
        <w:t>, 43–71.</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[56] </w:t>
      </w:r>
      <w:r w:rsidRPr="002D64E9">
        <w:rPr>
          <w:rFonts w:ascii="Times New Roman" w:hAnsi="Times New Roman" w:cs="Times New Roman"/>
          <w:noProof/>
          <w:sz w:val="24"/>
          <w:szCs w:val="24"/>
        </w:rPr>
        <w:tab/>
        <w:t xml:space="preserve">Franich, A.A.; Živković, M.D.; Milovanović, J.; Arsenijević, D.; Arsenijević, A.; Milovanović, M.; Djuran, M.I.; Rajković, S. In Vitro Cytotoxic Activities, DNA- and BSA-Binding Studies of Dinuclear Palladium(II) Complexes with Different Pyridine-Based Bridging Ligands. </w:t>
      </w:r>
      <w:r w:rsidRPr="002D64E9">
        <w:rPr>
          <w:rFonts w:ascii="Times New Roman" w:hAnsi="Times New Roman" w:cs="Times New Roman"/>
          <w:i/>
          <w:iCs/>
          <w:noProof/>
          <w:sz w:val="24"/>
          <w:szCs w:val="24"/>
        </w:rPr>
        <w:t>J. Inorg. Biochem.</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2020</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210</w:t>
      </w:r>
      <w:r w:rsidRPr="002D64E9">
        <w:rPr>
          <w:rFonts w:ascii="Times New Roman" w:hAnsi="Times New Roman" w:cs="Times New Roman"/>
          <w:noProof/>
          <w:sz w:val="24"/>
          <w:szCs w:val="24"/>
        </w:rPr>
        <w:t>, 111158.</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[57] </w:t>
      </w:r>
      <w:r w:rsidRPr="002D64E9">
        <w:rPr>
          <w:rFonts w:ascii="Times New Roman" w:hAnsi="Times New Roman" w:cs="Times New Roman"/>
          <w:noProof/>
          <w:sz w:val="24"/>
          <w:szCs w:val="24"/>
        </w:rPr>
        <w:tab/>
        <w:t xml:space="preserve">Tŏpala, T.; Pascual-Álvarez, A.; Moldes-Tolosa, M.Á.; Bodoki, A.; Castiñeiras, A.; Torres, J.; del Pozo, C.; Borrás, J.; Alzuet-Piña, G. New Sulfonamide Complexes with Essential Metal Ions [Cu (II), Co (II), Ni (II) and Zn (II)]. Effect of the Geometry and the Metal Ion on </w:t>
      </w:r>
      <w:r w:rsidRPr="002D64E9">
        <w:rPr>
          <w:rFonts w:ascii="Times New Roman" w:hAnsi="Times New Roman" w:cs="Times New Roman"/>
          <w:noProof/>
          <w:sz w:val="24"/>
          <w:szCs w:val="24"/>
        </w:rPr>
        <w:lastRenderedPageBreak/>
        <w:t xml:space="preserve">DNA Binding and Nuclease Activity. BSA Protein Interaction. </w:t>
      </w:r>
      <w:r w:rsidRPr="002D64E9">
        <w:rPr>
          <w:rFonts w:ascii="Times New Roman" w:hAnsi="Times New Roman" w:cs="Times New Roman"/>
          <w:i/>
          <w:iCs/>
          <w:noProof/>
          <w:sz w:val="24"/>
          <w:szCs w:val="24"/>
        </w:rPr>
        <w:t>J. Inorg. Biochem.</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2020</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202</w:t>
      </w:r>
      <w:r w:rsidRPr="002D64E9">
        <w:rPr>
          <w:rFonts w:ascii="Times New Roman" w:hAnsi="Times New Roman" w:cs="Times New Roman"/>
          <w:noProof/>
          <w:sz w:val="24"/>
          <w:szCs w:val="24"/>
        </w:rPr>
        <w:t>, 110823.</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[58] </w:t>
      </w:r>
      <w:r w:rsidRPr="002D64E9">
        <w:rPr>
          <w:rFonts w:ascii="Times New Roman" w:hAnsi="Times New Roman" w:cs="Times New Roman"/>
          <w:noProof/>
          <w:sz w:val="24"/>
          <w:szCs w:val="24"/>
        </w:rPr>
        <w:tab/>
        <w:t xml:space="preserve">Molina-Bolívar, J.A.; Galisteo-González, F.; Carnero Ruiz, C.; Medina-O’Donnell, M.; Parra, A. Interaction between the Anti-Cancer Drug Diacetyl Maslinic Acid and Bovine Serum Albumin: A Biophysical Study. </w:t>
      </w:r>
      <w:r w:rsidRPr="002D64E9">
        <w:rPr>
          <w:rFonts w:ascii="Times New Roman" w:hAnsi="Times New Roman" w:cs="Times New Roman"/>
          <w:i/>
          <w:iCs/>
          <w:noProof/>
          <w:sz w:val="24"/>
          <w:szCs w:val="24"/>
        </w:rPr>
        <w:t>J. Mol. Liq.</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2015</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208</w:t>
      </w:r>
      <w:r w:rsidRPr="002D64E9">
        <w:rPr>
          <w:rFonts w:ascii="Times New Roman" w:hAnsi="Times New Roman" w:cs="Times New Roman"/>
          <w:noProof/>
          <w:sz w:val="24"/>
          <w:szCs w:val="24"/>
        </w:rPr>
        <w:t>, 304–313.</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[59] </w:t>
      </w:r>
      <w:r w:rsidRPr="002D64E9">
        <w:rPr>
          <w:rFonts w:ascii="Times New Roman" w:hAnsi="Times New Roman" w:cs="Times New Roman"/>
          <w:noProof/>
          <w:sz w:val="24"/>
          <w:szCs w:val="24"/>
        </w:rPr>
        <w:tab/>
        <w:t xml:space="preserve">Zhang, Y.Z.; Zhou, B.; Zhang, X.P.; Huang, P.; Li, C.H.; Liu, Y. Interaction of Malachite Green with Bovine Serum Albumin: Determination of the Binding Mechanism and Binding Site by Spectroscopic Methods. </w:t>
      </w:r>
      <w:r w:rsidRPr="002D64E9">
        <w:rPr>
          <w:rFonts w:ascii="Times New Roman" w:hAnsi="Times New Roman" w:cs="Times New Roman"/>
          <w:i/>
          <w:iCs/>
          <w:noProof/>
          <w:sz w:val="24"/>
          <w:szCs w:val="24"/>
        </w:rPr>
        <w:t>J. Hazard. Mater.</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2009</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163</w:t>
      </w:r>
      <w:r w:rsidRPr="002D64E9">
        <w:rPr>
          <w:rFonts w:ascii="Times New Roman" w:hAnsi="Times New Roman" w:cs="Times New Roman"/>
          <w:noProof/>
          <w:sz w:val="24"/>
          <w:szCs w:val="24"/>
        </w:rPr>
        <w:t>, 1345–1352.</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[60] </w:t>
      </w:r>
      <w:r w:rsidRPr="002D64E9">
        <w:rPr>
          <w:rFonts w:ascii="Times New Roman" w:hAnsi="Times New Roman" w:cs="Times New Roman"/>
          <w:noProof/>
          <w:sz w:val="24"/>
          <w:szCs w:val="24"/>
        </w:rPr>
        <w:tab/>
        <w:t xml:space="preserve">Zhang, Y.Z.; Xiang, X.; Mei, P.; Dai, J.; Zhang, L.L.; Liu, Y. Spectroscopic Studies on the Interaction of Congo Red with Bovine Serum Albumin. </w:t>
      </w:r>
      <w:r w:rsidRPr="002D64E9">
        <w:rPr>
          <w:rFonts w:ascii="Times New Roman" w:hAnsi="Times New Roman" w:cs="Times New Roman"/>
          <w:i/>
          <w:iCs/>
          <w:noProof/>
          <w:sz w:val="24"/>
          <w:szCs w:val="24"/>
        </w:rPr>
        <w:t>Spectrochim. Acta - Part A Mol. Biomol. Spectrosc.</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2009</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72</w:t>
      </w:r>
      <w:r w:rsidRPr="002D64E9">
        <w:rPr>
          <w:rFonts w:ascii="Times New Roman" w:hAnsi="Times New Roman" w:cs="Times New Roman"/>
          <w:noProof/>
          <w:sz w:val="24"/>
          <w:szCs w:val="24"/>
        </w:rPr>
        <w:t>, 907–914.</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[61] </w:t>
      </w:r>
      <w:r w:rsidRPr="002D64E9">
        <w:rPr>
          <w:rFonts w:ascii="Times New Roman" w:hAnsi="Times New Roman" w:cs="Times New Roman"/>
          <w:noProof/>
          <w:sz w:val="24"/>
          <w:szCs w:val="24"/>
        </w:rPr>
        <w:tab/>
        <w:t xml:space="preserve">Sathyadevi, P.; Krishnamoorthy, P.; Jayanthi, E.; Butorac, R.R.; Cowley, A.H.; Dharmaraj, N. Studies on the Effect of Metal Ions of Hydrazone Complexes on Interaction with Nucleic Acids, Bovine Serum Albumin and Antioxidant Properties. </w:t>
      </w:r>
      <w:r w:rsidRPr="002D64E9">
        <w:rPr>
          <w:rFonts w:ascii="Times New Roman" w:hAnsi="Times New Roman" w:cs="Times New Roman"/>
          <w:i/>
          <w:iCs/>
          <w:noProof/>
          <w:sz w:val="24"/>
          <w:szCs w:val="24"/>
        </w:rPr>
        <w:t>Inorganica Chim. Acta</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2012</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384</w:t>
      </w:r>
      <w:r w:rsidRPr="002D64E9">
        <w:rPr>
          <w:rFonts w:ascii="Times New Roman" w:hAnsi="Times New Roman" w:cs="Times New Roman"/>
          <w:noProof/>
          <w:sz w:val="24"/>
          <w:szCs w:val="24"/>
        </w:rPr>
        <w:t>, 83–96.</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[62] </w:t>
      </w:r>
      <w:r w:rsidRPr="002D64E9">
        <w:rPr>
          <w:rFonts w:ascii="Times New Roman" w:hAnsi="Times New Roman" w:cs="Times New Roman"/>
          <w:noProof/>
          <w:sz w:val="24"/>
          <w:szCs w:val="24"/>
        </w:rPr>
        <w:tab/>
        <w:t xml:space="preserve">Gao, C.Y.; Qiao, X.; Ma, Z.Y.; Wang, Z.G.; Lu, J.; Tian, J.L.; Xu, J.Y.; Yan, S.P. Synthesis, Characterization, DNA Binding and Cleavage, BSA Interaction and Anticancer Activity of Dinuclear Zinc Complexes. </w:t>
      </w:r>
      <w:r w:rsidRPr="002D64E9">
        <w:rPr>
          <w:rFonts w:ascii="Times New Roman" w:hAnsi="Times New Roman" w:cs="Times New Roman"/>
          <w:i/>
          <w:iCs/>
          <w:noProof/>
          <w:sz w:val="24"/>
          <w:szCs w:val="24"/>
        </w:rPr>
        <w:t>Dalt. Trans.</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2012</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41</w:t>
      </w:r>
      <w:r w:rsidRPr="002D64E9">
        <w:rPr>
          <w:rFonts w:ascii="Times New Roman" w:hAnsi="Times New Roman" w:cs="Times New Roman"/>
          <w:noProof/>
          <w:sz w:val="24"/>
          <w:szCs w:val="24"/>
        </w:rPr>
        <w:t>, 12220–12232.</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[63] </w:t>
      </w:r>
      <w:r w:rsidRPr="002D64E9">
        <w:rPr>
          <w:rFonts w:ascii="Times New Roman" w:hAnsi="Times New Roman" w:cs="Times New Roman"/>
          <w:noProof/>
          <w:sz w:val="24"/>
          <w:szCs w:val="24"/>
        </w:rPr>
        <w:tab/>
        <w:t xml:space="preserve">de Andrade Querino, A.L.; da Silva, J.T.; Silva, J.T.; Alvarenga, G.M.; da Silveira, C.H.; de Magalhães, M.T.Q.; Chaves, O.A.; Iglesias, B.A.; Diniz, R.; Silva, H. Mono and Dinuclear Platinum and Palladium Complexes Containing Adamantane–Azole Ligands: DNA and BSA Interaction and Cytotoxicity. </w:t>
      </w:r>
      <w:r w:rsidRPr="002D64E9">
        <w:rPr>
          <w:rFonts w:ascii="Times New Roman" w:hAnsi="Times New Roman" w:cs="Times New Roman"/>
          <w:i/>
          <w:iCs/>
          <w:noProof/>
          <w:sz w:val="24"/>
          <w:szCs w:val="24"/>
        </w:rPr>
        <w:t>J. Biol. Inorg. Chem.</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2019</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24</w:t>
      </w:r>
      <w:r w:rsidRPr="002D64E9">
        <w:rPr>
          <w:rFonts w:ascii="Times New Roman" w:hAnsi="Times New Roman" w:cs="Times New Roman"/>
          <w:noProof/>
          <w:sz w:val="24"/>
          <w:szCs w:val="24"/>
        </w:rPr>
        <w:t>, 1087–1103.</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[64] </w:t>
      </w:r>
      <w:r w:rsidRPr="002D64E9">
        <w:rPr>
          <w:rFonts w:ascii="Times New Roman" w:hAnsi="Times New Roman" w:cs="Times New Roman"/>
          <w:noProof/>
          <w:sz w:val="24"/>
          <w:szCs w:val="24"/>
        </w:rPr>
        <w:tab/>
        <w:t xml:space="preserve">Liu, Y.; Zhang, Y.Z.; Zhou, B.; Zhou, C.X.; Ding, X.L.; Liu, Y.X. Fluorescence Study on the Interaction of Bovine Serum Albumin with P-Aminoazobenzene. </w:t>
      </w:r>
      <w:r w:rsidRPr="002D64E9">
        <w:rPr>
          <w:rFonts w:ascii="Times New Roman" w:hAnsi="Times New Roman" w:cs="Times New Roman"/>
          <w:i/>
          <w:iCs/>
          <w:noProof/>
          <w:sz w:val="24"/>
          <w:szCs w:val="24"/>
        </w:rPr>
        <w:t>J. Fluoresc.</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2008</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18</w:t>
      </w:r>
      <w:r w:rsidRPr="002D64E9">
        <w:rPr>
          <w:rFonts w:ascii="Times New Roman" w:hAnsi="Times New Roman" w:cs="Times New Roman"/>
          <w:noProof/>
          <w:sz w:val="24"/>
          <w:szCs w:val="24"/>
        </w:rPr>
        <w:t xml:space="preserve">, </w:t>
      </w:r>
      <w:r w:rsidRPr="002D64E9">
        <w:rPr>
          <w:rFonts w:ascii="Times New Roman" w:hAnsi="Times New Roman" w:cs="Times New Roman"/>
          <w:noProof/>
          <w:sz w:val="24"/>
          <w:szCs w:val="24"/>
        </w:rPr>
        <w:lastRenderedPageBreak/>
        <w:t>109–118.</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[65] </w:t>
      </w:r>
      <w:r w:rsidRPr="002D64E9">
        <w:rPr>
          <w:rFonts w:ascii="Times New Roman" w:hAnsi="Times New Roman" w:cs="Times New Roman"/>
          <w:noProof/>
          <w:sz w:val="24"/>
          <w:szCs w:val="24"/>
        </w:rPr>
        <w:tab/>
        <w:t xml:space="preserve">Wang, Y.Q.; Zhang, H.M.; Zhang, G.C.; Tao, W.H.; Tang, S.H. Interaction of the Flavonoid Hesperidin with Bovine Serum Albumin: A Fluorescence Quenching Study. </w:t>
      </w:r>
      <w:r w:rsidRPr="002D64E9">
        <w:rPr>
          <w:rFonts w:ascii="Times New Roman" w:hAnsi="Times New Roman" w:cs="Times New Roman"/>
          <w:i/>
          <w:iCs/>
          <w:noProof/>
          <w:sz w:val="24"/>
          <w:szCs w:val="24"/>
        </w:rPr>
        <w:t>J. Lumin.</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2007</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126</w:t>
      </w:r>
      <w:r w:rsidRPr="002D64E9">
        <w:rPr>
          <w:rFonts w:ascii="Times New Roman" w:hAnsi="Times New Roman" w:cs="Times New Roman"/>
          <w:noProof/>
          <w:sz w:val="24"/>
          <w:szCs w:val="24"/>
        </w:rPr>
        <w:t>, 211–218.</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[66] </w:t>
      </w:r>
      <w:r w:rsidRPr="002D64E9">
        <w:rPr>
          <w:rFonts w:ascii="Times New Roman" w:hAnsi="Times New Roman" w:cs="Times New Roman"/>
          <w:noProof/>
          <w:sz w:val="24"/>
          <w:szCs w:val="24"/>
        </w:rPr>
        <w:tab/>
        <w:t xml:space="preserve">Shen, G.F.; Liu, T.T.; Wang, Q.; Jiang, M.; Shi, J.H. Spectroscopic and Molecular Docking Studies of Binding Interaction of Gefitinib, Lapatinib and Sunitinib with Bovine Serum Albumin (BSA). </w:t>
      </w:r>
      <w:r w:rsidRPr="002D64E9">
        <w:rPr>
          <w:rFonts w:ascii="Times New Roman" w:hAnsi="Times New Roman" w:cs="Times New Roman"/>
          <w:i/>
          <w:iCs/>
          <w:noProof/>
          <w:sz w:val="24"/>
          <w:szCs w:val="24"/>
        </w:rPr>
        <w:t>J. Photochem. Photobiol. B Biol.</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2015</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153</w:t>
      </w:r>
      <w:r w:rsidRPr="002D64E9">
        <w:rPr>
          <w:rFonts w:ascii="Times New Roman" w:hAnsi="Times New Roman" w:cs="Times New Roman"/>
          <w:noProof/>
          <w:sz w:val="24"/>
          <w:szCs w:val="24"/>
        </w:rPr>
        <w:t>, 380–390.</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[67] </w:t>
      </w:r>
      <w:r w:rsidRPr="002D64E9">
        <w:rPr>
          <w:rFonts w:ascii="Times New Roman" w:hAnsi="Times New Roman" w:cs="Times New Roman"/>
          <w:noProof/>
          <w:sz w:val="24"/>
          <w:szCs w:val="24"/>
        </w:rPr>
        <w:tab/>
        <w:t xml:space="preserve">Xue, F.; Xie, C.Z.; Zhang, Y.W.; Qiao, Z.; Qiao, X.; Xu, J.Y.; Yan, S.P. Two New Dicopper(II) Complexes with Oxamido-Bridged Ligand: Synthesis, Crystal Structures, DNA Binding/Cleavage and BSA Binding Activity. </w:t>
      </w:r>
      <w:r w:rsidRPr="002D64E9">
        <w:rPr>
          <w:rFonts w:ascii="Times New Roman" w:hAnsi="Times New Roman" w:cs="Times New Roman"/>
          <w:i/>
          <w:iCs/>
          <w:noProof/>
          <w:sz w:val="24"/>
          <w:szCs w:val="24"/>
        </w:rPr>
        <w:t>J. Inorg. Biochem.</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2012</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115</w:t>
      </w:r>
      <w:r w:rsidRPr="002D64E9">
        <w:rPr>
          <w:rFonts w:ascii="Times New Roman" w:hAnsi="Times New Roman" w:cs="Times New Roman"/>
          <w:noProof/>
          <w:sz w:val="24"/>
          <w:szCs w:val="24"/>
        </w:rPr>
        <w:t>, 78–86.</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[68] </w:t>
      </w:r>
      <w:r w:rsidRPr="002D64E9">
        <w:rPr>
          <w:rFonts w:ascii="Times New Roman" w:hAnsi="Times New Roman" w:cs="Times New Roman"/>
          <w:noProof/>
          <w:sz w:val="24"/>
          <w:szCs w:val="24"/>
        </w:rPr>
        <w:tab/>
        <w:t xml:space="preserve">Sathyadevi, P.; Krishnamoorthy, P.; Butorac, R.R.; Cowley, A.H.; Bhuvanesh, N.S.P.; Dharmaraj, N. Effect of Substitution and Planarity of the Ligand on DNA/BSA Interaction, Free Radical Scavenging and Cytotoxicity of Diamagnetic Ni(Ii) Complexes: A Systematic Investigation. </w:t>
      </w:r>
      <w:r w:rsidRPr="002D64E9">
        <w:rPr>
          <w:rFonts w:ascii="Times New Roman" w:hAnsi="Times New Roman" w:cs="Times New Roman"/>
          <w:i/>
          <w:iCs/>
          <w:noProof/>
          <w:sz w:val="24"/>
          <w:szCs w:val="24"/>
        </w:rPr>
        <w:t>Dalt. Trans.</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2011</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40</w:t>
      </w:r>
      <w:r w:rsidRPr="002D64E9">
        <w:rPr>
          <w:rFonts w:ascii="Times New Roman" w:hAnsi="Times New Roman" w:cs="Times New Roman"/>
          <w:noProof/>
          <w:sz w:val="24"/>
          <w:szCs w:val="24"/>
        </w:rPr>
        <w:t>, 9690–9702.</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[69] </w:t>
      </w:r>
      <w:r w:rsidRPr="002D64E9">
        <w:rPr>
          <w:rFonts w:ascii="Times New Roman" w:hAnsi="Times New Roman" w:cs="Times New Roman"/>
          <w:noProof/>
          <w:sz w:val="24"/>
          <w:szCs w:val="24"/>
        </w:rPr>
        <w:tab/>
        <w:t xml:space="preserve">Neelakantan, M.A.; Balamurugan, K.; Balakrishnan, C.; Subha, L. Interaction of Amino Acid Schiff Base Metal Complexes with DNA/BSA Protein and Antibacterial Activity: Spectral Studies, DFT Calculations and Molecular Docking Simulations. </w:t>
      </w:r>
      <w:r w:rsidRPr="002D64E9">
        <w:rPr>
          <w:rFonts w:ascii="Times New Roman" w:hAnsi="Times New Roman" w:cs="Times New Roman"/>
          <w:i/>
          <w:iCs/>
          <w:noProof/>
          <w:sz w:val="24"/>
          <w:szCs w:val="24"/>
        </w:rPr>
        <w:t>Appl. Organomet. Chem.</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2018</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32</w:t>
      </w:r>
      <w:r w:rsidRPr="002D64E9">
        <w:rPr>
          <w:rFonts w:ascii="Times New Roman" w:hAnsi="Times New Roman" w:cs="Times New Roman"/>
          <w:noProof/>
          <w:sz w:val="24"/>
          <w:szCs w:val="24"/>
        </w:rPr>
        <w:t>, 1–19.</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[70] </w:t>
      </w:r>
      <w:r w:rsidRPr="002D64E9">
        <w:rPr>
          <w:rFonts w:ascii="Times New Roman" w:hAnsi="Times New Roman" w:cs="Times New Roman"/>
          <w:noProof/>
          <w:sz w:val="24"/>
          <w:szCs w:val="24"/>
        </w:rPr>
        <w:tab/>
        <w:t xml:space="preserve">Gharagozlou, M.; Boghaei, D.M. Interaction of Water-Soluble Amino Acid Schiff Base Complexes with Bovine Serum Albumin: Fluorescence and Circular Dichroism Studies. </w:t>
      </w:r>
      <w:r w:rsidRPr="002D64E9">
        <w:rPr>
          <w:rFonts w:ascii="Times New Roman" w:hAnsi="Times New Roman" w:cs="Times New Roman"/>
          <w:i/>
          <w:iCs/>
          <w:noProof/>
          <w:sz w:val="24"/>
          <w:szCs w:val="24"/>
        </w:rPr>
        <w:t>Spectrochim. Acta - Part A Mol. Biomol. Spectrosc.</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2008</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71</w:t>
      </w:r>
      <w:r w:rsidRPr="002D64E9">
        <w:rPr>
          <w:rFonts w:ascii="Times New Roman" w:hAnsi="Times New Roman" w:cs="Times New Roman"/>
          <w:noProof/>
          <w:sz w:val="24"/>
          <w:szCs w:val="24"/>
        </w:rPr>
        <w:t>, 1617–1622.</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[71] </w:t>
      </w:r>
      <w:r w:rsidRPr="002D64E9">
        <w:rPr>
          <w:rFonts w:ascii="Times New Roman" w:hAnsi="Times New Roman" w:cs="Times New Roman"/>
          <w:noProof/>
          <w:sz w:val="24"/>
          <w:szCs w:val="24"/>
        </w:rPr>
        <w:tab/>
        <w:t xml:space="preserve">Coval, M.L. Analysis of Hill Interaction Coefficients and the Invalidity of the Kwon and Brown Equation. </w:t>
      </w:r>
      <w:r w:rsidRPr="002D64E9">
        <w:rPr>
          <w:rFonts w:ascii="Times New Roman" w:hAnsi="Times New Roman" w:cs="Times New Roman"/>
          <w:i/>
          <w:iCs/>
          <w:noProof/>
          <w:sz w:val="24"/>
          <w:szCs w:val="24"/>
        </w:rPr>
        <w:t>J. Biol. Chem.</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1970</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245</w:t>
      </w:r>
      <w:r w:rsidRPr="002D64E9">
        <w:rPr>
          <w:rFonts w:ascii="Times New Roman" w:hAnsi="Times New Roman" w:cs="Times New Roman"/>
          <w:noProof/>
          <w:sz w:val="24"/>
          <w:szCs w:val="24"/>
        </w:rPr>
        <w:t>, 6335–6336.</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[72] </w:t>
      </w:r>
      <w:r w:rsidRPr="002D64E9">
        <w:rPr>
          <w:rFonts w:ascii="Times New Roman" w:hAnsi="Times New Roman" w:cs="Times New Roman"/>
          <w:noProof/>
          <w:sz w:val="24"/>
          <w:szCs w:val="24"/>
        </w:rPr>
        <w:tab/>
        <w:t xml:space="preserve">Nissani, E.; Perlmutter‐Hayman, B. Drug‐binding to Biological Macromolecules. A Kinetic </w:t>
      </w:r>
      <w:r w:rsidRPr="002D64E9">
        <w:rPr>
          <w:rFonts w:ascii="Times New Roman" w:hAnsi="Times New Roman" w:cs="Times New Roman"/>
          <w:noProof/>
          <w:sz w:val="24"/>
          <w:szCs w:val="24"/>
        </w:rPr>
        <w:lastRenderedPageBreak/>
        <w:t xml:space="preserve">Study of the System Chlorodiazepoxide (Librium) and Bovine Serum Albumin. </w:t>
      </w:r>
      <w:r w:rsidRPr="002D64E9">
        <w:rPr>
          <w:rFonts w:ascii="Times New Roman" w:hAnsi="Times New Roman" w:cs="Times New Roman"/>
          <w:i/>
          <w:iCs/>
          <w:noProof/>
          <w:sz w:val="24"/>
          <w:szCs w:val="24"/>
        </w:rPr>
        <w:t>Int. J. Chem. Kinet.</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1986</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18</w:t>
      </w:r>
      <w:r w:rsidRPr="002D64E9">
        <w:rPr>
          <w:rFonts w:ascii="Times New Roman" w:hAnsi="Times New Roman" w:cs="Times New Roman"/>
          <w:noProof/>
          <w:sz w:val="24"/>
          <w:szCs w:val="24"/>
        </w:rPr>
        <w:t>, 1123–1132.</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[73] </w:t>
      </w:r>
      <w:r w:rsidRPr="002D64E9">
        <w:rPr>
          <w:rFonts w:ascii="Times New Roman" w:hAnsi="Times New Roman" w:cs="Times New Roman"/>
          <w:noProof/>
          <w:sz w:val="24"/>
          <w:szCs w:val="24"/>
        </w:rPr>
        <w:tab/>
        <w:t xml:space="preserve">Scatchard, B.Y.G. The Attraction of Proteins for Small Molecules and Ions. </w:t>
      </w:r>
      <w:r w:rsidRPr="002D64E9">
        <w:rPr>
          <w:rFonts w:ascii="Times New Roman" w:hAnsi="Times New Roman" w:cs="Times New Roman"/>
          <w:i/>
          <w:iCs/>
          <w:noProof/>
          <w:sz w:val="24"/>
          <w:szCs w:val="24"/>
        </w:rPr>
        <w:t>Ann. New York Acad. Sci.</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1949</w:t>
      </w:r>
      <w:r w:rsidRPr="002D64E9">
        <w:rPr>
          <w:rFonts w:ascii="Times New Roman" w:hAnsi="Times New Roman" w:cs="Times New Roman"/>
          <w:noProof/>
          <w:sz w:val="24"/>
          <w:szCs w:val="24"/>
        </w:rPr>
        <w:t>, 660–672.</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[74] </w:t>
      </w:r>
      <w:r w:rsidRPr="002D64E9">
        <w:rPr>
          <w:rFonts w:ascii="Times New Roman" w:hAnsi="Times New Roman" w:cs="Times New Roman"/>
          <w:noProof/>
          <w:sz w:val="24"/>
          <w:szCs w:val="24"/>
        </w:rPr>
        <w:tab/>
        <w:t xml:space="preserve">Gelamo, E.L.; Silva, C.H.T.P.; Imasato, H.; Tabak, M. Interaction of Bovine (BSA) and Human (HSA) Serum Albumins with Ionic Surfactants: Spectroscopy and Modelling. </w:t>
      </w:r>
      <w:r w:rsidRPr="002D64E9">
        <w:rPr>
          <w:rFonts w:ascii="Times New Roman" w:hAnsi="Times New Roman" w:cs="Times New Roman"/>
          <w:i/>
          <w:iCs/>
          <w:noProof/>
          <w:sz w:val="24"/>
          <w:szCs w:val="24"/>
        </w:rPr>
        <w:t>Biochim. Biophys. Acta - Protein Struct. Mol. Enzymol.</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2002</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1594</w:t>
      </w:r>
      <w:r w:rsidRPr="002D64E9">
        <w:rPr>
          <w:rFonts w:ascii="Times New Roman" w:hAnsi="Times New Roman" w:cs="Times New Roman"/>
          <w:noProof/>
          <w:sz w:val="24"/>
          <w:szCs w:val="24"/>
        </w:rPr>
        <w:t>, 84–99.</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[75] </w:t>
      </w:r>
      <w:r w:rsidRPr="002D64E9">
        <w:rPr>
          <w:rFonts w:ascii="Times New Roman" w:hAnsi="Times New Roman" w:cs="Times New Roman"/>
          <w:noProof/>
          <w:sz w:val="24"/>
          <w:szCs w:val="24"/>
        </w:rPr>
        <w:tab/>
        <w:t xml:space="preserve">Sekula, B.; Zielinski, K.; Bujacz, A. Crystallographic Studies of the Complexes of Bovine and Equine Serum Albumin with 3,5-Diiodosalicylic Acid. </w:t>
      </w:r>
      <w:r w:rsidRPr="002D64E9">
        <w:rPr>
          <w:rFonts w:ascii="Times New Roman" w:hAnsi="Times New Roman" w:cs="Times New Roman"/>
          <w:i/>
          <w:iCs/>
          <w:noProof/>
          <w:sz w:val="24"/>
          <w:szCs w:val="24"/>
        </w:rPr>
        <w:t>Int. J. Biol. Macromol.</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2013</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60</w:t>
      </w:r>
      <w:r w:rsidRPr="002D64E9">
        <w:rPr>
          <w:rFonts w:ascii="Times New Roman" w:hAnsi="Times New Roman" w:cs="Times New Roman"/>
          <w:noProof/>
          <w:sz w:val="24"/>
          <w:szCs w:val="24"/>
        </w:rPr>
        <w:t>, 316–324.</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[76] </w:t>
      </w:r>
      <w:r w:rsidRPr="002D64E9">
        <w:rPr>
          <w:rFonts w:ascii="Times New Roman" w:hAnsi="Times New Roman" w:cs="Times New Roman"/>
          <w:noProof/>
          <w:sz w:val="24"/>
          <w:szCs w:val="24"/>
        </w:rPr>
        <w:tab/>
        <w:t xml:space="preserve">Castagna, R.; Donini, S.; Colnago, P.; Serafini, A.; Parisini, E.; Bertarelli, C. Biohybrid Electrospun Membrane for the Filtration of Ketoprofen Drug from Water. </w:t>
      </w:r>
      <w:r w:rsidRPr="002D64E9">
        <w:rPr>
          <w:rFonts w:ascii="Times New Roman" w:hAnsi="Times New Roman" w:cs="Times New Roman"/>
          <w:i/>
          <w:iCs/>
          <w:noProof/>
          <w:sz w:val="24"/>
          <w:szCs w:val="24"/>
        </w:rPr>
        <w:t>ACS Omega</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2019</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4</w:t>
      </w:r>
      <w:r w:rsidRPr="002D64E9">
        <w:rPr>
          <w:rFonts w:ascii="Times New Roman" w:hAnsi="Times New Roman" w:cs="Times New Roman"/>
          <w:noProof/>
          <w:sz w:val="24"/>
          <w:szCs w:val="24"/>
        </w:rPr>
        <w:t>, 13270–13278.</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[77] </w:t>
      </w:r>
      <w:r w:rsidRPr="002D64E9">
        <w:rPr>
          <w:rFonts w:ascii="Times New Roman" w:hAnsi="Times New Roman" w:cs="Times New Roman"/>
          <w:noProof/>
          <w:sz w:val="24"/>
          <w:szCs w:val="24"/>
        </w:rPr>
        <w:tab/>
        <w:t xml:space="preserve">Benesi, H.A.; Hildebrand, J.H. A Spectrophotometric Investigation of the Interaction of Iodine with Aromatic Hydrocarbons. </w:t>
      </w:r>
      <w:r w:rsidRPr="002D64E9">
        <w:rPr>
          <w:rFonts w:ascii="Times New Roman" w:hAnsi="Times New Roman" w:cs="Times New Roman"/>
          <w:i/>
          <w:iCs/>
          <w:noProof/>
          <w:sz w:val="24"/>
          <w:szCs w:val="24"/>
        </w:rPr>
        <w:t>J. Am. Chem. Soc.</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1949</w:t>
      </w:r>
      <w:r w:rsidRPr="002D64E9">
        <w:rPr>
          <w:rFonts w:ascii="Times New Roman" w:hAnsi="Times New Roman" w:cs="Times New Roman"/>
          <w:noProof/>
          <w:sz w:val="24"/>
          <w:szCs w:val="24"/>
        </w:rPr>
        <w:t>.</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[78] </w:t>
      </w:r>
      <w:r w:rsidRPr="002D64E9">
        <w:rPr>
          <w:rFonts w:ascii="Times New Roman" w:hAnsi="Times New Roman" w:cs="Times New Roman"/>
          <w:noProof/>
          <w:sz w:val="24"/>
          <w:szCs w:val="24"/>
        </w:rPr>
        <w:tab/>
        <w:t xml:space="preserve">Alessio, E. Thirty Years of the Drug Candidate NAMI-A and the Myths in the Field of Ruthenium Anticancer Compounds: A Personal Perspective. </w:t>
      </w:r>
      <w:r w:rsidRPr="002D64E9">
        <w:rPr>
          <w:rFonts w:ascii="Times New Roman" w:hAnsi="Times New Roman" w:cs="Times New Roman"/>
          <w:i/>
          <w:iCs/>
          <w:noProof/>
          <w:sz w:val="24"/>
          <w:szCs w:val="24"/>
        </w:rPr>
        <w:t>Eur. J. Inorg. Chem.</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2017</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2017</w:t>
      </w:r>
      <w:r w:rsidRPr="002D64E9">
        <w:rPr>
          <w:rFonts w:ascii="Times New Roman" w:hAnsi="Times New Roman" w:cs="Times New Roman"/>
          <w:noProof/>
          <w:sz w:val="24"/>
          <w:szCs w:val="24"/>
        </w:rPr>
        <w:t>, 1549–1560.</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[79] </w:t>
      </w:r>
      <w:r w:rsidRPr="002D64E9">
        <w:rPr>
          <w:rFonts w:ascii="Times New Roman" w:hAnsi="Times New Roman" w:cs="Times New Roman"/>
          <w:noProof/>
          <w:sz w:val="24"/>
          <w:szCs w:val="24"/>
        </w:rPr>
        <w:tab/>
        <w:t xml:space="preserve">Ganeshpandian, M.; Palaniandavar, M.; Muruganantham, A.; Ghosh, S.K.; Riyasdeen, A.; Akbarsha, M.A. Ruthenium(II)–Arene Complexes of Diimines: Effect of Diimine Intercalation and Hydrophobicity on DNA and Protein Binding and Cytotoxicity. </w:t>
      </w:r>
      <w:r w:rsidRPr="002D64E9">
        <w:rPr>
          <w:rFonts w:ascii="Times New Roman" w:hAnsi="Times New Roman" w:cs="Times New Roman"/>
          <w:i/>
          <w:iCs/>
          <w:noProof/>
          <w:sz w:val="24"/>
          <w:szCs w:val="24"/>
        </w:rPr>
        <w:t>Appl. Organomet. Chem.</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2018</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32</w:t>
      </w:r>
      <w:r w:rsidRPr="002D64E9">
        <w:rPr>
          <w:rFonts w:ascii="Times New Roman" w:hAnsi="Times New Roman" w:cs="Times New Roman"/>
          <w:noProof/>
          <w:sz w:val="24"/>
          <w:szCs w:val="24"/>
        </w:rPr>
        <w:t>, 1–17.</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[80] </w:t>
      </w:r>
      <w:r w:rsidRPr="002D64E9">
        <w:rPr>
          <w:rFonts w:ascii="Times New Roman" w:hAnsi="Times New Roman" w:cs="Times New Roman"/>
          <w:noProof/>
          <w:sz w:val="24"/>
          <w:szCs w:val="24"/>
        </w:rPr>
        <w:tab/>
        <w:t xml:space="preserve">Ross, P.D.; Subramanian, S. Thermodynamics of Protein Association Reactions: Forces Contributing to Stability. </w:t>
      </w:r>
      <w:r w:rsidRPr="002D64E9">
        <w:rPr>
          <w:rFonts w:ascii="Times New Roman" w:hAnsi="Times New Roman" w:cs="Times New Roman"/>
          <w:i/>
          <w:iCs/>
          <w:noProof/>
          <w:sz w:val="24"/>
          <w:szCs w:val="24"/>
        </w:rPr>
        <w:t>Biochemistry</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1981</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20</w:t>
      </w:r>
      <w:r w:rsidRPr="002D64E9">
        <w:rPr>
          <w:rFonts w:ascii="Times New Roman" w:hAnsi="Times New Roman" w:cs="Times New Roman"/>
          <w:noProof/>
          <w:sz w:val="24"/>
          <w:szCs w:val="24"/>
        </w:rPr>
        <w:t>, 3096–3102.</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lastRenderedPageBreak/>
        <w:t xml:space="preserve">[81] </w:t>
      </w:r>
      <w:r w:rsidRPr="002D64E9">
        <w:rPr>
          <w:rFonts w:ascii="Times New Roman" w:hAnsi="Times New Roman" w:cs="Times New Roman"/>
          <w:noProof/>
          <w:sz w:val="24"/>
          <w:szCs w:val="24"/>
        </w:rPr>
        <w:tab/>
        <w:t xml:space="preserve">Pawar, S.K.; Jaldappagari, S. Interaction of Repaglinide with Bovine Serum Albumin: Spectroscopic and Molecular Docking Approaches. </w:t>
      </w:r>
      <w:r w:rsidRPr="002D64E9">
        <w:rPr>
          <w:rFonts w:ascii="Times New Roman" w:hAnsi="Times New Roman" w:cs="Times New Roman"/>
          <w:i/>
          <w:iCs/>
          <w:noProof/>
          <w:sz w:val="24"/>
          <w:szCs w:val="24"/>
        </w:rPr>
        <w:t>J. Pharm. Anal.</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2019</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9</w:t>
      </w:r>
      <w:r w:rsidRPr="002D64E9">
        <w:rPr>
          <w:rFonts w:ascii="Times New Roman" w:hAnsi="Times New Roman" w:cs="Times New Roman"/>
          <w:noProof/>
          <w:sz w:val="24"/>
          <w:szCs w:val="24"/>
        </w:rPr>
        <w:t>, 274–283.</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[82] </w:t>
      </w:r>
      <w:r w:rsidRPr="002D64E9">
        <w:rPr>
          <w:rFonts w:ascii="Times New Roman" w:hAnsi="Times New Roman" w:cs="Times New Roman"/>
          <w:noProof/>
          <w:sz w:val="24"/>
          <w:szCs w:val="24"/>
        </w:rPr>
        <w:tab/>
        <w:t xml:space="preserve">Mote, U.S.; Bhattar, S.L.; Patil, S.R.; Kolekar, G.B. Interaction between Felodipine and Bovine Serum Albumin: Fluorescence Quenching Study. </w:t>
      </w:r>
      <w:r w:rsidRPr="002D64E9">
        <w:rPr>
          <w:rFonts w:ascii="Times New Roman" w:hAnsi="Times New Roman" w:cs="Times New Roman"/>
          <w:i/>
          <w:iCs/>
          <w:noProof/>
          <w:sz w:val="24"/>
          <w:szCs w:val="24"/>
        </w:rPr>
        <w:t>Luminescence</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2010</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25</w:t>
      </w:r>
      <w:r w:rsidRPr="002D64E9">
        <w:rPr>
          <w:rFonts w:ascii="Times New Roman" w:hAnsi="Times New Roman" w:cs="Times New Roman"/>
          <w:noProof/>
          <w:sz w:val="24"/>
          <w:szCs w:val="24"/>
        </w:rPr>
        <w:t>, 1–8.</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[83] </w:t>
      </w:r>
      <w:r w:rsidRPr="002D64E9">
        <w:rPr>
          <w:rFonts w:ascii="Times New Roman" w:hAnsi="Times New Roman" w:cs="Times New Roman"/>
          <w:noProof/>
          <w:sz w:val="24"/>
          <w:szCs w:val="24"/>
        </w:rPr>
        <w:tab/>
        <w:t xml:space="preserve">Kamat, B.P. Study of the Interaction between Fluoroquinolones and Bovine Serum Albumin. </w:t>
      </w:r>
      <w:r w:rsidRPr="002D64E9">
        <w:rPr>
          <w:rFonts w:ascii="Times New Roman" w:hAnsi="Times New Roman" w:cs="Times New Roman"/>
          <w:i/>
          <w:iCs/>
          <w:noProof/>
          <w:sz w:val="24"/>
          <w:szCs w:val="24"/>
        </w:rPr>
        <w:t>J. Pharm. Biomed. Anal.</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2005</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39</w:t>
      </w:r>
      <w:r w:rsidRPr="002D64E9">
        <w:rPr>
          <w:rFonts w:ascii="Times New Roman" w:hAnsi="Times New Roman" w:cs="Times New Roman"/>
          <w:noProof/>
          <w:sz w:val="24"/>
          <w:szCs w:val="24"/>
        </w:rPr>
        <w:t>, 1046–1050.</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[84] </w:t>
      </w:r>
      <w:r w:rsidRPr="002D64E9">
        <w:rPr>
          <w:rFonts w:ascii="Times New Roman" w:hAnsi="Times New Roman" w:cs="Times New Roman"/>
          <w:noProof/>
          <w:sz w:val="24"/>
          <w:szCs w:val="24"/>
        </w:rPr>
        <w:tab/>
        <w:t xml:space="preserve">Cui, F.L.; Fan, J.; Li, J.P.; Hu, Z. De. Interactions between 1-Benzoyl-4-p-Chlorophenyl Thiosemicarbazide and Serum Albumin: Investigation by Fluorescence Spectroscopy. </w:t>
      </w:r>
      <w:r w:rsidRPr="002D64E9">
        <w:rPr>
          <w:rFonts w:ascii="Times New Roman" w:hAnsi="Times New Roman" w:cs="Times New Roman"/>
          <w:i/>
          <w:iCs/>
          <w:noProof/>
          <w:sz w:val="24"/>
          <w:szCs w:val="24"/>
        </w:rPr>
        <w:t>Bioorganic Med. Chem.</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2004</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12</w:t>
      </w:r>
      <w:r w:rsidRPr="002D64E9">
        <w:rPr>
          <w:rFonts w:ascii="Times New Roman" w:hAnsi="Times New Roman" w:cs="Times New Roman"/>
          <w:noProof/>
          <w:sz w:val="24"/>
          <w:szCs w:val="24"/>
        </w:rPr>
        <w:t>, 151–157.</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[85] </w:t>
      </w:r>
      <w:r w:rsidRPr="002D64E9">
        <w:rPr>
          <w:rFonts w:ascii="Times New Roman" w:hAnsi="Times New Roman" w:cs="Times New Roman"/>
          <w:noProof/>
          <w:sz w:val="24"/>
          <w:szCs w:val="24"/>
        </w:rPr>
        <w:tab/>
        <w:t xml:space="preserve">Suryawanshi, V.D.; Walekar, L.S.; Gore, A.H.; Anbhule, P. V.; Kolekar, G.B. Spectroscopic Analysis on the Binding Interaction of Biologically Active Pyrimidine Derivative with Bovine Serum Albumin. </w:t>
      </w:r>
      <w:r w:rsidRPr="002D64E9">
        <w:rPr>
          <w:rFonts w:ascii="Times New Roman" w:hAnsi="Times New Roman" w:cs="Times New Roman"/>
          <w:i/>
          <w:iCs/>
          <w:noProof/>
          <w:sz w:val="24"/>
          <w:szCs w:val="24"/>
        </w:rPr>
        <w:t>J. Pharm. Anal.</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2016</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6</w:t>
      </w:r>
      <w:r w:rsidRPr="002D64E9">
        <w:rPr>
          <w:rFonts w:ascii="Times New Roman" w:hAnsi="Times New Roman" w:cs="Times New Roman"/>
          <w:noProof/>
          <w:sz w:val="24"/>
          <w:szCs w:val="24"/>
        </w:rPr>
        <w:t>, 56–63.</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[86] </w:t>
      </w:r>
      <w:r w:rsidRPr="002D64E9">
        <w:rPr>
          <w:rFonts w:ascii="Times New Roman" w:hAnsi="Times New Roman" w:cs="Times New Roman"/>
          <w:noProof/>
          <w:sz w:val="24"/>
          <w:szCs w:val="24"/>
        </w:rPr>
        <w:tab/>
        <w:t xml:space="preserve">Shahabadi, N.; Nemati, L. Multispectroscopic Studies on the Interaction of a Platinum(II) Complex Containing L-Histidine and 1,10-Phenanthroline Ligands with Bovine Serum Albumin. </w:t>
      </w:r>
      <w:r w:rsidRPr="002D64E9">
        <w:rPr>
          <w:rFonts w:ascii="Times New Roman" w:hAnsi="Times New Roman" w:cs="Times New Roman"/>
          <w:i/>
          <w:iCs/>
          <w:noProof/>
          <w:sz w:val="24"/>
          <w:szCs w:val="24"/>
        </w:rPr>
        <w:t>Appl. Biochem. Biotechnol.</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2014</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172</w:t>
      </w:r>
      <w:r w:rsidRPr="002D64E9">
        <w:rPr>
          <w:rFonts w:ascii="Times New Roman" w:hAnsi="Times New Roman" w:cs="Times New Roman"/>
          <w:noProof/>
          <w:sz w:val="24"/>
          <w:szCs w:val="24"/>
        </w:rPr>
        <w:t>, 2800–2814.</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[87] </w:t>
      </w:r>
      <w:r w:rsidRPr="002D64E9">
        <w:rPr>
          <w:rFonts w:ascii="Times New Roman" w:hAnsi="Times New Roman" w:cs="Times New Roman"/>
          <w:noProof/>
          <w:sz w:val="24"/>
          <w:szCs w:val="24"/>
        </w:rPr>
        <w:tab/>
        <w:t xml:space="preserve">Rudra, S.; Dasmandal, S.; Patra, C.; Kundu, A.; Mahapatra, A. Binding Affinities of Schiff Base Fe(II) Complex with BSA and Calf-Thymus DNA: Spectroscopic Investigations and Molecular Docking Analysis. </w:t>
      </w:r>
      <w:r w:rsidRPr="002D64E9">
        <w:rPr>
          <w:rFonts w:ascii="Times New Roman" w:hAnsi="Times New Roman" w:cs="Times New Roman"/>
          <w:i/>
          <w:iCs/>
          <w:noProof/>
          <w:sz w:val="24"/>
          <w:szCs w:val="24"/>
        </w:rPr>
        <w:t>Spectrochim. Acta - Part A Mol. Biomol. Spectrosc.</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2016</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166</w:t>
      </w:r>
      <w:r w:rsidRPr="002D64E9">
        <w:rPr>
          <w:rFonts w:ascii="Times New Roman" w:hAnsi="Times New Roman" w:cs="Times New Roman"/>
          <w:noProof/>
          <w:sz w:val="24"/>
          <w:szCs w:val="24"/>
        </w:rPr>
        <w:t>, 84–94.</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[88] </w:t>
      </w:r>
      <w:r w:rsidRPr="002D64E9">
        <w:rPr>
          <w:rFonts w:ascii="Times New Roman" w:hAnsi="Times New Roman" w:cs="Times New Roman"/>
          <w:noProof/>
          <w:sz w:val="24"/>
          <w:szCs w:val="24"/>
        </w:rPr>
        <w:tab/>
        <w:t xml:space="preserve">Asadi, M.; Asadi, Z.; Zarei, L.; Sadi, S.B.; Amirghofran, Z. Affinity to Bovine Serum Albumin and Anticancer Activity of Some New Water-Soluble Metal Schiff Base Complexes. </w:t>
      </w:r>
      <w:r w:rsidRPr="002D64E9">
        <w:rPr>
          <w:rFonts w:ascii="Times New Roman" w:hAnsi="Times New Roman" w:cs="Times New Roman"/>
          <w:i/>
          <w:iCs/>
          <w:noProof/>
          <w:sz w:val="24"/>
          <w:szCs w:val="24"/>
        </w:rPr>
        <w:t>Spectrochim. Acta - Part A Mol. Biomol. Spectrosc.</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2014</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133</w:t>
      </w:r>
      <w:r w:rsidRPr="002D64E9">
        <w:rPr>
          <w:rFonts w:ascii="Times New Roman" w:hAnsi="Times New Roman" w:cs="Times New Roman"/>
          <w:noProof/>
          <w:sz w:val="24"/>
          <w:szCs w:val="24"/>
        </w:rPr>
        <w:t>, 697–706.</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[89] </w:t>
      </w:r>
      <w:r w:rsidRPr="002D64E9">
        <w:rPr>
          <w:rFonts w:ascii="Times New Roman" w:hAnsi="Times New Roman" w:cs="Times New Roman"/>
          <w:noProof/>
          <w:sz w:val="24"/>
          <w:szCs w:val="24"/>
        </w:rPr>
        <w:tab/>
        <w:t xml:space="preserve">Samari, F.; Hemmateenejad, B.; Shamsipur, M.; Rashidi, M.; Samouei, H. Affinity of Two Novel Five-Coordinated Anticancer Pt(II) Complexes to Human and Bovine Serum </w:t>
      </w:r>
      <w:r w:rsidRPr="002D64E9">
        <w:rPr>
          <w:rFonts w:ascii="Times New Roman" w:hAnsi="Times New Roman" w:cs="Times New Roman"/>
          <w:noProof/>
          <w:sz w:val="24"/>
          <w:szCs w:val="24"/>
        </w:rPr>
        <w:lastRenderedPageBreak/>
        <w:t xml:space="preserve">Albumins: A Spectroscopic Approach. </w:t>
      </w:r>
      <w:r w:rsidRPr="002D64E9">
        <w:rPr>
          <w:rFonts w:ascii="Times New Roman" w:hAnsi="Times New Roman" w:cs="Times New Roman"/>
          <w:i/>
          <w:iCs/>
          <w:noProof/>
          <w:sz w:val="24"/>
          <w:szCs w:val="24"/>
        </w:rPr>
        <w:t>Inorg. Chem.</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2012</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51</w:t>
      </w:r>
      <w:r w:rsidRPr="002D64E9">
        <w:rPr>
          <w:rFonts w:ascii="Times New Roman" w:hAnsi="Times New Roman" w:cs="Times New Roman"/>
          <w:noProof/>
          <w:sz w:val="24"/>
          <w:szCs w:val="24"/>
        </w:rPr>
        <w:t>, 3454–3464.</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[90] </w:t>
      </w:r>
      <w:r w:rsidRPr="002D64E9">
        <w:rPr>
          <w:rFonts w:ascii="Times New Roman" w:hAnsi="Times New Roman" w:cs="Times New Roman"/>
          <w:noProof/>
          <w:sz w:val="24"/>
          <w:szCs w:val="24"/>
        </w:rPr>
        <w:tab/>
        <w:t xml:space="preserve">Liu, H.; Shi, X.; Xu, M.; Li, Z.; Huang, L.; Bai, D.; Zeng, Z. Transition Metal Complexes of 2, 6-Di ((Phenazonyl-4-Imino) Methyl)-4-Methylphenol: Structure and Biological Evaluation. </w:t>
      </w:r>
      <w:r w:rsidRPr="002D64E9">
        <w:rPr>
          <w:rFonts w:ascii="Times New Roman" w:hAnsi="Times New Roman" w:cs="Times New Roman"/>
          <w:i/>
          <w:iCs/>
          <w:noProof/>
          <w:sz w:val="24"/>
          <w:szCs w:val="24"/>
        </w:rPr>
        <w:t>Eur. J. Med. Chem.</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2011</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46</w:t>
      </w:r>
      <w:r w:rsidRPr="002D64E9">
        <w:rPr>
          <w:rFonts w:ascii="Times New Roman" w:hAnsi="Times New Roman" w:cs="Times New Roman"/>
          <w:noProof/>
          <w:sz w:val="24"/>
          <w:szCs w:val="24"/>
        </w:rPr>
        <w:t>, 1638–1647.</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[91] </w:t>
      </w:r>
      <w:r w:rsidRPr="002D64E9">
        <w:rPr>
          <w:rFonts w:ascii="Times New Roman" w:hAnsi="Times New Roman" w:cs="Times New Roman"/>
          <w:noProof/>
          <w:sz w:val="24"/>
          <w:szCs w:val="24"/>
        </w:rPr>
        <w:tab/>
        <w:t xml:space="preserve">Hu, Y.J.; Liu, Y.; Sun, T.Q.; Bai, A.M.; Lü, J.Q.; Pi, Z.B. Binding of Anti-Inflammatory Drug Cromolyn Sodium to Bovine Serum Albumin. </w:t>
      </w:r>
      <w:r w:rsidRPr="002D64E9">
        <w:rPr>
          <w:rFonts w:ascii="Times New Roman" w:hAnsi="Times New Roman" w:cs="Times New Roman"/>
          <w:i/>
          <w:iCs/>
          <w:noProof/>
          <w:sz w:val="24"/>
          <w:szCs w:val="24"/>
        </w:rPr>
        <w:t>Int. J. Biol. Macromol.</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2006</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39</w:t>
      </w:r>
      <w:r w:rsidRPr="002D64E9">
        <w:rPr>
          <w:rFonts w:ascii="Times New Roman" w:hAnsi="Times New Roman" w:cs="Times New Roman"/>
          <w:noProof/>
          <w:sz w:val="24"/>
          <w:szCs w:val="24"/>
        </w:rPr>
        <w:t>, 280–285.</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[92] </w:t>
      </w:r>
      <w:r w:rsidRPr="002D64E9">
        <w:rPr>
          <w:rFonts w:ascii="Times New Roman" w:hAnsi="Times New Roman" w:cs="Times New Roman"/>
          <w:noProof/>
          <w:sz w:val="24"/>
          <w:szCs w:val="24"/>
        </w:rPr>
        <w:tab/>
        <w:t xml:space="preserve">Liu, J.; Tian, J.; He, W.; Xie, J.; Hu, Z.; Chen, X. Spectrofluorimetric Study of the Binding of Daphnetin to Bovine Serum Albumin. </w:t>
      </w:r>
      <w:r w:rsidRPr="002D64E9">
        <w:rPr>
          <w:rFonts w:ascii="Times New Roman" w:hAnsi="Times New Roman" w:cs="Times New Roman"/>
          <w:i/>
          <w:iCs/>
          <w:noProof/>
          <w:sz w:val="24"/>
          <w:szCs w:val="24"/>
        </w:rPr>
        <w:t>J. Pharm. Biomed. Anal.</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2004</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35</w:t>
      </w:r>
      <w:r w:rsidRPr="002D64E9">
        <w:rPr>
          <w:rFonts w:ascii="Times New Roman" w:hAnsi="Times New Roman" w:cs="Times New Roman"/>
          <w:noProof/>
          <w:sz w:val="24"/>
          <w:szCs w:val="24"/>
        </w:rPr>
        <w:t>, 671–677.</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[93] </w:t>
      </w:r>
      <w:r w:rsidRPr="002D64E9">
        <w:rPr>
          <w:rFonts w:ascii="Times New Roman" w:hAnsi="Times New Roman" w:cs="Times New Roman"/>
          <w:noProof/>
          <w:sz w:val="24"/>
          <w:szCs w:val="24"/>
        </w:rPr>
        <w:tab/>
        <w:t xml:space="preserve">Zhang, X.; Li, S.; Yang, L.; Fan, C. Synthesis, Characterization of Ag(I), Pd(II) and Pt(II) Complexes of a Triazine-3-Thione and Their Interactions with Bovine Serum Albumin. </w:t>
      </w:r>
      <w:r w:rsidRPr="002D64E9">
        <w:rPr>
          <w:rFonts w:ascii="Times New Roman" w:hAnsi="Times New Roman" w:cs="Times New Roman"/>
          <w:i/>
          <w:iCs/>
          <w:noProof/>
          <w:sz w:val="24"/>
          <w:szCs w:val="24"/>
        </w:rPr>
        <w:t>Spectrochim. Acta - Part A Mol. Biomol. Spectrosc.</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2007</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68</w:t>
      </w:r>
      <w:r w:rsidRPr="002D64E9">
        <w:rPr>
          <w:rFonts w:ascii="Times New Roman" w:hAnsi="Times New Roman" w:cs="Times New Roman"/>
          <w:noProof/>
          <w:sz w:val="24"/>
          <w:szCs w:val="24"/>
        </w:rPr>
        <w:t>, 763–770.</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[94] </w:t>
      </w:r>
      <w:r w:rsidRPr="002D64E9">
        <w:rPr>
          <w:rFonts w:ascii="Times New Roman" w:hAnsi="Times New Roman" w:cs="Times New Roman"/>
          <w:noProof/>
          <w:sz w:val="24"/>
          <w:szCs w:val="24"/>
        </w:rPr>
        <w:tab/>
        <w:t xml:space="preserve">Tan, M.; Liang, W.; Luo, X.; Gu, Y. Fluorescence Spectroscopy Study on the Interaction between Evodiamine and Bovine Serum Albumin. </w:t>
      </w:r>
      <w:r w:rsidRPr="002D64E9">
        <w:rPr>
          <w:rFonts w:ascii="Times New Roman" w:hAnsi="Times New Roman" w:cs="Times New Roman"/>
          <w:i/>
          <w:iCs/>
          <w:noProof/>
          <w:sz w:val="24"/>
          <w:szCs w:val="24"/>
        </w:rPr>
        <w:t>J. Chem.</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2013</w:t>
      </w:r>
      <w:r w:rsidRPr="002D64E9">
        <w:rPr>
          <w:rFonts w:ascii="Times New Roman" w:hAnsi="Times New Roman" w:cs="Times New Roman"/>
          <w:noProof/>
          <w:sz w:val="24"/>
          <w:szCs w:val="24"/>
        </w:rPr>
        <w:t>.</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[95] </w:t>
      </w:r>
      <w:r w:rsidRPr="002D64E9">
        <w:rPr>
          <w:rFonts w:ascii="Times New Roman" w:hAnsi="Times New Roman" w:cs="Times New Roman"/>
          <w:noProof/>
          <w:sz w:val="24"/>
          <w:szCs w:val="24"/>
        </w:rPr>
        <w:tab/>
        <w:t xml:space="preserve">Vignesh, G.; Arunachalam, S.; Vignesh, S.; James, R.A. BSA Binding and Antimicrobial Studies of Branched Polyethyleneimine- Copper(II)Bipyridine/Phenanthroline Complexes. </w:t>
      </w:r>
      <w:r w:rsidRPr="002D64E9">
        <w:rPr>
          <w:rFonts w:ascii="Times New Roman" w:hAnsi="Times New Roman" w:cs="Times New Roman"/>
          <w:i/>
          <w:iCs/>
          <w:noProof/>
          <w:sz w:val="24"/>
          <w:szCs w:val="24"/>
        </w:rPr>
        <w:t>Spectrochim. Acta - Part A Mol. Biomol. Spectrosc.</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2012</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96</w:t>
      </w:r>
      <w:r w:rsidRPr="002D64E9">
        <w:rPr>
          <w:rFonts w:ascii="Times New Roman" w:hAnsi="Times New Roman" w:cs="Times New Roman"/>
          <w:noProof/>
          <w:sz w:val="24"/>
          <w:szCs w:val="24"/>
        </w:rPr>
        <w:t>, 108–116.</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[96] </w:t>
      </w:r>
      <w:r w:rsidRPr="002D64E9">
        <w:rPr>
          <w:rFonts w:ascii="Times New Roman" w:hAnsi="Times New Roman" w:cs="Times New Roman"/>
          <w:noProof/>
          <w:sz w:val="24"/>
          <w:szCs w:val="24"/>
        </w:rPr>
        <w:tab/>
        <w:t xml:space="preserve">Khrapunov, S. The Enthalpy-Entropy Compensation Phenomenon. Limitations for the Use of Some Basic Thermodynamic Equations. </w:t>
      </w:r>
      <w:r w:rsidRPr="002D64E9">
        <w:rPr>
          <w:rFonts w:ascii="Times New Roman" w:hAnsi="Times New Roman" w:cs="Times New Roman"/>
          <w:i/>
          <w:iCs/>
          <w:noProof/>
          <w:sz w:val="24"/>
          <w:szCs w:val="24"/>
        </w:rPr>
        <w:t>Curr. Protein Pept. Sci.</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2018</w:t>
      </w:r>
      <w:r w:rsidRPr="002D64E9">
        <w:rPr>
          <w:rFonts w:ascii="Times New Roman" w:hAnsi="Times New Roman" w:cs="Times New Roman"/>
          <w:noProof/>
          <w:sz w:val="24"/>
          <w:szCs w:val="24"/>
        </w:rPr>
        <w:t>.</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[97] </w:t>
      </w:r>
      <w:r w:rsidRPr="002D64E9">
        <w:rPr>
          <w:rFonts w:ascii="Times New Roman" w:hAnsi="Times New Roman" w:cs="Times New Roman"/>
          <w:noProof/>
          <w:sz w:val="24"/>
          <w:szCs w:val="24"/>
        </w:rPr>
        <w:tab/>
        <w:t xml:space="preserve">Ryde, U. A Fundamental View of Enthalpy-Entropy Compensation. </w:t>
      </w:r>
      <w:r w:rsidRPr="002D64E9">
        <w:rPr>
          <w:rFonts w:ascii="Times New Roman" w:hAnsi="Times New Roman" w:cs="Times New Roman"/>
          <w:i/>
          <w:iCs/>
          <w:noProof/>
          <w:sz w:val="24"/>
          <w:szCs w:val="24"/>
        </w:rPr>
        <w:t>Medchemcomm</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2014</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5</w:t>
      </w:r>
      <w:r w:rsidRPr="002D64E9">
        <w:rPr>
          <w:rFonts w:ascii="Times New Roman" w:hAnsi="Times New Roman" w:cs="Times New Roman"/>
          <w:noProof/>
          <w:sz w:val="24"/>
          <w:szCs w:val="24"/>
        </w:rPr>
        <w:t>, 1324–1336.</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[98] </w:t>
      </w:r>
      <w:r w:rsidRPr="002D64E9">
        <w:rPr>
          <w:rFonts w:ascii="Times New Roman" w:hAnsi="Times New Roman" w:cs="Times New Roman"/>
          <w:noProof/>
          <w:sz w:val="24"/>
          <w:szCs w:val="24"/>
        </w:rPr>
        <w:tab/>
        <w:t xml:space="preserve">Dragan, A.I.; Read, C.M.; Crane-Robinson, C. Enthalpy–Entropy Compensation: The Role of Solvation. </w:t>
      </w:r>
      <w:r w:rsidRPr="002D64E9">
        <w:rPr>
          <w:rFonts w:ascii="Times New Roman" w:hAnsi="Times New Roman" w:cs="Times New Roman"/>
          <w:i/>
          <w:iCs/>
          <w:noProof/>
          <w:sz w:val="24"/>
          <w:szCs w:val="24"/>
        </w:rPr>
        <w:t>Eur. Biophys. J.</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2017</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46</w:t>
      </w:r>
      <w:r w:rsidRPr="002D64E9">
        <w:rPr>
          <w:rFonts w:ascii="Times New Roman" w:hAnsi="Times New Roman" w:cs="Times New Roman"/>
          <w:noProof/>
          <w:sz w:val="24"/>
          <w:szCs w:val="24"/>
        </w:rPr>
        <w:t>, 301–308.</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lastRenderedPageBreak/>
        <w:t xml:space="preserve">[99] </w:t>
      </w:r>
      <w:r w:rsidRPr="002D64E9">
        <w:rPr>
          <w:rFonts w:ascii="Times New Roman" w:hAnsi="Times New Roman" w:cs="Times New Roman"/>
          <w:noProof/>
          <w:sz w:val="24"/>
          <w:szCs w:val="24"/>
        </w:rPr>
        <w:tab/>
        <w:t xml:space="preserve">Kenji, W.; Mizutani, T.; Hideki, M.; Susumu, K. A New Strategy for the Design of Water-Soluble Synthetic Receptors: Specific Recognition of DNA Intercalators and Diamines. </w:t>
      </w:r>
      <w:r w:rsidRPr="002D64E9">
        <w:rPr>
          <w:rFonts w:ascii="Times New Roman" w:hAnsi="Times New Roman" w:cs="Times New Roman"/>
          <w:i/>
          <w:iCs/>
          <w:noProof/>
          <w:sz w:val="24"/>
          <w:szCs w:val="24"/>
        </w:rPr>
        <w:t>Chem. - A Eur. J.</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2003</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9</w:t>
      </w:r>
      <w:r w:rsidRPr="002D64E9">
        <w:rPr>
          <w:rFonts w:ascii="Times New Roman" w:hAnsi="Times New Roman" w:cs="Times New Roman"/>
          <w:noProof/>
          <w:sz w:val="24"/>
          <w:szCs w:val="24"/>
        </w:rPr>
        <w:t>, 2368–2380.</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[100] </w:t>
      </w:r>
      <w:r w:rsidRPr="002D64E9">
        <w:rPr>
          <w:rFonts w:ascii="Times New Roman" w:hAnsi="Times New Roman" w:cs="Times New Roman"/>
          <w:noProof/>
          <w:sz w:val="24"/>
          <w:szCs w:val="24"/>
        </w:rPr>
        <w:tab/>
        <w:t xml:space="preserve">Inoue, Y.; Jing, D. Modified P-Cyclodextrins. Enthalpy-Entropy Compensation in Host-Guest Complexation: From Ionophore to Cyclodextrin and Cyclophane. </w:t>
      </w:r>
      <w:r w:rsidRPr="002D64E9">
        <w:rPr>
          <w:rFonts w:ascii="Times New Roman" w:hAnsi="Times New Roman" w:cs="Times New Roman"/>
          <w:i/>
          <w:iCs/>
          <w:noProof/>
          <w:sz w:val="24"/>
          <w:szCs w:val="24"/>
        </w:rPr>
        <w:t>J.Am.Chem.Soc.</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1993</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115</w:t>
      </w:r>
      <w:r w:rsidRPr="002D64E9">
        <w:rPr>
          <w:rFonts w:ascii="Times New Roman" w:hAnsi="Times New Roman" w:cs="Times New Roman"/>
          <w:noProof/>
          <w:sz w:val="24"/>
          <w:szCs w:val="24"/>
        </w:rPr>
        <w:t>, 10637–10644.</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[101] </w:t>
      </w:r>
      <w:r w:rsidRPr="002D64E9">
        <w:rPr>
          <w:rFonts w:ascii="Times New Roman" w:hAnsi="Times New Roman" w:cs="Times New Roman"/>
          <w:noProof/>
          <w:sz w:val="24"/>
          <w:szCs w:val="24"/>
        </w:rPr>
        <w:tab/>
        <w:t xml:space="preserve">Miller, J.N. Recent Advances in Molecular Luminescence Analysis. </w:t>
      </w:r>
      <w:r w:rsidRPr="002D64E9">
        <w:rPr>
          <w:rFonts w:ascii="Times New Roman" w:hAnsi="Times New Roman" w:cs="Times New Roman"/>
          <w:i/>
          <w:iCs/>
          <w:noProof/>
          <w:sz w:val="24"/>
          <w:szCs w:val="24"/>
        </w:rPr>
        <w:t>Proc. Anal. Div. Chem. Soc.</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1979</w:t>
      </w:r>
      <w:r w:rsidRPr="002D64E9">
        <w:rPr>
          <w:rFonts w:ascii="Times New Roman" w:hAnsi="Times New Roman" w:cs="Times New Roman"/>
          <w:noProof/>
          <w:sz w:val="24"/>
          <w:szCs w:val="24"/>
        </w:rPr>
        <w:t>.</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[102] </w:t>
      </w:r>
      <w:r w:rsidRPr="002D64E9">
        <w:rPr>
          <w:rFonts w:ascii="Times New Roman" w:hAnsi="Times New Roman" w:cs="Times New Roman"/>
          <w:noProof/>
          <w:sz w:val="24"/>
          <w:szCs w:val="24"/>
        </w:rPr>
        <w:tab/>
        <w:t xml:space="preserve">Kalaiarasi, G.; Dharani, S.; Rajkumar, S.R.J.; Lynch, V.M.; Prabhakaran, R. Binuclear Ni(II) Complexes Containing ONS Donor Schiff Base Ligands: Preparation, Spectral Characterization, X-Ray Crystallography and Biological Exploration. </w:t>
      </w:r>
      <w:r w:rsidRPr="002D64E9">
        <w:rPr>
          <w:rFonts w:ascii="Times New Roman" w:hAnsi="Times New Roman" w:cs="Times New Roman"/>
          <w:i/>
          <w:iCs/>
          <w:noProof/>
          <w:sz w:val="24"/>
          <w:szCs w:val="24"/>
        </w:rPr>
        <w:t>J. Inorg. Biochem.</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2020</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211</w:t>
      </w:r>
      <w:r w:rsidRPr="002D64E9">
        <w:rPr>
          <w:rFonts w:ascii="Times New Roman" w:hAnsi="Times New Roman" w:cs="Times New Roman"/>
          <w:noProof/>
          <w:sz w:val="24"/>
          <w:szCs w:val="24"/>
        </w:rPr>
        <w:t>, 111176.</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[103] </w:t>
      </w:r>
      <w:r w:rsidRPr="002D64E9">
        <w:rPr>
          <w:rFonts w:ascii="Times New Roman" w:hAnsi="Times New Roman" w:cs="Times New Roman"/>
          <w:noProof/>
          <w:sz w:val="24"/>
          <w:szCs w:val="24"/>
        </w:rPr>
        <w:tab/>
        <w:t xml:space="preserve">Icsel, C.; Yilmaz, V.T.; Kaya, Y.; Durmus, S.; Sarimahmut, M.; Buyukgungor, O.; Ulukaya, E. Cationic Pd(II)/Pt(II) 5,5-Diethylbarbiturate Complexes with Bis(2-Pyridylmethyl)Amine and Terpyridine: Synthesis, Structures,DNA/BSA Interactions, Intracellular Distribution, Cytotoxic Activity and Induction of Apoptosis. </w:t>
      </w:r>
      <w:r w:rsidRPr="002D64E9">
        <w:rPr>
          <w:rFonts w:ascii="Times New Roman" w:hAnsi="Times New Roman" w:cs="Times New Roman"/>
          <w:i/>
          <w:iCs/>
          <w:noProof/>
          <w:sz w:val="24"/>
          <w:szCs w:val="24"/>
        </w:rPr>
        <w:t>J. Inorg. Biochem.</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2015</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152</w:t>
      </w:r>
      <w:r w:rsidRPr="002D64E9">
        <w:rPr>
          <w:rFonts w:ascii="Times New Roman" w:hAnsi="Times New Roman" w:cs="Times New Roman"/>
          <w:noProof/>
          <w:sz w:val="24"/>
          <w:szCs w:val="24"/>
        </w:rPr>
        <w:t>, 38–52.</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[104] </w:t>
      </w:r>
      <w:r w:rsidRPr="002D64E9">
        <w:rPr>
          <w:rFonts w:ascii="Times New Roman" w:hAnsi="Times New Roman" w:cs="Times New Roman"/>
          <w:noProof/>
          <w:sz w:val="24"/>
          <w:szCs w:val="24"/>
        </w:rPr>
        <w:tab/>
        <w:t xml:space="preserve">Li, P.; Niu, M.J.; Hong, M.; Cheng, S.; Dou, J.M. Effect of Structure and Composition of Nickel(II) Complexes with Salicylidene Schiff Base Ligands on Their DNA/Protein Interaction and Cytotoxicity. </w:t>
      </w:r>
      <w:r w:rsidRPr="002D64E9">
        <w:rPr>
          <w:rFonts w:ascii="Times New Roman" w:hAnsi="Times New Roman" w:cs="Times New Roman"/>
          <w:i/>
          <w:iCs/>
          <w:noProof/>
          <w:sz w:val="24"/>
          <w:szCs w:val="24"/>
        </w:rPr>
        <w:t>J. Inorg. Biochem.</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2014</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137</w:t>
      </w:r>
      <w:r w:rsidRPr="002D64E9">
        <w:rPr>
          <w:rFonts w:ascii="Times New Roman" w:hAnsi="Times New Roman" w:cs="Times New Roman"/>
          <w:noProof/>
          <w:sz w:val="24"/>
          <w:szCs w:val="24"/>
        </w:rPr>
        <w:t>, 101–108.</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[105] </w:t>
      </w:r>
      <w:r w:rsidRPr="002D64E9">
        <w:rPr>
          <w:rFonts w:ascii="Times New Roman" w:hAnsi="Times New Roman" w:cs="Times New Roman"/>
          <w:noProof/>
          <w:sz w:val="24"/>
          <w:szCs w:val="24"/>
        </w:rPr>
        <w:tab/>
        <w:t xml:space="preserve">Shi, J. hua; Pan, D. qi; Jiang, M.; Liu, T.T.; Wang, Q. Binding Interaction of Ramipril with Bovine Serum Albumin (BSA): Insights from Multi-Spectroscopy and Molecular Docking Methods. </w:t>
      </w:r>
      <w:r w:rsidRPr="002D64E9">
        <w:rPr>
          <w:rFonts w:ascii="Times New Roman" w:hAnsi="Times New Roman" w:cs="Times New Roman"/>
          <w:i/>
          <w:iCs/>
          <w:noProof/>
          <w:sz w:val="24"/>
          <w:szCs w:val="24"/>
        </w:rPr>
        <w:t>J. Photochem. Photobiol. B Biol.</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2016</w:t>
      </w:r>
      <w:r w:rsidRPr="002D64E9">
        <w:rPr>
          <w:rFonts w:ascii="Times New Roman" w:hAnsi="Times New Roman" w:cs="Times New Roman"/>
          <w:noProof/>
          <w:sz w:val="24"/>
          <w:szCs w:val="24"/>
        </w:rPr>
        <w:t>.</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[106] </w:t>
      </w:r>
      <w:r w:rsidRPr="002D64E9">
        <w:rPr>
          <w:rFonts w:ascii="Times New Roman" w:hAnsi="Times New Roman" w:cs="Times New Roman"/>
          <w:noProof/>
          <w:sz w:val="24"/>
          <w:szCs w:val="24"/>
        </w:rPr>
        <w:tab/>
        <w:t xml:space="preserve">Sudlow, G.; Birkett, D.J.; Wade, D.N. The Characterization of Two Specific Drug Binding Sites on Human Serum Albumin. </w:t>
      </w:r>
      <w:r w:rsidRPr="002D64E9">
        <w:rPr>
          <w:rFonts w:ascii="Times New Roman" w:hAnsi="Times New Roman" w:cs="Times New Roman"/>
          <w:i/>
          <w:iCs/>
          <w:noProof/>
          <w:sz w:val="24"/>
          <w:szCs w:val="24"/>
        </w:rPr>
        <w:t>Mol. Pharmacol.</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1975</w:t>
      </w:r>
      <w:r w:rsidRPr="002D64E9">
        <w:rPr>
          <w:rFonts w:ascii="Times New Roman" w:hAnsi="Times New Roman" w:cs="Times New Roman"/>
          <w:noProof/>
          <w:sz w:val="24"/>
          <w:szCs w:val="24"/>
        </w:rPr>
        <w:t>.</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lastRenderedPageBreak/>
        <w:t xml:space="preserve">[107] </w:t>
      </w:r>
      <w:r w:rsidRPr="002D64E9">
        <w:rPr>
          <w:rFonts w:ascii="Times New Roman" w:hAnsi="Times New Roman" w:cs="Times New Roman"/>
          <w:noProof/>
          <w:sz w:val="24"/>
          <w:szCs w:val="24"/>
        </w:rPr>
        <w:tab/>
        <w:t xml:space="preserve">Zhang, G.; Zhao, N.; Hu, X.; Tian, J. Interaction of Alpinetin with Bovine Serum Albumin: Probing of the Mechanism and Binding Site by Spectroscopic Methods. </w:t>
      </w:r>
      <w:r w:rsidRPr="002D64E9">
        <w:rPr>
          <w:rFonts w:ascii="Times New Roman" w:hAnsi="Times New Roman" w:cs="Times New Roman"/>
          <w:i/>
          <w:iCs/>
          <w:noProof/>
          <w:sz w:val="24"/>
          <w:szCs w:val="24"/>
        </w:rPr>
        <w:t>Spectrochim. Acta - Part A Mol. Biomol. Spectrosc.</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2010</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76</w:t>
      </w:r>
      <w:r w:rsidRPr="002D64E9">
        <w:rPr>
          <w:rFonts w:ascii="Times New Roman" w:hAnsi="Times New Roman" w:cs="Times New Roman"/>
          <w:noProof/>
          <w:sz w:val="24"/>
          <w:szCs w:val="24"/>
        </w:rPr>
        <w:t>, 410–417.</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[108] </w:t>
      </w:r>
      <w:r w:rsidRPr="002D64E9">
        <w:rPr>
          <w:rFonts w:ascii="Times New Roman" w:hAnsi="Times New Roman" w:cs="Times New Roman"/>
          <w:noProof/>
          <w:sz w:val="24"/>
          <w:szCs w:val="24"/>
        </w:rPr>
        <w:tab/>
        <w:t xml:space="preserve">Han, X. Le; Tian, F.F.; Ge, Y.S.; Jiang, F.L.; Lai, L.; Li, D.W.; Yu, Q.L.; Wang, J.; Lin, C.; Liu, Y. Spectroscopic, Structural and Thermodynamic Properties of Chlorpyrifos Bound to Serum Albumin: A Comparative Study between BSA and HSA. </w:t>
      </w:r>
      <w:r w:rsidRPr="002D64E9">
        <w:rPr>
          <w:rFonts w:ascii="Times New Roman" w:hAnsi="Times New Roman" w:cs="Times New Roman"/>
          <w:i/>
          <w:iCs/>
          <w:noProof/>
          <w:sz w:val="24"/>
          <w:szCs w:val="24"/>
        </w:rPr>
        <w:t>J. Photochem. Photobiol. B Biol.</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2012</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109</w:t>
      </w:r>
      <w:r w:rsidRPr="002D64E9">
        <w:rPr>
          <w:rFonts w:ascii="Times New Roman" w:hAnsi="Times New Roman" w:cs="Times New Roman"/>
          <w:noProof/>
          <w:sz w:val="24"/>
          <w:szCs w:val="24"/>
        </w:rPr>
        <w:t>, 1–11.</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[109] </w:t>
      </w:r>
      <w:r w:rsidRPr="002D64E9">
        <w:rPr>
          <w:rFonts w:ascii="Times New Roman" w:hAnsi="Times New Roman" w:cs="Times New Roman"/>
          <w:noProof/>
          <w:sz w:val="24"/>
          <w:szCs w:val="24"/>
        </w:rPr>
        <w:tab/>
        <w:t xml:space="preserve">Han, X. Le; Mei, P.; Liu, Y.; Xiao, Q.; Jiang, F.L.; Li, R. Binding Interaction of Quinclorac with Bovine Serum Albumin: A Biophysical Study. </w:t>
      </w:r>
      <w:r w:rsidRPr="002D64E9">
        <w:rPr>
          <w:rFonts w:ascii="Times New Roman" w:hAnsi="Times New Roman" w:cs="Times New Roman"/>
          <w:i/>
          <w:iCs/>
          <w:noProof/>
          <w:sz w:val="24"/>
          <w:szCs w:val="24"/>
        </w:rPr>
        <w:t>Spectrochim. Acta - Part A Mol. Biomol. Spectrosc.</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2009</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74</w:t>
      </w:r>
      <w:r w:rsidRPr="002D64E9">
        <w:rPr>
          <w:rFonts w:ascii="Times New Roman" w:hAnsi="Times New Roman" w:cs="Times New Roman"/>
          <w:noProof/>
          <w:sz w:val="24"/>
          <w:szCs w:val="24"/>
        </w:rPr>
        <w:t>, 781–787.</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[110] </w:t>
      </w:r>
      <w:r w:rsidRPr="002D64E9">
        <w:rPr>
          <w:rFonts w:ascii="Times New Roman" w:hAnsi="Times New Roman" w:cs="Times New Roman"/>
          <w:noProof/>
          <w:sz w:val="24"/>
          <w:szCs w:val="24"/>
        </w:rPr>
        <w:tab/>
        <w:t xml:space="preserve">Zhang, Y.Z.; Li, H.R.; Dai, J.; Chen, W.J.; Zhang, J.; Liu, Y. Spectroscopic Studies on the Binding of Cobalt(II) 1,10-Phenanthroline Complex to Bovine Serum Albumin. </w:t>
      </w:r>
      <w:r w:rsidRPr="002D64E9">
        <w:rPr>
          <w:rFonts w:ascii="Times New Roman" w:hAnsi="Times New Roman" w:cs="Times New Roman"/>
          <w:i/>
          <w:iCs/>
          <w:noProof/>
          <w:sz w:val="24"/>
          <w:szCs w:val="24"/>
        </w:rPr>
        <w:t>Biol. Trace Elem. Res.</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2010</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135</w:t>
      </w:r>
      <w:r w:rsidRPr="002D64E9">
        <w:rPr>
          <w:rFonts w:ascii="Times New Roman" w:hAnsi="Times New Roman" w:cs="Times New Roman"/>
          <w:noProof/>
          <w:sz w:val="24"/>
          <w:szCs w:val="24"/>
        </w:rPr>
        <w:t>, 136–152.</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[111] </w:t>
      </w:r>
      <w:r w:rsidRPr="002D64E9">
        <w:rPr>
          <w:rFonts w:ascii="Times New Roman" w:hAnsi="Times New Roman" w:cs="Times New Roman"/>
          <w:noProof/>
          <w:sz w:val="24"/>
          <w:szCs w:val="24"/>
        </w:rPr>
        <w:tab/>
        <w:t xml:space="preserve">Cheng, X.X.; Lui, Y.; Zhou, B.; Xiao, X.H.; Liu, Y. Probing the Binding Sites and the Effect of Berbamine on the Structure of Bovine Serum Albumin. </w:t>
      </w:r>
      <w:r w:rsidRPr="002D64E9">
        <w:rPr>
          <w:rFonts w:ascii="Times New Roman" w:hAnsi="Times New Roman" w:cs="Times New Roman"/>
          <w:i/>
          <w:iCs/>
          <w:noProof/>
          <w:sz w:val="24"/>
          <w:szCs w:val="24"/>
        </w:rPr>
        <w:t>Spectrochim. Acta - Part A Mol. Biomol. Spectrosc.</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2009</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72</w:t>
      </w:r>
      <w:r w:rsidRPr="002D64E9">
        <w:rPr>
          <w:rFonts w:ascii="Times New Roman" w:hAnsi="Times New Roman" w:cs="Times New Roman"/>
          <w:noProof/>
          <w:sz w:val="24"/>
          <w:szCs w:val="24"/>
        </w:rPr>
        <w:t>, 922–928.</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[112] </w:t>
      </w:r>
      <w:r w:rsidRPr="002D64E9">
        <w:rPr>
          <w:rFonts w:ascii="Times New Roman" w:hAnsi="Times New Roman" w:cs="Times New Roman"/>
          <w:noProof/>
          <w:sz w:val="24"/>
          <w:szCs w:val="24"/>
        </w:rPr>
        <w:tab/>
        <w:t xml:space="preserve">Hu, Y.J.; Ou-Yang, Y.; Dai, C.M.; Liu, Y.; Xiao, X.H. Binding of Berberine to Bovine Serum Albumin: Spectroscopic Approach. </w:t>
      </w:r>
      <w:r w:rsidRPr="002D64E9">
        <w:rPr>
          <w:rFonts w:ascii="Times New Roman" w:hAnsi="Times New Roman" w:cs="Times New Roman"/>
          <w:i/>
          <w:iCs/>
          <w:noProof/>
          <w:sz w:val="24"/>
          <w:szCs w:val="24"/>
        </w:rPr>
        <w:t>Mol. Biol. Rep.</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2010</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37</w:t>
      </w:r>
      <w:r w:rsidRPr="002D64E9">
        <w:rPr>
          <w:rFonts w:ascii="Times New Roman" w:hAnsi="Times New Roman" w:cs="Times New Roman"/>
          <w:noProof/>
          <w:sz w:val="24"/>
          <w:szCs w:val="24"/>
        </w:rPr>
        <w:t>, 3827–3832.</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[113] </w:t>
      </w:r>
      <w:r w:rsidRPr="002D64E9">
        <w:rPr>
          <w:rFonts w:ascii="Times New Roman" w:hAnsi="Times New Roman" w:cs="Times New Roman"/>
          <w:noProof/>
          <w:sz w:val="24"/>
          <w:szCs w:val="24"/>
        </w:rPr>
        <w:tab/>
        <w:t xml:space="preserve">Shi, J. hua; Pan, D. qi; Wang, X. xiou; Liu, T.T.; Jiang, M.; Wang, Q. Characterizing the Binding Interaction between Antimalarial Artemether (AMT) and Bovine Serum Albumin (BSA): Spectroscopic and Molecular Docking Methods. </w:t>
      </w:r>
      <w:r w:rsidRPr="002D64E9">
        <w:rPr>
          <w:rFonts w:ascii="Times New Roman" w:hAnsi="Times New Roman" w:cs="Times New Roman"/>
          <w:i/>
          <w:iCs/>
          <w:noProof/>
          <w:sz w:val="24"/>
          <w:szCs w:val="24"/>
        </w:rPr>
        <w:t>J. Photochem. Photobiol. B Biol.</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2016</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162</w:t>
      </w:r>
      <w:r w:rsidRPr="002D64E9">
        <w:rPr>
          <w:rFonts w:ascii="Times New Roman" w:hAnsi="Times New Roman" w:cs="Times New Roman"/>
          <w:noProof/>
          <w:sz w:val="24"/>
          <w:szCs w:val="24"/>
        </w:rPr>
        <w:t>, 14–23.</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[114] </w:t>
      </w:r>
      <w:r w:rsidRPr="002D64E9">
        <w:rPr>
          <w:rFonts w:ascii="Times New Roman" w:hAnsi="Times New Roman" w:cs="Times New Roman"/>
          <w:noProof/>
          <w:sz w:val="24"/>
          <w:szCs w:val="24"/>
        </w:rPr>
        <w:tab/>
        <w:t xml:space="preserve">Ni, Y.; Zhu, R.; Kokot, S. Competitive Binding of Small Molecules with Biopolymers: A Fluorescence Spectroscopy and Chemometrics Study of the Interaction of Aspirin and </w:t>
      </w:r>
      <w:r w:rsidRPr="002D64E9">
        <w:rPr>
          <w:rFonts w:ascii="Times New Roman" w:hAnsi="Times New Roman" w:cs="Times New Roman"/>
          <w:noProof/>
          <w:sz w:val="24"/>
          <w:szCs w:val="24"/>
        </w:rPr>
        <w:lastRenderedPageBreak/>
        <w:t xml:space="preserve">Ibuprofen with BSA. </w:t>
      </w:r>
      <w:r w:rsidRPr="002D64E9">
        <w:rPr>
          <w:rFonts w:ascii="Times New Roman" w:hAnsi="Times New Roman" w:cs="Times New Roman"/>
          <w:i/>
          <w:iCs/>
          <w:noProof/>
          <w:sz w:val="24"/>
          <w:szCs w:val="24"/>
        </w:rPr>
        <w:t>Analyst</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2011</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136</w:t>
      </w:r>
      <w:r w:rsidRPr="002D64E9">
        <w:rPr>
          <w:rFonts w:ascii="Times New Roman" w:hAnsi="Times New Roman" w:cs="Times New Roman"/>
          <w:noProof/>
          <w:sz w:val="24"/>
          <w:szCs w:val="24"/>
        </w:rPr>
        <w:t>, 4794.</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[115] </w:t>
      </w:r>
      <w:r w:rsidRPr="002D64E9">
        <w:rPr>
          <w:rFonts w:ascii="Times New Roman" w:hAnsi="Times New Roman" w:cs="Times New Roman"/>
          <w:noProof/>
          <w:sz w:val="24"/>
          <w:szCs w:val="24"/>
        </w:rPr>
        <w:tab/>
        <w:t xml:space="preserve">Shi, J.H.; Zhou, K.L.; Lou, Y.Y.; Pan, D.Q. Multi-Spectroscopic and Molecular Modeling Approaches to Elucidate the Binding Interaction between Bovine Serum Albumin and Darunavir, a HIV Protease Inhibitor. </w:t>
      </w:r>
      <w:r w:rsidRPr="002D64E9">
        <w:rPr>
          <w:rFonts w:ascii="Times New Roman" w:hAnsi="Times New Roman" w:cs="Times New Roman"/>
          <w:i/>
          <w:iCs/>
          <w:noProof/>
          <w:sz w:val="24"/>
          <w:szCs w:val="24"/>
        </w:rPr>
        <w:t>Spectrochim. Acta - Part A Mol. Biomol. Spectrosc.</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2018</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188</w:t>
      </w:r>
      <w:r w:rsidRPr="002D64E9">
        <w:rPr>
          <w:rFonts w:ascii="Times New Roman" w:hAnsi="Times New Roman" w:cs="Times New Roman"/>
          <w:noProof/>
          <w:sz w:val="24"/>
          <w:szCs w:val="24"/>
        </w:rPr>
        <w:t>, 362–371.</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[116] </w:t>
      </w:r>
      <w:r w:rsidRPr="002D64E9">
        <w:rPr>
          <w:rFonts w:ascii="Times New Roman" w:hAnsi="Times New Roman" w:cs="Times New Roman"/>
          <w:noProof/>
          <w:sz w:val="24"/>
          <w:szCs w:val="24"/>
        </w:rPr>
        <w:tab/>
        <w:t xml:space="preserve">Shi, J.H.; Wang, Q.; Pan, D.Q.; Liu, T.T.; Jiang, M. Characterization of Interactions of Simvastatin, Pravastatin, Fluvastatin, and Pitavastatin with Bovine Serum Albumin: Multiple Spectroscopic and Molecular Docking. </w:t>
      </w:r>
      <w:r w:rsidRPr="002D64E9">
        <w:rPr>
          <w:rFonts w:ascii="Times New Roman" w:hAnsi="Times New Roman" w:cs="Times New Roman"/>
          <w:i/>
          <w:iCs/>
          <w:noProof/>
          <w:sz w:val="24"/>
          <w:szCs w:val="24"/>
        </w:rPr>
        <w:t>J. Biomol. Struct. Dyn.</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2017</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35</w:t>
      </w:r>
      <w:r w:rsidRPr="002D64E9">
        <w:rPr>
          <w:rFonts w:ascii="Times New Roman" w:hAnsi="Times New Roman" w:cs="Times New Roman"/>
          <w:noProof/>
          <w:sz w:val="24"/>
          <w:szCs w:val="24"/>
        </w:rPr>
        <w:t>, 1529–1546.</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[117] </w:t>
      </w:r>
      <w:r w:rsidRPr="002D64E9">
        <w:rPr>
          <w:rFonts w:ascii="Times New Roman" w:hAnsi="Times New Roman" w:cs="Times New Roman"/>
          <w:noProof/>
          <w:sz w:val="24"/>
          <w:szCs w:val="24"/>
        </w:rPr>
        <w:tab/>
        <w:t xml:space="preserve">Shi, J.H.; Zhu, Y.Y.; Wang, J.; Chen, J.; Shen, Y.J. Intermolecular Interaction of Prednisolone with Bovine Serum Albumin: Spectroscopic and Molecular Docking Methods. </w:t>
      </w:r>
      <w:r w:rsidRPr="002D64E9">
        <w:rPr>
          <w:rFonts w:ascii="Times New Roman" w:hAnsi="Times New Roman" w:cs="Times New Roman"/>
          <w:i/>
          <w:iCs/>
          <w:noProof/>
          <w:sz w:val="24"/>
          <w:szCs w:val="24"/>
        </w:rPr>
        <w:t>Spectrochim. Acta - Part A Mol. Biomol. Spectrosc.</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2013</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103</w:t>
      </w:r>
      <w:r w:rsidRPr="002D64E9">
        <w:rPr>
          <w:rFonts w:ascii="Times New Roman" w:hAnsi="Times New Roman" w:cs="Times New Roman"/>
          <w:noProof/>
          <w:sz w:val="24"/>
          <w:szCs w:val="24"/>
        </w:rPr>
        <w:t>, 287–294.</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[118] </w:t>
      </w:r>
      <w:r w:rsidRPr="002D64E9">
        <w:rPr>
          <w:rFonts w:ascii="Times New Roman" w:hAnsi="Times New Roman" w:cs="Times New Roman"/>
          <w:noProof/>
          <w:sz w:val="24"/>
          <w:szCs w:val="24"/>
        </w:rPr>
        <w:tab/>
        <w:t xml:space="preserve">Wang, X.; Zou, L.; Mi, C.; Yu, H.; Dong, M.; Teng, Y. Characterization of Binding Interaction of Triclosan and Bovine Serum Albumin. </w:t>
      </w:r>
      <w:r w:rsidRPr="002D64E9">
        <w:rPr>
          <w:rFonts w:ascii="Times New Roman" w:hAnsi="Times New Roman" w:cs="Times New Roman"/>
          <w:i/>
          <w:iCs/>
          <w:noProof/>
          <w:sz w:val="24"/>
          <w:szCs w:val="24"/>
        </w:rPr>
        <w:t>J. Environ. Sci. Heal. - Part A Toxic/Hazardous Subst. Environ. Eng.</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2020</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55</w:t>
      </w:r>
      <w:r w:rsidRPr="002D64E9">
        <w:rPr>
          <w:rFonts w:ascii="Times New Roman" w:hAnsi="Times New Roman" w:cs="Times New Roman"/>
          <w:noProof/>
          <w:sz w:val="24"/>
          <w:szCs w:val="24"/>
        </w:rPr>
        <w:t>, 318–325.</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[119] </w:t>
      </w:r>
      <w:r w:rsidRPr="002D64E9">
        <w:rPr>
          <w:rFonts w:ascii="Times New Roman" w:hAnsi="Times New Roman" w:cs="Times New Roman"/>
          <w:noProof/>
          <w:sz w:val="24"/>
          <w:szCs w:val="24"/>
        </w:rPr>
        <w:tab/>
        <w:t xml:space="preserve">Wei, X.; Yang, Y.; Ge, J.; Lin, X.; Liu, D.; Wang, S.; Zhang, J.; Zhou, G.; Li, S. Synthesis, Characterization, DNA/BSA Interactions and in Vitro Cytotoxicity Study of Palladium(II) Complexes of Hispolon Derivatives. </w:t>
      </w:r>
      <w:r w:rsidRPr="002D64E9">
        <w:rPr>
          <w:rFonts w:ascii="Times New Roman" w:hAnsi="Times New Roman" w:cs="Times New Roman"/>
          <w:i/>
          <w:iCs/>
          <w:noProof/>
          <w:sz w:val="24"/>
          <w:szCs w:val="24"/>
        </w:rPr>
        <w:t>J. Inorg. Biochem.</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2020</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202</w:t>
      </w:r>
      <w:r w:rsidRPr="002D64E9">
        <w:rPr>
          <w:rFonts w:ascii="Times New Roman" w:hAnsi="Times New Roman" w:cs="Times New Roman"/>
          <w:noProof/>
          <w:sz w:val="24"/>
          <w:szCs w:val="24"/>
        </w:rPr>
        <w:t>, 110857.</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[120] </w:t>
      </w:r>
      <w:r w:rsidRPr="002D64E9">
        <w:rPr>
          <w:rFonts w:ascii="Times New Roman" w:hAnsi="Times New Roman" w:cs="Times New Roman"/>
          <w:noProof/>
          <w:sz w:val="24"/>
          <w:szCs w:val="24"/>
        </w:rPr>
        <w:tab/>
        <w:t xml:space="preserve">Seedher, N.; Agarwal, P. Competitive Binding of Fluoroquinolone Antibiotics and Some Other Drugs to Human Serum Albumin: A Luminescence Spectroscopic Study. </w:t>
      </w:r>
      <w:r w:rsidRPr="002D64E9">
        <w:rPr>
          <w:rFonts w:ascii="Times New Roman" w:hAnsi="Times New Roman" w:cs="Times New Roman"/>
          <w:i/>
          <w:iCs/>
          <w:noProof/>
          <w:sz w:val="24"/>
          <w:szCs w:val="24"/>
        </w:rPr>
        <w:t>Luminescence</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2013</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28</w:t>
      </w:r>
      <w:r w:rsidRPr="002D64E9">
        <w:rPr>
          <w:rFonts w:ascii="Times New Roman" w:hAnsi="Times New Roman" w:cs="Times New Roman"/>
          <w:noProof/>
          <w:sz w:val="24"/>
          <w:szCs w:val="24"/>
        </w:rPr>
        <w:t>, 562–568.</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[121] </w:t>
      </w:r>
      <w:r w:rsidRPr="002D64E9">
        <w:rPr>
          <w:rFonts w:ascii="Times New Roman" w:hAnsi="Times New Roman" w:cs="Times New Roman"/>
          <w:noProof/>
          <w:sz w:val="24"/>
          <w:szCs w:val="24"/>
        </w:rPr>
        <w:tab/>
        <w:t xml:space="preserve">Maciazek-Jurczyk, M.; Sułkowska, A.; Bojko, B.; Równicka, J.; Sułkowski, W.W. Fluorescence Analysis of Competition of Phenylbutazone and Methotrexate in Binding to Serum Albumin in Combination Treatment in Rheumatology. </w:t>
      </w:r>
      <w:r w:rsidRPr="002D64E9">
        <w:rPr>
          <w:rFonts w:ascii="Times New Roman" w:hAnsi="Times New Roman" w:cs="Times New Roman"/>
          <w:i/>
          <w:iCs/>
          <w:noProof/>
          <w:sz w:val="24"/>
          <w:szCs w:val="24"/>
        </w:rPr>
        <w:t>J. Mol. Struct.</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2009</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924</w:t>
      </w:r>
      <w:r w:rsidRPr="002D64E9">
        <w:rPr>
          <w:rFonts w:ascii="Times New Roman" w:hAnsi="Times New Roman" w:cs="Times New Roman"/>
          <w:noProof/>
          <w:sz w:val="24"/>
          <w:szCs w:val="24"/>
        </w:rPr>
        <w:t>–</w:t>
      </w:r>
      <w:r w:rsidRPr="002D64E9">
        <w:rPr>
          <w:rFonts w:ascii="Times New Roman" w:hAnsi="Times New Roman" w:cs="Times New Roman"/>
          <w:i/>
          <w:iCs/>
          <w:noProof/>
          <w:sz w:val="24"/>
          <w:szCs w:val="24"/>
        </w:rPr>
        <w:t>926</w:t>
      </w:r>
      <w:r w:rsidRPr="002D64E9">
        <w:rPr>
          <w:rFonts w:ascii="Times New Roman" w:hAnsi="Times New Roman" w:cs="Times New Roman"/>
          <w:noProof/>
          <w:sz w:val="24"/>
          <w:szCs w:val="24"/>
        </w:rPr>
        <w:t>, 378–384.</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lastRenderedPageBreak/>
        <w:t xml:space="preserve">[122] </w:t>
      </w:r>
      <w:r w:rsidRPr="002D64E9">
        <w:rPr>
          <w:rFonts w:ascii="Times New Roman" w:hAnsi="Times New Roman" w:cs="Times New Roman"/>
          <w:noProof/>
          <w:sz w:val="24"/>
          <w:szCs w:val="24"/>
        </w:rPr>
        <w:tab/>
        <w:t xml:space="preserve">Awasthi, S.; Saraswathi, N.T. Non-Enzymatic Glycation Mediated Structure-Function Changes in Proteins: Case of Serum Albumin. </w:t>
      </w:r>
      <w:r w:rsidRPr="002D64E9">
        <w:rPr>
          <w:rFonts w:ascii="Times New Roman" w:hAnsi="Times New Roman" w:cs="Times New Roman"/>
          <w:i/>
          <w:iCs/>
          <w:noProof/>
          <w:sz w:val="24"/>
          <w:szCs w:val="24"/>
        </w:rPr>
        <w:t>RSC Adv.</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2016</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6</w:t>
      </w:r>
      <w:r w:rsidRPr="002D64E9">
        <w:rPr>
          <w:rFonts w:ascii="Times New Roman" w:hAnsi="Times New Roman" w:cs="Times New Roman"/>
          <w:noProof/>
          <w:sz w:val="24"/>
          <w:szCs w:val="24"/>
        </w:rPr>
        <w:t>, 90739–90753.</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[123] </w:t>
      </w:r>
      <w:r w:rsidRPr="002D64E9">
        <w:rPr>
          <w:rFonts w:ascii="Times New Roman" w:hAnsi="Times New Roman" w:cs="Times New Roman"/>
          <w:noProof/>
          <w:sz w:val="24"/>
          <w:szCs w:val="24"/>
        </w:rPr>
        <w:tab/>
        <w:t xml:space="preserve">Ni, Y.; Su, S.; Kokot, S. Spectrofluorimetric Studies on the Binding of Salicylic Acid to Bovine Serum Albumin Using Warfarin and Ibuprofen as Site Markers with the Aid of Parallel Factor Analysis. </w:t>
      </w:r>
      <w:r w:rsidRPr="002D64E9">
        <w:rPr>
          <w:rFonts w:ascii="Times New Roman" w:hAnsi="Times New Roman" w:cs="Times New Roman"/>
          <w:i/>
          <w:iCs/>
          <w:noProof/>
          <w:sz w:val="24"/>
          <w:szCs w:val="24"/>
        </w:rPr>
        <w:t>Anal. Chim. Acta</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2006</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580</w:t>
      </w:r>
      <w:r w:rsidRPr="002D64E9">
        <w:rPr>
          <w:rFonts w:ascii="Times New Roman" w:hAnsi="Times New Roman" w:cs="Times New Roman"/>
          <w:noProof/>
          <w:sz w:val="24"/>
          <w:szCs w:val="24"/>
        </w:rPr>
        <w:t>, 206–215.</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[124] </w:t>
      </w:r>
      <w:r w:rsidRPr="002D64E9">
        <w:rPr>
          <w:rFonts w:ascii="Times New Roman" w:hAnsi="Times New Roman" w:cs="Times New Roman"/>
          <w:noProof/>
          <w:sz w:val="24"/>
          <w:szCs w:val="24"/>
        </w:rPr>
        <w:tab/>
        <w:t xml:space="preserve">Ding, F.; Li, N.; Han, B.; Liu, F.; Zhang, L.; Sun, Y. The Binding of C.I. Acid Red 2 to Human Serum Albumin: Determination of Binding Mechanism and Binding Site Using Fluorescence Spectroscopy. </w:t>
      </w:r>
      <w:r w:rsidRPr="002D64E9">
        <w:rPr>
          <w:rFonts w:ascii="Times New Roman" w:hAnsi="Times New Roman" w:cs="Times New Roman"/>
          <w:i/>
          <w:iCs/>
          <w:noProof/>
          <w:sz w:val="24"/>
          <w:szCs w:val="24"/>
        </w:rPr>
        <w:t>Dye. Pigment.</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2009</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83</w:t>
      </w:r>
      <w:r w:rsidRPr="002D64E9">
        <w:rPr>
          <w:rFonts w:ascii="Times New Roman" w:hAnsi="Times New Roman" w:cs="Times New Roman"/>
          <w:noProof/>
          <w:sz w:val="24"/>
          <w:szCs w:val="24"/>
        </w:rPr>
        <w:t>, 249–257.</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[125] </w:t>
      </w:r>
      <w:r w:rsidRPr="002D64E9">
        <w:rPr>
          <w:rFonts w:ascii="Times New Roman" w:hAnsi="Times New Roman" w:cs="Times New Roman"/>
          <w:noProof/>
          <w:sz w:val="24"/>
          <w:szCs w:val="24"/>
        </w:rPr>
        <w:tab/>
        <w:t xml:space="preserve">Dufour, C.; Dangles, O. Flavonoid-Serum Albumin Complexation: Determination of Binding Constants and Binding Sites by Fluorescence Spectroscopy. </w:t>
      </w:r>
      <w:r w:rsidRPr="002D64E9">
        <w:rPr>
          <w:rFonts w:ascii="Times New Roman" w:hAnsi="Times New Roman" w:cs="Times New Roman"/>
          <w:i/>
          <w:iCs/>
          <w:noProof/>
          <w:sz w:val="24"/>
          <w:szCs w:val="24"/>
        </w:rPr>
        <w:t>Biochim. Biophys. Acta - Gen. Subj.</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2005</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1721</w:t>
      </w:r>
      <w:r w:rsidRPr="002D64E9">
        <w:rPr>
          <w:rFonts w:ascii="Times New Roman" w:hAnsi="Times New Roman" w:cs="Times New Roman"/>
          <w:noProof/>
          <w:sz w:val="24"/>
          <w:szCs w:val="24"/>
        </w:rPr>
        <w:t>, 164–173.</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[126] </w:t>
      </w:r>
      <w:r w:rsidRPr="002D64E9">
        <w:rPr>
          <w:rFonts w:ascii="Times New Roman" w:hAnsi="Times New Roman" w:cs="Times New Roman"/>
          <w:noProof/>
          <w:sz w:val="24"/>
          <w:szCs w:val="24"/>
        </w:rPr>
        <w:tab/>
        <w:t xml:space="preserve">Ni, Y.; Zhang, X.; Kokot, S. Spectrometric and Voltammetric Studies of the Interaction between Quercetin and Bovine Serum Albumin Using Warfarin as Site Marker with the Aid of Chemometrics. </w:t>
      </w:r>
      <w:r w:rsidRPr="002D64E9">
        <w:rPr>
          <w:rFonts w:ascii="Times New Roman" w:hAnsi="Times New Roman" w:cs="Times New Roman"/>
          <w:i/>
          <w:iCs/>
          <w:noProof/>
          <w:sz w:val="24"/>
          <w:szCs w:val="24"/>
        </w:rPr>
        <w:t>Spectrochim. Acta - Part A Mol. Biomol. Spectrosc.</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2009</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71</w:t>
      </w:r>
      <w:r w:rsidRPr="002D64E9">
        <w:rPr>
          <w:rFonts w:ascii="Times New Roman" w:hAnsi="Times New Roman" w:cs="Times New Roman"/>
          <w:noProof/>
          <w:sz w:val="24"/>
          <w:szCs w:val="24"/>
        </w:rPr>
        <w:t>, 1865–1872.</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[127] </w:t>
      </w:r>
      <w:r w:rsidRPr="002D64E9">
        <w:rPr>
          <w:rFonts w:ascii="Times New Roman" w:hAnsi="Times New Roman" w:cs="Times New Roman"/>
          <w:noProof/>
          <w:sz w:val="24"/>
          <w:szCs w:val="24"/>
        </w:rPr>
        <w:tab/>
        <w:t xml:space="preserve">Ràfols, C.; Amézqueta, S.; Fuguet, E.; Bosch, E. Molecular Interactions between Warfarin and Human (HSA) or Bovine (BSA) Serum Albumin Evaluated by Isothermal Titration Calorimetry (ITC), Fluorescence Spectrometry (FS) and Frontal Analysis Capillary Electrophoresis (FA/CE). </w:t>
      </w:r>
      <w:r w:rsidRPr="002D64E9">
        <w:rPr>
          <w:rFonts w:ascii="Times New Roman" w:hAnsi="Times New Roman" w:cs="Times New Roman"/>
          <w:i/>
          <w:iCs/>
          <w:noProof/>
          <w:sz w:val="24"/>
          <w:szCs w:val="24"/>
        </w:rPr>
        <w:t>J. Pharm. Biomed. Anal.</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2018</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150</w:t>
      </w:r>
      <w:r w:rsidRPr="002D64E9">
        <w:rPr>
          <w:rFonts w:ascii="Times New Roman" w:hAnsi="Times New Roman" w:cs="Times New Roman"/>
          <w:noProof/>
          <w:sz w:val="24"/>
          <w:szCs w:val="24"/>
        </w:rPr>
        <w:t>, 452–459.</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[128] </w:t>
      </w:r>
      <w:r w:rsidRPr="002D64E9">
        <w:rPr>
          <w:rFonts w:ascii="Times New Roman" w:hAnsi="Times New Roman" w:cs="Times New Roman"/>
          <w:noProof/>
          <w:sz w:val="24"/>
          <w:szCs w:val="24"/>
        </w:rPr>
        <w:tab/>
        <w:t xml:space="preserve">Alderighi, L.; Gans, P.; Ienco, A.; Peters, D.; Sabatini, A.; Vacca, A. Hyperquad Simulation and Speciation (HySS): A Utility Program for the Investigation of Equilibria Involving Soluble and Partially Soluble Species. </w:t>
      </w:r>
      <w:r w:rsidRPr="002D64E9">
        <w:rPr>
          <w:rFonts w:ascii="Times New Roman" w:hAnsi="Times New Roman" w:cs="Times New Roman"/>
          <w:i/>
          <w:iCs/>
          <w:noProof/>
          <w:sz w:val="24"/>
          <w:szCs w:val="24"/>
        </w:rPr>
        <w:t>Coordination Chemistry Reviews</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1999</w:t>
      </w:r>
      <w:r w:rsidRPr="002D64E9">
        <w:rPr>
          <w:rFonts w:ascii="Times New Roman" w:hAnsi="Times New Roman" w:cs="Times New Roman"/>
          <w:noProof/>
          <w:sz w:val="24"/>
          <w:szCs w:val="24"/>
        </w:rPr>
        <w:t>, 311–318.</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szCs w:val="24"/>
        </w:rPr>
      </w:pPr>
      <w:r w:rsidRPr="002D64E9">
        <w:rPr>
          <w:rFonts w:ascii="Times New Roman" w:hAnsi="Times New Roman" w:cs="Times New Roman"/>
          <w:noProof/>
          <w:sz w:val="24"/>
          <w:szCs w:val="24"/>
        </w:rPr>
        <w:t xml:space="preserve">[129] </w:t>
      </w:r>
      <w:r w:rsidRPr="002D64E9">
        <w:rPr>
          <w:rFonts w:ascii="Times New Roman" w:hAnsi="Times New Roman" w:cs="Times New Roman"/>
          <w:noProof/>
          <w:sz w:val="24"/>
          <w:szCs w:val="24"/>
        </w:rPr>
        <w:tab/>
        <w:t xml:space="preserve">Behnamfar, M.T.; Hadadzadeh, H.; Simpson, J.; Darabi, F.; Shahpiri, A.; Khayamian, T.; Ebrahimi, M.; Amiri Rudbari, H.; Salimi, M. Experimental and Molecular Modeling Studies of the Interaction of the Polypyridyl Fe(II) and Fe(III) Complexes with DNA and BSA. </w:t>
      </w:r>
      <w:r w:rsidRPr="002D64E9">
        <w:rPr>
          <w:rFonts w:ascii="Times New Roman" w:hAnsi="Times New Roman" w:cs="Times New Roman"/>
          <w:i/>
          <w:iCs/>
          <w:noProof/>
          <w:sz w:val="24"/>
          <w:szCs w:val="24"/>
        </w:rPr>
        <w:lastRenderedPageBreak/>
        <w:t>Spectrochim. Acta - Part A Mol. Biomol. Spectrosc.</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2015</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134</w:t>
      </w:r>
      <w:r w:rsidRPr="002D64E9">
        <w:rPr>
          <w:rFonts w:ascii="Times New Roman" w:hAnsi="Times New Roman" w:cs="Times New Roman"/>
          <w:noProof/>
          <w:sz w:val="24"/>
          <w:szCs w:val="24"/>
        </w:rPr>
        <w:t>, 502–516.</w:t>
      </w:r>
    </w:p>
    <w:p w:rsidR="002D64E9" w:rsidRPr="002D64E9" w:rsidRDefault="002D64E9" w:rsidP="002D64E9">
      <w:pPr>
        <w:widowControl w:val="0"/>
        <w:autoSpaceDE w:val="0"/>
        <w:autoSpaceDN w:val="0"/>
        <w:adjustRightInd w:val="0"/>
        <w:spacing w:line="480" w:lineRule="auto"/>
        <w:ind w:left="640" w:hanging="640"/>
        <w:rPr>
          <w:rFonts w:ascii="Times New Roman" w:hAnsi="Times New Roman" w:cs="Times New Roman"/>
          <w:noProof/>
          <w:sz w:val="24"/>
        </w:rPr>
      </w:pPr>
      <w:r w:rsidRPr="002D64E9">
        <w:rPr>
          <w:rFonts w:ascii="Times New Roman" w:hAnsi="Times New Roman" w:cs="Times New Roman"/>
          <w:noProof/>
          <w:sz w:val="24"/>
          <w:szCs w:val="24"/>
        </w:rPr>
        <w:t xml:space="preserve">[130] </w:t>
      </w:r>
      <w:r w:rsidRPr="002D64E9">
        <w:rPr>
          <w:rFonts w:ascii="Times New Roman" w:hAnsi="Times New Roman" w:cs="Times New Roman"/>
          <w:noProof/>
          <w:sz w:val="24"/>
          <w:szCs w:val="24"/>
        </w:rPr>
        <w:tab/>
        <w:t xml:space="preserve">Jannesari, Z.; Hadadzadeh, H.; Khayamian, T.; Maleki, B.; Rudbari, H.A. Experimental and Molecular Modeling Studies on the Interaction of the Ru(II)-Piroxicam with DNA and BSA. </w:t>
      </w:r>
      <w:r w:rsidRPr="002D64E9">
        <w:rPr>
          <w:rFonts w:ascii="Times New Roman" w:hAnsi="Times New Roman" w:cs="Times New Roman"/>
          <w:i/>
          <w:iCs/>
          <w:noProof/>
          <w:sz w:val="24"/>
          <w:szCs w:val="24"/>
        </w:rPr>
        <w:t>Eur. J. Med. Chem.</w:t>
      </w:r>
      <w:r w:rsidRPr="002D64E9">
        <w:rPr>
          <w:rFonts w:ascii="Times New Roman" w:hAnsi="Times New Roman" w:cs="Times New Roman"/>
          <w:noProof/>
          <w:sz w:val="24"/>
          <w:szCs w:val="24"/>
        </w:rPr>
        <w:t xml:space="preserve">, </w:t>
      </w:r>
      <w:r w:rsidRPr="002D64E9">
        <w:rPr>
          <w:rFonts w:ascii="Times New Roman" w:hAnsi="Times New Roman" w:cs="Times New Roman"/>
          <w:b/>
          <w:bCs/>
          <w:noProof/>
          <w:sz w:val="24"/>
          <w:szCs w:val="24"/>
        </w:rPr>
        <w:t>2013</w:t>
      </w:r>
      <w:r w:rsidRPr="002D64E9">
        <w:rPr>
          <w:rFonts w:ascii="Times New Roman" w:hAnsi="Times New Roman" w:cs="Times New Roman"/>
          <w:noProof/>
          <w:sz w:val="24"/>
          <w:szCs w:val="24"/>
        </w:rPr>
        <w:t xml:space="preserve">, </w:t>
      </w:r>
      <w:r w:rsidRPr="002D64E9">
        <w:rPr>
          <w:rFonts w:ascii="Times New Roman" w:hAnsi="Times New Roman" w:cs="Times New Roman"/>
          <w:i/>
          <w:iCs/>
          <w:noProof/>
          <w:sz w:val="24"/>
          <w:szCs w:val="24"/>
        </w:rPr>
        <w:t>69</w:t>
      </w:r>
      <w:r w:rsidRPr="002D64E9">
        <w:rPr>
          <w:rFonts w:ascii="Times New Roman" w:hAnsi="Times New Roman" w:cs="Times New Roman"/>
          <w:noProof/>
          <w:sz w:val="24"/>
          <w:szCs w:val="24"/>
        </w:rPr>
        <w:t>, 577–590.</w:t>
      </w:r>
    </w:p>
    <w:p w:rsidR="00AD5B9D" w:rsidRPr="00A23882" w:rsidRDefault="00AD5B9D" w:rsidP="00A23882">
      <w:pPr>
        <w:spacing w:line="480" w:lineRule="auto"/>
        <w:rPr>
          <w:rFonts w:ascii="Times New Roman" w:hAnsi="Times New Roman" w:cs="Times New Roman"/>
          <w:sz w:val="24"/>
          <w:szCs w:val="24"/>
          <w:lang w:val="en-US"/>
        </w:rPr>
      </w:pPr>
      <w:r w:rsidRPr="00A23882">
        <w:rPr>
          <w:rFonts w:ascii="Times New Roman" w:hAnsi="Times New Roman" w:cs="Times New Roman"/>
          <w:sz w:val="24"/>
          <w:szCs w:val="24"/>
          <w:lang w:val="en-US"/>
        </w:rPr>
        <w:fldChar w:fldCharType="end"/>
      </w:r>
    </w:p>
    <w:sectPr w:rsidR="00AD5B9D" w:rsidRPr="00A23882">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118E8" w:rsidRDefault="003118E8">
      <w:pPr>
        <w:spacing w:after="0" w:line="240" w:lineRule="auto"/>
      </w:pPr>
      <w:r>
        <w:separator/>
      </w:r>
    </w:p>
  </w:endnote>
  <w:endnote w:type="continuationSeparator" w:id="0">
    <w:p w:rsidR="003118E8" w:rsidRDefault="003118E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00"/>
    <w:family w:val="roman"/>
    <w:pitch w:val="variable"/>
    <w:sig w:usb0="E00006FF" w:usb1="420024FF" w:usb2="02000000" w:usb3="00000000" w:csb0="0000019F" w:csb1="00000000"/>
  </w:font>
  <w:font w:name="Times">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Meta Bold LF">
    <w:altName w:val="Malgun Gothic Semilight"/>
    <w:panose1 w:val="00000000000000000000"/>
    <w:charset w:val="86"/>
    <w:family w:val="roman"/>
    <w:notTrueType/>
    <w:pitch w:val="default"/>
    <w:sig w:usb0="00000000" w:usb1="080E0000" w:usb2="00000010" w:usb3="00000000" w:csb0="00040001" w:csb1="00000000"/>
  </w:font>
  <w:font w:name="Relay">
    <w:altName w:val="Microsoft YaHei"/>
    <w:panose1 w:val="00000000000000000000"/>
    <w:charset w:val="86"/>
    <w:family w:val="swiss"/>
    <w:notTrueType/>
    <w:pitch w:val="default"/>
    <w:sig w:usb0="00000003" w:usb1="080E0000" w:usb2="00000010" w:usb3="00000000" w:csb0="00040001" w:csb1="00000000"/>
  </w:font>
  <w:font w:name="Meta Normal LF">
    <w:altName w:val="Arial Unicode MS"/>
    <w:panose1 w:val="00000000000000000000"/>
    <w:charset w:val="86"/>
    <w:family w:val="roman"/>
    <w:notTrueType/>
    <w:pitch w:val="default"/>
    <w:sig w:usb0="00000000" w:usb1="080E0000" w:usb2="00000010" w:usb3="00000000" w:csb0="00040000" w:csb1="00000000"/>
  </w:font>
  <w:font w:name="SimSun">
    <w:altName w:val="宋体"/>
    <w:panose1 w:val="02010600030101010101"/>
    <w:charset w:val="86"/>
    <w:family w:val="auto"/>
    <w:notTrueType/>
    <w:pitch w:val="variable"/>
    <w:sig w:usb0="00000001" w:usb1="080E0000" w:usb2="00000010" w:usb3="00000000" w:csb0="00040000" w:csb1="00000000"/>
  </w:font>
  <w:font w:name="Verdana">
    <w:panose1 w:val="020B0604030504040204"/>
    <w:charset w:val="00"/>
    <w:family w:val="swiss"/>
    <w:pitch w:val="variable"/>
    <w:sig w:usb0="A00006FF" w:usb1="4000205B" w:usb2="00000010" w:usb3="00000000" w:csb0="0000019F" w:csb1="00000000"/>
  </w:font>
  <w:font w:name="DejaVu Sans">
    <w:altName w:val="Times New Roman"/>
    <w:panose1 w:val="00000000000000000000"/>
    <w:charset w:val="00"/>
    <w:family w:val="auto"/>
    <w:notTrueType/>
    <w:pitch w:val="variable"/>
    <w:sig w:usb0="00000003" w:usb1="00000000" w:usb2="00000000" w:usb3="00000000" w:csb0="00000001" w:csb1="00000000"/>
  </w:font>
  <w:font w:name="PMingLiU">
    <w:altName w:val="新細明體"/>
    <w:panose1 w:val="02010601000101010101"/>
    <w:charset w:val="88"/>
    <w:family w:val="auto"/>
    <w:notTrueType/>
    <w:pitch w:val="variable"/>
    <w:sig w:usb0="00000001" w:usb1="08080000" w:usb2="00000010" w:usb3="00000000" w:csb0="00100000" w:csb1="00000000"/>
  </w:font>
  <w:font w:name="Georgia">
    <w:panose1 w:val="02040502050405020303"/>
    <w:charset w:val="00"/>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Malgun Gothic">
    <w:panose1 w:val="020B0503020000020004"/>
    <w:charset w:val="81"/>
    <w:family w:val="swiss"/>
    <w:pitch w:val="variable"/>
    <w:sig w:usb0="9000002F" w:usb1="29D77CFB" w:usb2="00000012" w:usb3="00000000" w:csb0="00080001" w:csb1="00000000"/>
  </w:font>
  <w:font w:name="Cambria Math">
    <w:panose1 w:val="02040503050406030204"/>
    <w:charset w:val="01"/>
    <w:family w:val="roman"/>
    <w:notTrueType/>
    <w:pitch w:val="variable"/>
  </w:font>
  <w:font w:name="Wingdings 3">
    <w:panose1 w:val="050401020108070707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118E8" w:rsidRDefault="003118E8">
      <w:pPr>
        <w:spacing w:after="0" w:line="240" w:lineRule="auto"/>
      </w:pPr>
      <w:r>
        <w:separator/>
      </w:r>
    </w:p>
  </w:footnote>
  <w:footnote w:type="continuationSeparator" w:id="0">
    <w:p w:rsidR="003118E8" w:rsidRDefault="003118E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B966F716"/>
    <w:lvl w:ilvl="0">
      <w:start w:val="1"/>
      <w:numFmt w:val="bullet"/>
      <w:pStyle w:val="Puntoelenco"/>
      <w:lvlText w:val=""/>
      <w:lvlJc w:val="left"/>
      <w:pPr>
        <w:tabs>
          <w:tab w:val="num" w:pos="360"/>
        </w:tabs>
        <w:ind w:left="360" w:hanging="360"/>
      </w:pPr>
      <w:rPr>
        <w:rFonts w:ascii="Symbol" w:hAnsi="Symbol" w:hint="default"/>
      </w:rPr>
    </w:lvl>
  </w:abstractNum>
  <w:abstractNum w:abstractNumId="1" w15:restartNumberingAfterBreak="0">
    <w:nsid w:val="01914317"/>
    <w:multiLevelType w:val="multilevel"/>
    <w:tmpl w:val="F8E062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2760644"/>
    <w:multiLevelType w:val="multilevel"/>
    <w:tmpl w:val="34560D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B4D3A45"/>
    <w:multiLevelType w:val="multilevel"/>
    <w:tmpl w:val="59BE29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B840ABB"/>
    <w:multiLevelType w:val="multilevel"/>
    <w:tmpl w:val="A2DAFD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C647B84"/>
    <w:multiLevelType w:val="multilevel"/>
    <w:tmpl w:val="B8A043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CBD5B5A"/>
    <w:multiLevelType w:val="hybridMultilevel"/>
    <w:tmpl w:val="A08A6606"/>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15:restartNumberingAfterBreak="0">
    <w:nsid w:val="0D4D7ABC"/>
    <w:multiLevelType w:val="multilevel"/>
    <w:tmpl w:val="B42CAF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20D24DA"/>
    <w:multiLevelType w:val="multilevel"/>
    <w:tmpl w:val="FE78EF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A346AC7"/>
    <w:multiLevelType w:val="multilevel"/>
    <w:tmpl w:val="65B662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F3738B9"/>
    <w:multiLevelType w:val="multilevel"/>
    <w:tmpl w:val="8572F6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01A492F"/>
    <w:multiLevelType w:val="multilevel"/>
    <w:tmpl w:val="B4DC06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49D4A89"/>
    <w:multiLevelType w:val="multilevel"/>
    <w:tmpl w:val="58588E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93F11F7"/>
    <w:multiLevelType w:val="multilevel"/>
    <w:tmpl w:val="B8E0E8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A4F4C7E"/>
    <w:multiLevelType w:val="multilevel"/>
    <w:tmpl w:val="89BEB1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BB04223"/>
    <w:multiLevelType w:val="multilevel"/>
    <w:tmpl w:val="30408AC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6" w15:restartNumberingAfterBreak="0">
    <w:nsid w:val="34450803"/>
    <w:multiLevelType w:val="multilevel"/>
    <w:tmpl w:val="184EB0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5E4327C"/>
    <w:multiLevelType w:val="multilevel"/>
    <w:tmpl w:val="F3049F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6481DC0"/>
    <w:multiLevelType w:val="multilevel"/>
    <w:tmpl w:val="F8EC0C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8C217BF"/>
    <w:multiLevelType w:val="hybridMultilevel"/>
    <w:tmpl w:val="4782D89C"/>
    <w:lvl w:ilvl="0" w:tplc="92FA119C">
      <w:start w:val="1"/>
      <w:numFmt w:val="decimal"/>
      <w:pStyle w:val="Paragrafoelenco"/>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15:restartNumberingAfterBreak="0">
    <w:nsid w:val="3DD30A24"/>
    <w:multiLevelType w:val="multilevel"/>
    <w:tmpl w:val="7F6A88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48B5149"/>
    <w:multiLevelType w:val="multilevel"/>
    <w:tmpl w:val="43F0C3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9730AE6"/>
    <w:multiLevelType w:val="multilevel"/>
    <w:tmpl w:val="8BF4A2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CDB2E2F"/>
    <w:multiLevelType w:val="multilevel"/>
    <w:tmpl w:val="EAB847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4284B17"/>
    <w:multiLevelType w:val="multilevel"/>
    <w:tmpl w:val="DBC255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6B47452"/>
    <w:multiLevelType w:val="multilevel"/>
    <w:tmpl w:val="62B2B4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8475C93"/>
    <w:multiLevelType w:val="multilevel"/>
    <w:tmpl w:val="958E08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EE2407E"/>
    <w:multiLevelType w:val="multilevel"/>
    <w:tmpl w:val="DC727C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06B3D40"/>
    <w:multiLevelType w:val="multilevel"/>
    <w:tmpl w:val="F594F3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09F6C8C"/>
    <w:multiLevelType w:val="multilevel"/>
    <w:tmpl w:val="E6FA8D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633E7E99"/>
    <w:multiLevelType w:val="multilevel"/>
    <w:tmpl w:val="058050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51B12A3"/>
    <w:multiLevelType w:val="multilevel"/>
    <w:tmpl w:val="5DBA2D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689434CD"/>
    <w:multiLevelType w:val="hybridMultilevel"/>
    <w:tmpl w:val="D5B295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6DED632E"/>
    <w:multiLevelType w:val="hybridMultilevel"/>
    <w:tmpl w:val="544AECC4"/>
    <w:lvl w:ilvl="0" w:tplc="00010409">
      <w:start w:val="1"/>
      <w:numFmt w:val="bullet"/>
      <w:lvlText w:val=""/>
      <w:lvlJc w:val="left"/>
      <w:pPr>
        <w:tabs>
          <w:tab w:val="num" w:pos="720"/>
        </w:tabs>
        <w:ind w:left="720" w:hanging="360"/>
      </w:pPr>
      <w:rPr>
        <w:rFonts w:ascii="Symbol" w:hAnsi="Symbol" w:hint="default"/>
      </w:rPr>
    </w:lvl>
    <w:lvl w:ilvl="1" w:tplc="00030409" w:tentative="1">
      <w:start w:val="1"/>
      <w:numFmt w:val="bullet"/>
      <w:lvlText w:val="o"/>
      <w:lvlJc w:val="left"/>
      <w:pPr>
        <w:tabs>
          <w:tab w:val="num" w:pos="1440"/>
        </w:tabs>
        <w:ind w:left="1440" w:hanging="360"/>
      </w:pPr>
      <w:rPr>
        <w:rFonts w:ascii="Courier New" w:hAnsi="Courier New" w:hint="default"/>
      </w:rPr>
    </w:lvl>
    <w:lvl w:ilvl="2" w:tplc="00050409" w:tentative="1">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737F2C33"/>
    <w:multiLevelType w:val="multilevel"/>
    <w:tmpl w:val="951254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750104D4"/>
    <w:multiLevelType w:val="multilevel"/>
    <w:tmpl w:val="D3A874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7B8158CA"/>
    <w:multiLevelType w:val="multilevel"/>
    <w:tmpl w:val="FB4C4C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7F9A0259"/>
    <w:multiLevelType w:val="multilevel"/>
    <w:tmpl w:val="6E3E9A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9"/>
  </w:num>
  <w:num w:numId="3">
    <w:abstractNumId w:val="33"/>
  </w:num>
  <w:num w:numId="4">
    <w:abstractNumId w:val="6"/>
  </w:num>
  <w:num w:numId="5">
    <w:abstractNumId w:val="25"/>
  </w:num>
  <w:num w:numId="6">
    <w:abstractNumId w:val="37"/>
  </w:num>
  <w:num w:numId="7">
    <w:abstractNumId w:val="16"/>
  </w:num>
  <w:num w:numId="8">
    <w:abstractNumId w:val="11"/>
  </w:num>
  <w:num w:numId="9">
    <w:abstractNumId w:val="2"/>
  </w:num>
  <w:num w:numId="10">
    <w:abstractNumId w:val="8"/>
  </w:num>
  <w:num w:numId="11">
    <w:abstractNumId w:val="21"/>
  </w:num>
  <w:num w:numId="12">
    <w:abstractNumId w:val="28"/>
  </w:num>
  <w:num w:numId="13">
    <w:abstractNumId w:val="29"/>
  </w:num>
  <w:num w:numId="14">
    <w:abstractNumId w:val="27"/>
  </w:num>
  <w:num w:numId="15">
    <w:abstractNumId w:val="4"/>
  </w:num>
  <w:num w:numId="16">
    <w:abstractNumId w:val="32"/>
  </w:num>
  <w:num w:numId="17">
    <w:abstractNumId w:val="22"/>
  </w:num>
  <w:num w:numId="18">
    <w:abstractNumId w:val="36"/>
  </w:num>
  <w:num w:numId="19">
    <w:abstractNumId w:val="18"/>
  </w:num>
  <w:num w:numId="20">
    <w:abstractNumId w:val="9"/>
  </w:num>
  <w:num w:numId="21">
    <w:abstractNumId w:val="10"/>
  </w:num>
  <w:num w:numId="22">
    <w:abstractNumId w:val="30"/>
  </w:num>
  <w:num w:numId="23">
    <w:abstractNumId w:val="24"/>
  </w:num>
  <w:num w:numId="24">
    <w:abstractNumId w:val="14"/>
  </w:num>
  <w:num w:numId="25">
    <w:abstractNumId w:val="17"/>
  </w:num>
  <w:num w:numId="26">
    <w:abstractNumId w:val="20"/>
  </w:num>
  <w:num w:numId="27">
    <w:abstractNumId w:val="13"/>
  </w:num>
  <w:num w:numId="28">
    <w:abstractNumId w:val="31"/>
  </w:num>
  <w:num w:numId="29">
    <w:abstractNumId w:val="34"/>
  </w:num>
  <w:num w:numId="30">
    <w:abstractNumId w:val="5"/>
  </w:num>
  <w:num w:numId="31">
    <w:abstractNumId w:val="7"/>
  </w:num>
  <w:num w:numId="32">
    <w:abstractNumId w:val="3"/>
  </w:num>
  <w:num w:numId="33">
    <w:abstractNumId w:val="23"/>
  </w:num>
  <w:num w:numId="34">
    <w:abstractNumId w:val="35"/>
  </w:num>
  <w:num w:numId="35">
    <w:abstractNumId w:val="1"/>
  </w:num>
  <w:num w:numId="36">
    <w:abstractNumId w:val="26"/>
  </w:num>
  <w:num w:numId="37">
    <w:abstractNumId w:val="12"/>
  </w:num>
  <w:num w:numId="38">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it-IT" w:vendorID="64" w:dllVersion="131078" w:nlCheck="1" w:checkStyle="0"/>
  <w:activeWritingStyle w:appName="MSWord" w:lang="en-US" w:vendorID="64" w:dllVersion="131078" w:nlCheck="1" w:checkStyle="1"/>
  <w:activeWritingStyle w:appName="MSWord" w:lang="en-GB" w:vendorID="64" w:dllVersion="131078" w:nlCheck="1" w:checkStyle="1"/>
  <w:defaultTabStop w:val="720"/>
  <w:characterSpacingControl w:val="doNotCompress"/>
  <w:hdrShapeDefaults>
    <o:shapedefaults v:ext="edit" spidmax="2049" fill="f" fillcolor="white" stroke="f">
      <v:fill color="white" on="f"/>
      <v:stroke on="f"/>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A3793"/>
    <w:rsid w:val="000F7F30"/>
    <w:rsid w:val="001B7886"/>
    <w:rsid w:val="001C40B8"/>
    <w:rsid w:val="001F1458"/>
    <w:rsid w:val="002A3793"/>
    <w:rsid w:val="002D64E9"/>
    <w:rsid w:val="002F5F0E"/>
    <w:rsid w:val="003118E8"/>
    <w:rsid w:val="00370802"/>
    <w:rsid w:val="00383762"/>
    <w:rsid w:val="004B7F45"/>
    <w:rsid w:val="0051736E"/>
    <w:rsid w:val="0051779F"/>
    <w:rsid w:val="00535EA6"/>
    <w:rsid w:val="00542C24"/>
    <w:rsid w:val="005B7E43"/>
    <w:rsid w:val="005F79EE"/>
    <w:rsid w:val="00737AEE"/>
    <w:rsid w:val="00767C9D"/>
    <w:rsid w:val="007A79EF"/>
    <w:rsid w:val="008669CB"/>
    <w:rsid w:val="0089789B"/>
    <w:rsid w:val="008D11BC"/>
    <w:rsid w:val="008F1338"/>
    <w:rsid w:val="009814E2"/>
    <w:rsid w:val="009A4942"/>
    <w:rsid w:val="009A72DC"/>
    <w:rsid w:val="009C6514"/>
    <w:rsid w:val="009E3352"/>
    <w:rsid w:val="00A23882"/>
    <w:rsid w:val="00A324D1"/>
    <w:rsid w:val="00A347B8"/>
    <w:rsid w:val="00A82A57"/>
    <w:rsid w:val="00AA5421"/>
    <w:rsid w:val="00AB5EC5"/>
    <w:rsid w:val="00AD5B9D"/>
    <w:rsid w:val="00B91265"/>
    <w:rsid w:val="00B94E7E"/>
    <w:rsid w:val="00BD387E"/>
    <w:rsid w:val="00C17302"/>
    <w:rsid w:val="00C34931"/>
    <w:rsid w:val="00CC70A2"/>
    <w:rsid w:val="00D071CF"/>
    <w:rsid w:val="00D16252"/>
    <w:rsid w:val="00D34C5C"/>
    <w:rsid w:val="00DB0884"/>
    <w:rsid w:val="00DD5357"/>
    <w:rsid w:val="00E822E2"/>
    <w:rsid w:val="00F42CB1"/>
    <w:rsid w:val="00FB757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fill="f" fillcolor="white" stroke="f">
      <v:fill color="white" on="f"/>
      <v:stroke on="f"/>
    </o:shapedefaults>
    <o:shapelayout v:ext="edit">
      <o:idmap v:ext="edit" data="1"/>
    </o:shapelayout>
  </w:shapeDefaults>
  <w:decimalSymbol w:val="."/>
  <w:listSeparator w:val=";"/>
  <w15:docId w15:val="{01A679BF-795A-44D1-8622-0FBDA89ECF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iPriority="0" w:unhideWhenUsed="1"/>
    <w:lsdException w:name="HTML Variable" w:semiHidden="1" w:unhideWhenUsed="1"/>
    <w:lsdException w:name="Normal Table" w:semiHidden="1" w:unhideWhenUsed="1"/>
    <w:lsdException w:name="annotation subject" w:semiHidden="1" w:uiPriority="0"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iPriority="0" w:unhideWhenUsed="1"/>
    <w:lsdException w:name="Table Simple 2" w:semiHidden="1" w:unhideWhenUsed="1"/>
    <w:lsdException w:name="Table Simple 3" w:semiHidden="1" w:unhideWhenUsed="1"/>
    <w:lsdException w:name="Table Classic 1" w:semiHidden="1" w:uiPriority="0"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paragraph" w:styleId="Titolo1">
    <w:name w:val="heading 1"/>
    <w:basedOn w:val="Normale"/>
    <w:link w:val="Titolo1Carattere"/>
    <w:qFormat/>
    <w:rsid w:val="002A3793"/>
    <w:pPr>
      <w:spacing w:before="100" w:beforeAutospacing="1" w:after="100" w:afterAutospacing="1" w:line="240" w:lineRule="auto"/>
      <w:outlineLvl w:val="0"/>
    </w:pPr>
    <w:rPr>
      <w:rFonts w:ascii="Times New Roman" w:eastAsia="Batang" w:hAnsi="Times New Roman" w:cs="Times New Roman"/>
      <w:b/>
      <w:bCs/>
      <w:kern w:val="36"/>
      <w:sz w:val="48"/>
      <w:szCs w:val="48"/>
      <w:lang w:val="en-US"/>
    </w:rPr>
  </w:style>
  <w:style w:type="paragraph" w:styleId="Titolo2">
    <w:name w:val="heading 2"/>
    <w:basedOn w:val="Normale"/>
    <w:next w:val="Normale"/>
    <w:link w:val="Titolo2Carattere"/>
    <w:qFormat/>
    <w:rsid w:val="002A3793"/>
    <w:pPr>
      <w:keepNext/>
      <w:spacing w:before="240" w:after="60" w:line="240" w:lineRule="auto"/>
      <w:outlineLvl w:val="1"/>
    </w:pPr>
    <w:rPr>
      <w:rFonts w:ascii="Cambria" w:eastAsia="Times New Roman" w:hAnsi="Cambria" w:cs="Times New Roman"/>
      <w:b/>
      <w:bCs/>
      <w:i/>
      <w:iCs/>
      <w:sz w:val="28"/>
      <w:szCs w:val="28"/>
      <w:lang w:val="en-US"/>
    </w:rPr>
  </w:style>
  <w:style w:type="paragraph" w:styleId="Titolo3">
    <w:name w:val="heading 3"/>
    <w:basedOn w:val="Normale"/>
    <w:link w:val="Titolo3Carattere"/>
    <w:qFormat/>
    <w:rsid w:val="002A3793"/>
    <w:pPr>
      <w:spacing w:before="100" w:beforeAutospacing="1" w:after="100" w:afterAutospacing="1" w:line="240" w:lineRule="auto"/>
      <w:outlineLvl w:val="2"/>
    </w:pPr>
    <w:rPr>
      <w:rFonts w:ascii="Times New Roman" w:eastAsia="Batang" w:hAnsi="Times New Roman" w:cs="Times New Roman"/>
      <w:b/>
      <w:bCs/>
      <w:sz w:val="27"/>
      <w:szCs w:val="27"/>
      <w:lang w:val="en-US"/>
    </w:rPr>
  </w:style>
  <w:style w:type="paragraph" w:styleId="Titolo4">
    <w:name w:val="heading 4"/>
    <w:basedOn w:val="Normale"/>
    <w:next w:val="Normale"/>
    <w:link w:val="Titolo4Carattere"/>
    <w:qFormat/>
    <w:rsid w:val="002A3793"/>
    <w:pPr>
      <w:keepNext/>
      <w:widowControl w:val="0"/>
      <w:autoSpaceDE w:val="0"/>
      <w:autoSpaceDN w:val="0"/>
      <w:adjustRightInd w:val="0"/>
      <w:spacing w:before="240" w:after="60" w:line="240" w:lineRule="auto"/>
      <w:outlineLvl w:val="3"/>
    </w:pPr>
    <w:rPr>
      <w:rFonts w:ascii="Times" w:eastAsia="Batang" w:hAnsi="Times" w:cs="Times"/>
      <w:b/>
      <w:bCs/>
      <w:noProof/>
      <w:sz w:val="24"/>
      <w:szCs w:val="24"/>
      <w:lang w:val="en-US" w:eastAsia="ko-KR"/>
    </w:rPr>
  </w:style>
  <w:style w:type="paragraph" w:styleId="Titolo5">
    <w:name w:val="heading 5"/>
    <w:basedOn w:val="Normale"/>
    <w:next w:val="Normale"/>
    <w:link w:val="Titolo5Carattere"/>
    <w:qFormat/>
    <w:rsid w:val="002A3793"/>
    <w:pPr>
      <w:keepNext/>
      <w:widowControl w:val="0"/>
      <w:autoSpaceDE w:val="0"/>
      <w:autoSpaceDN w:val="0"/>
      <w:adjustRightInd w:val="0"/>
      <w:spacing w:before="240" w:after="60" w:line="240" w:lineRule="auto"/>
      <w:outlineLvl w:val="4"/>
    </w:pPr>
    <w:rPr>
      <w:rFonts w:ascii="Times" w:eastAsia="Batang" w:hAnsi="Times" w:cs="Times"/>
      <w:b/>
      <w:bCs/>
      <w:noProof/>
      <w:sz w:val="24"/>
      <w:szCs w:val="24"/>
      <w:lang w:val="en-US" w:eastAsia="ko-KR"/>
    </w:rPr>
  </w:style>
  <w:style w:type="paragraph" w:styleId="Titolo6">
    <w:name w:val="heading 6"/>
    <w:basedOn w:val="Normale"/>
    <w:next w:val="Normale"/>
    <w:link w:val="Titolo6Carattere"/>
    <w:qFormat/>
    <w:rsid w:val="002A3793"/>
    <w:pPr>
      <w:keepNext/>
      <w:widowControl w:val="0"/>
      <w:autoSpaceDE w:val="0"/>
      <w:autoSpaceDN w:val="0"/>
      <w:adjustRightInd w:val="0"/>
      <w:spacing w:before="240" w:after="60" w:line="240" w:lineRule="auto"/>
      <w:outlineLvl w:val="5"/>
    </w:pPr>
    <w:rPr>
      <w:rFonts w:ascii="Times" w:eastAsia="Batang" w:hAnsi="Times" w:cs="Times"/>
      <w:b/>
      <w:bCs/>
      <w:noProof/>
      <w:sz w:val="24"/>
      <w:szCs w:val="24"/>
      <w:lang w:val="en-US" w:eastAsia="ko-KR"/>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rsid w:val="002A3793"/>
    <w:rPr>
      <w:rFonts w:ascii="Times New Roman" w:eastAsia="Batang" w:hAnsi="Times New Roman" w:cs="Times New Roman"/>
      <w:b/>
      <w:bCs/>
      <w:kern w:val="36"/>
      <w:sz w:val="48"/>
      <w:szCs w:val="48"/>
      <w:lang w:val="en-US"/>
    </w:rPr>
  </w:style>
  <w:style w:type="character" w:customStyle="1" w:styleId="Titolo2Carattere">
    <w:name w:val="Titolo 2 Carattere"/>
    <w:basedOn w:val="Carpredefinitoparagrafo"/>
    <w:link w:val="Titolo2"/>
    <w:rsid w:val="002A3793"/>
    <w:rPr>
      <w:rFonts w:ascii="Cambria" w:eastAsia="Times New Roman" w:hAnsi="Cambria" w:cs="Times New Roman"/>
      <w:b/>
      <w:bCs/>
      <w:i/>
      <w:iCs/>
      <w:sz w:val="28"/>
      <w:szCs w:val="28"/>
      <w:lang w:val="en-US"/>
    </w:rPr>
  </w:style>
  <w:style w:type="character" w:customStyle="1" w:styleId="Titolo3Carattere">
    <w:name w:val="Titolo 3 Carattere"/>
    <w:basedOn w:val="Carpredefinitoparagrafo"/>
    <w:link w:val="Titolo3"/>
    <w:rsid w:val="002A3793"/>
    <w:rPr>
      <w:rFonts w:ascii="Times New Roman" w:eastAsia="Batang" w:hAnsi="Times New Roman" w:cs="Times New Roman"/>
      <w:b/>
      <w:bCs/>
      <w:sz w:val="27"/>
      <w:szCs w:val="27"/>
      <w:lang w:val="en-US"/>
    </w:rPr>
  </w:style>
  <w:style w:type="character" w:customStyle="1" w:styleId="Titolo4Carattere">
    <w:name w:val="Titolo 4 Carattere"/>
    <w:basedOn w:val="Carpredefinitoparagrafo"/>
    <w:link w:val="Titolo4"/>
    <w:rsid w:val="002A3793"/>
    <w:rPr>
      <w:rFonts w:ascii="Times" w:eastAsia="Batang" w:hAnsi="Times" w:cs="Times"/>
      <w:b/>
      <w:bCs/>
      <w:noProof/>
      <w:sz w:val="24"/>
      <w:szCs w:val="24"/>
      <w:lang w:val="en-US" w:eastAsia="ko-KR"/>
    </w:rPr>
  </w:style>
  <w:style w:type="character" w:customStyle="1" w:styleId="Titolo5Carattere">
    <w:name w:val="Titolo 5 Carattere"/>
    <w:basedOn w:val="Carpredefinitoparagrafo"/>
    <w:link w:val="Titolo5"/>
    <w:rsid w:val="002A3793"/>
    <w:rPr>
      <w:rFonts w:ascii="Times" w:eastAsia="Batang" w:hAnsi="Times" w:cs="Times"/>
      <w:b/>
      <w:bCs/>
      <w:noProof/>
      <w:sz w:val="24"/>
      <w:szCs w:val="24"/>
      <w:lang w:val="en-US" w:eastAsia="ko-KR"/>
    </w:rPr>
  </w:style>
  <w:style w:type="character" w:customStyle="1" w:styleId="Titolo6Carattere">
    <w:name w:val="Titolo 6 Carattere"/>
    <w:basedOn w:val="Carpredefinitoparagrafo"/>
    <w:link w:val="Titolo6"/>
    <w:rsid w:val="002A3793"/>
    <w:rPr>
      <w:rFonts w:ascii="Times" w:eastAsia="Batang" w:hAnsi="Times" w:cs="Times"/>
      <w:b/>
      <w:bCs/>
      <w:noProof/>
      <w:sz w:val="24"/>
      <w:szCs w:val="24"/>
      <w:lang w:val="en-US" w:eastAsia="ko-KR"/>
    </w:rPr>
  </w:style>
  <w:style w:type="paragraph" w:customStyle="1" w:styleId="01-MainHeading">
    <w:name w:val="01-Main Heading"/>
    <w:basedOn w:val="Normale"/>
    <w:rsid w:val="002A3793"/>
    <w:pPr>
      <w:spacing w:after="200" w:line="216" w:lineRule="auto"/>
      <w:jc w:val="both"/>
    </w:pPr>
    <w:rPr>
      <w:rFonts w:ascii="Times New Roman" w:eastAsia="Times" w:hAnsi="Times New Roman" w:cs="Times New Roman"/>
      <w:b/>
      <w:sz w:val="32"/>
      <w:szCs w:val="20"/>
      <w:lang w:val="en-US" w:eastAsia="zh-CN"/>
    </w:rPr>
  </w:style>
  <w:style w:type="paragraph" w:customStyle="1" w:styleId="02-Author">
    <w:name w:val="02-Author"/>
    <w:basedOn w:val="Normale"/>
    <w:rsid w:val="002A3793"/>
    <w:pPr>
      <w:spacing w:before="240" w:after="480" w:line="220" w:lineRule="exact"/>
      <w:ind w:right="567"/>
    </w:pPr>
    <w:rPr>
      <w:rFonts w:ascii="Times New Roman" w:eastAsia="Times" w:hAnsi="Times New Roman" w:cs="Times New Roman"/>
      <w:sz w:val="24"/>
      <w:szCs w:val="20"/>
      <w:lang w:val="en-US" w:eastAsia="zh-CN"/>
    </w:rPr>
  </w:style>
  <w:style w:type="paragraph" w:customStyle="1" w:styleId="03-Address">
    <w:name w:val="03-Address"/>
    <w:basedOn w:val="Normale"/>
    <w:rsid w:val="002A3793"/>
    <w:pPr>
      <w:spacing w:after="240" w:line="240" w:lineRule="auto"/>
      <w:ind w:right="567"/>
      <w:jc w:val="both"/>
    </w:pPr>
    <w:rPr>
      <w:rFonts w:ascii="Times New Roman" w:eastAsia="Times" w:hAnsi="Times New Roman" w:cs="Times New Roman"/>
      <w:i/>
      <w:sz w:val="20"/>
      <w:szCs w:val="20"/>
      <w:lang w:val="en-US" w:eastAsia="zh-CN"/>
    </w:rPr>
  </w:style>
  <w:style w:type="paragraph" w:customStyle="1" w:styleId="04-abstract">
    <w:name w:val="04-abstract"/>
    <w:basedOn w:val="Normale"/>
    <w:rsid w:val="002A3793"/>
    <w:pPr>
      <w:spacing w:after="360" w:line="220" w:lineRule="exact"/>
      <w:ind w:left="851" w:right="567"/>
      <w:jc w:val="both"/>
    </w:pPr>
    <w:rPr>
      <w:rFonts w:ascii="Times New Roman" w:eastAsia="Times" w:hAnsi="Times New Roman" w:cs="Times New Roman"/>
      <w:sz w:val="18"/>
      <w:szCs w:val="20"/>
      <w:lang w:val="en-US" w:eastAsia="zh-CN"/>
    </w:rPr>
  </w:style>
  <w:style w:type="paragraph" w:customStyle="1" w:styleId="05-ArticleText">
    <w:name w:val="05-Article Text"/>
    <w:basedOn w:val="Normale"/>
    <w:rsid w:val="002A3793"/>
    <w:pPr>
      <w:tabs>
        <w:tab w:val="left" w:pos="284"/>
      </w:tabs>
      <w:spacing w:after="120" w:line="220" w:lineRule="exact"/>
      <w:jc w:val="both"/>
    </w:pPr>
    <w:rPr>
      <w:rFonts w:ascii="Times New Roman" w:eastAsia="Times" w:hAnsi="Times New Roman" w:cs="Times New Roman"/>
      <w:sz w:val="20"/>
      <w:szCs w:val="20"/>
      <w:lang w:val="en-US" w:eastAsia="zh-CN"/>
    </w:rPr>
  </w:style>
  <w:style w:type="paragraph" w:customStyle="1" w:styleId="06-Heading-1">
    <w:name w:val="06-Heading-1"/>
    <w:basedOn w:val="Normale"/>
    <w:rsid w:val="002A3793"/>
    <w:pPr>
      <w:spacing w:before="120" w:after="120" w:line="220" w:lineRule="exact"/>
      <w:jc w:val="both"/>
    </w:pPr>
    <w:rPr>
      <w:rFonts w:ascii="Times New Roman" w:eastAsia="Times" w:hAnsi="Times New Roman" w:cs="Times New Roman"/>
      <w:b/>
      <w:caps/>
      <w:sz w:val="20"/>
      <w:szCs w:val="20"/>
      <w:lang w:val="en-US" w:eastAsia="zh-CN"/>
    </w:rPr>
  </w:style>
  <w:style w:type="character" w:styleId="Enfasicorsivo">
    <w:name w:val="Emphasis"/>
    <w:qFormat/>
    <w:rsid w:val="002A3793"/>
    <w:rPr>
      <w:i/>
      <w:iCs/>
    </w:rPr>
  </w:style>
  <w:style w:type="character" w:customStyle="1" w:styleId="colorkey12">
    <w:name w:val="color_key_12"/>
    <w:rsid w:val="002A3793"/>
    <w:rPr>
      <w:shd w:val="clear" w:color="auto" w:fill="FFD700"/>
    </w:rPr>
  </w:style>
  <w:style w:type="character" w:customStyle="1" w:styleId="colorkey21">
    <w:name w:val="color_key_21"/>
    <w:rsid w:val="002A3793"/>
    <w:rPr>
      <w:shd w:val="clear" w:color="auto" w:fill="00FF00"/>
    </w:rPr>
  </w:style>
  <w:style w:type="character" w:styleId="Collegamentoipertestuale">
    <w:name w:val="Hyperlink"/>
    <w:uiPriority w:val="99"/>
    <w:unhideWhenUsed/>
    <w:rsid w:val="002A3793"/>
    <w:rPr>
      <w:color w:val="0000FF"/>
      <w:u w:val="single"/>
    </w:rPr>
  </w:style>
  <w:style w:type="paragraph" w:styleId="Pidipagina">
    <w:name w:val="footer"/>
    <w:basedOn w:val="Normale"/>
    <w:link w:val="PidipaginaCarattere"/>
    <w:unhideWhenUsed/>
    <w:rsid w:val="002A3793"/>
    <w:pPr>
      <w:tabs>
        <w:tab w:val="center" w:pos="4252"/>
        <w:tab w:val="right" w:pos="8504"/>
      </w:tabs>
      <w:spacing w:after="0" w:line="240" w:lineRule="auto"/>
      <w:jc w:val="both"/>
    </w:pPr>
    <w:rPr>
      <w:rFonts w:ascii="Calibri" w:eastAsia="Calibri" w:hAnsi="Calibri" w:cs="Times New Roman"/>
      <w:lang w:val="es-ES_tradnl"/>
    </w:rPr>
  </w:style>
  <w:style w:type="character" w:customStyle="1" w:styleId="PidipaginaCarattere">
    <w:name w:val="Piè di pagina Carattere"/>
    <w:basedOn w:val="Carpredefinitoparagrafo"/>
    <w:link w:val="Pidipagina"/>
    <w:rsid w:val="002A3793"/>
    <w:rPr>
      <w:rFonts w:ascii="Calibri" w:eastAsia="Calibri" w:hAnsi="Calibri" w:cs="Times New Roman"/>
      <w:lang w:val="es-ES_tradnl"/>
    </w:rPr>
  </w:style>
  <w:style w:type="character" w:customStyle="1" w:styleId="PiedepginaCar">
    <w:name w:val="Pie de página Car"/>
    <w:rsid w:val="002A3793"/>
    <w:rPr>
      <w:sz w:val="22"/>
      <w:szCs w:val="22"/>
      <w:lang w:eastAsia="en-US"/>
    </w:rPr>
  </w:style>
  <w:style w:type="character" w:customStyle="1" w:styleId="hithilite1">
    <w:name w:val="hithilite1"/>
    <w:rsid w:val="002A3793"/>
    <w:rPr>
      <w:shd w:val="clear" w:color="auto" w:fill="FFF3C6"/>
    </w:rPr>
  </w:style>
  <w:style w:type="character" w:customStyle="1" w:styleId="databold1">
    <w:name w:val="data_bold1"/>
    <w:rsid w:val="002A3793"/>
    <w:rPr>
      <w:b/>
      <w:bCs/>
    </w:rPr>
  </w:style>
  <w:style w:type="paragraph" w:styleId="NormaleWeb">
    <w:name w:val="Normal (Web)"/>
    <w:basedOn w:val="Normale"/>
    <w:uiPriority w:val="99"/>
    <w:unhideWhenUsed/>
    <w:rsid w:val="002A3793"/>
    <w:pPr>
      <w:spacing w:before="100" w:beforeAutospacing="1" w:after="100" w:afterAutospacing="1" w:line="240" w:lineRule="auto"/>
    </w:pPr>
    <w:rPr>
      <w:rFonts w:ascii="Times New Roman" w:eastAsia="Times New Roman" w:hAnsi="Times New Roman" w:cs="Times New Roman"/>
      <w:sz w:val="24"/>
      <w:szCs w:val="24"/>
      <w:lang w:val="es-ES_tradnl" w:eastAsia="es-ES_tradnl"/>
    </w:rPr>
  </w:style>
  <w:style w:type="character" w:styleId="Enfasigrassetto">
    <w:name w:val="Strong"/>
    <w:uiPriority w:val="22"/>
    <w:qFormat/>
    <w:rsid w:val="002A3793"/>
    <w:rPr>
      <w:b/>
      <w:bCs/>
    </w:rPr>
  </w:style>
  <w:style w:type="character" w:customStyle="1" w:styleId="f1">
    <w:name w:val="f1"/>
    <w:rsid w:val="002A3793"/>
    <w:rPr>
      <w:color w:val="676767"/>
    </w:rPr>
  </w:style>
  <w:style w:type="character" w:customStyle="1" w:styleId="hit">
    <w:name w:val="hit"/>
    <w:basedOn w:val="Carpredefinitoparagrafo"/>
    <w:rsid w:val="002A3793"/>
  </w:style>
  <w:style w:type="paragraph" w:customStyle="1" w:styleId="TableHead">
    <w:name w:val="TableHead"/>
    <w:basedOn w:val="Normale"/>
    <w:rsid w:val="002A3793"/>
    <w:pPr>
      <w:spacing w:before="120" w:after="120" w:line="200" w:lineRule="exact"/>
    </w:pPr>
    <w:rPr>
      <w:rFonts w:ascii="Arial" w:eastAsia="MS Mincho" w:hAnsi="Arial" w:cs="Times New Roman"/>
      <w:sz w:val="16"/>
      <w:szCs w:val="24"/>
      <w:lang w:eastAsia="ja-JP"/>
    </w:rPr>
  </w:style>
  <w:style w:type="paragraph" w:customStyle="1" w:styleId="TableBody">
    <w:name w:val="TableBody"/>
    <w:basedOn w:val="Normale"/>
    <w:rsid w:val="002A3793"/>
    <w:pPr>
      <w:spacing w:before="120" w:after="120" w:line="230" w:lineRule="exact"/>
    </w:pPr>
    <w:rPr>
      <w:rFonts w:ascii="Arial" w:eastAsia="MS Mincho" w:hAnsi="Arial" w:cs="Times New Roman"/>
      <w:sz w:val="16"/>
      <w:szCs w:val="24"/>
      <w:lang w:val="de-DE" w:eastAsia="ja-JP"/>
    </w:rPr>
  </w:style>
  <w:style w:type="character" w:customStyle="1" w:styleId="smallv651">
    <w:name w:val="smallv651"/>
    <w:rsid w:val="002A3793"/>
    <w:rPr>
      <w:sz w:val="16"/>
      <w:szCs w:val="16"/>
    </w:rPr>
  </w:style>
  <w:style w:type="character" w:customStyle="1" w:styleId="frlabel1">
    <w:name w:val="fr_label1"/>
    <w:rsid w:val="002A3793"/>
    <w:rPr>
      <w:b/>
      <w:bCs/>
    </w:rPr>
  </w:style>
  <w:style w:type="character" w:customStyle="1" w:styleId="frsourcelabel1">
    <w:name w:val="fr_source_label1"/>
    <w:rsid w:val="002A3793"/>
    <w:rPr>
      <w:b/>
      <w:bCs/>
    </w:rPr>
  </w:style>
  <w:style w:type="paragraph" w:styleId="Titolo">
    <w:name w:val="Title"/>
    <w:basedOn w:val="Normale"/>
    <w:next w:val="Normale"/>
    <w:link w:val="TitoloCarattere"/>
    <w:qFormat/>
    <w:rsid w:val="002A3793"/>
    <w:pPr>
      <w:spacing w:after="460" w:line="230" w:lineRule="exact"/>
    </w:pPr>
    <w:rPr>
      <w:rFonts w:ascii="Times New Roman" w:eastAsia="MS Mincho" w:hAnsi="Times New Roman" w:cs="Times New Roman"/>
      <w:b/>
      <w:szCs w:val="24"/>
      <w:lang w:val="de-DE" w:eastAsia="ja-JP"/>
    </w:rPr>
  </w:style>
  <w:style w:type="character" w:customStyle="1" w:styleId="TitoloCarattere">
    <w:name w:val="Titolo Carattere"/>
    <w:basedOn w:val="Carpredefinitoparagrafo"/>
    <w:link w:val="Titolo"/>
    <w:rsid w:val="002A3793"/>
    <w:rPr>
      <w:rFonts w:ascii="Times New Roman" w:eastAsia="MS Mincho" w:hAnsi="Times New Roman" w:cs="Times New Roman"/>
      <w:b/>
      <w:szCs w:val="24"/>
      <w:lang w:val="de-DE" w:eastAsia="ja-JP"/>
    </w:rPr>
  </w:style>
  <w:style w:type="paragraph" w:customStyle="1" w:styleId="07-Heading-2">
    <w:name w:val="07-Heading-2"/>
    <w:basedOn w:val="Normale"/>
    <w:rsid w:val="002A3793"/>
    <w:pPr>
      <w:spacing w:before="120" w:after="120" w:line="220" w:lineRule="exact"/>
      <w:jc w:val="both"/>
    </w:pPr>
    <w:rPr>
      <w:rFonts w:ascii="Times New Roman" w:eastAsia="Times" w:hAnsi="Times New Roman" w:cs="Times New Roman"/>
      <w:b/>
      <w:sz w:val="20"/>
      <w:szCs w:val="20"/>
      <w:lang w:val="en-US" w:eastAsia="zh-CN"/>
    </w:rPr>
  </w:style>
  <w:style w:type="paragraph" w:customStyle="1" w:styleId="08-Heading-3">
    <w:name w:val="08-Heading-3"/>
    <w:basedOn w:val="07-Heading-2"/>
    <w:rsid w:val="002A3793"/>
    <w:rPr>
      <w:i/>
    </w:rPr>
  </w:style>
  <w:style w:type="paragraph" w:customStyle="1" w:styleId="09-Heading-4">
    <w:name w:val="09-Heading-4"/>
    <w:basedOn w:val="Normale"/>
    <w:rsid w:val="002A3793"/>
    <w:pPr>
      <w:spacing w:before="120" w:after="120" w:line="220" w:lineRule="exact"/>
      <w:jc w:val="both"/>
    </w:pPr>
    <w:rPr>
      <w:rFonts w:ascii="Times New Roman" w:eastAsia="Times" w:hAnsi="Times New Roman" w:cs="Times New Roman"/>
      <w:b/>
      <w:i/>
      <w:sz w:val="20"/>
      <w:szCs w:val="20"/>
      <w:u w:val="single"/>
      <w:lang w:val="en-US" w:eastAsia="zh-CN"/>
    </w:rPr>
  </w:style>
  <w:style w:type="paragraph" w:customStyle="1" w:styleId="10-Table-H">
    <w:name w:val="10-Table-H"/>
    <w:basedOn w:val="Normale"/>
    <w:rsid w:val="002A3793"/>
    <w:pPr>
      <w:tabs>
        <w:tab w:val="left" w:pos="851"/>
      </w:tabs>
      <w:spacing w:before="60" w:after="240" w:line="240" w:lineRule="auto"/>
      <w:jc w:val="both"/>
    </w:pPr>
    <w:rPr>
      <w:rFonts w:ascii="Times New Roman" w:eastAsia="Times" w:hAnsi="Times New Roman" w:cs="Times New Roman"/>
      <w:b/>
      <w:sz w:val="18"/>
      <w:szCs w:val="20"/>
      <w:lang w:val="en-US" w:eastAsia="zh-CN"/>
    </w:rPr>
  </w:style>
  <w:style w:type="paragraph" w:customStyle="1" w:styleId="11-Table-T">
    <w:name w:val="11-Table-T"/>
    <w:basedOn w:val="Normale"/>
    <w:rsid w:val="002A3793"/>
    <w:pPr>
      <w:spacing w:before="60" w:after="60" w:line="220" w:lineRule="exact"/>
      <w:jc w:val="center"/>
    </w:pPr>
    <w:rPr>
      <w:rFonts w:ascii="Times New Roman" w:eastAsia="Times" w:hAnsi="Times New Roman" w:cs="Times New Roman"/>
      <w:sz w:val="16"/>
      <w:szCs w:val="20"/>
      <w:lang w:val="en-US" w:eastAsia="zh-CN"/>
    </w:rPr>
  </w:style>
  <w:style w:type="paragraph" w:customStyle="1" w:styleId="12-References">
    <w:name w:val="12-References"/>
    <w:basedOn w:val="Normale"/>
    <w:rsid w:val="002A3793"/>
    <w:pPr>
      <w:tabs>
        <w:tab w:val="left" w:pos="567"/>
      </w:tabs>
      <w:spacing w:after="0" w:line="180" w:lineRule="exact"/>
      <w:ind w:left="567" w:hanging="567"/>
      <w:jc w:val="both"/>
    </w:pPr>
    <w:rPr>
      <w:rFonts w:ascii="Times New Roman" w:eastAsia="Times" w:hAnsi="Times New Roman" w:cs="Times New Roman"/>
      <w:sz w:val="16"/>
      <w:szCs w:val="20"/>
      <w:lang w:val="en-US" w:eastAsia="zh-CN"/>
    </w:rPr>
  </w:style>
  <w:style w:type="paragraph" w:customStyle="1" w:styleId="13-Figure">
    <w:name w:val="13-Figure"/>
    <w:basedOn w:val="Normale"/>
    <w:rsid w:val="002A3793"/>
    <w:pPr>
      <w:framePr w:w="10206" w:hSpace="181" w:vSpace="181" w:wrap="around" w:hAnchor="margin" w:xAlign="center" w:yAlign="top"/>
      <w:spacing w:before="200" w:after="200" w:line="220" w:lineRule="exact"/>
      <w:jc w:val="both"/>
    </w:pPr>
    <w:rPr>
      <w:rFonts w:ascii="Times New Roman" w:eastAsia="Times" w:hAnsi="Times New Roman" w:cs="Times New Roman"/>
      <w:sz w:val="18"/>
      <w:szCs w:val="20"/>
      <w:lang w:val="en-US" w:eastAsia="zh-CN"/>
    </w:rPr>
  </w:style>
  <w:style w:type="paragraph" w:styleId="Intestazione">
    <w:name w:val="header"/>
    <w:basedOn w:val="Normale"/>
    <w:link w:val="IntestazioneCarattere"/>
    <w:rsid w:val="002A3793"/>
    <w:pPr>
      <w:tabs>
        <w:tab w:val="center" w:pos="4320"/>
        <w:tab w:val="right" w:pos="8640"/>
      </w:tabs>
      <w:spacing w:after="0" w:line="240" w:lineRule="auto"/>
    </w:pPr>
    <w:rPr>
      <w:rFonts w:ascii="Times New Roman" w:eastAsia="Times New Roman" w:hAnsi="Times New Roman" w:cs="Times New Roman"/>
      <w:sz w:val="24"/>
      <w:szCs w:val="24"/>
      <w:lang w:val="en-US"/>
    </w:rPr>
  </w:style>
  <w:style w:type="character" w:customStyle="1" w:styleId="IntestazioneCarattere">
    <w:name w:val="Intestazione Carattere"/>
    <w:basedOn w:val="Carpredefinitoparagrafo"/>
    <w:link w:val="Intestazione"/>
    <w:rsid w:val="002A3793"/>
    <w:rPr>
      <w:rFonts w:ascii="Times New Roman" w:eastAsia="Times New Roman" w:hAnsi="Times New Roman" w:cs="Times New Roman"/>
      <w:sz w:val="24"/>
      <w:szCs w:val="24"/>
      <w:lang w:val="en-US"/>
    </w:rPr>
  </w:style>
  <w:style w:type="character" w:styleId="Numeropagina">
    <w:name w:val="page number"/>
    <w:basedOn w:val="Carpredefinitoparagrafo"/>
    <w:rsid w:val="002A3793"/>
  </w:style>
  <w:style w:type="character" w:styleId="Collegamentovisitato">
    <w:name w:val="FollowedHyperlink"/>
    <w:rsid w:val="002A3793"/>
    <w:rPr>
      <w:color w:val="800080"/>
      <w:u w:val="single"/>
    </w:rPr>
  </w:style>
  <w:style w:type="paragraph" w:customStyle="1" w:styleId="firstlast">
    <w:name w:val="first last"/>
    <w:basedOn w:val="Normale"/>
    <w:rsid w:val="002A3793"/>
    <w:pPr>
      <w:spacing w:before="100" w:beforeAutospacing="1" w:after="100" w:afterAutospacing="1" w:line="240" w:lineRule="auto"/>
    </w:pPr>
    <w:rPr>
      <w:rFonts w:ascii="Arial" w:eastAsia="Batang" w:hAnsi="Arial" w:cs="Arial"/>
      <w:sz w:val="20"/>
      <w:szCs w:val="20"/>
      <w:lang w:val="en-US"/>
    </w:rPr>
  </w:style>
  <w:style w:type="paragraph" w:customStyle="1" w:styleId="Default">
    <w:name w:val="Default"/>
    <w:rsid w:val="002A3793"/>
    <w:pPr>
      <w:autoSpaceDE w:val="0"/>
      <w:autoSpaceDN w:val="0"/>
      <w:adjustRightInd w:val="0"/>
      <w:spacing w:after="0" w:line="240" w:lineRule="auto"/>
    </w:pPr>
    <w:rPr>
      <w:rFonts w:ascii="Arial Narrow" w:eastAsia="Batang" w:hAnsi="Arial Narrow" w:cs="Arial Narrow"/>
      <w:color w:val="000000"/>
      <w:sz w:val="24"/>
      <w:szCs w:val="24"/>
      <w:lang w:val="en-US"/>
    </w:rPr>
  </w:style>
  <w:style w:type="paragraph" w:customStyle="1" w:styleId="Heading21">
    <w:name w:val="Heading 21"/>
    <w:basedOn w:val="Normale"/>
    <w:rsid w:val="002A3793"/>
    <w:pPr>
      <w:spacing w:after="0" w:line="240" w:lineRule="auto"/>
      <w:outlineLvl w:val="2"/>
    </w:pPr>
    <w:rPr>
      <w:rFonts w:ascii="Times New Roman" w:eastAsia="Batang" w:hAnsi="Times New Roman" w:cs="Times New Roman"/>
      <w:color w:val="FFFFFF"/>
      <w:sz w:val="24"/>
      <w:szCs w:val="24"/>
      <w:lang w:val="en-US"/>
    </w:rPr>
  </w:style>
  <w:style w:type="paragraph" w:customStyle="1" w:styleId="Heading11">
    <w:name w:val="Heading 11"/>
    <w:basedOn w:val="Normale"/>
    <w:rsid w:val="002A3793"/>
    <w:pPr>
      <w:spacing w:after="0" w:line="240" w:lineRule="auto"/>
      <w:outlineLvl w:val="1"/>
    </w:pPr>
    <w:rPr>
      <w:rFonts w:ascii="Times New Roman" w:eastAsia="Batang" w:hAnsi="Times New Roman" w:cs="Times New Roman"/>
      <w:b/>
      <w:bCs/>
      <w:color w:val="FFFFFF"/>
      <w:spacing w:val="-12"/>
      <w:kern w:val="36"/>
      <w:sz w:val="40"/>
      <w:szCs w:val="40"/>
      <w:lang w:val="en-US"/>
    </w:rPr>
  </w:style>
  <w:style w:type="character" w:styleId="Numeroriga">
    <w:name w:val="line number"/>
    <w:basedOn w:val="Carpredefinitoparagrafo"/>
    <w:rsid w:val="002A3793"/>
  </w:style>
  <w:style w:type="character" w:customStyle="1" w:styleId="journalname">
    <w:name w:val="journalname"/>
    <w:basedOn w:val="Carpredefinitoparagrafo"/>
    <w:rsid w:val="002A3793"/>
  </w:style>
  <w:style w:type="character" w:customStyle="1" w:styleId="yshortcuts">
    <w:name w:val="yshortcuts"/>
    <w:basedOn w:val="Carpredefinitoparagrafo"/>
    <w:rsid w:val="002A3793"/>
  </w:style>
  <w:style w:type="character" w:styleId="CitazioneHTML">
    <w:name w:val="HTML Cite"/>
    <w:rsid w:val="002A3793"/>
    <w:rPr>
      <w:i/>
      <w:iCs/>
    </w:rPr>
  </w:style>
  <w:style w:type="character" w:customStyle="1" w:styleId="HeaderChar">
    <w:name w:val="Header Char"/>
    <w:rsid w:val="002A3793"/>
    <w:rPr>
      <w:sz w:val="24"/>
      <w:szCs w:val="24"/>
      <w:lang w:eastAsia="en-US"/>
    </w:rPr>
  </w:style>
  <w:style w:type="character" w:customStyle="1" w:styleId="TestofumettoCarattere">
    <w:name w:val="Testo fumetto Carattere"/>
    <w:basedOn w:val="Carpredefinitoparagrafo"/>
    <w:link w:val="Testofumetto"/>
    <w:semiHidden/>
    <w:rsid w:val="002A3793"/>
    <w:rPr>
      <w:rFonts w:ascii="Tahoma" w:eastAsia="Times New Roman" w:hAnsi="Tahoma" w:cs="Tahoma"/>
      <w:sz w:val="16"/>
      <w:szCs w:val="16"/>
      <w:lang w:val="en-US"/>
    </w:rPr>
  </w:style>
  <w:style w:type="paragraph" w:styleId="Testofumetto">
    <w:name w:val="Balloon Text"/>
    <w:basedOn w:val="Normale"/>
    <w:link w:val="TestofumettoCarattere"/>
    <w:semiHidden/>
    <w:rsid w:val="002A3793"/>
    <w:pPr>
      <w:spacing w:after="0" w:line="240" w:lineRule="auto"/>
    </w:pPr>
    <w:rPr>
      <w:rFonts w:ascii="Tahoma" w:eastAsia="Times New Roman" w:hAnsi="Tahoma" w:cs="Tahoma"/>
      <w:sz w:val="16"/>
      <w:szCs w:val="16"/>
      <w:lang w:val="en-US"/>
    </w:rPr>
  </w:style>
  <w:style w:type="character" w:customStyle="1" w:styleId="A2">
    <w:name w:val="A2"/>
    <w:rsid w:val="002A3793"/>
    <w:rPr>
      <w:rFonts w:cs="Meta Bold LF"/>
      <w:b/>
      <w:bCs/>
      <w:color w:val="211D1E"/>
      <w:sz w:val="15"/>
      <w:szCs w:val="15"/>
    </w:rPr>
  </w:style>
  <w:style w:type="paragraph" w:customStyle="1" w:styleId="Pa7">
    <w:name w:val="Pa7"/>
    <w:basedOn w:val="Default"/>
    <w:next w:val="Default"/>
    <w:rsid w:val="002A3793"/>
    <w:pPr>
      <w:widowControl w:val="0"/>
      <w:spacing w:line="241" w:lineRule="atLeast"/>
    </w:pPr>
    <w:rPr>
      <w:rFonts w:ascii="Relay" w:eastAsia="Relay" w:hAnsi="Times New Roman" w:cs="Times New Roman"/>
      <w:color w:val="auto"/>
      <w:lang w:eastAsia="zh-CN"/>
    </w:rPr>
  </w:style>
  <w:style w:type="character" w:customStyle="1" w:styleId="A7">
    <w:name w:val="A7"/>
    <w:rsid w:val="002A3793"/>
    <w:rPr>
      <w:rFonts w:cs="Relay"/>
      <w:b/>
      <w:bCs/>
      <w:color w:val="211D1E"/>
      <w:sz w:val="14"/>
      <w:szCs w:val="14"/>
    </w:rPr>
  </w:style>
  <w:style w:type="paragraph" w:customStyle="1" w:styleId="Pa25">
    <w:name w:val="Pa25"/>
    <w:basedOn w:val="Default"/>
    <w:next w:val="Default"/>
    <w:rsid w:val="002A3793"/>
    <w:pPr>
      <w:widowControl w:val="0"/>
      <w:spacing w:line="141" w:lineRule="atLeast"/>
    </w:pPr>
    <w:rPr>
      <w:rFonts w:ascii="Meta Normal LF" w:eastAsia="Meta Normal LF" w:hAnsi="Times New Roman" w:cs="Times New Roman"/>
      <w:color w:val="auto"/>
      <w:lang w:eastAsia="zh-CN"/>
    </w:rPr>
  </w:style>
  <w:style w:type="paragraph" w:customStyle="1" w:styleId="Pa9">
    <w:name w:val="Pa9"/>
    <w:basedOn w:val="Default"/>
    <w:next w:val="Default"/>
    <w:rsid w:val="002A3793"/>
    <w:pPr>
      <w:widowControl w:val="0"/>
      <w:spacing w:line="181" w:lineRule="atLeast"/>
    </w:pPr>
    <w:rPr>
      <w:rFonts w:ascii="Meta Normal LF" w:eastAsia="Meta Normal LF" w:hAnsi="Times New Roman" w:cs="Times New Roman"/>
      <w:color w:val="auto"/>
      <w:lang w:eastAsia="zh-CN"/>
    </w:rPr>
  </w:style>
  <w:style w:type="paragraph" w:customStyle="1" w:styleId="BIEmailAddress">
    <w:name w:val="BI_Email_Address"/>
    <w:basedOn w:val="Normale"/>
    <w:next w:val="Normale"/>
    <w:rsid w:val="002A3793"/>
    <w:pPr>
      <w:spacing w:after="200" w:line="480" w:lineRule="auto"/>
      <w:jc w:val="both"/>
    </w:pPr>
    <w:rPr>
      <w:rFonts w:ascii="Times" w:eastAsia="SimSun" w:hAnsi="Times" w:cs="Times New Roman"/>
      <w:sz w:val="24"/>
      <w:szCs w:val="20"/>
      <w:lang w:val="en-US"/>
    </w:rPr>
  </w:style>
  <w:style w:type="paragraph" w:customStyle="1" w:styleId="FACorrespondingAuthorFootnote">
    <w:name w:val="FA_Corresponding_Author_Footnote"/>
    <w:basedOn w:val="Normale"/>
    <w:next w:val="Normale"/>
    <w:rsid w:val="002A3793"/>
    <w:pPr>
      <w:spacing w:after="200" w:line="480" w:lineRule="auto"/>
      <w:jc w:val="both"/>
    </w:pPr>
    <w:rPr>
      <w:rFonts w:ascii="Times" w:eastAsia="SimSun" w:hAnsi="Times" w:cs="Times New Roman"/>
      <w:sz w:val="24"/>
      <w:szCs w:val="20"/>
      <w:lang w:val="en-US"/>
    </w:rPr>
  </w:style>
  <w:style w:type="character" w:customStyle="1" w:styleId="BIEmailAddressChar">
    <w:name w:val="BI_Email_Address Char"/>
    <w:rsid w:val="002A3793"/>
    <w:rPr>
      <w:rFonts w:ascii="Times" w:eastAsia="SimSun" w:hAnsi="Times"/>
      <w:sz w:val="24"/>
      <w:lang w:val="en-US" w:eastAsia="en-US" w:bidi="ar-SA"/>
    </w:rPr>
  </w:style>
  <w:style w:type="character" w:customStyle="1" w:styleId="CharChar">
    <w:name w:val="Char Char"/>
    <w:rsid w:val="002A3793"/>
    <w:rPr>
      <w:rFonts w:ascii="Cambria" w:eastAsia="Times New Roman" w:hAnsi="Cambria" w:cs="Times New Roman"/>
      <w:b/>
      <w:bCs/>
      <w:i/>
      <w:iCs/>
      <w:sz w:val="28"/>
      <w:szCs w:val="28"/>
    </w:rPr>
  </w:style>
  <w:style w:type="character" w:customStyle="1" w:styleId="CharChar2">
    <w:name w:val="Char Char2"/>
    <w:rsid w:val="002A3793"/>
    <w:rPr>
      <w:rFonts w:ascii="Cambria" w:hAnsi="Cambria"/>
      <w:b/>
      <w:bCs/>
      <w:kern w:val="32"/>
      <w:sz w:val="32"/>
      <w:szCs w:val="32"/>
      <w:lang w:val="en-US" w:eastAsia="en-US" w:bidi="ar-SA"/>
    </w:rPr>
  </w:style>
  <w:style w:type="character" w:customStyle="1" w:styleId="CharChar1">
    <w:name w:val="Char Char1"/>
    <w:rsid w:val="002A3793"/>
    <w:rPr>
      <w:rFonts w:ascii="Cambria" w:eastAsia="Times New Roman" w:hAnsi="Cambria" w:cs="Times New Roman"/>
      <w:b/>
      <w:bCs/>
      <w:i/>
      <w:iCs/>
      <w:sz w:val="28"/>
      <w:szCs w:val="28"/>
    </w:rPr>
  </w:style>
  <w:style w:type="character" w:customStyle="1" w:styleId="xcitationtitle1">
    <w:name w:val="xcitationtitle1"/>
    <w:rsid w:val="002A3793"/>
    <w:rPr>
      <w:rFonts w:ascii="Verdana" w:hAnsi="Verdana" w:hint="default"/>
      <w:b/>
      <w:bCs/>
      <w:sz w:val="21"/>
      <w:szCs w:val="21"/>
    </w:rPr>
  </w:style>
  <w:style w:type="character" w:customStyle="1" w:styleId="cit-sep2">
    <w:name w:val="cit-sep2"/>
    <w:basedOn w:val="Carpredefinitoparagrafo"/>
    <w:rsid w:val="002A3793"/>
  </w:style>
  <w:style w:type="character" w:customStyle="1" w:styleId="cit-subtitle">
    <w:name w:val="cit-subtitle"/>
    <w:basedOn w:val="Carpredefinitoparagrafo"/>
    <w:rsid w:val="002A3793"/>
  </w:style>
  <w:style w:type="paragraph" w:customStyle="1" w:styleId="mainheader">
    <w:name w:val="mainheader"/>
    <w:basedOn w:val="Normale"/>
    <w:rsid w:val="002A3793"/>
    <w:pPr>
      <w:spacing w:before="100" w:beforeAutospacing="1" w:after="100" w:afterAutospacing="1" w:line="240" w:lineRule="auto"/>
    </w:pPr>
    <w:rPr>
      <w:rFonts w:ascii="Verdana" w:eastAsia="Times New Roman" w:hAnsi="Verdana" w:cs="Times New Roman"/>
      <w:b/>
      <w:bCs/>
      <w:sz w:val="27"/>
      <w:szCs w:val="27"/>
      <w:lang w:val="en-US"/>
    </w:rPr>
  </w:style>
  <w:style w:type="character" w:customStyle="1" w:styleId="citation">
    <w:name w:val="citation"/>
    <w:basedOn w:val="Carpredefinitoparagrafo"/>
    <w:rsid w:val="002A3793"/>
  </w:style>
  <w:style w:type="character" w:customStyle="1" w:styleId="article">
    <w:name w:val="article"/>
    <w:basedOn w:val="Carpredefinitoparagrafo"/>
    <w:rsid w:val="002A3793"/>
  </w:style>
  <w:style w:type="paragraph" w:customStyle="1" w:styleId="part">
    <w:name w:val="part"/>
    <w:basedOn w:val="Normale"/>
    <w:next w:val="Normale"/>
    <w:rsid w:val="002A3793"/>
    <w:pPr>
      <w:keepNext/>
      <w:widowControl w:val="0"/>
      <w:autoSpaceDE w:val="0"/>
      <w:autoSpaceDN w:val="0"/>
      <w:adjustRightInd w:val="0"/>
      <w:spacing w:before="240" w:after="60" w:line="240" w:lineRule="auto"/>
      <w:jc w:val="center"/>
    </w:pPr>
    <w:rPr>
      <w:rFonts w:ascii="Times" w:eastAsia="Batang" w:hAnsi="Times" w:cs="Times"/>
      <w:b/>
      <w:bCs/>
      <w:noProof/>
      <w:sz w:val="40"/>
      <w:szCs w:val="40"/>
      <w:lang w:val="en-US" w:eastAsia="ko-KR"/>
    </w:rPr>
  </w:style>
  <w:style w:type="character" w:customStyle="1" w:styleId="volume">
    <w:name w:val="volume"/>
    <w:basedOn w:val="Carpredefinitoparagrafo"/>
    <w:rsid w:val="002A3793"/>
  </w:style>
  <w:style w:type="character" w:customStyle="1" w:styleId="issue">
    <w:name w:val="issue"/>
    <w:basedOn w:val="Carpredefinitoparagrafo"/>
    <w:rsid w:val="002A3793"/>
  </w:style>
  <w:style w:type="character" w:customStyle="1" w:styleId="pages">
    <w:name w:val="pages"/>
    <w:basedOn w:val="Carpredefinitoparagrafo"/>
    <w:rsid w:val="002A3793"/>
  </w:style>
  <w:style w:type="character" w:customStyle="1" w:styleId="ti">
    <w:name w:val="ti"/>
    <w:basedOn w:val="Carpredefinitoparagrafo"/>
    <w:rsid w:val="002A3793"/>
  </w:style>
  <w:style w:type="character" w:customStyle="1" w:styleId="linkbar">
    <w:name w:val="linkbar"/>
    <w:basedOn w:val="Carpredefinitoparagrafo"/>
    <w:rsid w:val="002A3793"/>
  </w:style>
  <w:style w:type="character" w:customStyle="1" w:styleId="featuredlinkouts">
    <w:name w:val="featured_linkouts"/>
    <w:basedOn w:val="Carpredefinitoparagrafo"/>
    <w:rsid w:val="002A3793"/>
  </w:style>
  <w:style w:type="paragraph" w:styleId="PreformattatoHTML">
    <w:name w:val="HTML Preformatted"/>
    <w:basedOn w:val="Normale"/>
    <w:link w:val="PreformattatoHTMLCarattere"/>
    <w:rsid w:val="002A379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it-IT" w:eastAsia="it-IT"/>
    </w:rPr>
  </w:style>
  <w:style w:type="character" w:customStyle="1" w:styleId="PreformattatoHTMLCarattere">
    <w:name w:val="Preformattato HTML Carattere"/>
    <w:basedOn w:val="Carpredefinitoparagrafo"/>
    <w:link w:val="PreformattatoHTML"/>
    <w:rsid w:val="002A3793"/>
    <w:rPr>
      <w:rFonts w:ascii="Courier New" w:eastAsia="Times New Roman" w:hAnsi="Courier New" w:cs="Courier New"/>
      <w:sz w:val="20"/>
      <w:szCs w:val="20"/>
      <w:lang w:val="it-IT" w:eastAsia="it-IT"/>
    </w:rPr>
  </w:style>
  <w:style w:type="paragraph" w:styleId="Corpotesto">
    <w:name w:val="Body Text"/>
    <w:basedOn w:val="Normale"/>
    <w:link w:val="CorpotestoCarattere"/>
    <w:rsid w:val="002A3793"/>
    <w:pPr>
      <w:spacing w:after="0" w:line="240" w:lineRule="auto"/>
      <w:jc w:val="both"/>
    </w:pPr>
    <w:rPr>
      <w:rFonts w:ascii="Times New Roman" w:eastAsia="Times New Roman" w:hAnsi="Times New Roman" w:cs="Times New Roman"/>
      <w:sz w:val="24"/>
      <w:szCs w:val="20"/>
      <w:lang w:val="en-US"/>
    </w:rPr>
  </w:style>
  <w:style w:type="character" w:customStyle="1" w:styleId="CorpotestoCarattere">
    <w:name w:val="Corpo testo Carattere"/>
    <w:basedOn w:val="Carpredefinitoparagrafo"/>
    <w:link w:val="Corpotesto"/>
    <w:rsid w:val="002A3793"/>
    <w:rPr>
      <w:rFonts w:ascii="Times New Roman" w:eastAsia="Times New Roman" w:hAnsi="Times New Roman" w:cs="Times New Roman"/>
      <w:sz w:val="24"/>
      <w:szCs w:val="20"/>
      <w:lang w:val="en-US"/>
    </w:rPr>
  </w:style>
  <w:style w:type="character" w:customStyle="1" w:styleId="ti2">
    <w:name w:val="ti2"/>
    <w:rsid w:val="002A3793"/>
    <w:rPr>
      <w:sz w:val="22"/>
      <w:szCs w:val="22"/>
    </w:rPr>
  </w:style>
  <w:style w:type="paragraph" w:styleId="Rientrocorpodeltesto">
    <w:name w:val="Body Text Indent"/>
    <w:basedOn w:val="Normale"/>
    <w:link w:val="RientrocorpodeltestoCarattere"/>
    <w:rsid w:val="002A3793"/>
    <w:pPr>
      <w:spacing w:after="0" w:line="360" w:lineRule="auto"/>
      <w:ind w:firstLine="708"/>
      <w:jc w:val="both"/>
    </w:pPr>
    <w:rPr>
      <w:rFonts w:ascii="Times New Roman" w:eastAsia="Times New Roman" w:hAnsi="Times New Roman" w:cs="Times New Roman"/>
      <w:sz w:val="24"/>
      <w:szCs w:val="24"/>
      <w:lang w:val="en-US" w:eastAsia="it-IT"/>
    </w:rPr>
  </w:style>
  <w:style w:type="character" w:customStyle="1" w:styleId="RientrocorpodeltestoCarattere">
    <w:name w:val="Rientro corpo del testo Carattere"/>
    <w:basedOn w:val="Carpredefinitoparagrafo"/>
    <w:link w:val="Rientrocorpodeltesto"/>
    <w:rsid w:val="002A3793"/>
    <w:rPr>
      <w:rFonts w:ascii="Times New Roman" w:eastAsia="Times New Roman" w:hAnsi="Times New Roman" w:cs="Times New Roman"/>
      <w:sz w:val="24"/>
      <w:szCs w:val="24"/>
      <w:lang w:val="en-US" w:eastAsia="it-IT"/>
    </w:rPr>
  </w:style>
  <w:style w:type="character" w:customStyle="1" w:styleId="AlexionBodyTextChar">
    <w:name w:val="Alexion Body Text Char"/>
    <w:rsid w:val="002A3793"/>
    <w:rPr>
      <w:sz w:val="24"/>
      <w:lang w:val="en-US" w:eastAsia="en-US" w:bidi="ar-SA"/>
    </w:rPr>
  </w:style>
  <w:style w:type="paragraph" w:customStyle="1" w:styleId="title1">
    <w:name w:val="title1"/>
    <w:basedOn w:val="Normale"/>
    <w:rsid w:val="002A3793"/>
    <w:pPr>
      <w:spacing w:after="0" w:line="240" w:lineRule="auto"/>
    </w:pPr>
    <w:rPr>
      <w:rFonts w:ascii="Times New Roman" w:eastAsia="Times New Roman" w:hAnsi="Times New Roman" w:cs="Times New Roman"/>
      <w:sz w:val="29"/>
      <w:szCs w:val="29"/>
      <w:lang w:val="it-IT" w:eastAsia="it-IT"/>
    </w:rPr>
  </w:style>
  <w:style w:type="paragraph" w:customStyle="1" w:styleId="rprtbody1">
    <w:name w:val="rprtbody1"/>
    <w:basedOn w:val="Normale"/>
    <w:rsid w:val="002A3793"/>
    <w:pPr>
      <w:spacing w:before="34" w:after="34" w:line="240" w:lineRule="auto"/>
    </w:pPr>
    <w:rPr>
      <w:rFonts w:ascii="Times New Roman" w:eastAsia="Times New Roman" w:hAnsi="Times New Roman" w:cs="Times New Roman"/>
      <w:sz w:val="28"/>
      <w:szCs w:val="28"/>
      <w:lang w:val="it-IT" w:eastAsia="it-IT"/>
    </w:rPr>
  </w:style>
  <w:style w:type="paragraph" w:customStyle="1" w:styleId="aux1">
    <w:name w:val="aux1"/>
    <w:basedOn w:val="Normale"/>
    <w:rsid w:val="002A3793"/>
    <w:pPr>
      <w:spacing w:after="0" w:line="320" w:lineRule="atLeast"/>
    </w:pPr>
    <w:rPr>
      <w:rFonts w:ascii="Times New Roman" w:eastAsia="Times New Roman" w:hAnsi="Times New Roman" w:cs="Times New Roman"/>
      <w:sz w:val="24"/>
      <w:szCs w:val="24"/>
      <w:lang w:val="it-IT" w:eastAsia="it-IT"/>
    </w:rPr>
  </w:style>
  <w:style w:type="character" w:customStyle="1" w:styleId="src1">
    <w:name w:val="src1"/>
    <w:rsid w:val="002A3793"/>
    <w:rPr>
      <w:vanish w:val="0"/>
      <w:webHidden w:val="0"/>
      <w:specVanish w:val="0"/>
    </w:rPr>
  </w:style>
  <w:style w:type="character" w:customStyle="1" w:styleId="jrnl">
    <w:name w:val="jrnl"/>
    <w:basedOn w:val="Carpredefinitoparagrafo"/>
    <w:rsid w:val="002A3793"/>
  </w:style>
  <w:style w:type="character" w:customStyle="1" w:styleId="TitleChar">
    <w:name w:val="Title Char"/>
    <w:rsid w:val="002A3793"/>
    <w:rPr>
      <w:rFonts w:ascii="Cambria" w:eastAsia="Times New Roman" w:hAnsi="Cambria" w:cs="Times New Roman"/>
      <w:b/>
      <w:bCs/>
      <w:kern w:val="28"/>
      <w:sz w:val="32"/>
      <w:szCs w:val="32"/>
    </w:rPr>
  </w:style>
  <w:style w:type="paragraph" w:customStyle="1" w:styleId="IntensivesAnfhrungszeichen1">
    <w:name w:val="Intensives Anführungszeichen1"/>
    <w:basedOn w:val="Normale"/>
    <w:next w:val="Normale"/>
    <w:qFormat/>
    <w:rsid w:val="002A3793"/>
    <w:pPr>
      <w:pBdr>
        <w:bottom w:val="single" w:sz="4" w:space="4" w:color="4F81BD"/>
      </w:pBdr>
      <w:spacing w:before="200" w:after="280" w:line="240" w:lineRule="auto"/>
      <w:ind w:left="936" w:right="936"/>
    </w:pPr>
    <w:rPr>
      <w:rFonts w:ascii="Times New Roman" w:eastAsia="Times New Roman" w:hAnsi="Times New Roman" w:cs="Times New Roman"/>
      <w:b/>
      <w:bCs/>
      <w:i/>
      <w:iCs/>
      <w:color w:val="4F81BD"/>
      <w:sz w:val="24"/>
      <w:szCs w:val="24"/>
      <w:lang w:val="de-DE" w:eastAsia="de-DE"/>
    </w:rPr>
  </w:style>
  <w:style w:type="character" w:customStyle="1" w:styleId="IntensivesAnfhrungszeichenZchn">
    <w:name w:val="Intensives Anführungszeichen Zchn"/>
    <w:rsid w:val="002A3793"/>
    <w:rPr>
      <w:b/>
      <w:bCs/>
      <w:i/>
      <w:iCs/>
      <w:color w:val="4F81BD"/>
      <w:sz w:val="24"/>
      <w:szCs w:val="24"/>
    </w:rPr>
  </w:style>
  <w:style w:type="character" w:customStyle="1" w:styleId="FooterChar">
    <w:name w:val="Footer Char"/>
    <w:rsid w:val="002A3793"/>
    <w:rPr>
      <w:sz w:val="24"/>
      <w:szCs w:val="24"/>
    </w:rPr>
  </w:style>
  <w:style w:type="paragraph" w:styleId="Testonotaapidipagina">
    <w:name w:val="footnote text"/>
    <w:basedOn w:val="Normale"/>
    <w:link w:val="TestonotaapidipaginaCarattere"/>
    <w:rsid w:val="002A3793"/>
    <w:pPr>
      <w:spacing w:after="0" w:line="240" w:lineRule="auto"/>
    </w:pPr>
    <w:rPr>
      <w:rFonts w:ascii="Times New Roman" w:eastAsia="Times New Roman" w:hAnsi="Times New Roman" w:cs="Times New Roman"/>
      <w:sz w:val="20"/>
      <w:szCs w:val="20"/>
      <w:lang w:val="de-DE" w:eastAsia="de-DE"/>
    </w:rPr>
  </w:style>
  <w:style w:type="character" w:customStyle="1" w:styleId="TestonotaapidipaginaCarattere">
    <w:name w:val="Testo nota a piè di pagina Carattere"/>
    <w:basedOn w:val="Carpredefinitoparagrafo"/>
    <w:link w:val="Testonotaapidipagina"/>
    <w:rsid w:val="002A3793"/>
    <w:rPr>
      <w:rFonts w:ascii="Times New Roman" w:eastAsia="Times New Roman" w:hAnsi="Times New Roman" w:cs="Times New Roman"/>
      <w:sz w:val="20"/>
      <w:szCs w:val="20"/>
      <w:lang w:val="de-DE" w:eastAsia="de-DE"/>
    </w:rPr>
  </w:style>
  <w:style w:type="character" w:customStyle="1" w:styleId="FootnoteTextChar">
    <w:name w:val="Footnote Text Char"/>
    <w:basedOn w:val="Carpredefinitoparagrafo"/>
    <w:rsid w:val="002A3793"/>
  </w:style>
  <w:style w:type="paragraph" w:styleId="Testonotadichiusura">
    <w:name w:val="endnote text"/>
    <w:basedOn w:val="Normale"/>
    <w:link w:val="TestonotadichiusuraCarattere"/>
    <w:rsid w:val="002A3793"/>
    <w:pPr>
      <w:spacing w:after="0" w:line="240" w:lineRule="auto"/>
    </w:pPr>
    <w:rPr>
      <w:rFonts w:ascii="Times New Roman" w:eastAsia="Times New Roman" w:hAnsi="Times New Roman" w:cs="Times New Roman"/>
      <w:sz w:val="20"/>
      <w:szCs w:val="20"/>
      <w:lang w:val="de-DE" w:eastAsia="de-DE"/>
    </w:rPr>
  </w:style>
  <w:style w:type="character" w:customStyle="1" w:styleId="TestonotadichiusuraCarattere">
    <w:name w:val="Testo nota di chiusura Carattere"/>
    <w:basedOn w:val="Carpredefinitoparagrafo"/>
    <w:link w:val="Testonotadichiusura"/>
    <w:rsid w:val="002A3793"/>
    <w:rPr>
      <w:rFonts w:ascii="Times New Roman" w:eastAsia="Times New Roman" w:hAnsi="Times New Roman" w:cs="Times New Roman"/>
      <w:sz w:val="20"/>
      <w:szCs w:val="20"/>
      <w:lang w:val="de-DE" w:eastAsia="de-DE"/>
    </w:rPr>
  </w:style>
  <w:style w:type="character" w:customStyle="1" w:styleId="EndnoteTextChar">
    <w:name w:val="Endnote Text Char"/>
    <w:basedOn w:val="Carpredefinitoparagrafo"/>
    <w:rsid w:val="002A3793"/>
  </w:style>
  <w:style w:type="character" w:styleId="Rimandonotadichiusura">
    <w:name w:val="endnote reference"/>
    <w:rsid w:val="002A3793"/>
    <w:rPr>
      <w:vertAlign w:val="superscript"/>
    </w:rPr>
  </w:style>
  <w:style w:type="character" w:customStyle="1" w:styleId="IntensiveHervorhebung1">
    <w:name w:val="Intensive Hervorhebung1"/>
    <w:qFormat/>
    <w:rsid w:val="002A3793"/>
    <w:rPr>
      <w:b/>
      <w:bCs/>
      <w:i/>
      <w:iCs/>
      <w:color w:val="4F81BD"/>
    </w:rPr>
  </w:style>
  <w:style w:type="character" w:customStyle="1" w:styleId="Heading1Char">
    <w:name w:val="Heading 1 Char"/>
    <w:rsid w:val="002A3793"/>
    <w:rPr>
      <w:rFonts w:ascii="Cambria" w:eastAsia="Times New Roman" w:hAnsi="Cambria" w:cs="Times New Roman"/>
      <w:b/>
      <w:bCs/>
      <w:kern w:val="32"/>
      <w:sz w:val="32"/>
      <w:szCs w:val="32"/>
    </w:rPr>
  </w:style>
  <w:style w:type="paragraph" w:styleId="Puntoelenco">
    <w:name w:val="List Bullet"/>
    <w:basedOn w:val="Normale"/>
    <w:rsid w:val="002A3793"/>
    <w:pPr>
      <w:numPr>
        <w:numId w:val="1"/>
      </w:numPr>
      <w:spacing w:after="0" w:line="240" w:lineRule="auto"/>
    </w:pPr>
    <w:rPr>
      <w:rFonts w:ascii="Times New Roman" w:eastAsia="Times New Roman" w:hAnsi="Times New Roman" w:cs="Times New Roman"/>
      <w:sz w:val="24"/>
      <w:szCs w:val="24"/>
      <w:lang w:val="de-DE" w:eastAsia="de-DE"/>
    </w:rPr>
  </w:style>
  <w:style w:type="character" w:customStyle="1" w:styleId="ListBulletChar">
    <w:name w:val="List Bullet Char"/>
    <w:rsid w:val="002A3793"/>
    <w:rPr>
      <w:sz w:val="24"/>
      <w:szCs w:val="24"/>
      <w:lang w:val="de-DE" w:eastAsia="de-DE" w:bidi="ar-SA"/>
    </w:rPr>
  </w:style>
  <w:style w:type="character" w:styleId="Rimandocommento">
    <w:name w:val="annotation reference"/>
    <w:rsid w:val="002A3793"/>
    <w:rPr>
      <w:sz w:val="16"/>
      <w:szCs w:val="16"/>
    </w:rPr>
  </w:style>
  <w:style w:type="paragraph" w:styleId="Testocommento">
    <w:name w:val="annotation text"/>
    <w:basedOn w:val="Normale"/>
    <w:link w:val="TestocommentoCarattere"/>
    <w:rsid w:val="002A3793"/>
    <w:pPr>
      <w:spacing w:after="0" w:line="240" w:lineRule="auto"/>
    </w:pPr>
    <w:rPr>
      <w:rFonts w:ascii="Times New Roman" w:eastAsia="Times New Roman" w:hAnsi="Times New Roman" w:cs="Times New Roman"/>
      <w:sz w:val="20"/>
      <w:szCs w:val="20"/>
      <w:lang w:val="de-DE" w:eastAsia="de-DE"/>
    </w:rPr>
  </w:style>
  <w:style w:type="character" w:customStyle="1" w:styleId="TestocommentoCarattere">
    <w:name w:val="Testo commento Carattere"/>
    <w:basedOn w:val="Carpredefinitoparagrafo"/>
    <w:link w:val="Testocommento"/>
    <w:rsid w:val="002A3793"/>
    <w:rPr>
      <w:rFonts w:ascii="Times New Roman" w:eastAsia="Times New Roman" w:hAnsi="Times New Roman" w:cs="Times New Roman"/>
      <w:sz w:val="20"/>
      <w:szCs w:val="20"/>
      <w:lang w:val="de-DE" w:eastAsia="de-DE"/>
    </w:rPr>
  </w:style>
  <w:style w:type="character" w:customStyle="1" w:styleId="CommentTextChar">
    <w:name w:val="Comment Text Char"/>
    <w:basedOn w:val="Carpredefinitoparagrafo"/>
    <w:rsid w:val="002A3793"/>
  </w:style>
  <w:style w:type="paragraph" w:styleId="Soggettocommento">
    <w:name w:val="annotation subject"/>
    <w:basedOn w:val="Testocommento"/>
    <w:next w:val="Testocommento"/>
    <w:link w:val="SoggettocommentoCarattere"/>
    <w:rsid w:val="002A3793"/>
    <w:rPr>
      <w:b/>
      <w:bCs/>
    </w:rPr>
  </w:style>
  <w:style w:type="character" w:customStyle="1" w:styleId="SoggettocommentoCarattere">
    <w:name w:val="Soggetto commento Carattere"/>
    <w:basedOn w:val="TestocommentoCarattere"/>
    <w:link w:val="Soggettocommento"/>
    <w:rsid w:val="002A3793"/>
    <w:rPr>
      <w:rFonts w:ascii="Times New Roman" w:eastAsia="Times New Roman" w:hAnsi="Times New Roman" w:cs="Times New Roman"/>
      <w:b/>
      <w:bCs/>
      <w:sz w:val="20"/>
      <w:szCs w:val="20"/>
      <w:lang w:val="de-DE" w:eastAsia="de-DE"/>
    </w:rPr>
  </w:style>
  <w:style w:type="character" w:customStyle="1" w:styleId="CommentSubjectChar">
    <w:name w:val="Comment Subject Char"/>
    <w:rsid w:val="002A3793"/>
    <w:rPr>
      <w:b/>
      <w:bCs/>
    </w:rPr>
  </w:style>
  <w:style w:type="character" w:customStyle="1" w:styleId="BalloonTextChar">
    <w:name w:val="Balloon Text Char"/>
    <w:rsid w:val="002A3793"/>
    <w:rPr>
      <w:rFonts w:ascii="Tahoma" w:hAnsi="Tahoma" w:cs="Tahoma"/>
      <w:sz w:val="16"/>
      <w:szCs w:val="16"/>
    </w:rPr>
  </w:style>
  <w:style w:type="character" w:customStyle="1" w:styleId="CharChar6">
    <w:name w:val="Char Char6"/>
    <w:rsid w:val="002A3793"/>
    <w:rPr>
      <w:b/>
      <w:bCs/>
      <w:kern w:val="36"/>
      <w:sz w:val="48"/>
      <w:szCs w:val="48"/>
    </w:rPr>
  </w:style>
  <w:style w:type="character" w:customStyle="1" w:styleId="CharChar5">
    <w:name w:val="Char Char5"/>
    <w:rsid w:val="002A3793"/>
    <w:rPr>
      <w:rFonts w:ascii="Cambria" w:eastAsia="Times New Roman" w:hAnsi="Cambria" w:cs="Times New Roman"/>
      <w:b/>
      <w:bCs/>
      <w:i/>
      <w:iCs/>
      <w:sz w:val="28"/>
      <w:szCs w:val="28"/>
    </w:rPr>
  </w:style>
  <w:style w:type="character" w:customStyle="1" w:styleId="CharChar3">
    <w:name w:val="Char Char3"/>
    <w:rsid w:val="002A3793"/>
    <w:rPr>
      <w:b/>
      <w:bCs/>
      <w:sz w:val="28"/>
      <w:szCs w:val="28"/>
    </w:rPr>
  </w:style>
  <w:style w:type="paragraph" w:customStyle="1" w:styleId="a">
    <w:name w:val="Παράγραφος λίστας"/>
    <w:basedOn w:val="Normale"/>
    <w:qFormat/>
    <w:rsid w:val="002A3793"/>
    <w:pPr>
      <w:spacing w:after="0" w:line="240" w:lineRule="auto"/>
      <w:ind w:left="720"/>
      <w:contextualSpacing/>
    </w:pPr>
    <w:rPr>
      <w:rFonts w:ascii="Times New Roman" w:eastAsia="Times New Roman" w:hAnsi="Times New Roman" w:cs="Times New Roman"/>
      <w:sz w:val="24"/>
      <w:szCs w:val="24"/>
      <w:lang w:val="el-GR" w:eastAsia="el-GR"/>
    </w:rPr>
  </w:style>
  <w:style w:type="paragraph" w:customStyle="1" w:styleId="authors1">
    <w:name w:val="authors1"/>
    <w:basedOn w:val="Normale"/>
    <w:rsid w:val="002A3793"/>
    <w:pPr>
      <w:spacing w:before="72" w:after="0" w:line="240" w:lineRule="atLeast"/>
      <w:ind w:left="825"/>
    </w:pPr>
    <w:rPr>
      <w:rFonts w:ascii="Times New Roman" w:eastAsia="Times New Roman" w:hAnsi="Times New Roman" w:cs="Times New Roman"/>
      <w:lang w:val="el-GR" w:eastAsia="el-GR"/>
    </w:rPr>
  </w:style>
  <w:style w:type="paragraph" w:customStyle="1" w:styleId="Titolo10">
    <w:name w:val="Titolo1"/>
    <w:basedOn w:val="Normale"/>
    <w:rsid w:val="002A3793"/>
    <w:pPr>
      <w:spacing w:before="100" w:beforeAutospacing="1" w:after="100" w:afterAutospacing="1" w:line="240" w:lineRule="auto"/>
    </w:pPr>
    <w:rPr>
      <w:rFonts w:ascii="Times New Roman" w:eastAsia="Times New Roman" w:hAnsi="Times New Roman" w:cs="Times New Roman"/>
      <w:sz w:val="24"/>
      <w:szCs w:val="24"/>
      <w:lang w:val="el-GR" w:eastAsia="el-GR"/>
    </w:rPr>
  </w:style>
  <w:style w:type="paragraph" w:customStyle="1" w:styleId="orangebold2">
    <w:name w:val="orangebold2"/>
    <w:basedOn w:val="Normale"/>
    <w:rsid w:val="002A3793"/>
    <w:pPr>
      <w:spacing w:before="100" w:beforeAutospacing="1" w:after="100" w:afterAutospacing="1" w:line="240" w:lineRule="auto"/>
    </w:pPr>
    <w:rPr>
      <w:rFonts w:ascii="Times New Roman" w:eastAsia="Times New Roman" w:hAnsi="Times New Roman" w:cs="Times New Roman"/>
      <w:sz w:val="24"/>
      <w:szCs w:val="24"/>
      <w:lang w:val="el-GR" w:eastAsia="el-GR"/>
    </w:rPr>
  </w:style>
  <w:style w:type="character" w:customStyle="1" w:styleId="apple-style-span">
    <w:name w:val="apple-style-span"/>
    <w:basedOn w:val="Carpredefinitoparagrafo"/>
    <w:rsid w:val="002A3793"/>
  </w:style>
  <w:style w:type="character" w:customStyle="1" w:styleId="apple-converted-space">
    <w:name w:val="apple-converted-space"/>
    <w:basedOn w:val="Carpredefinitoparagrafo"/>
    <w:rsid w:val="002A3793"/>
  </w:style>
  <w:style w:type="character" w:customStyle="1" w:styleId="black-text-b">
    <w:name w:val="black-text-b"/>
    <w:basedOn w:val="Carpredefinitoparagrafo"/>
    <w:rsid w:val="002A3793"/>
  </w:style>
  <w:style w:type="character" w:customStyle="1" w:styleId="pagetext">
    <w:name w:val="page_text"/>
    <w:basedOn w:val="Carpredefinitoparagrafo"/>
    <w:rsid w:val="002A3793"/>
  </w:style>
  <w:style w:type="character" w:customStyle="1" w:styleId="nbapihighlight">
    <w:name w:val="nbapihighlight"/>
    <w:basedOn w:val="Carpredefinitoparagrafo"/>
    <w:rsid w:val="002A3793"/>
  </w:style>
  <w:style w:type="character" w:customStyle="1" w:styleId="citation-abbreviation">
    <w:name w:val="citation-abbreviation"/>
    <w:basedOn w:val="Carpredefinitoparagrafo"/>
    <w:rsid w:val="002A3793"/>
  </w:style>
  <w:style w:type="character" w:customStyle="1" w:styleId="citation-publication-date">
    <w:name w:val="citation-publication-date"/>
    <w:basedOn w:val="Carpredefinitoparagrafo"/>
    <w:rsid w:val="002A3793"/>
  </w:style>
  <w:style w:type="character" w:customStyle="1" w:styleId="citation-volume">
    <w:name w:val="citation-volume"/>
    <w:basedOn w:val="Carpredefinitoparagrafo"/>
    <w:rsid w:val="002A3793"/>
  </w:style>
  <w:style w:type="character" w:customStyle="1" w:styleId="citation-issue">
    <w:name w:val="citation-issue"/>
    <w:basedOn w:val="Carpredefinitoparagrafo"/>
    <w:rsid w:val="002A3793"/>
  </w:style>
  <w:style w:type="character" w:customStyle="1" w:styleId="citation-flpages">
    <w:name w:val="citation-flpages"/>
    <w:basedOn w:val="Carpredefinitoparagrafo"/>
    <w:rsid w:val="002A3793"/>
  </w:style>
  <w:style w:type="character" w:customStyle="1" w:styleId="cit-auth2">
    <w:name w:val="cit-auth2"/>
    <w:basedOn w:val="Carpredefinitoparagrafo"/>
    <w:rsid w:val="002A3793"/>
  </w:style>
  <w:style w:type="character" w:customStyle="1" w:styleId="cit-name-surname">
    <w:name w:val="cit-name-surname"/>
    <w:basedOn w:val="Carpredefinitoparagrafo"/>
    <w:rsid w:val="002A3793"/>
  </w:style>
  <w:style w:type="character" w:customStyle="1" w:styleId="cit-name-given-names">
    <w:name w:val="cit-name-given-names"/>
    <w:basedOn w:val="Carpredefinitoparagrafo"/>
    <w:rsid w:val="002A3793"/>
  </w:style>
  <w:style w:type="character" w:customStyle="1" w:styleId="cit-etal">
    <w:name w:val="cit-etal"/>
    <w:basedOn w:val="Carpredefinitoparagrafo"/>
    <w:rsid w:val="002A3793"/>
  </w:style>
  <w:style w:type="character" w:customStyle="1" w:styleId="cit-pub-date">
    <w:name w:val="cit-pub-date"/>
    <w:basedOn w:val="Carpredefinitoparagrafo"/>
    <w:rsid w:val="002A3793"/>
  </w:style>
  <w:style w:type="character" w:customStyle="1" w:styleId="cit-article-title">
    <w:name w:val="cit-article-title"/>
    <w:basedOn w:val="Carpredefinitoparagrafo"/>
    <w:rsid w:val="002A3793"/>
  </w:style>
  <w:style w:type="character" w:customStyle="1" w:styleId="cit-vol3">
    <w:name w:val="cit-vol3"/>
    <w:basedOn w:val="Carpredefinitoparagrafo"/>
    <w:rsid w:val="002A3793"/>
  </w:style>
  <w:style w:type="character" w:customStyle="1" w:styleId="cit-supplement">
    <w:name w:val="cit-supplement"/>
    <w:basedOn w:val="Carpredefinitoparagrafo"/>
    <w:rsid w:val="002A3793"/>
  </w:style>
  <w:style w:type="character" w:customStyle="1" w:styleId="cit-fpage">
    <w:name w:val="cit-fpage"/>
    <w:basedOn w:val="Carpredefinitoparagrafo"/>
    <w:rsid w:val="002A3793"/>
  </w:style>
  <w:style w:type="character" w:customStyle="1" w:styleId="cit-comment">
    <w:name w:val="cit-comment"/>
    <w:basedOn w:val="Carpredefinitoparagrafo"/>
    <w:rsid w:val="002A3793"/>
  </w:style>
  <w:style w:type="paragraph" w:customStyle="1" w:styleId="desc1">
    <w:name w:val="desc1"/>
    <w:basedOn w:val="Normale"/>
    <w:rsid w:val="002A3793"/>
    <w:pPr>
      <w:spacing w:before="100" w:beforeAutospacing="1" w:after="100" w:afterAutospacing="1" w:line="240" w:lineRule="auto"/>
    </w:pPr>
    <w:rPr>
      <w:rFonts w:ascii="Times New Roman" w:eastAsia="Times New Roman" w:hAnsi="Times New Roman" w:cs="Times New Roman"/>
      <w:sz w:val="28"/>
      <w:szCs w:val="28"/>
      <w:lang w:val="el-GR" w:eastAsia="el-GR"/>
    </w:rPr>
  </w:style>
  <w:style w:type="paragraph" w:customStyle="1" w:styleId="details1">
    <w:name w:val="details1"/>
    <w:basedOn w:val="Normale"/>
    <w:rsid w:val="002A3793"/>
    <w:pPr>
      <w:spacing w:before="100" w:beforeAutospacing="1" w:after="100" w:afterAutospacing="1" w:line="240" w:lineRule="auto"/>
    </w:pPr>
    <w:rPr>
      <w:rFonts w:ascii="Times New Roman" w:eastAsia="Times New Roman" w:hAnsi="Times New Roman" w:cs="Times New Roman"/>
      <w:sz w:val="24"/>
      <w:szCs w:val="24"/>
      <w:lang w:val="el-GR" w:eastAsia="el-GR"/>
    </w:rPr>
  </w:style>
  <w:style w:type="character" w:customStyle="1" w:styleId="refpreview1">
    <w:name w:val="refpreview1"/>
    <w:rsid w:val="002A3793"/>
    <w:rPr>
      <w:vanish/>
      <w:webHidden w:val="0"/>
      <w:shd w:val="clear" w:color="auto" w:fill="EEEEEE"/>
      <w:specVanish w:val="0"/>
    </w:rPr>
  </w:style>
  <w:style w:type="character" w:customStyle="1" w:styleId="nbapihighlight2">
    <w:name w:val="nbapihighlight2"/>
    <w:basedOn w:val="Carpredefinitoparagrafo"/>
    <w:rsid w:val="002A3793"/>
  </w:style>
  <w:style w:type="character" w:customStyle="1" w:styleId="referencetext1">
    <w:name w:val="referencetext1"/>
    <w:rsid w:val="002A3793"/>
    <w:rPr>
      <w:vanish w:val="0"/>
      <w:webHidden w:val="0"/>
      <w:specVanish w:val="0"/>
    </w:rPr>
  </w:style>
  <w:style w:type="character" w:customStyle="1" w:styleId="highlight">
    <w:name w:val="highlight"/>
    <w:basedOn w:val="Carpredefinitoparagrafo"/>
    <w:rsid w:val="002A3793"/>
  </w:style>
  <w:style w:type="paragraph" w:customStyle="1" w:styleId="desc">
    <w:name w:val="desc"/>
    <w:basedOn w:val="Normale"/>
    <w:rsid w:val="002A3793"/>
    <w:pPr>
      <w:spacing w:before="100" w:beforeAutospacing="1" w:after="100" w:afterAutospacing="1" w:line="240" w:lineRule="auto"/>
    </w:pPr>
    <w:rPr>
      <w:rFonts w:ascii="Times New Roman" w:eastAsia="Times New Roman" w:hAnsi="Times New Roman" w:cs="Times New Roman"/>
      <w:sz w:val="24"/>
      <w:szCs w:val="24"/>
      <w:lang w:val="el-GR" w:eastAsia="el-GR"/>
    </w:rPr>
  </w:style>
  <w:style w:type="paragraph" w:customStyle="1" w:styleId="details">
    <w:name w:val="details"/>
    <w:basedOn w:val="Normale"/>
    <w:rsid w:val="002A3793"/>
    <w:pPr>
      <w:spacing w:before="100" w:beforeAutospacing="1" w:after="100" w:afterAutospacing="1" w:line="240" w:lineRule="auto"/>
    </w:pPr>
    <w:rPr>
      <w:rFonts w:ascii="Times New Roman" w:eastAsia="Times New Roman" w:hAnsi="Times New Roman" w:cs="Times New Roman"/>
      <w:sz w:val="24"/>
      <w:szCs w:val="24"/>
      <w:lang w:val="el-GR" w:eastAsia="el-GR"/>
    </w:rPr>
  </w:style>
  <w:style w:type="character" w:customStyle="1" w:styleId="citationbook">
    <w:name w:val="citation book"/>
    <w:basedOn w:val="Carpredefinitoparagrafo"/>
    <w:rsid w:val="002A3793"/>
  </w:style>
  <w:style w:type="character" w:customStyle="1" w:styleId="citationjournal">
    <w:name w:val="citation journal"/>
    <w:basedOn w:val="Carpredefinitoparagrafo"/>
    <w:rsid w:val="002A3793"/>
  </w:style>
  <w:style w:type="character" w:customStyle="1" w:styleId="spipsurligne">
    <w:name w:val="spip_surligne"/>
    <w:basedOn w:val="Carpredefinitoparagrafo"/>
    <w:rsid w:val="002A3793"/>
  </w:style>
  <w:style w:type="character" w:customStyle="1" w:styleId="name">
    <w:name w:val="name"/>
    <w:basedOn w:val="Carpredefinitoparagrafo"/>
    <w:rsid w:val="002A3793"/>
  </w:style>
  <w:style w:type="character" w:customStyle="1" w:styleId="slug-pub-date">
    <w:name w:val="slug-pub-date"/>
    <w:basedOn w:val="Carpredefinitoparagrafo"/>
    <w:rsid w:val="002A3793"/>
  </w:style>
  <w:style w:type="character" w:customStyle="1" w:styleId="slug-vol">
    <w:name w:val="slug-vol"/>
    <w:basedOn w:val="Carpredefinitoparagrafo"/>
    <w:rsid w:val="002A3793"/>
  </w:style>
  <w:style w:type="character" w:customStyle="1" w:styleId="slug-pages">
    <w:name w:val="slug-pages"/>
    <w:basedOn w:val="Carpredefinitoparagrafo"/>
    <w:rsid w:val="002A3793"/>
  </w:style>
  <w:style w:type="character" w:customStyle="1" w:styleId="hidden1">
    <w:name w:val="hidden1"/>
    <w:basedOn w:val="Carpredefinitoparagrafo"/>
    <w:rsid w:val="002A3793"/>
  </w:style>
  <w:style w:type="character" w:customStyle="1" w:styleId="hps">
    <w:name w:val="hps"/>
    <w:basedOn w:val="Carpredefinitoparagrafo"/>
    <w:rsid w:val="002A3793"/>
  </w:style>
  <w:style w:type="character" w:customStyle="1" w:styleId="hpsatn">
    <w:name w:val="hps atn"/>
    <w:basedOn w:val="Carpredefinitoparagrafo"/>
    <w:rsid w:val="002A3793"/>
  </w:style>
  <w:style w:type="character" w:customStyle="1" w:styleId="atn">
    <w:name w:val="atn"/>
    <w:basedOn w:val="Carpredefinitoparagrafo"/>
    <w:rsid w:val="002A3793"/>
  </w:style>
  <w:style w:type="character" w:customStyle="1" w:styleId="printhide">
    <w:name w:val="printhide"/>
    <w:basedOn w:val="Carpredefinitoparagrafo"/>
    <w:rsid w:val="002A3793"/>
  </w:style>
  <w:style w:type="character" w:customStyle="1" w:styleId="spelle">
    <w:name w:val="spelle"/>
    <w:basedOn w:val="Carpredefinitoparagrafo"/>
    <w:rsid w:val="002A3793"/>
  </w:style>
  <w:style w:type="character" w:customStyle="1" w:styleId="Sottotitolo1">
    <w:name w:val="Sottotitolo1"/>
    <w:basedOn w:val="Carpredefinitoparagrafo"/>
    <w:rsid w:val="002A3793"/>
  </w:style>
  <w:style w:type="character" w:customStyle="1" w:styleId="st">
    <w:name w:val="st"/>
    <w:basedOn w:val="Carpredefinitoparagrafo"/>
    <w:rsid w:val="002A3793"/>
  </w:style>
  <w:style w:type="character" w:customStyle="1" w:styleId="Ttulo1Char">
    <w:name w:val="Título 1 Char"/>
    <w:rsid w:val="002A3793"/>
    <w:rPr>
      <w:rFonts w:cs="Arial"/>
      <w:b/>
      <w:bCs/>
      <w:kern w:val="32"/>
      <w:sz w:val="24"/>
      <w:szCs w:val="32"/>
      <w:lang w:val="en-US" w:eastAsia="en-US" w:bidi="ar-SA"/>
    </w:rPr>
  </w:style>
  <w:style w:type="paragraph" w:customStyle="1" w:styleId="yenexitesis">
    <w:name w:val="yenexi_tesis"/>
    <w:basedOn w:val="Normale"/>
    <w:autoRedefine/>
    <w:rsid w:val="002A3793"/>
    <w:pPr>
      <w:spacing w:before="120" w:after="120" w:line="360" w:lineRule="auto"/>
      <w:jc w:val="both"/>
    </w:pPr>
    <w:rPr>
      <w:rFonts w:ascii="Arial" w:eastAsia="Times New Roman" w:hAnsi="Arial" w:cs="Times New Roman"/>
      <w:sz w:val="24"/>
      <w:szCs w:val="24"/>
      <w:lang w:val="en-US"/>
    </w:rPr>
  </w:style>
  <w:style w:type="paragraph" w:customStyle="1" w:styleId="MRMC">
    <w:name w:val="MRMC"/>
    <w:basedOn w:val="Normale"/>
    <w:autoRedefine/>
    <w:rsid w:val="002A3793"/>
    <w:pPr>
      <w:widowControl w:val="0"/>
      <w:suppressAutoHyphens/>
      <w:spacing w:after="0" w:line="480" w:lineRule="auto"/>
      <w:jc w:val="both"/>
    </w:pPr>
    <w:rPr>
      <w:rFonts w:ascii="Times New Roman" w:eastAsia="DejaVu Sans" w:hAnsi="Times New Roman" w:cs="Times New Roman"/>
      <w:sz w:val="24"/>
      <w:szCs w:val="24"/>
      <w:lang w:val="en-US"/>
    </w:rPr>
  </w:style>
  <w:style w:type="paragraph" w:styleId="Corpodeltesto2">
    <w:name w:val="Body Text 2"/>
    <w:basedOn w:val="Normale"/>
    <w:link w:val="Corpodeltesto2Carattere"/>
    <w:rsid w:val="002A3793"/>
    <w:pPr>
      <w:spacing w:after="0" w:line="480" w:lineRule="auto"/>
      <w:jc w:val="both"/>
    </w:pPr>
    <w:rPr>
      <w:rFonts w:ascii="Times New Roman" w:eastAsia="Times New Roman" w:hAnsi="Times New Roman" w:cs="Times New Roman"/>
      <w:sz w:val="24"/>
      <w:szCs w:val="20"/>
      <w:lang w:val="en-US" w:eastAsia="es-ES"/>
    </w:rPr>
  </w:style>
  <w:style w:type="character" w:customStyle="1" w:styleId="Corpodeltesto2Carattere">
    <w:name w:val="Corpo del testo 2 Carattere"/>
    <w:basedOn w:val="Carpredefinitoparagrafo"/>
    <w:link w:val="Corpodeltesto2"/>
    <w:rsid w:val="002A3793"/>
    <w:rPr>
      <w:rFonts w:ascii="Times New Roman" w:eastAsia="Times New Roman" w:hAnsi="Times New Roman" w:cs="Times New Roman"/>
      <w:sz w:val="24"/>
      <w:szCs w:val="20"/>
      <w:lang w:val="en-US" w:eastAsia="es-ES"/>
    </w:rPr>
  </w:style>
  <w:style w:type="paragraph" w:styleId="Didascalia">
    <w:name w:val="caption"/>
    <w:basedOn w:val="Normale"/>
    <w:next w:val="Normale"/>
    <w:qFormat/>
    <w:rsid w:val="002A3793"/>
    <w:pPr>
      <w:spacing w:after="0" w:line="240" w:lineRule="auto"/>
    </w:pPr>
    <w:rPr>
      <w:rFonts w:ascii="Times New Roman" w:eastAsia="Times New Roman" w:hAnsi="Times New Roman" w:cs="Times New Roman"/>
      <w:b/>
      <w:bCs/>
      <w:sz w:val="20"/>
      <w:szCs w:val="20"/>
      <w:lang w:val="en-US"/>
    </w:rPr>
  </w:style>
  <w:style w:type="character" w:customStyle="1" w:styleId="RodapChar">
    <w:name w:val="Rodapé Char"/>
    <w:rsid w:val="002A3793"/>
    <w:rPr>
      <w:sz w:val="24"/>
      <w:szCs w:val="24"/>
      <w:lang w:val="en-US" w:eastAsia="en-US" w:bidi="ar-SA"/>
    </w:rPr>
  </w:style>
  <w:style w:type="character" w:customStyle="1" w:styleId="BCAuthorAddressCarattere">
    <w:name w:val="BC_Author_Address Carattere"/>
    <w:rsid w:val="002A3793"/>
    <w:rPr>
      <w:noProof w:val="0"/>
      <w:sz w:val="24"/>
      <w:lang w:val="it-IT"/>
    </w:rPr>
  </w:style>
  <w:style w:type="paragraph" w:customStyle="1" w:styleId="NormaleCorsivo">
    <w:name w:val="Normale + Corsivo"/>
    <w:basedOn w:val="Normale"/>
    <w:rsid w:val="002A3793"/>
    <w:pPr>
      <w:spacing w:after="0" w:line="240" w:lineRule="auto"/>
    </w:pPr>
    <w:rPr>
      <w:rFonts w:ascii="Times New Roman" w:eastAsia="Times New Roman" w:hAnsi="Times New Roman" w:cs="Times New Roman"/>
      <w:i/>
      <w:sz w:val="24"/>
      <w:szCs w:val="24"/>
      <w:vertAlign w:val="superscript"/>
      <w:lang w:val="it-IT" w:eastAsia="it-IT"/>
    </w:rPr>
  </w:style>
  <w:style w:type="character" w:customStyle="1" w:styleId="rwrro">
    <w:name w:val="rwrro"/>
    <w:basedOn w:val="Carpredefinitoparagrafo"/>
    <w:rsid w:val="002A3793"/>
  </w:style>
  <w:style w:type="paragraph" w:customStyle="1" w:styleId="TAMainText">
    <w:name w:val="TA_Main_Text"/>
    <w:basedOn w:val="Normale"/>
    <w:rsid w:val="002A3793"/>
    <w:pPr>
      <w:spacing w:after="0" w:line="480" w:lineRule="auto"/>
      <w:ind w:firstLine="202"/>
      <w:jc w:val="both"/>
    </w:pPr>
    <w:rPr>
      <w:rFonts w:ascii="Times" w:eastAsia="Times New Roman" w:hAnsi="Times" w:cs="Times New Roman"/>
      <w:sz w:val="24"/>
      <w:szCs w:val="20"/>
      <w:lang w:val="en-US"/>
    </w:rPr>
  </w:style>
  <w:style w:type="paragraph" w:customStyle="1" w:styleId="BATitle">
    <w:name w:val="BA_Title"/>
    <w:basedOn w:val="Normale"/>
    <w:next w:val="Normale"/>
    <w:rsid w:val="002A3793"/>
    <w:pPr>
      <w:spacing w:before="720" w:after="360" w:line="480" w:lineRule="auto"/>
      <w:jc w:val="center"/>
    </w:pPr>
    <w:rPr>
      <w:rFonts w:ascii="Times New Roman" w:eastAsia="Times New Roman" w:hAnsi="Times New Roman" w:cs="Times New Roman"/>
      <w:sz w:val="44"/>
      <w:szCs w:val="20"/>
      <w:lang w:val="en-US"/>
    </w:rPr>
  </w:style>
  <w:style w:type="paragraph" w:customStyle="1" w:styleId="BBAuthorName">
    <w:name w:val="BB_Author_Name"/>
    <w:basedOn w:val="Normale"/>
    <w:next w:val="Normale"/>
    <w:rsid w:val="002A3793"/>
    <w:pPr>
      <w:spacing w:after="240" w:line="480" w:lineRule="auto"/>
      <w:jc w:val="center"/>
    </w:pPr>
    <w:rPr>
      <w:rFonts w:ascii="Times" w:eastAsia="Times New Roman" w:hAnsi="Times" w:cs="Times New Roman"/>
      <w:i/>
      <w:sz w:val="24"/>
      <w:szCs w:val="20"/>
      <w:lang w:val="en-US"/>
    </w:rPr>
  </w:style>
  <w:style w:type="character" w:customStyle="1" w:styleId="ldacoc">
    <w:name w:val="ldacoc"/>
    <w:basedOn w:val="Carpredefinitoparagrafo"/>
    <w:rsid w:val="002A3793"/>
  </w:style>
  <w:style w:type="paragraph" w:customStyle="1" w:styleId="BDAbstract">
    <w:name w:val="BD_Abstract"/>
    <w:basedOn w:val="Normale"/>
    <w:next w:val="Normale"/>
    <w:rsid w:val="002A3793"/>
    <w:pPr>
      <w:spacing w:before="360" w:after="360" w:line="480" w:lineRule="auto"/>
      <w:jc w:val="both"/>
    </w:pPr>
    <w:rPr>
      <w:rFonts w:ascii="Times" w:eastAsia="Times New Roman" w:hAnsi="Times" w:cs="Times New Roman"/>
      <w:sz w:val="24"/>
      <w:szCs w:val="20"/>
      <w:lang w:val="en-US"/>
    </w:rPr>
  </w:style>
  <w:style w:type="paragraph" w:customStyle="1" w:styleId="TFReferencesSection">
    <w:name w:val="TF_References_Section"/>
    <w:basedOn w:val="Normale"/>
    <w:rsid w:val="002A3793"/>
    <w:pPr>
      <w:spacing w:after="200" w:line="480" w:lineRule="auto"/>
      <w:ind w:firstLine="187"/>
      <w:jc w:val="both"/>
    </w:pPr>
    <w:rPr>
      <w:rFonts w:ascii="Times" w:eastAsia="Times New Roman" w:hAnsi="Times" w:cs="Times New Roman"/>
      <w:sz w:val="24"/>
      <w:szCs w:val="20"/>
      <w:lang w:val="en-US"/>
    </w:rPr>
  </w:style>
  <w:style w:type="character" w:customStyle="1" w:styleId="TextodenotaderodapChar">
    <w:name w:val="Texto de nota de rodapé Char"/>
    <w:rsid w:val="002A3793"/>
    <w:rPr>
      <w:rFonts w:ascii="Times" w:hAnsi="Times"/>
      <w:sz w:val="24"/>
      <w:lang w:val="en-US" w:eastAsia="en-US" w:bidi="ar-SA"/>
    </w:rPr>
  </w:style>
  <w:style w:type="paragraph" w:customStyle="1" w:styleId="BCAuthorAddress">
    <w:name w:val="BC_Author_Address"/>
    <w:basedOn w:val="Normale"/>
    <w:next w:val="BIEmailAddress"/>
    <w:rsid w:val="002A3793"/>
    <w:pPr>
      <w:spacing w:after="240" w:line="480" w:lineRule="auto"/>
      <w:jc w:val="center"/>
    </w:pPr>
    <w:rPr>
      <w:rFonts w:ascii="Times" w:eastAsia="Times New Roman" w:hAnsi="Times" w:cs="Times New Roman"/>
      <w:sz w:val="24"/>
      <w:szCs w:val="20"/>
      <w:lang w:val="en-US"/>
    </w:rPr>
  </w:style>
  <w:style w:type="paragraph" w:customStyle="1" w:styleId="AIReceivedDate">
    <w:name w:val="AI_Received_Date"/>
    <w:basedOn w:val="Normale"/>
    <w:next w:val="BDAbstract"/>
    <w:rsid w:val="002A3793"/>
    <w:pPr>
      <w:spacing w:after="240" w:line="480" w:lineRule="auto"/>
      <w:jc w:val="both"/>
    </w:pPr>
    <w:rPr>
      <w:rFonts w:ascii="Times" w:eastAsia="Times New Roman" w:hAnsi="Times" w:cs="Times New Roman"/>
      <w:b/>
      <w:sz w:val="24"/>
      <w:szCs w:val="20"/>
      <w:lang w:val="en-US"/>
    </w:rPr>
  </w:style>
  <w:style w:type="paragraph" w:customStyle="1" w:styleId="TDAcknowledgments">
    <w:name w:val="TD_Acknowledgments"/>
    <w:basedOn w:val="Normale"/>
    <w:next w:val="Normale"/>
    <w:rsid w:val="002A3793"/>
    <w:pPr>
      <w:spacing w:before="200" w:after="200" w:line="480" w:lineRule="auto"/>
      <w:ind w:firstLine="202"/>
      <w:jc w:val="both"/>
    </w:pPr>
    <w:rPr>
      <w:rFonts w:ascii="Times" w:eastAsia="Times New Roman" w:hAnsi="Times" w:cs="Times New Roman"/>
      <w:sz w:val="24"/>
      <w:szCs w:val="20"/>
      <w:lang w:val="en-US"/>
    </w:rPr>
  </w:style>
  <w:style w:type="paragraph" w:customStyle="1" w:styleId="TESupportingInformation">
    <w:name w:val="TE_Supporting_Information"/>
    <w:basedOn w:val="Normale"/>
    <w:next w:val="Normale"/>
    <w:rsid w:val="002A3793"/>
    <w:pPr>
      <w:spacing w:after="200" w:line="480" w:lineRule="auto"/>
      <w:ind w:firstLine="187"/>
      <w:jc w:val="both"/>
    </w:pPr>
    <w:rPr>
      <w:rFonts w:ascii="Times" w:eastAsia="Times New Roman" w:hAnsi="Times" w:cs="Times New Roman"/>
      <w:sz w:val="24"/>
      <w:szCs w:val="20"/>
      <w:lang w:val="en-US"/>
    </w:rPr>
  </w:style>
  <w:style w:type="paragraph" w:customStyle="1" w:styleId="VCSchemeTitle">
    <w:name w:val="VC_Scheme_Title"/>
    <w:basedOn w:val="Normale"/>
    <w:next w:val="Normale"/>
    <w:rsid w:val="002A3793"/>
    <w:pPr>
      <w:spacing w:after="200" w:line="480" w:lineRule="auto"/>
      <w:jc w:val="both"/>
    </w:pPr>
    <w:rPr>
      <w:rFonts w:ascii="Times" w:eastAsia="Times New Roman" w:hAnsi="Times" w:cs="Times New Roman"/>
      <w:sz w:val="24"/>
      <w:szCs w:val="20"/>
      <w:lang w:val="en-US"/>
    </w:rPr>
  </w:style>
  <w:style w:type="paragraph" w:customStyle="1" w:styleId="VDTableTitle">
    <w:name w:val="VD_Table_Title"/>
    <w:basedOn w:val="Normale"/>
    <w:next w:val="Normale"/>
    <w:rsid w:val="002A3793"/>
    <w:pPr>
      <w:spacing w:after="200" w:line="480" w:lineRule="auto"/>
      <w:jc w:val="both"/>
    </w:pPr>
    <w:rPr>
      <w:rFonts w:ascii="Times" w:eastAsia="Times New Roman" w:hAnsi="Times" w:cs="Times New Roman"/>
      <w:sz w:val="24"/>
      <w:szCs w:val="20"/>
      <w:lang w:val="en-US"/>
    </w:rPr>
  </w:style>
  <w:style w:type="paragraph" w:customStyle="1" w:styleId="VAFigureCaption">
    <w:name w:val="VA_Figure_Caption"/>
    <w:basedOn w:val="Normale"/>
    <w:next w:val="Normale"/>
    <w:rsid w:val="002A3793"/>
    <w:pPr>
      <w:spacing w:after="200" w:line="480" w:lineRule="auto"/>
      <w:jc w:val="both"/>
    </w:pPr>
    <w:rPr>
      <w:rFonts w:ascii="Times" w:eastAsia="Times New Roman" w:hAnsi="Times" w:cs="Times New Roman"/>
      <w:sz w:val="24"/>
      <w:szCs w:val="20"/>
      <w:lang w:val="en-US"/>
    </w:rPr>
  </w:style>
  <w:style w:type="paragraph" w:customStyle="1" w:styleId="VBChartTitle">
    <w:name w:val="VB_Chart_Title"/>
    <w:basedOn w:val="Normale"/>
    <w:next w:val="Normale"/>
    <w:rsid w:val="002A3793"/>
    <w:pPr>
      <w:spacing w:after="200" w:line="480" w:lineRule="auto"/>
      <w:jc w:val="both"/>
    </w:pPr>
    <w:rPr>
      <w:rFonts w:ascii="Times" w:eastAsia="Times New Roman" w:hAnsi="Times" w:cs="Times New Roman"/>
      <w:sz w:val="24"/>
      <w:szCs w:val="20"/>
      <w:lang w:val="en-US"/>
    </w:rPr>
  </w:style>
  <w:style w:type="paragraph" w:customStyle="1" w:styleId="FETableFootnote">
    <w:name w:val="FE_Table_Footnote"/>
    <w:basedOn w:val="Normale"/>
    <w:next w:val="Normale"/>
    <w:rsid w:val="002A3793"/>
    <w:pPr>
      <w:spacing w:after="200" w:line="240" w:lineRule="auto"/>
      <w:ind w:firstLine="187"/>
      <w:jc w:val="both"/>
    </w:pPr>
    <w:rPr>
      <w:rFonts w:ascii="Times" w:eastAsia="Times New Roman" w:hAnsi="Times" w:cs="Times New Roman"/>
      <w:sz w:val="24"/>
      <w:szCs w:val="20"/>
      <w:lang w:val="en-US"/>
    </w:rPr>
  </w:style>
  <w:style w:type="paragraph" w:customStyle="1" w:styleId="FCChartFootnote">
    <w:name w:val="FC_Chart_Footnote"/>
    <w:basedOn w:val="Normale"/>
    <w:next w:val="Normale"/>
    <w:rsid w:val="002A3793"/>
    <w:pPr>
      <w:spacing w:after="200" w:line="240" w:lineRule="auto"/>
      <w:ind w:firstLine="187"/>
      <w:jc w:val="both"/>
    </w:pPr>
    <w:rPr>
      <w:rFonts w:ascii="Times" w:eastAsia="Times New Roman" w:hAnsi="Times" w:cs="Times New Roman"/>
      <w:sz w:val="24"/>
      <w:szCs w:val="20"/>
      <w:lang w:val="en-US"/>
    </w:rPr>
  </w:style>
  <w:style w:type="paragraph" w:customStyle="1" w:styleId="FDSchemeFootnote">
    <w:name w:val="FD_Scheme_Footnote"/>
    <w:basedOn w:val="Normale"/>
    <w:next w:val="Normale"/>
    <w:rsid w:val="002A3793"/>
    <w:pPr>
      <w:spacing w:after="200" w:line="240" w:lineRule="auto"/>
      <w:ind w:firstLine="187"/>
      <w:jc w:val="both"/>
    </w:pPr>
    <w:rPr>
      <w:rFonts w:ascii="Times" w:eastAsia="Times New Roman" w:hAnsi="Times" w:cs="Times New Roman"/>
      <w:sz w:val="24"/>
      <w:szCs w:val="20"/>
      <w:lang w:val="en-US"/>
    </w:rPr>
  </w:style>
  <w:style w:type="paragraph" w:customStyle="1" w:styleId="TCTableBody">
    <w:name w:val="TC_Table_Body"/>
    <w:basedOn w:val="Normale"/>
    <w:rsid w:val="002A3793"/>
    <w:pPr>
      <w:spacing w:after="200" w:line="240" w:lineRule="auto"/>
      <w:jc w:val="both"/>
    </w:pPr>
    <w:rPr>
      <w:rFonts w:ascii="Times" w:eastAsia="Times New Roman" w:hAnsi="Times" w:cs="Times New Roman"/>
      <w:sz w:val="24"/>
      <w:szCs w:val="20"/>
      <w:lang w:val="en-US"/>
    </w:rPr>
  </w:style>
  <w:style w:type="paragraph" w:customStyle="1" w:styleId="AFTitleRunningHead">
    <w:name w:val="AF_Title_Running_Head"/>
    <w:basedOn w:val="Normale"/>
    <w:next w:val="TAMainText"/>
    <w:rsid w:val="002A3793"/>
    <w:pPr>
      <w:spacing w:after="200" w:line="480" w:lineRule="auto"/>
      <w:jc w:val="both"/>
    </w:pPr>
    <w:rPr>
      <w:rFonts w:ascii="Times" w:eastAsia="Times New Roman" w:hAnsi="Times" w:cs="Times New Roman"/>
      <w:sz w:val="24"/>
      <w:szCs w:val="20"/>
      <w:lang w:val="en-US"/>
    </w:rPr>
  </w:style>
  <w:style w:type="paragraph" w:customStyle="1" w:styleId="BEAuthorBiography">
    <w:name w:val="BE_Author_Biography"/>
    <w:basedOn w:val="Normale"/>
    <w:rsid w:val="002A3793"/>
    <w:pPr>
      <w:spacing w:after="200" w:line="480" w:lineRule="auto"/>
      <w:jc w:val="both"/>
    </w:pPr>
    <w:rPr>
      <w:rFonts w:ascii="Times" w:eastAsia="Times New Roman" w:hAnsi="Times" w:cs="Times New Roman"/>
      <w:sz w:val="24"/>
      <w:szCs w:val="20"/>
      <w:lang w:val="en-US"/>
    </w:rPr>
  </w:style>
  <w:style w:type="paragraph" w:customStyle="1" w:styleId="SNSynopsisTOC">
    <w:name w:val="SN_Synopsis_TOC"/>
    <w:basedOn w:val="Normale"/>
    <w:rsid w:val="002A3793"/>
    <w:pPr>
      <w:spacing w:after="200" w:line="480" w:lineRule="auto"/>
      <w:jc w:val="both"/>
    </w:pPr>
    <w:rPr>
      <w:rFonts w:ascii="Times" w:eastAsia="Times New Roman" w:hAnsi="Times" w:cs="Times New Roman"/>
      <w:sz w:val="24"/>
      <w:szCs w:val="20"/>
      <w:lang w:val="en-US"/>
    </w:rPr>
  </w:style>
  <w:style w:type="paragraph" w:customStyle="1" w:styleId="BGKeywords">
    <w:name w:val="BG_Keywords"/>
    <w:basedOn w:val="Normale"/>
    <w:rsid w:val="002A3793"/>
    <w:pPr>
      <w:spacing w:after="200" w:line="480" w:lineRule="auto"/>
      <w:jc w:val="both"/>
    </w:pPr>
    <w:rPr>
      <w:rFonts w:ascii="Times" w:eastAsia="Times New Roman" w:hAnsi="Times" w:cs="Times New Roman"/>
      <w:sz w:val="24"/>
      <w:szCs w:val="20"/>
      <w:lang w:val="en-US"/>
    </w:rPr>
  </w:style>
  <w:style w:type="paragraph" w:customStyle="1" w:styleId="BHBriefs">
    <w:name w:val="BH_Briefs"/>
    <w:basedOn w:val="Normale"/>
    <w:rsid w:val="002A3793"/>
    <w:pPr>
      <w:spacing w:after="200" w:line="480" w:lineRule="auto"/>
      <w:jc w:val="both"/>
    </w:pPr>
    <w:rPr>
      <w:rFonts w:ascii="Times" w:eastAsia="Times New Roman" w:hAnsi="Times" w:cs="Times New Roman"/>
      <w:sz w:val="24"/>
      <w:szCs w:val="20"/>
      <w:lang w:val="en-US"/>
    </w:rPr>
  </w:style>
  <w:style w:type="paragraph" w:customStyle="1" w:styleId="BMCLNORMAL">
    <w:name w:val="BMCL NORMAL"/>
    <w:basedOn w:val="Normale"/>
    <w:next w:val="Normale"/>
    <w:rsid w:val="002A3793"/>
    <w:pPr>
      <w:widowControl w:val="0"/>
      <w:spacing w:after="0" w:line="230" w:lineRule="exact"/>
      <w:jc w:val="both"/>
    </w:pPr>
    <w:rPr>
      <w:rFonts w:ascii="Times New Roman" w:eastAsia="Times New Roman" w:hAnsi="Times New Roman" w:cs="Times New Roman"/>
      <w:sz w:val="21"/>
      <w:szCs w:val="20"/>
      <w:lang w:val="en-US"/>
    </w:rPr>
  </w:style>
  <w:style w:type="paragraph" w:customStyle="1" w:styleId="BMCLRECEIPT">
    <w:name w:val="BMCL RECEIPT"/>
    <w:basedOn w:val="BMCLNORMAL"/>
    <w:next w:val="Normale"/>
    <w:rsid w:val="002A3793"/>
    <w:pPr>
      <w:spacing w:after="240" w:line="200" w:lineRule="exact"/>
      <w:jc w:val="center"/>
    </w:pPr>
    <w:rPr>
      <w:sz w:val="16"/>
    </w:rPr>
  </w:style>
  <w:style w:type="paragraph" w:styleId="Paragrafoelenco">
    <w:name w:val="List Paragraph"/>
    <w:basedOn w:val="Normale"/>
    <w:qFormat/>
    <w:rsid w:val="002A3793"/>
    <w:pPr>
      <w:numPr>
        <w:numId w:val="2"/>
      </w:numPr>
      <w:spacing w:after="200" w:line="276" w:lineRule="auto"/>
      <w:ind w:left="284" w:hanging="284"/>
      <w:contextualSpacing/>
      <w:jc w:val="both"/>
    </w:pPr>
    <w:rPr>
      <w:rFonts w:ascii="Times New Roman" w:eastAsia="PMingLiU" w:hAnsi="Times New Roman" w:cs="Times New Roman"/>
      <w:color w:val="131413"/>
      <w:sz w:val="20"/>
      <w:szCs w:val="20"/>
      <w:lang w:val="en-US" w:eastAsia="zh-TW"/>
    </w:rPr>
  </w:style>
  <w:style w:type="character" w:customStyle="1" w:styleId="book-details-italic1">
    <w:name w:val="book-details-italic1"/>
    <w:rsid w:val="002A3793"/>
    <w:rPr>
      <w:rFonts w:ascii="Georgia" w:hAnsi="Georgia" w:hint="default"/>
      <w:color w:val="999999"/>
      <w:sz w:val="12"/>
      <w:szCs w:val="12"/>
    </w:rPr>
  </w:style>
  <w:style w:type="paragraph" w:customStyle="1" w:styleId="BMCLREFERENCE">
    <w:name w:val="BMCL REFERENCE"/>
    <w:basedOn w:val="BMCLNORMAL"/>
    <w:rsid w:val="002A3793"/>
    <w:pPr>
      <w:tabs>
        <w:tab w:val="left" w:pos="360"/>
      </w:tabs>
    </w:pPr>
    <w:rPr>
      <w:sz w:val="20"/>
    </w:rPr>
  </w:style>
  <w:style w:type="character" w:customStyle="1" w:styleId="mediumtext1">
    <w:name w:val="medium_text1"/>
    <w:rsid w:val="002A3793"/>
    <w:rPr>
      <w:sz w:val="24"/>
      <w:szCs w:val="24"/>
    </w:rPr>
  </w:style>
  <w:style w:type="character" w:customStyle="1" w:styleId="shorttext1">
    <w:name w:val="short_text1"/>
    <w:rsid w:val="002A3793"/>
    <w:rPr>
      <w:sz w:val="20"/>
      <w:szCs w:val="20"/>
    </w:rPr>
  </w:style>
  <w:style w:type="paragraph" w:customStyle="1" w:styleId="Estndar">
    <w:name w:val="Estándar"/>
    <w:basedOn w:val="Normale"/>
    <w:rsid w:val="002A3793"/>
    <w:pPr>
      <w:overflowPunct w:val="0"/>
      <w:autoSpaceDE w:val="0"/>
      <w:autoSpaceDN w:val="0"/>
      <w:adjustRightInd w:val="0"/>
      <w:spacing w:after="0" w:line="360" w:lineRule="auto"/>
      <w:jc w:val="center"/>
      <w:textAlignment w:val="baseline"/>
    </w:pPr>
    <w:rPr>
      <w:rFonts w:ascii="Helv" w:eastAsia="Times New Roman" w:hAnsi="Helv" w:cs="Times New Roman"/>
      <w:sz w:val="20"/>
      <w:szCs w:val="20"/>
      <w:lang w:eastAsia="es-ES"/>
    </w:rPr>
  </w:style>
  <w:style w:type="paragraph" w:styleId="Rientrocorpodeltesto3">
    <w:name w:val="Body Text Indent 3"/>
    <w:basedOn w:val="Normale"/>
    <w:link w:val="Rientrocorpodeltesto3Carattere"/>
    <w:rsid w:val="002A3793"/>
    <w:pPr>
      <w:spacing w:after="120" w:line="240" w:lineRule="auto"/>
      <w:ind w:left="283"/>
    </w:pPr>
    <w:rPr>
      <w:rFonts w:ascii="Times New Roman" w:eastAsia="Times New Roman" w:hAnsi="Times New Roman" w:cs="Times New Roman"/>
      <w:sz w:val="16"/>
      <w:szCs w:val="16"/>
      <w:lang w:val="es-ES" w:eastAsia="es-ES" w:bidi="he-IL"/>
    </w:rPr>
  </w:style>
  <w:style w:type="character" w:customStyle="1" w:styleId="Rientrocorpodeltesto3Carattere">
    <w:name w:val="Rientro corpo del testo 3 Carattere"/>
    <w:basedOn w:val="Carpredefinitoparagrafo"/>
    <w:link w:val="Rientrocorpodeltesto3"/>
    <w:rsid w:val="002A3793"/>
    <w:rPr>
      <w:rFonts w:ascii="Times New Roman" w:eastAsia="Times New Roman" w:hAnsi="Times New Roman" w:cs="Times New Roman"/>
      <w:sz w:val="16"/>
      <w:szCs w:val="16"/>
      <w:lang w:val="es-ES" w:eastAsia="es-ES" w:bidi="he-IL"/>
    </w:rPr>
  </w:style>
  <w:style w:type="character" w:customStyle="1" w:styleId="Recuodecorpodetexto3Char">
    <w:name w:val="Recuo de corpo de texto 3 Char"/>
    <w:rsid w:val="002A3793"/>
    <w:rPr>
      <w:sz w:val="16"/>
      <w:szCs w:val="16"/>
      <w:lang w:val="es-ES" w:eastAsia="es-ES" w:bidi="he-IL"/>
    </w:rPr>
  </w:style>
  <w:style w:type="character" w:customStyle="1" w:styleId="googqs-tidbit1">
    <w:name w:val="goog_qs-tidbit1"/>
    <w:rsid w:val="002A3793"/>
    <w:rPr>
      <w:vanish w:val="0"/>
      <w:webHidden w:val="0"/>
      <w:specVanish w:val="0"/>
    </w:rPr>
  </w:style>
  <w:style w:type="paragraph" w:customStyle="1" w:styleId="msolistparagraph0">
    <w:name w:val="msolistparagraph"/>
    <w:basedOn w:val="Normale"/>
    <w:rsid w:val="002A3793"/>
    <w:pPr>
      <w:spacing w:after="200" w:line="240" w:lineRule="auto"/>
      <w:ind w:left="720"/>
    </w:pPr>
    <w:rPr>
      <w:rFonts w:ascii="Times New Roman" w:eastAsia="Cambria" w:hAnsi="Times New Roman" w:cs="Times New Roman"/>
      <w:sz w:val="24"/>
      <w:szCs w:val="20"/>
      <w:lang w:val="en-US"/>
    </w:rPr>
  </w:style>
  <w:style w:type="paragraph" w:customStyle="1" w:styleId="Titolo11">
    <w:name w:val="Titolo1"/>
    <w:basedOn w:val="Normale"/>
    <w:next w:val="Normale"/>
    <w:rsid w:val="002A3793"/>
    <w:pPr>
      <w:spacing w:before="230" w:after="230" w:line="300" w:lineRule="exact"/>
      <w:jc w:val="center"/>
    </w:pPr>
    <w:rPr>
      <w:rFonts w:ascii="Times New Roman" w:eastAsia="MS Mincho" w:hAnsi="Times New Roman" w:cs="Times New Roman"/>
      <w:b/>
      <w:sz w:val="28"/>
      <w:szCs w:val="28"/>
      <w:lang w:eastAsia="ja-JP"/>
    </w:rPr>
  </w:style>
  <w:style w:type="paragraph" w:customStyle="1" w:styleId="Authors">
    <w:name w:val="Authors"/>
    <w:basedOn w:val="Normale"/>
    <w:rsid w:val="002A3793"/>
    <w:pPr>
      <w:spacing w:before="360" w:after="460" w:line="260" w:lineRule="exact"/>
      <w:jc w:val="center"/>
    </w:pPr>
    <w:rPr>
      <w:rFonts w:ascii="Times New Roman" w:eastAsia="MS Mincho" w:hAnsi="Times New Roman" w:cs="Times New Roman"/>
      <w:b/>
      <w:sz w:val="24"/>
      <w:szCs w:val="24"/>
      <w:lang w:eastAsia="ja-JP"/>
    </w:rPr>
  </w:style>
  <w:style w:type="paragraph" w:customStyle="1" w:styleId="Adress">
    <w:name w:val="Adress"/>
    <w:basedOn w:val="Normale"/>
    <w:rsid w:val="002A3793"/>
    <w:pPr>
      <w:spacing w:after="0" w:line="180" w:lineRule="exact"/>
      <w:ind w:left="425" w:hanging="425"/>
    </w:pPr>
    <w:rPr>
      <w:rFonts w:ascii="Times New Roman" w:eastAsia="MS Mincho" w:hAnsi="Times New Roman" w:cs="Times New Roman"/>
      <w:sz w:val="16"/>
      <w:szCs w:val="20"/>
      <w:lang w:eastAsia="ja-JP"/>
    </w:rPr>
  </w:style>
  <w:style w:type="paragraph" w:customStyle="1" w:styleId="Keywords">
    <w:name w:val="Keywords"/>
    <w:basedOn w:val="Normale"/>
    <w:rsid w:val="002A3793"/>
    <w:pPr>
      <w:spacing w:after="120" w:line="220" w:lineRule="exact"/>
      <w:ind w:left="170" w:right="170"/>
    </w:pPr>
    <w:rPr>
      <w:rFonts w:ascii="Times New Roman" w:eastAsia="MS Mincho" w:hAnsi="Times New Roman" w:cs="Times New Roman"/>
      <w:sz w:val="18"/>
      <w:szCs w:val="20"/>
      <w:lang w:eastAsia="ja-JP"/>
    </w:rPr>
  </w:style>
  <w:style w:type="paragraph" w:customStyle="1" w:styleId="HAcknowledgment">
    <w:name w:val="HAcknowledgment"/>
    <w:basedOn w:val="Normale"/>
    <w:rsid w:val="002A3793"/>
    <w:pPr>
      <w:spacing w:before="360" w:after="230" w:line="240" w:lineRule="exact"/>
    </w:pPr>
    <w:rPr>
      <w:rFonts w:ascii="Times New Roman" w:eastAsia="MS Mincho" w:hAnsi="Times New Roman" w:cs="Times New Roman"/>
      <w:b/>
      <w:szCs w:val="24"/>
      <w:lang w:eastAsia="ja-JP"/>
    </w:rPr>
  </w:style>
  <w:style w:type="paragraph" w:customStyle="1" w:styleId="H1">
    <w:name w:val="H1"/>
    <w:basedOn w:val="Normale"/>
    <w:rsid w:val="002A3793"/>
    <w:pPr>
      <w:spacing w:before="360" w:after="230" w:line="240" w:lineRule="exact"/>
    </w:pPr>
    <w:rPr>
      <w:rFonts w:ascii="Times New Roman" w:eastAsia="MS Mincho" w:hAnsi="Times New Roman" w:cs="Times New Roman"/>
      <w:b/>
      <w:szCs w:val="24"/>
      <w:lang w:eastAsia="ja-JP"/>
    </w:rPr>
  </w:style>
  <w:style w:type="paragraph" w:customStyle="1" w:styleId="SchemeCaption">
    <w:name w:val="SchemeCaption"/>
    <w:basedOn w:val="Normale"/>
    <w:rsid w:val="002A3793"/>
    <w:pPr>
      <w:spacing w:before="230" w:after="460" w:line="180" w:lineRule="exact"/>
      <w:jc w:val="both"/>
    </w:pPr>
    <w:rPr>
      <w:rFonts w:ascii="Times New Roman" w:eastAsia="MS Mincho" w:hAnsi="Times New Roman" w:cs="Times New Roman"/>
      <w:sz w:val="16"/>
      <w:szCs w:val="14"/>
      <w:lang w:eastAsia="ja-JP"/>
    </w:rPr>
  </w:style>
  <w:style w:type="paragraph" w:customStyle="1" w:styleId="FigureCaption">
    <w:name w:val="FigureCaption"/>
    <w:basedOn w:val="Normale"/>
    <w:rsid w:val="002A3793"/>
    <w:pPr>
      <w:spacing w:before="230" w:after="460" w:line="180" w:lineRule="exact"/>
      <w:jc w:val="both"/>
    </w:pPr>
    <w:rPr>
      <w:rFonts w:ascii="Times New Roman" w:eastAsia="MS Mincho" w:hAnsi="Times New Roman" w:cs="Times New Roman"/>
      <w:sz w:val="16"/>
      <w:szCs w:val="14"/>
      <w:lang w:eastAsia="ja-JP"/>
    </w:rPr>
  </w:style>
  <w:style w:type="paragraph" w:customStyle="1" w:styleId="TableCaption">
    <w:name w:val="TableCaption"/>
    <w:basedOn w:val="Normale"/>
    <w:rsid w:val="002A3793"/>
    <w:pPr>
      <w:spacing w:before="230" w:after="120" w:line="180" w:lineRule="exact"/>
      <w:jc w:val="both"/>
    </w:pPr>
    <w:rPr>
      <w:rFonts w:ascii="Times New Roman" w:eastAsia="MS Mincho" w:hAnsi="Times New Roman" w:cs="Times New Roman"/>
      <w:sz w:val="16"/>
      <w:szCs w:val="14"/>
      <w:lang w:eastAsia="ja-JP"/>
    </w:rPr>
  </w:style>
  <w:style w:type="paragraph" w:customStyle="1" w:styleId="P2">
    <w:name w:val="P2"/>
    <w:basedOn w:val="Normale"/>
    <w:rsid w:val="002A3793"/>
    <w:pPr>
      <w:spacing w:after="0" w:line="230" w:lineRule="exact"/>
    </w:pPr>
    <w:rPr>
      <w:rFonts w:ascii="Times New Roman" w:eastAsia="MS Mincho" w:hAnsi="Times New Roman" w:cs="Times New Roman"/>
      <w:sz w:val="16"/>
      <w:szCs w:val="24"/>
      <w:lang w:eastAsia="ja-JP"/>
    </w:rPr>
  </w:style>
  <w:style w:type="paragraph" w:customStyle="1" w:styleId="TableFoot">
    <w:name w:val="TableFoot"/>
    <w:basedOn w:val="Normale"/>
    <w:rsid w:val="002A3793"/>
    <w:pPr>
      <w:spacing w:before="60" w:after="460" w:line="180" w:lineRule="exact"/>
      <w:jc w:val="both"/>
    </w:pPr>
    <w:rPr>
      <w:rFonts w:ascii="Times New Roman" w:eastAsia="MS Mincho" w:hAnsi="Times New Roman" w:cs="Times New Roman"/>
      <w:sz w:val="16"/>
      <w:szCs w:val="14"/>
      <w:lang w:eastAsia="ja-JP"/>
    </w:rPr>
  </w:style>
  <w:style w:type="paragraph" w:customStyle="1" w:styleId="P1">
    <w:name w:val="P1"/>
    <w:basedOn w:val="TableCaption"/>
    <w:rsid w:val="002A3793"/>
    <w:pPr>
      <w:spacing w:line="220" w:lineRule="exact"/>
      <w:ind w:firstLine="170"/>
    </w:pPr>
    <w:rPr>
      <w:sz w:val="18"/>
    </w:rPr>
  </w:style>
  <w:style w:type="paragraph" w:customStyle="1" w:styleId="References">
    <w:name w:val="References"/>
    <w:basedOn w:val="Normale"/>
    <w:rsid w:val="002A3793"/>
    <w:pPr>
      <w:spacing w:after="120" w:line="180" w:lineRule="exact"/>
      <w:ind w:left="425" w:hanging="425"/>
      <w:jc w:val="both"/>
    </w:pPr>
    <w:rPr>
      <w:rFonts w:ascii="Times New Roman" w:eastAsia="MS Mincho" w:hAnsi="Times New Roman" w:cs="Times New Roman"/>
      <w:sz w:val="16"/>
      <w:szCs w:val="14"/>
      <w:lang w:eastAsia="ja-JP"/>
    </w:rPr>
  </w:style>
  <w:style w:type="paragraph" w:customStyle="1" w:styleId="GAAuthors">
    <w:name w:val="GAAuthors"/>
    <w:basedOn w:val="Normale"/>
    <w:rsid w:val="002A3793"/>
    <w:pPr>
      <w:spacing w:before="360" w:after="60" w:line="220" w:lineRule="exact"/>
    </w:pPr>
    <w:rPr>
      <w:rFonts w:ascii="Times New Roman" w:eastAsia="MS Mincho" w:hAnsi="Times New Roman" w:cs="Times New Roman"/>
      <w:b/>
      <w:sz w:val="18"/>
      <w:szCs w:val="20"/>
      <w:lang w:eastAsia="ja-JP"/>
    </w:rPr>
  </w:style>
  <w:style w:type="paragraph" w:customStyle="1" w:styleId="GACatchPhrase">
    <w:name w:val="GACatchPhrase"/>
    <w:basedOn w:val="Normale"/>
    <w:rsid w:val="002A3793"/>
    <w:pPr>
      <w:spacing w:before="40" w:after="0" w:line="240" w:lineRule="auto"/>
      <w:jc w:val="right"/>
    </w:pPr>
    <w:rPr>
      <w:rFonts w:ascii="Times New Roman" w:eastAsia="MS Mincho" w:hAnsi="Times New Roman" w:cs="Arial"/>
      <w:b/>
      <w:color w:val="008080"/>
      <w:sz w:val="18"/>
      <w:szCs w:val="16"/>
      <w:lang w:eastAsia="ja-JP"/>
    </w:rPr>
  </w:style>
  <w:style w:type="paragraph" w:customStyle="1" w:styleId="GAText">
    <w:name w:val="GAText"/>
    <w:basedOn w:val="Normale"/>
    <w:rsid w:val="002A3793"/>
    <w:pPr>
      <w:spacing w:before="120" w:after="0" w:line="220" w:lineRule="exact"/>
    </w:pPr>
    <w:rPr>
      <w:rFonts w:ascii="Times New Roman" w:eastAsia="MS Mincho" w:hAnsi="Times New Roman" w:cs="Times New Roman"/>
      <w:color w:val="000000"/>
      <w:sz w:val="18"/>
      <w:szCs w:val="24"/>
      <w:lang w:eastAsia="ja-JP"/>
    </w:rPr>
  </w:style>
  <w:style w:type="paragraph" w:customStyle="1" w:styleId="GATitel">
    <w:name w:val="GATitel"/>
    <w:basedOn w:val="GAAuthors"/>
    <w:rsid w:val="002A3793"/>
    <w:pPr>
      <w:spacing w:before="240"/>
    </w:pPr>
    <w:rPr>
      <w:b w:val="0"/>
    </w:rPr>
  </w:style>
  <w:style w:type="paragraph" w:customStyle="1" w:styleId="GAKeywords">
    <w:name w:val="GAKeywords"/>
    <w:basedOn w:val="Keywords"/>
    <w:rsid w:val="002A3793"/>
    <w:pPr>
      <w:framePr w:hSpace="141" w:wrap="around" w:hAnchor="text" w:y="673"/>
      <w:spacing w:before="200" w:after="0"/>
      <w:ind w:left="0" w:right="0"/>
    </w:pPr>
    <w:rPr>
      <w:b/>
      <w:szCs w:val="24"/>
    </w:rPr>
  </w:style>
  <w:style w:type="paragraph" w:styleId="Sottotitolo">
    <w:name w:val="Subtitle"/>
    <w:basedOn w:val="Normale"/>
    <w:next w:val="Normale"/>
    <w:link w:val="SottotitoloCarattere"/>
    <w:qFormat/>
    <w:rsid w:val="002A3793"/>
    <w:pPr>
      <w:numPr>
        <w:ilvl w:val="1"/>
      </w:numPr>
      <w:spacing w:after="200" w:line="276" w:lineRule="auto"/>
    </w:pPr>
    <w:rPr>
      <w:rFonts w:ascii="Cambria" w:eastAsia="MS Gothic" w:hAnsi="Cambria" w:cs="Times New Roman"/>
      <w:i/>
      <w:iCs/>
      <w:color w:val="4F81BD"/>
      <w:spacing w:val="15"/>
      <w:sz w:val="24"/>
      <w:szCs w:val="24"/>
      <w:lang w:val="it-IT"/>
    </w:rPr>
  </w:style>
  <w:style w:type="character" w:customStyle="1" w:styleId="SottotitoloCarattere">
    <w:name w:val="Sottotitolo Carattere"/>
    <w:basedOn w:val="Carpredefinitoparagrafo"/>
    <w:link w:val="Sottotitolo"/>
    <w:rsid w:val="002A3793"/>
    <w:rPr>
      <w:rFonts w:ascii="Cambria" w:eastAsia="MS Gothic" w:hAnsi="Cambria" w:cs="Times New Roman"/>
      <w:i/>
      <w:iCs/>
      <w:color w:val="4F81BD"/>
      <w:spacing w:val="15"/>
      <w:sz w:val="24"/>
      <w:szCs w:val="24"/>
      <w:lang w:val="it-IT"/>
    </w:rPr>
  </w:style>
  <w:style w:type="character" w:customStyle="1" w:styleId="SubtitleChar">
    <w:name w:val="Subtitle Char"/>
    <w:rsid w:val="002A3793"/>
    <w:rPr>
      <w:rFonts w:ascii="Cambria" w:eastAsia="MS Gothic" w:hAnsi="Cambria" w:cs="Times New Roman"/>
      <w:i/>
      <w:iCs/>
      <w:color w:val="4F81BD"/>
      <w:spacing w:val="15"/>
      <w:sz w:val="24"/>
      <w:szCs w:val="24"/>
    </w:rPr>
  </w:style>
  <w:style w:type="paragraph" w:styleId="Nessunaspaziatura">
    <w:name w:val="No Spacing"/>
    <w:qFormat/>
    <w:rsid w:val="002A3793"/>
    <w:pPr>
      <w:spacing w:after="0" w:line="240" w:lineRule="auto"/>
    </w:pPr>
    <w:rPr>
      <w:rFonts w:ascii="Calibri" w:eastAsia="MS Mincho" w:hAnsi="Calibri" w:cs="Times New Roman"/>
      <w:lang w:val="it-IT"/>
    </w:rPr>
  </w:style>
  <w:style w:type="character" w:customStyle="1" w:styleId="NoSpacingChar">
    <w:name w:val="No Spacing Char"/>
    <w:rsid w:val="002A3793"/>
    <w:rPr>
      <w:rFonts w:eastAsia="MS Mincho"/>
    </w:rPr>
  </w:style>
  <w:style w:type="paragraph" w:customStyle="1" w:styleId="1">
    <w:name w:val="목록 단락1"/>
    <w:basedOn w:val="Normale"/>
    <w:qFormat/>
    <w:rsid w:val="002A3793"/>
    <w:pPr>
      <w:widowControl w:val="0"/>
      <w:spacing w:after="0" w:line="240" w:lineRule="auto"/>
      <w:ind w:left="720"/>
      <w:contextualSpacing/>
    </w:pPr>
    <w:rPr>
      <w:rFonts w:ascii="Calibri" w:eastAsia="Malgun Gothic" w:hAnsi="Calibri" w:cs="Times New Roman"/>
      <w:lang w:val="en-US"/>
    </w:rPr>
  </w:style>
  <w:style w:type="character" w:customStyle="1" w:styleId="slug-pub-date3">
    <w:name w:val="slug-pub-date3"/>
    <w:rsid w:val="002A3793"/>
    <w:rPr>
      <w:b/>
      <w:bCs/>
    </w:rPr>
  </w:style>
  <w:style w:type="character" w:customStyle="1" w:styleId="slug-elocation">
    <w:name w:val="slug-elocation"/>
    <w:basedOn w:val="Carpredefinitoparagrafo"/>
    <w:rsid w:val="002A3793"/>
  </w:style>
  <w:style w:type="character" w:customStyle="1" w:styleId="st1">
    <w:name w:val="st1"/>
    <w:basedOn w:val="Carpredefinitoparagrafo"/>
    <w:rsid w:val="002A3793"/>
  </w:style>
  <w:style w:type="character" w:customStyle="1" w:styleId="author1">
    <w:name w:val="author1"/>
    <w:rsid w:val="002A3793"/>
    <w:rPr>
      <w:rFonts w:ascii="Verdana" w:hAnsi="Verdana" w:hint="default"/>
      <w:strike w:val="0"/>
      <w:dstrike w:val="0"/>
      <w:color w:val="000000"/>
      <w:sz w:val="20"/>
      <w:szCs w:val="20"/>
      <w:u w:val="none"/>
      <w:effect w:val="none"/>
    </w:rPr>
  </w:style>
  <w:style w:type="character" w:customStyle="1" w:styleId="blacksml1">
    <w:name w:val="blacksml1"/>
    <w:rsid w:val="002A3793"/>
    <w:rPr>
      <w:rFonts w:ascii="Verdana" w:hAnsi="Verdana" w:hint="default"/>
      <w:strike w:val="0"/>
      <w:dstrike w:val="0"/>
      <w:color w:val="000000"/>
      <w:sz w:val="15"/>
      <w:szCs w:val="15"/>
      <w:u w:val="none"/>
      <w:effect w:val="none"/>
    </w:rPr>
  </w:style>
  <w:style w:type="character" w:customStyle="1" w:styleId="maintitle">
    <w:name w:val="maintitle"/>
    <w:basedOn w:val="Carpredefinitoparagrafo"/>
    <w:rsid w:val="002A3793"/>
  </w:style>
  <w:style w:type="character" w:customStyle="1" w:styleId="abscitationtitle">
    <w:name w:val="abs_citation_title"/>
    <w:basedOn w:val="Carpredefinitoparagrafo"/>
    <w:rsid w:val="002A3793"/>
  </w:style>
  <w:style w:type="character" w:customStyle="1" w:styleId="slug-issue">
    <w:name w:val="slug-issue"/>
    <w:basedOn w:val="Carpredefinitoparagrafo"/>
    <w:rsid w:val="002A3793"/>
  </w:style>
  <w:style w:type="character" w:customStyle="1" w:styleId="slug-pages3">
    <w:name w:val="slug-pages3"/>
    <w:rsid w:val="002A3793"/>
    <w:rPr>
      <w:b/>
      <w:bCs/>
    </w:rPr>
  </w:style>
  <w:style w:type="character" w:styleId="MacchinadascrivereHTML">
    <w:name w:val="HTML Typewriter"/>
    <w:rsid w:val="002A3793"/>
    <w:rPr>
      <w:rFonts w:ascii="Courier New" w:eastAsia="Times New Roman" w:hAnsi="Courier New" w:cs="Courier New"/>
      <w:sz w:val="20"/>
      <w:szCs w:val="20"/>
    </w:rPr>
  </w:style>
  <w:style w:type="paragraph" w:customStyle="1" w:styleId="authlist">
    <w:name w:val="auth_list"/>
    <w:basedOn w:val="Normale"/>
    <w:rsid w:val="002A3793"/>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highlight1">
    <w:name w:val="highlight1"/>
    <w:rsid w:val="002A3793"/>
    <w:rPr>
      <w:shd w:val="clear" w:color="auto" w:fill="FEDB6D"/>
    </w:rPr>
  </w:style>
  <w:style w:type="character" w:customStyle="1" w:styleId="citation-abbreviation2">
    <w:name w:val="citation-abbreviation2"/>
    <w:basedOn w:val="Carpredefinitoparagrafo"/>
    <w:rsid w:val="002A3793"/>
  </w:style>
  <w:style w:type="character" w:customStyle="1" w:styleId="author">
    <w:name w:val="author"/>
    <w:rsid w:val="002A3793"/>
  </w:style>
  <w:style w:type="paragraph" w:customStyle="1" w:styleId="yiv1019216426msoheading7">
    <w:name w:val="yiv1019216426msoheading7"/>
    <w:basedOn w:val="Normale"/>
    <w:rsid w:val="002A3793"/>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citationyear1">
    <w:name w:val="citation_year1"/>
    <w:rsid w:val="002A3793"/>
    <w:rPr>
      <w:b/>
      <w:bCs/>
    </w:rPr>
  </w:style>
  <w:style w:type="character" w:customStyle="1" w:styleId="citationvolume1">
    <w:name w:val="citation_volume1"/>
    <w:rsid w:val="002A3793"/>
    <w:rPr>
      <w:i/>
      <w:iCs/>
    </w:rPr>
  </w:style>
  <w:style w:type="paragraph" w:customStyle="1" w:styleId="desc2">
    <w:name w:val="desc2"/>
    <w:basedOn w:val="Normale"/>
    <w:rsid w:val="002A3793"/>
    <w:pPr>
      <w:spacing w:before="100" w:beforeAutospacing="1" w:after="100" w:afterAutospacing="1" w:line="240" w:lineRule="auto"/>
    </w:pPr>
    <w:rPr>
      <w:rFonts w:ascii="Times New Roman" w:eastAsia="Times New Roman" w:hAnsi="Times New Roman" w:cs="Times New Roman"/>
      <w:sz w:val="28"/>
      <w:szCs w:val="28"/>
      <w:lang w:val="en-US"/>
    </w:rPr>
  </w:style>
  <w:style w:type="character" w:customStyle="1" w:styleId="resnumber">
    <w:name w:val="resnumber"/>
    <w:basedOn w:val="Carpredefinitoparagrafo"/>
    <w:rsid w:val="002A3793"/>
  </w:style>
  <w:style w:type="character" w:customStyle="1" w:styleId="ref-journal">
    <w:name w:val="ref-journal"/>
    <w:basedOn w:val="Carpredefinitoparagrafo"/>
    <w:rsid w:val="002A3793"/>
  </w:style>
  <w:style w:type="character" w:customStyle="1" w:styleId="ref-vol">
    <w:name w:val="ref-vol"/>
    <w:basedOn w:val="Carpredefinitoparagrafo"/>
    <w:rsid w:val="002A3793"/>
  </w:style>
  <w:style w:type="character" w:customStyle="1" w:styleId="label">
    <w:name w:val="label"/>
    <w:rsid w:val="002A3793"/>
  </w:style>
  <w:style w:type="paragraph" w:customStyle="1" w:styleId="12FigureSchemecaption">
    <w:name w:val="12 Figure/Scheme caption"/>
    <w:rsid w:val="002A3793"/>
    <w:pPr>
      <w:spacing w:before="20" w:after="120" w:line="180" w:lineRule="exact"/>
      <w:jc w:val="both"/>
    </w:pPr>
    <w:rPr>
      <w:rFonts w:ascii="Times New Roman" w:eastAsia="Times New Roman" w:hAnsi="Times New Roman" w:cs="Times New Roman"/>
      <w:noProof/>
      <w:sz w:val="16"/>
      <w:szCs w:val="20"/>
      <w:lang w:val="en-US"/>
    </w:rPr>
  </w:style>
  <w:style w:type="character" w:customStyle="1" w:styleId="tl-lowest-section">
    <w:name w:val="tl-lowest-section"/>
    <w:rsid w:val="002A3793"/>
  </w:style>
  <w:style w:type="character" w:customStyle="1" w:styleId="doi">
    <w:name w:val="doi"/>
    <w:rsid w:val="002A379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emf"/><Relationship Id="rId18" Type="http://schemas.openxmlformats.org/officeDocument/2006/relationships/oleObject" Target="embeddings/oleObject5.bin"/><Relationship Id="rId26" Type="http://schemas.openxmlformats.org/officeDocument/2006/relationships/image" Target="media/image11.png"/><Relationship Id="rId39" Type="http://schemas.openxmlformats.org/officeDocument/2006/relationships/image" Target="media/image18.png"/><Relationship Id="rId21" Type="http://schemas.openxmlformats.org/officeDocument/2006/relationships/image" Target="media/image7.emf"/><Relationship Id="rId34" Type="http://schemas.openxmlformats.org/officeDocument/2006/relationships/image" Target="media/image15.png"/><Relationship Id="rId42" Type="http://schemas.openxmlformats.org/officeDocument/2006/relationships/image" Target="https://upload.wikimedia.org/wikipedia/commons/thumb/f/f2/Artemether.svg/800px-Artemether.svg.png" TargetMode="External"/><Relationship Id="rId47" Type="http://schemas.openxmlformats.org/officeDocument/2006/relationships/image" Target="media/image22.tif"/><Relationship Id="rId50" Type="http://schemas.openxmlformats.org/officeDocument/2006/relationships/image" Target="https://upload.wikimedia.org/wikipedia/commons/thumb/d/d8/Pravastatin.svg/800px-Pravastatin.svg.png" TargetMode="External"/><Relationship Id="rId55" Type="http://schemas.openxmlformats.org/officeDocument/2006/relationships/image" Target="https://upload.wikimedia.org/wikipedia/commons/thumb/a/a4/Triclosan.svg/1280px-Triclosan.svg.png" TargetMode="External"/><Relationship Id="rId7" Type="http://schemas.openxmlformats.org/officeDocument/2006/relationships/endnotes" Target="endnotes.xml"/><Relationship Id="rId12" Type="http://schemas.openxmlformats.org/officeDocument/2006/relationships/oleObject" Target="embeddings/oleObject2.bin"/><Relationship Id="rId17" Type="http://schemas.openxmlformats.org/officeDocument/2006/relationships/image" Target="media/image5.emf"/><Relationship Id="rId25" Type="http://schemas.openxmlformats.org/officeDocument/2006/relationships/image" Target="media/image10.png"/><Relationship Id="rId33" Type="http://schemas.openxmlformats.org/officeDocument/2006/relationships/oleObject" Target="embeddings/oleObject9.bin"/><Relationship Id="rId38" Type="http://schemas.openxmlformats.org/officeDocument/2006/relationships/image" Target="media/image17.png"/><Relationship Id="rId46" Type="http://schemas.openxmlformats.org/officeDocument/2006/relationships/image" Target="https://upload.wikimedia.org/wikipedia/commons/thumb/4/4d/Darunavir.svg/800px-Darunavir.svg.png" TargetMode="External"/><Relationship Id="rId59"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oleObject" Target="embeddings/oleObject4.bin"/><Relationship Id="rId20" Type="http://schemas.openxmlformats.org/officeDocument/2006/relationships/oleObject" Target="embeddings/oleObject6.bin"/><Relationship Id="rId29" Type="http://schemas.openxmlformats.org/officeDocument/2006/relationships/oleObject" Target="embeddings/oleObject8.bin"/><Relationship Id="rId41" Type="http://schemas.openxmlformats.org/officeDocument/2006/relationships/image" Target="media/image19.png"/><Relationship Id="rId54" Type="http://schemas.openxmlformats.org/officeDocument/2006/relationships/image" Target="media/image27.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24" Type="http://schemas.openxmlformats.org/officeDocument/2006/relationships/image" Target="media/image9.tif"/><Relationship Id="rId32" Type="http://schemas.openxmlformats.org/officeDocument/2006/relationships/image" Target="media/image14.png"/><Relationship Id="rId37" Type="http://schemas.openxmlformats.org/officeDocument/2006/relationships/image" Target="https://upload.wikimedia.org/wikipedia/commons/thumb/2/20/Berbamine_structure.svg/1200px-Berbamine_structure.svg.png" TargetMode="External"/><Relationship Id="rId40" Type="http://schemas.openxmlformats.org/officeDocument/2006/relationships/oleObject" Target="embeddings/oleObject11.bin"/><Relationship Id="rId45" Type="http://schemas.openxmlformats.org/officeDocument/2006/relationships/image" Target="media/image21.png"/><Relationship Id="rId53" Type="http://schemas.openxmlformats.org/officeDocument/2006/relationships/image" Target="media/image26.png"/><Relationship Id="rId58"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image" Target="media/image8.png"/><Relationship Id="rId28" Type="http://schemas.openxmlformats.org/officeDocument/2006/relationships/image" Target="media/image12.png"/><Relationship Id="rId36" Type="http://schemas.openxmlformats.org/officeDocument/2006/relationships/image" Target="media/image16.png"/><Relationship Id="rId49" Type="http://schemas.openxmlformats.org/officeDocument/2006/relationships/image" Target="media/image24.png"/><Relationship Id="rId57" Type="http://schemas.openxmlformats.org/officeDocument/2006/relationships/oleObject" Target="embeddings/oleObject13.bin"/><Relationship Id="rId10" Type="http://schemas.openxmlformats.org/officeDocument/2006/relationships/oleObject" Target="embeddings/oleObject1.bin"/><Relationship Id="rId19" Type="http://schemas.openxmlformats.org/officeDocument/2006/relationships/image" Target="media/image6.emf"/><Relationship Id="rId31" Type="http://schemas.openxmlformats.org/officeDocument/2006/relationships/image" Target="https://upload.wikimedia.org/wikipedia/commons/thumb/d/d0/Malachite_green_structure.svg/1024px-Malachite_green_structure.svg.png" TargetMode="External"/><Relationship Id="rId44" Type="http://schemas.openxmlformats.org/officeDocument/2006/relationships/oleObject" Target="embeddings/oleObject12.bin"/><Relationship Id="rId52" Type="http://schemas.openxmlformats.org/officeDocument/2006/relationships/image" Target="https://upload.wikimedia.org/wikipedia/commons/thumb/d/d3/Prednisolone.svg/800px-Prednisolone.svg.png" TargetMode="External"/><Relationship Id="rId4" Type="http://schemas.openxmlformats.org/officeDocument/2006/relationships/settings" Target="settings.xml"/><Relationship Id="rId9" Type="http://schemas.openxmlformats.org/officeDocument/2006/relationships/image" Target="media/image1.emf"/><Relationship Id="rId14" Type="http://schemas.openxmlformats.org/officeDocument/2006/relationships/oleObject" Target="embeddings/oleObject3.bin"/><Relationship Id="rId22" Type="http://schemas.openxmlformats.org/officeDocument/2006/relationships/oleObject" Target="embeddings/oleObject7.bin"/><Relationship Id="rId27" Type="http://schemas.openxmlformats.org/officeDocument/2006/relationships/image" Target="https://upload.wikimedia.org/wikipedia/commons/thumb/8/8b/Quinclorac.svg/1200px-Quinclorac.svg.png" TargetMode="External"/><Relationship Id="rId30" Type="http://schemas.openxmlformats.org/officeDocument/2006/relationships/image" Target="media/image13.png"/><Relationship Id="rId35" Type="http://schemas.openxmlformats.org/officeDocument/2006/relationships/oleObject" Target="embeddings/oleObject10.bin"/><Relationship Id="rId43" Type="http://schemas.openxmlformats.org/officeDocument/2006/relationships/image" Target="media/image20.png"/><Relationship Id="rId48" Type="http://schemas.openxmlformats.org/officeDocument/2006/relationships/image" Target="media/image23.tif"/><Relationship Id="rId56" Type="http://schemas.openxmlformats.org/officeDocument/2006/relationships/image" Target="media/image28.png"/><Relationship Id="rId8" Type="http://schemas.openxmlformats.org/officeDocument/2006/relationships/hyperlink" Target="mailto:tarita.biver@unipi.it" TargetMode="External"/><Relationship Id="rId51" Type="http://schemas.openxmlformats.org/officeDocument/2006/relationships/image" Target="media/image25.png"/><Relationship Id="rId3" Type="http://schemas.openxmlformats.org/officeDocument/2006/relationships/styles" Target="style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468D599-5176-4B3A-A2E7-897E28EA21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TotalTime>
  <Pages>40</Pages>
  <Words>75421</Words>
  <Characters>429903</Characters>
  <Application>Microsoft Office Word</Application>
  <DocSecurity>0</DocSecurity>
  <Lines>3582</Lines>
  <Paragraphs>1008</Paragraphs>
  <ScaleCrop>false</ScaleCrop>
  <HeadingPairs>
    <vt:vector size="2" baseType="variant">
      <vt:variant>
        <vt:lpstr>Titolo</vt:lpstr>
      </vt:variant>
      <vt:variant>
        <vt:i4>1</vt:i4>
      </vt:variant>
    </vt:vector>
  </HeadingPairs>
  <TitlesOfParts>
    <vt:vector size="1" baseType="lpstr">
      <vt:lpstr/>
    </vt:vector>
  </TitlesOfParts>
  <Company>Microsoft</Company>
  <LinksUpToDate>false</LinksUpToDate>
  <CharactersWithSpaces>504316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Francesca Macii</dc:creator>
  <cp:keywords/>
  <dc:description/>
  <cp:lastModifiedBy>Francesca Macii</cp:lastModifiedBy>
  <cp:revision>15</cp:revision>
  <dcterms:created xsi:type="dcterms:W3CDTF">2020-09-03T14:23:00Z</dcterms:created>
  <dcterms:modified xsi:type="dcterms:W3CDTF">2020-09-04T16:44:00Z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7d14de0d-3efc-39f3-98fe-c576db94ae5a</vt:lpwstr>
  </property>
  <property fmtid="{D5CDD505-2E9C-101B-9397-08002B2CF9AE}" pid="4" name="Mendeley Citation Style_1">
    <vt:lpwstr>http://www.zotero.org/styles/current-topics-in-medicinal-chemistry</vt:lpwstr>
  </property>
  <property fmtid="{D5CDD505-2E9C-101B-9397-08002B2CF9AE}" pid="5" name="Mendeley Recent Style Id 0_1">
    <vt:lpwstr>http://www.zotero.org/styles/american-political-science-association</vt:lpwstr>
  </property>
  <property fmtid="{D5CDD505-2E9C-101B-9397-08002B2CF9AE}" pid="6" name="Mendeley Recent Style Name 0_1">
    <vt:lpwstr>American Political Science Association</vt:lpwstr>
  </property>
  <property fmtid="{D5CDD505-2E9C-101B-9397-08002B2CF9AE}" pid="7" name="Mendeley Recent Style Id 1_1">
    <vt:lpwstr>http://www.zotero.org/styles/apa</vt:lpwstr>
  </property>
  <property fmtid="{D5CDD505-2E9C-101B-9397-08002B2CF9AE}" pid="8" name="Mendeley Recent Style Name 1_1">
    <vt:lpwstr>American Psychological Association 7th edition</vt:lpwstr>
  </property>
  <property fmtid="{D5CDD505-2E9C-101B-9397-08002B2CF9AE}" pid="9" name="Mendeley Recent Style Id 2_1">
    <vt:lpwstr>http://www.zotero.org/styles/american-sociological-association</vt:lpwstr>
  </property>
  <property fmtid="{D5CDD505-2E9C-101B-9397-08002B2CF9AE}" pid="10" name="Mendeley Recent Style Name 2_1">
    <vt:lpwstr>American Sociological Association 6th edition</vt:lpwstr>
  </property>
  <property fmtid="{D5CDD505-2E9C-101B-9397-08002B2CF9AE}" pid="11" name="Mendeley Recent Style Id 3_1">
    <vt:lpwstr>http://www.zotero.org/styles/chemical-communications</vt:lpwstr>
  </property>
  <property fmtid="{D5CDD505-2E9C-101B-9397-08002B2CF9AE}" pid="12" name="Mendeley Recent Style Name 3_1">
    <vt:lpwstr>Chemical Communications</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17th edition (author-date)</vt:lpwstr>
  </property>
  <property fmtid="{D5CDD505-2E9C-101B-9397-08002B2CF9AE}" pid="15" name="Mendeley Recent Style Id 5_1">
    <vt:lpwstr>http://www.zotero.org/styles/harvard-cite-them-right</vt:lpwstr>
  </property>
  <property fmtid="{D5CDD505-2E9C-101B-9397-08002B2CF9AE}" pid="16" name="Mendeley Recent Style Name 5_1">
    <vt:lpwstr>Cite Them Right 10th edition - Harvard</vt:lpwstr>
  </property>
  <property fmtid="{D5CDD505-2E9C-101B-9397-08002B2CF9AE}" pid="17" name="Mendeley Recent Style Id 6_1">
    <vt:lpwstr>http://www.zotero.org/styles/current-topics-in-medicinal-chemistry</vt:lpwstr>
  </property>
  <property fmtid="{D5CDD505-2E9C-101B-9397-08002B2CF9AE}" pid="18" name="Mendeley Recent Style Name 6_1">
    <vt:lpwstr>Current Topics in Medicinal Chemistry</vt:lpwstr>
  </property>
  <property fmtid="{D5CDD505-2E9C-101B-9397-08002B2CF9AE}" pid="19" name="Mendeley Recent Style Id 7_1">
    <vt:lpwstr>http://www.zotero.org/styles/ieee</vt:lpwstr>
  </property>
  <property fmtid="{D5CDD505-2E9C-101B-9397-08002B2CF9AE}" pid="20" name="Mendeley Recent Style Name 7_1">
    <vt:lpwstr>IEEE</vt:lpwstr>
  </property>
  <property fmtid="{D5CDD505-2E9C-101B-9397-08002B2CF9AE}" pid="21" name="Mendeley Recent Style Id 8_1">
    <vt:lpwstr>http://www.zotero.org/styles/journal-of-the-american-chemical-society</vt:lpwstr>
  </property>
  <property fmtid="{D5CDD505-2E9C-101B-9397-08002B2CF9AE}" pid="22" name="Mendeley Recent Style Name 8_1">
    <vt:lpwstr>Journal of the American Chemical Society</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ies>
</file>