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653918" w14:textId="593F21DA" w:rsidR="00DA551C" w:rsidRPr="00460059" w:rsidRDefault="005A0687" w:rsidP="00B46701">
      <w:pPr>
        <w:pStyle w:val="Didascalia"/>
        <w:spacing w:after="0" w:line="360" w:lineRule="auto"/>
        <w:jc w:val="center"/>
        <w:rPr>
          <w:rFonts w:ascii="Times New Roman" w:hAnsi="Times New Roman" w:cs="Times New Roman"/>
          <w:b/>
          <w:i w:val="0"/>
          <w:color w:val="auto"/>
          <w:sz w:val="36"/>
          <w:szCs w:val="36"/>
        </w:rPr>
      </w:pPr>
      <w:r w:rsidRPr="00460059">
        <w:rPr>
          <w:rFonts w:ascii="Times New Roman" w:hAnsi="Times New Roman" w:cs="Times New Roman"/>
          <w:b/>
          <w:i w:val="0"/>
          <w:color w:val="auto"/>
          <w:sz w:val="36"/>
          <w:szCs w:val="36"/>
        </w:rPr>
        <w:t xml:space="preserve">Assessing </w:t>
      </w:r>
      <w:r w:rsidR="00DA551C" w:rsidRPr="00460059">
        <w:rPr>
          <w:rFonts w:ascii="Times New Roman" w:hAnsi="Times New Roman" w:cs="Times New Roman"/>
          <w:b/>
          <w:i w:val="0"/>
          <w:color w:val="auto"/>
          <w:sz w:val="36"/>
          <w:szCs w:val="36"/>
        </w:rPr>
        <w:t xml:space="preserve">the orbital contribution in the “Spodium Bond” </w:t>
      </w:r>
      <w:r w:rsidRPr="00460059">
        <w:rPr>
          <w:rFonts w:ascii="Times New Roman" w:hAnsi="Times New Roman" w:cs="Times New Roman"/>
          <w:b/>
          <w:i w:val="0"/>
          <w:color w:val="auto"/>
          <w:sz w:val="36"/>
          <w:szCs w:val="36"/>
        </w:rPr>
        <w:t>by</w:t>
      </w:r>
      <w:r w:rsidR="00DA551C" w:rsidRPr="00460059">
        <w:rPr>
          <w:rFonts w:ascii="Times New Roman" w:hAnsi="Times New Roman" w:cs="Times New Roman"/>
          <w:b/>
          <w:i w:val="0"/>
          <w:color w:val="auto"/>
          <w:sz w:val="36"/>
          <w:szCs w:val="36"/>
        </w:rPr>
        <w:t xml:space="preserve"> Natural Orbital for Chemical Valence-Charge Displacement analysis</w:t>
      </w:r>
    </w:p>
    <w:p w14:paraId="1C4C2730" w14:textId="6DF3B3C7" w:rsidR="00DA551C" w:rsidRPr="00460059" w:rsidRDefault="00DA551C" w:rsidP="00B46701">
      <w:pPr>
        <w:pStyle w:val="Didascalia"/>
        <w:spacing w:after="0" w:line="360" w:lineRule="auto"/>
        <w:rPr>
          <w:rFonts w:ascii="Times New Roman" w:hAnsi="Times New Roman" w:cs="Times New Roman"/>
          <w:bCs/>
          <w:i w:val="0"/>
          <w:color w:val="auto"/>
          <w:sz w:val="24"/>
          <w:szCs w:val="24"/>
          <w:vertAlign w:val="superscript"/>
          <w:lang w:val="it-IT"/>
        </w:rPr>
      </w:pPr>
      <w:r w:rsidRPr="00460059">
        <w:rPr>
          <w:rFonts w:ascii="Times New Roman" w:hAnsi="Times New Roman" w:cs="Times New Roman"/>
          <w:bCs/>
          <w:i w:val="0"/>
          <w:color w:val="auto"/>
          <w:sz w:val="24"/>
          <w:szCs w:val="24"/>
          <w:lang w:val="it-IT"/>
        </w:rPr>
        <w:t xml:space="preserve">Gianluca </w:t>
      </w:r>
      <w:proofErr w:type="spellStart"/>
      <w:r w:rsidRPr="00460059">
        <w:rPr>
          <w:rFonts w:ascii="Times New Roman" w:hAnsi="Times New Roman" w:cs="Times New Roman"/>
          <w:bCs/>
          <w:i w:val="0"/>
          <w:color w:val="auto"/>
          <w:sz w:val="24"/>
          <w:szCs w:val="24"/>
          <w:lang w:val="it-IT"/>
        </w:rPr>
        <w:t>Ciancaleoni,</w:t>
      </w:r>
      <w:r w:rsidRPr="00460059">
        <w:rPr>
          <w:rFonts w:ascii="Times New Roman" w:hAnsi="Times New Roman" w:cs="Times New Roman"/>
          <w:bCs/>
          <w:i w:val="0"/>
          <w:color w:val="auto"/>
          <w:sz w:val="24"/>
          <w:szCs w:val="24"/>
          <w:vertAlign w:val="superscript"/>
          <w:lang w:val="it-IT"/>
        </w:rPr>
        <w:t>a</w:t>
      </w:r>
      <w:proofErr w:type="spellEnd"/>
      <w:r w:rsidR="00B15223">
        <w:rPr>
          <w:rFonts w:ascii="Times New Roman" w:hAnsi="Times New Roman" w:cs="Times New Roman"/>
          <w:bCs/>
          <w:i w:val="0"/>
          <w:color w:val="auto"/>
          <w:sz w:val="24"/>
          <w:szCs w:val="24"/>
          <w:vertAlign w:val="superscript"/>
          <w:lang w:val="it-IT"/>
        </w:rPr>
        <w:t>*</w:t>
      </w:r>
      <w:r w:rsidRPr="00460059">
        <w:rPr>
          <w:rFonts w:ascii="Times New Roman" w:hAnsi="Times New Roman" w:cs="Times New Roman"/>
          <w:bCs/>
          <w:i w:val="0"/>
          <w:color w:val="auto"/>
          <w:sz w:val="24"/>
          <w:szCs w:val="24"/>
          <w:lang w:val="it-IT"/>
        </w:rPr>
        <w:t xml:space="preserve"> Luca </w:t>
      </w:r>
      <w:proofErr w:type="spellStart"/>
      <w:r w:rsidRPr="00460059">
        <w:rPr>
          <w:rFonts w:ascii="Times New Roman" w:hAnsi="Times New Roman" w:cs="Times New Roman"/>
          <w:bCs/>
          <w:i w:val="0"/>
          <w:color w:val="auto"/>
          <w:sz w:val="24"/>
          <w:szCs w:val="24"/>
          <w:lang w:val="it-IT"/>
        </w:rPr>
        <w:t>Rocchigiani</w:t>
      </w:r>
      <w:r w:rsidRPr="00460059">
        <w:rPr>
          <w:rFonts w:ascii="Times New Roman" w:hAnsi="Times New Roman" w:cs="Times New Roman"/>
          <w:bCs/>
          <w:i w:val="0"/>
          <w:color w:val="auto"/>
          <w:sz w:val="24"/>
          <w:szCs w:val="24"/>
          <w:vertAlign w:val="superscript"/>
          <w:lang w:val="it-IT"/>
        </w:rPr>
        <w:t>b</w:t>
      </w:r>
      <w:proofErr w:type="spellEnd"/>
      <w:r w:rsidR="00981E16">
        <w:rPr>
          <w:rFonts w:ascii="Times New Roman" w:hAnsi="Times New Roman" w:cs="Times New Roman"/>
          <w:bCs/>
          <w:i w:val="0"/>
          <w:color w:val="auto"/>
          <w:sz w:val="24"/>
          <w:szCs w:val="24"/>
          <w:vertAlign w:val="superscript"/>
          <w:lang w:val="it-IT"/>
        </w:rPr>
        <w:t>*</w:t>
      </w:r>
    </w:p>
    <w:p w14:paraId="6F7D3837" w14:textId="77777777" w:rsidR="007051DA" w:rsidRPr="00460059" w:rsidRDefault="007051DA" w:rsidP="00B46701">
      <w:pPr>
        <w:spacing w:after="0" w:line="360" w:lineRule="auto"/>
        <w:rPr>
          <w:rFonts w:ascii="Times New Roman" w:hAnsi="Times New Roman" w:cs="Times New Roman"/>
          <w:lang w:val="it-IT"/>
        </w:rPr>
      </w:pPr>
    </w:p>
    <w:p w14:paraId="1421B489" w14:textId="05C92F29" w:rsidR="00DA551C" w:rsidRPr="00460059" w:rsidRDefault="00DA551C" w:rsidP="00B46701">
      <w:pPr>
        <w:pStyle w:val="Corpotesto"/>
        <w:spacing w:after="0" w:line="360" w:lineRule="auto"/>
        <w:rPr>
          <w:rFonts w:ascii="Times New Roman" w:hAnsi="Times New Roman" w:cs="Times New Roman"/>
          <w:sz w:val="24"/>
          <w:szCs w:val="24"/>
        </w:rPr>
      </w:pPr>
      <w:r w:rsidRPr="00460059">
        <w:rPr>
          <w:rFonts w:ascii="Times New Roman" w:hAnsi="Times New Roman" w:cs="Times New Roman"/>
          <w:sz w:val="24"/>
          <w:szCs w:val="24"/>
          <w:vertAlign w:val="superscript"/>
          <w:lang w:val="it-IT"/>
        </w:rPr>
        <w:t>a</w:t>
      </w:r>
      <w:r w:rsidRPr="00460059">
        <w:rPr>
          <w:rFonts w:ascii="Times New Roman" w:hAnsi="Times New Roman" w:cs="Times New Roman"/>
          <w:sz w:val="24"/>
          <w:szCs w:val="24"/>
          <w:lang w:val="it-IT"/>
        </w:rPr>
        <w:t xml:space="preserve"> Universit</w:t>
      </w:r>
      <w:r w:rsidR="007051DA" w:rsidRPr="00460059">
        <w:rPr>
          <w:rFonts w:ascii="Times New Roman" w:hAnsi="Times New Roman" w:cs="Times New Roman"/>
          <w:sz w:val="24"/>
          <w:szCs w:val="24"/>
          <w:lang w:val="it-IT"/>
        </w:rPr>
        <w:t>à</w:t>
      </w:r>
      <w:r w:rsidRPr="00460059">
        <w:rPr>
          <w:rFonts w:ascii="Times New Roman" w:hAnsi="Times New Roman" w:cs="Times New Roman"/>
          <w:sz w:val="24"/>
          <w:szCs w:val="24"/>
          <w:lang w:val="it-IT"/>
        </w:rPr>
        <w:t xml:space="preserve"> degli Studi di Pisa, Dipartimento di Chimica e Chimica Industriale, via Giuseppe Moruzzi</w:t>
      </w:r>
      <w:r w:rsidR="007051DA" w:rsidRPr="00460059">
        <w:rPr>
          <w:rFonts w:ascii="Times New Roman" w:hAnsi="Times New Roman" w:cs="Times New Roman"/>
          <w:sz w:val="24"/>
          <w:szCs w:val="24"/>
          <w:lang w:val="it-IT"/>
        </w:rPr>
        <w:t xml:space="preserve"> </w:t>
      </w:r>
      <w:r w:rsidRPr="00460059">
        <w:rPr>
          <w:rFonts w:ascii="Times New Roman" w:hAnsi="Times New Roman" w:cs="Times New Roman"/>
          <w:sz w:val="24"/>
          <w:szCs w:val="24"/>
          <w:lang w:val="it-IT"/>
        </w:rPr>
        <w:t>13</w:t>
      </w:r>
      <w:r w:rsidR="007051DA" w:rsidRPr="00460059">
        <w:rPr>
          <w:rFonts w:ascii="Times New Roman" w:hAnsi="Times New Roman" w:cs="Times New Roman"/>
          <w:sz w:val="24"/>
          <w:szCs w:val="24"/>
          <w:lang w:val="it-IT"/>
        </w:rPr>
        <w:t xml:space="preserve">, </w:t>
      </w:r>
      <w:r w:rsidRPr="00460059">
        <w:rPr>
          <w:rFonts w:ascii="Times New Roman" w:hAnsi="Times New Roman" w:cs="Times New Roman"/>
          <w:sz w:val="24"/>
          <w:szCs w:val="24"/>
          <w:lang w:val="it-IT"/>
        </w:rPr>
        <w:t xml:space="preserve">56124 Pisa, </w:t>
      </w:r>
      <w:proofErr w:type="spellStart"/>
      <w:r w:rsidRPr="00460059">
        <w:rPr>
          <w:rFonts w:ascii="Times New Roman" w:hAnsi="Times New Roman" w:cs="Times New Roman"/>
          <w:sz w:val="24"/>
          <w:szCs w:val="24"/>
          <w:lang w:val="it-IT"/>
        </w:rPr>
        <w:t>Italy</w:t>
      </w:r>
      <w:proofErr w:type="spellEnd"/>
      <w:r w:rsidRPr="00460059">
        <w:rPr>
          <w:rFonts w:ascii="Times New Roman" w:hAnsi="Times New Roman" w:cs="Times New Roman"/>
          <w:sz w:val="24"/>
          <w:szCs w:val="24"/>
          <w:lang w:val="it-IT"/>
        </w:rPr>
        <w:t xml:space="preserve">. </w:t>
      </w:r>
      <w:r w:rsidRPr="00460059">
        <w:rPr>
          <w:rFonts w:ascii="Times New Roman" w:hAnsi="Times New Roman" w:cs="Times New Roman"/>
          <w:sz w:val="24"/>
          <w:szCs w:val="24"/>
        </w:rPr>
        <w:t xml:space="preserve">E-mail: </w:t>
      </w:r>
      <w:r w:rsidRPr="00411567">
        <w:rPr>
          <w:rFonts w:ascii="Times New Roman" w:hAnsi="Times New Roman" w:cs="Times New Roman"/>
          <w:sz w:val="24"/>
          <w:szCs w:val="24"/>
        </w:rPr>
        <w:t>gianluca.ciancaleoni@unipi.it</w:t>
      </w:r>
    </w:p>
    <w:p w14:paraId="7D6A98C3" w14:textId="68A6C01D" w:rsidR="00911D53" w:rsidRPr="00460059" w:rsidRDefault="00DA551C" w:rsidP="00B46701">
      <w:pPr>
        <w:pStyle w:val="Corpotesto"/>
        <w:spacing w:after="0" w:line="360" w:lineRule="auto"/>
        <w:rPr>
          <w:rFonts w:ascii="Times New Roman" w:hAnsi="Times New Roman" w:cs="Times New Roman"/>
          <w:sz w:val="24"/>
          <w:szCs w:val="24"/>
        </w:rPr>
      </w:pPr>
      <w:r w:rsidRPr="00460059">
        <w:rPr>
          <w:rFonts w:ascii="Times New Roman" w:hAnsi="Times New Roman" w:cs="Times New Roman"/>
          <w:sz w:val="24"/>
          <w:szCs w:val="24"/>
          <w:vertAlign w:val="superscript"/>
        </w:rPr>
        <w:t>b</w:t>
      </w:r>
      <w:r w:rsidRPr="00460059">
        <w:rPr>
          <w:rFonts w:ascii="Times New Roman" w:hAnsi="Times New Roman" w:cs="Times New Roman"/>
          <w:sz w:val="24"/>
          <w:szCs w:val="24"/>
        </w:rPr>
        <w:t xml:space="preserve"> School of Chemistry, University of East Anglia, Norwich Research Park, NR4 7TJ, Norwich, UK.</w:t>
      </w:r>
      <w:r w:rsidR="006A1905" w:rsidRPr="00460059">
        <w:rPr>
          <w:rFonts w:ascii="Times New Roman" w:hAnsi="Times New Roman" w:cs="Times New Roman"/>
          <w:sz w:val="24"/>
          <w:szCs w:val="24"/>
        </w:rPr>
        <w:t xml:space="preserve"> E-mail: </w:t>
      </w:r>
      <w:r w:rsidR="00411567" w:rsidRPr="00411567">
        <w:rPr>
          <w:rFonts w:ascii="Times New Roman" w:hAnsi="Times New Roman" w:cs="Times New Roman"/>
          <w:sz w:val="24"/>
          <w:szCs w:val="24"/>
        </w:rPr>
        <w:t>luca.rocchigiani@gmail.com</w:t>
      </w:r>
    </w:p>
    <w:p w14:paraId="034C106F" w14:textId="77777777" w:rsidR="00D577CB" w:rsidRPr="00460059" w:rsidRDefault="00D577CB" w:rsidP="00B46701">
      <w:pPr>
        <w:pStyle w:val="Corpotesto"/>
        <w:spacing w:after="0" w:line="360" w:lineRule="auto"/>
        <w:rPr>
          <w:rFonts w:ascii="Times New Roman" w:hAnsi="Times New Roman" w:cs="Times New Roman"/>
          <w:sz w:val="24"/>
          <w:szCs w:val="24"/>
        </w:rPr>
      </w:pPr>
    </w:p>
    <w:p w14:paraId="3CCA1817" w14:textId="77777777" w:rsidR="005E4F9C" w:rsidRPr="00460059" w:rsidRDefault="005E4F9C" w:rsidP="00B46701">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sz w:val="24"/>
          <w:szCs w:val="24"/>
        </w:rPr>
        <w:t>Abstract</w:t>
      </w:r>
    </w:p>
    <w:p w14:paraId="2EE9A3A7" w14:textId="3A64ED3C" w:rsidR="005E4F9C" w:rsidRPr="00460059" w:rsidRDefault="009B2718" w:rsidP="009B2718">
      <w:pPr>
        <w:pStyle w:val="Corpotesto"/>
        <w:spacing w:after="0" w:line="360" w:lineRule="auto"/>
        <w:jc w:val="both"/>
        <w:rPr>
          <w:rFonts w:ascii="Times New Roman" w:hAnsi="Times New Roman" w:cs="Times New Roman"/>
          <w:bCs/>
          <w:sz w:val="24"/>
          <w:szCs w:val="24"/>
        </w:rPr>
      </w:pPr>
      <w:r w:rsidRPr="00460059">
        <w:rPr>
          <w:rFonts w:ascii="Times New Roman" w:hAnsi="Times New Roman" w:cs="Times New Roman"/>
          <w:bCs/>
          <w:sz w:val="24"/>
          <w:szCs w:val="24"/>
        </w:rPr>
        <w:t>The term “spodium bond” (</w:t>
      </w:r>
      <w:proofErr w:type="spellStart"/>
      <w:r w:rsidRPr="00460059">
        <w:rPr>
          <w:rFonts w:ascii="Times New Roman" w:hAnsi="Times New Roman" w:cs="Times New Roman"/>
          <w:bCs/>
          <w:sz w:val="24"/>
          <w:szCs w:val="24"/>
        </w:rPr>
        <w:t>SpB</w:t>
      </w:r>
      <w:proofErr w:type="spellEnd"/>
      <w:r w:rsidRPr="00460059">
        <w:rPr>
          <w:rFonts w:ascii="Times New Roman" w:hAnsi="Times New Roman" w:cs="Times New Roman"/>
          <w:bCs/>
          <w:sz w:val="24"/>
          <w:szCs w:val="24"/>
        </w:rPr>
        <w:t xml:space="preserve">) has been recently proposed </w:t>
      </w:r>
      <w:r w:rsidR="0084101A" w:rsidRPr="00460059">
        <w:rPr>
          <w:rFonts w:ascii="Times New Roman" w:hAnsi="Times New Roman" w:cs="Times New Roman"/>
          <w:bCs/>
          <w:sz w:val="24"/>
          <w:szCs w:val="24"/>
        </w:rPr>
        <w:t xml:space="preserve">to describe </w:t>
      </w:r>
      <w:r w:rsidRPr="00460059">
        <w:rPr>
          <w:rFonts w:ascii="Times New Roman" w:hAnsi="Times New Roman" w:cs="Times New Roman"/>
          <w:bCs/>
          <w:sz w:val="24"/>
          <w:szCs w:val="24"/>
        </w:rPr>
        <w:t>the non-coordinative interaction</w:t>
      </w:r>
      <w:r w:rsidR="0084101A" w:rsidRPr="00460059">
        <w:rPr>
          <w:rFonts w:ascii="Times New Roman" w:hAnsi="Times New Roman" w:cs="Times New Roman"/>
          <w:bCs/>
          <w:sz w:val="24"/>
          <w:szCs w:val="24"/>
        </w:rPr>
        <w:t xml:space="preserve"> that can be established </w:t>
      </w:r>
      <w:r w:rsidRPr="00460059">
        <w:rPr>
          <w:rFonts w:ascii="Times New Roman" w:hAnsi="Times New Roman" w:cs="Times New Roman"/>
          <w:bCs/>
          <w:sz w:val="24"/>
          <w:szCs w:val="24"/>
        </w:rPr>
        <w:t>between a polari</w:t>
      </w:r>
      <w:r w:rsidR="005A0687" w:rsidRPr="00460059">
        <w:rPr>
          <w:rFonts w:ascii="Times New Roman" w:hAnsi="Times New Roman" w:cs="Times New Roman"/>
          <w:bCs/>
          <w:sz w:val="24"/>
          <w:szCs w:val="24"/>
        </w:rPr>
        <w:t>z</w:t>
      </w:r>
      <w:r w:rsidRPr="00460059">
        <w:rPr>
          <w:rFonts w:ascii="Times New Roman" w:hAnsi="Times New Roman" w:cs="Times New Roman"/>
          <w:bCs/>
          <w:sz w:val="24"/>
          <w:szCs w:val="24"/>
        </w:rPr>
        <w:t xml:space="preserve">ed group 12 metal and a mild Lewis base. </w:t>
      </w:r>
      <w:r w:rsidR="00CB1E3D" w:rsidRPr="00460059">
        <w:rPr>
          <w:rFonts w:ascii="Times New Roman" w:hAnsi="Times New Roman" w:cs="Times New Roman"/>
          <w:bCs/>
          <w:sz w:val="24"/>
          <w:szCs w:val="24"/>
        </w:rPr>
        <w:t>M</w:t>
      </w:r>
      <w:r w:rsidRPr="00460059">
        <w:rPr>
          <w:rFonts w:ascii="Times New Roman" w:hAnsi="Times New Roman" w:cs="Times New Roman"/>
          <w:bCs/>
          <w:sz w:val="24"/>
          <w:szCs w:val="24"/>
        </w:rPr>
        <w:t>ost of the systems showing short metal-donor distances</w:t>
      </w:r>
      <w:r w:rsidR="00CB1E3D" w:rsidRPr="00460059">
        <w:rPr>
          <w:rFonts w:ascii="Times New Roman" w:hAnsi="Times New Roman" w:cs="Times New Roman"/>
          <w:bCs/>
          <w:sz w:val="24"/>
          <w:szCs w:val="24"/>
        </w:rPr>
        <w:t xml:space="preserve"> compatible with </w:t>
      </w:r>
      <w:proofErr w:type="spellStart"/>
      <w:r w:rsidRPr="00460059">
        <w:rPr>
          <w:rFonts w:ascii="Times New Roman" w:hAnsi="Times New Roman" w:cs="Times New Roman"/>
          <w:bCs/>
          <w:sz w:val="24"/>
          <w:szCs w:val="24"/>
        </w:rPr>
        <w:t>SpB</w:t>
      </w:r>
      <w:proofErr w:type="spellEnd"/>
      <w:r w:rsidR="00CB1E3D" w:rsidRPr="00460059">
        <w:rPr>
          <w:rFonts w:ascii="Times New Roman" w:hAnsi="Times New Roman" w:cs="Times New Roman"/>
          <w:bCs/>
          <w:sz w:val="24"/>
          <w:szCs w:val="24"/>
        </w:rPr>
        <w:t xml:space="preserve"> are characterized by the</w:t>
      </w:r>
      <w:r w:rsidRPr="00460059">
        <w:rPr>
          <w:rFonts w:ascii="Times New Roman" w:hAnsi="Times New Roman" w:cs="Times New Roman"/>
          <w:bCs/>
          <w:sz w:val="24"/>
          <w:szCs w:val="24"/>
        </w:rPr>
        <w:t xml:space="preserve"> </w:t>
      </w:r>
      <w:r w:rsidR="00CB1E3D" w:rsidRPr="00460059">
        <w:rPr>
          <w:rFonts w:ascii="Times New Roman" w:hAnsi="Times New Roman" w:cs="Times New Roman"/>
          <w:bCs/>
          <w:sz w:val="24"/>
          <w:szCs w:val="24"/>
        </w:rPr>
        <w:t>coexistence of multiple</w:t>
      </w:r>
      <w:r w:rsidRPr="00460059">
        <w:rPr>
          <w:rFonts w:ascii="Times New Roman" w:hAnsi="Times New Roman" w:cs="Times New Roman"/>
          <w:bCs/>
          <w:sz w:val="24"/>
          <w:szCs w:val="24"/>
        </w:rPr>
        <w:t xml:space="preserve"> weak interactions, including hydrogen and halogen bonding</w:t>
      </w:r>
      <w:r w:rsidR="00CB1E3D" w:rsidRPr="00460059">
        <w:rPr>
          <w:rFonts w:ascii="Times New Roman" w:hAnsi="Times New Roman" w:cs="Times New Roman"/>
          <w:bCs/>
          <w:sz w:val="24"/>
          <w:szCs w:val="24"/>
        </w:rPr>
        <w:t xml:space="preserve">, making the assessment of real importance of </w:t>
      </w:r>
      <w:proofErr w:type="spellStart"/>
      <w:r w:rsidR="00CB1E3D" w:rsidRPr="00460059">
        <w:rPr>
          <w:rFonts w:ascii="Times New Roman" w:hAnsi="Times New Roman" w:cs="Times New Roman"/>
          <w:bCs/>
          <w:sz w:val="24"/>
          <w:szCs w:val="24"/>
        </w:rPr>
        <w:t>SpB</w:t>
      </w:r>
      <w:proofErr w:type="spellEnd"/>
      <w:r w:rsidR="00CB1E3D" w:rsidRPr="00460059">
        <w:rPr>
          <w:rFonts w:ascii="Times New Roman" w:hAnsi="Times New Roman" w:cs="Times New Roman"/>
          <w:bCs/>
          <w:sz w:val="24"/>
          <w:szCs w:val="24"/>
        </w:rPr>
        <w:t xml:space="preserve"> difficult</w:t>
      </w:r>
      <w:r w:rsidRPr="00460059">
        <w:rPr>
          <w:rFonts w:ascii="Times New Roman" w:hAnsi="Times New Roman" w:cs="Times New Roman"/>
          <w:bCs/>
          <w:sz w:val="24"/>
          <w:szCs w:val="24"/>
        </w:rPr>
        <w:t xml:space="preserve">. Here we show that </w:t>
      </w:r>
      <w:r w:rsidR="00CB1E3D" w:rsidRPr="00460059">
        <w:rPr>
          <w:rFonts w:ascii="Times New Roman" w:hAnsi="Times New Roman" w:cs="Times New Roman"/>
          <w:bCs/>
          <w:sz w:val="24"/>
          <w:szCs w:val="24"/>
        </w:rPr>
        <w:t>the</w:t>
      </w:r>
      <w:r w:rsidRPr="00460059">
        <w:rPr>
          <w:rFonts w:ascii="Times New Roman" w:hAnsi="Times New Roman" w:cs="Times New Roman"/>
          <w:bCs/>
          <w:sz w:val="24"/>
          <w:szCs w:val="24"/>
        </w:rPr>
        <w:t xml:space="preserve"> </w:t>
      </w:r>
      <w:r w:rsidR="00CB1E3D" w:rsidRPr="00460059">
        <w:rPr>
          <w:rFonts w:ascii="Times New Roman" w:hAnsi="Times New Roman" w:cs="Times New Roman"/>
          <w:bCs/>
          <w:sz w:val="24"/>
          <w:szCs w:val="24"/>
        </w:rPr>
        <w:t xml:space="preserve">relative </w:t>
      </w:r>
      <w:r w:rsidRPr="00460059">
        <w:rPr>
          <w:rFonts w:ascii="Times New Roman" w:hAnsi="Times New Roman" w:cs="Times New Roman"/>
          <w:bCs/>
          <w:sz w:val="24"/>
          <w:szCs w:val="24"/>
        </w:rPr>
        <w:t>importance</w:t>
      </w:r>
      <w:r w:rsidR="00CB1E3D" w:rsidRPr="00460059">
        <w:rPr>
          <w:rFonts w:ascii="Times New Roman" w:hAnsi="Times New Roman" w:cs="Times New Roman"/>
          <w:bCs/>
          <w:sz w:val="24"/>
          <w:szCs w:val="24"/>
        </w:rPr>
        <w:t xml:space="preserve"> of each contribution</w:t>
      </w:r>
      <w:r w:rsidRPr="00460059">
        <w:rPr>
          <w:rFonts w:ascii="Times New Roman" w:hAnsi="Times New Roman" w:cs="Times New Roman"/>
          <w:bCs/>
          <w:sz w:val="24"/>
          <w:szCs w:val="24"/>
        </w:rPr>
        <w:t xml:space="preserve"> can be probed by dissecting the orbital component of the interaction through the Natural Orbital for Chemical Valence-Charge Displacement analysis</w:t>
      </w:r>
      <w:r w:rsidR="00CB1E3D" w:rsidRPr="00460059">
        <w:rPr>
          <w:rFonts w:ascii="Times New Roman" w:hAnsi="Times New Roman" w:cs="Times New Roman"/>
          <w:bCs/>
          <w:sz w:val="24"/>
          <w:szCs w:val="24"/>
        </w:rPr>
        <w:t xml:space="preserve"> (NOCV-CD)</w:t>
      </w:r>
      <w:r w:rsidRPr="00460059">
        <w:rPr>
          <w:rFonts w:ascii="Times New Roman" w:hAnsi="Times New Roman" w:cs="Times New Roman"/>
          <w:bCs/>
          <w:sz w:val="24"/>
          <w:szCs w:val="24"/>
        </w:rPr>
        <w:t xml:space="preserve">. NOCV-CD gives straightforward snapshots of relative energies and electrons involved, either for model and “real” adducts, allowing us to demonstrate the lack of a direct correlation between a favorable metal-base distance and the presence of an orbital contribution for the </w:t>
      </w:r>
      <w:proofErr w:type="spellStart"/>
      <w:r w:rsidRPr="00460059">
        <w:rPr>
          <w:rFonts w:ascii="Times New Roman" w:hAnsi="Times New Roman" w:cs="Times New Roman"/>
          <w:bCs/>
          <w:sz w:val="24"/>
          <w:szCs w:val="24"/>
        </w:rPr>
        <w:t>SpB</w:t>
      </w:r>
      <w:proofErr w:type="spellEnd"/>
      <w:r w:rsidRPr="00460059">
        <w:rPr>
          <w:rFonts w:ascii="Times New Roman" w:hAnsi="Times New Roman" w:cs="Times New Roman"/>
          <w:bCs/>
          <w:sz w:val="24"/>
          <w:szCs w:val="24"/>
        </w:rPr>
        <w:t>.</w:t>
      </w:r>
    </w:p>
    <w:p w14:paraId="5FC291E4" w14:textId="77777777" w:rsidR="009B2718" w:rsidRPr="00460059" w:rsidRDefault="009B2718" w:rsidP="00B46701">
      <w:pPr>
        <w:pStyle w:val="Corpotesto"/>
        <w:spacing w:after="0" w:line="360" w:lineRule="auto"/>
        <w:rPr>
          <w:rFonts w:ascii="Times New Roman" w:hAnsi="Times New Roman" w:cs="Times New Roman"/>
          <w:b/>
          <w:bCs/>
          <w:sz w:val="24"/>
          <w:szCs w:val="24"/>
        </w:rPr>
      </w:pPr>
    </w:p>
    <w:p w14:paraId="0A263331" w14:textId="300AF1C3" w:rsidR="00D577CB" w:rsidRPr="00460059" w:rsidRDefault="00D577CB" w:rsidP="00B46701">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sz w:val="24"/>
          <w:szCs w:val="24"/>
        </w:rPr>
        <w:t>Introduction</w:t>
      </w:r>
    </w:p>
    <w:p w14:paraId="37B2E4B7" w14:textId="6712FEC7" w:rsidR="007E0E6E" w:rsidRPr="00460059" w:rsidRDefault="007E0E6E" w:rsidP="007E0E6E">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σ-hole bonding,</w:t>
      </w:r>
      <w:r w:rsidR="00E23EC1" w:rsidRPr="00460059">
        <w:rPr>
          <w:rFonts w:ascii="Times New Roman" w:hAnsi="Times New Roman" w:cs="Times New Roman"/>
          <w:sz w:val="24"/>
          <w:szCs w:val="24"/>
        </w:rPr>
        <w:fldChar w:fldCharType="begin" w:fldLock="1"/>
      </w:r>
      <w:r w:rsidR="00CE3A32" w:rsidRPr="00460059">
        <w:rPr>
          <w:rFonts w:ascii="Times New Roman" w:hAnsi="Times New Roman" w:cs="Times New Roman"/>
          <w:sz w:val="24"/>
          <w:szCs w:val="24"/>
        </w:rPr>
        <w:instrText>ADDIN CSL_CITATION {"citationItems":[{"id":"ITEM-1","itemData":{"DOI":"10.1039/c3cp00054k","ISSN":"14639076","abstract":"A σ-hole bond is a noncovalent interaction between a covalently-bonded atom of Groups IV-VII and a negative site, e.g. a lone pair of a Lewis base or an anion. It involves a region of positive electrostatic potential, labeled a σ-hole, on the extension of one of the covalent bonds to the atom. The σ-hole is due to the anisotropy of the atom's charge distribution. Halogen bonding is a subset of σ-hole interactions. Their features and properties can be fully explained in terms of electrostatics and polarization plus dispersion. The strengths of the interactions generally correlate well with the magnitudes of the positive and negative electrostatic potentials of the σ-hole and the negative site. In certain instances, however, polarizabilities must be taken into account explicitly, as the polarization of the negative site reaches a level that can be viewed as a degree of dative sharing (coordinate covalence). In the gas phase, σ-hole interactions with neutral bases are often thermodynamically unfavorable due to the relatively large entropy loss upon complex formation.","author":[{"dropping-particle":"","family":"Politzer","given":"Peter","non-dropping-particle":"","parse-names":false,"suffix":""},{"dropping-particle":"","family":"Murray","given":"Jane S.","non-dropping-particle":"","parse-names":false,"suffix":""},{"dropping-particle":"","family":"Clark","given":"Timothy","non-dropping-particle":"","parse-names":false,"suffix":""}],"container-title":"Physical Chemistry Chemical Physics","id":"ITEM-1","issue":"27","issued":{"date-parts":[["2013","6","18"]]},"page":"11178-11189","publisher":"The Royal Society of Chemistry","title":"Halogen bonding and other σ-hole interactions: A perspective","type":"article","volume":"15"},"uris":["http://www.mendeley.com/documents/?uuid=6b6cbfd5-df16-39a9-a43a-bab552a8d42f"]}],"mendeley":{"formattedCitation":"&lt;sup&gt;1&lt;/sup&gt;","plainTextFormattedCitation":"1","previouslyFormattedCitation":"&lt;sup&gt;1&lt;/sup&gt;"},"properties":{"noteIndex":0},"schema":"https://github.com/citation-style-language/schema/raw/master/csl-citation.json"}</w:instrText>
      </w:r>
      <w:r w:rsidR="00E23EC1" w:rsidRPr="00460059">
        <w:rPr>
          <w:rFonts w:ascii="Times New Roman" w:hAnsi="Times New Roman" w:cs="Times New Roman"/>
          <w:sz w:val="24"/>
          <w:szCs w:val="24"/>
        </w:rPr>
        <w:fldChar w:fldCharType="separate"/>
      </w:r>
      <w:r w:rsidR="00E23EC1" w:rsidRPr="00460059">
        <w:rPr>
          <w:rFonts w:ascii="Times New Roman" w:hAnsi="Times New Roman" w:cs="Times New Roman"/>
          <w:noProof/>
          <w:sz w:val="24"/>
          <w:szCs w:val="24"/>
          <w:vertAlign w:val="superscript"/>
        </w:rPr>
        <w:t>1</w:t>
      </w:r>
      <w:r w:rsidR="00E23EC1"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i.e. </w:t>
      </w:r>
      <w:r w:rsidR="00F36B34" w:rsidRPr="00460059">
        <w:rPr>
          <w:rFonts w:ascii="Times New Roman" w:hAnsi="Times New Roman" w:cs="Times New Roman"/>
          <w:sz w:val="24"/>
          <w:szCs w:val="24"/>
        </w:rPr>
        <w:t>t</w:t>
      </w:r>
      <w:r w:rsidRPr="00460059">
        <w:rPr>
          <w:rFonts w:ascii="Times New Roman" w:hAnsi="Times New Roman" w:cs="Times New Roman"/>
          <w:sz w:val="24"/>
          <w:szCs w:val="24"/>
        </w:rPr>
        <w:t>he attractive interaction between a polari</w:t>
      </w:r>
      <w:r w:rsidR="005A0687" w:rsidRPr="00460059">
        <w:rPr>
          <w:rFonts w:ascii="Times New Roman" w:hAnsi="Times New Roman" w:cs="Times New Roman"/>
          <w:sz w:val="24"/>
          <w:szCs w:val="24"/>
        </w:rPr>
        <w:t>z</w:t>
      </w:r>
      <w:r w:rsidRPr="00460059">
        <w:rPr>
          <w:rFonts w:ascii="Times New Roman" w:hAnsi="Times New Roman" w:cs="Times New Roman"/>
          <w:sz w:val="24"/>
          <w:szCs w:val="24"/>
        </w:rPr>
        <w:t>ed main group atom and a Lewis base (LB), is gaining considerable importance within the family of non-covalent interactions. It arises from an anisotropic charge distribution around the polari</w:t>
      </w:r>
      <w:r w:rsidR="005A0687" w:rsidRPr="00460059">
        <w:rPr>
          <w:rFonts w:ascii="Times New Roman" w:hAnsi="Times New Roman" w:cs="Times New Roman"/>
          <w:sz w:val="24"/>
          <w:szCs w:val="24"/>
        </w:rPr>
        <w:t>z</w:t>
      </w:r>
      <w:r w:rsidRPr="00460059">
        <w:rPr>
          <w:rFonts w:ascii="Times New Roman" w:hAnsi="Times New Roman" w:cs="Times New Roman"/>
          <w:sz w:val="24"/>
          <w:szCs w:val="24"/>
        </w:rPr>
        <w:t xml:space="preserve">ed atom, which creates a region of positive electrostatic potential (σ-hole) </w:t>
      </w:r>
      <w:r w:rsidR="00F36B34" w:rsidRPr="00460059">
        <w:rPr>
          <w:rFonts w:ascii="Times New Roman" w:hAnsi="Times New Roman" w:cs="Times New Roman"/>
          <w:sz w:val="24"/>
          <w:szCs w:val="24"/>
        </w:rPr>
        <w:t>interacting with</w:t>
      </w:r>
      <w:r w:rsidRPr="00460059">
        <w:rPr>
          <w:rFonts w:ascii="Times New Roman" w:hAnsi="Times New Roman" w:cs="Times New Roman"/>
          <w:sz w:val="24"/>
          <w:szCs w:val="24"/>
        </w:rPr>
        <w:t xml:space="preserve"> electron-rich moieties. The most notable example is the halogen bond (XB),</w:t>
      </w:r>
      <w:r w:rsidR="00CE3A32" w:rsidRPr="00460059">
        <w:rPr>
          <w:rFonts w:ascii="Times New Roman" w:hAnsi="Times New Roman" w:cs="Times New Roman"/>
          <w:sz w:val="24"/>
          <w:szCs w:val="24"/>
        </w:rPr>
        <w:fldChar w:fldCharType="begin" w:fldLock="1"/>
      </w:r>
      <w:r w:rsidR="00200C9D" w:rsidRPr="00460059">
        <w:rPr>
          <w:rFonts w:ascii="Times New Roman" w:hAnsi="Times New Roman" w:cs="Times New Roman"/>
          <w:sz w:val="24"/>
          <w:szCs w:val="24"/>
        </w:rPr>
        <w:instrText>ADDIN CSL_CITATION {"citationItems":[{"id":"ITEM-1","itemData":{"DOI":"10.1002/chem.201802927","ISSN":"15213765","author":[{"dropping-particle":"","family":"Wang","given":"Hao","non-dropping-particle":"","parse-names":false,"suffix":""},{"dropping-particle":"","family":"Bisoyi","given":"Hari Krishna","non-dropping-particle":"","parse-names":false,"suffix":""},{"dropping-particle":"","family":"Urbas","given":"Augustine M.","non-dropping-particle":"","parse-names":false,"suffix":""},{"dropping-particle":"","family":"Bunning","given":"Timothy J.","non-dropping-particle":"","parse-names":false,"suffix":""},{"dropping-particle":"","family":"Li","given":"Quan","non-dropping-particle":"","parse-names":false,"suffix":""}],"container-title":"Chemistry - A European Journal","id":"ITEM-1","issue":"6","issued":{"date-parts":[["2019","1","28"]]},"page":"1369-1378","publisher":"John Wiley &amp; Sons, Ltd","title":"The Halogen Bond: An Emerging Supramolecular Tool in the Design of Functional Mesomorphic Materials","type":"article-journal","volume":"25"},"uris":["http://www.mendeley.com/documents/?uuid=b3a5e055-0d54-38c0-af4e-0985902ab384"]},{"id":"ITEM-2","itemData":{"DOI":"10.1021/acs.chemrev.5b00484","ISBN":"0009-2665","ISSN":"15206890","PMID":"26812185","abstract":"The halogen bond occurs when there is evidence of a net attractive interaction between an electrophilic region associated with a halogen atom in a molecular entity and a nucleophilic region in another, or the same, molecular entity. In this fairly extensive review, after a brief history of the interaction, we will provide the reader with a snapshot of where the research on the halogen bond is now, and, perhaps, where it is going. The specific advantages brought up by a design based on the use of the halogen bond will be demonstrated in quite different fields spanning from material sciences to biomolecular recognition and drug design.","author":[{"dropping-particle":"","family":"Cavallo","given":"Gabriella","non-dropping-particle":"","parse-names":false,"suffix":""},{"dropping-particle":"","family":"Metrangolo","given":"Pierangelo","non-dropping-particle":"","parse-names":false,"suffix":""},{"dropping-particle":"","family":"Milani","given":"Roberto","non-dropping-particle":"","parse-names":false,"suffix":""},{"dropping-particle":"","family":"Pilati","given":"Tullio","non-dropping-particle":"","parse-names":false,"suffix":""},{"dropping-particle":"","family":"Priimagi","given":"Arri","non-dropping-particle":"","parse-names":false,"suffix":""},{"dropping-particle":"","family":"Resnati","given":"Giuseppe","non-dropping-particle":"","parse-names":false,"suffix":""},{"dropping-particle":"","family":"Terraneo","given":"Giancarlo","non-dropping-particle":"","parse-names":false,"suffix":""}],"container-title":"Chemical Reviews","id":"ITEM-2","issue":"4","issued":{"date-parts":[["2016","2","24"]]},"page":"2478-2601","publisher":"American Chemical Society","title":"The halogen bond","type":"article-journal","volume":"116"},"uris":["http://www.mendeley.com/documents/?uuid=0b5e9ec9-bb00-48fa-ab17-c38751af2d4f"]},{"id":"ITEM-3","itemData":{"DOI":"10.1351/PAC-REC-12-05-10","ISBN":"13653075","ISSN":"1365-3075","PMID":"22745936","abstract":"This recommendation proposes a definition for the term “halogen bond”, which designates a specific subset of the inter- and intramolecular interactions involving a halogen atom in a molecular entity.","author":[{"dropping-particle":"","family":"Desiraju","given":"Gautam R.","non-dropping-particle":"","parse-names":false,"suffix":""},{"dropping-particle":"","family":"Ho","given":"P. Shing","non-dropping-particle":"","parse-names":false,"suffix":""},{"dropping-particle":"","family":"Kloo","given":"Lars","non-dropping-particle":"","parse-names":false,"suffix":""},{"dropping-particle":"","family":"Legon","given":"Anthony C.","non-dropping-particle":"","parse-names":false,"suffix":""},{"dropping-particle":"","family":"Marquardt","given":"Roberto","non-dropping-particle":"","parse-names":false,"suffix":""},{"dropping-particle":"","family":"Metrangolo","given":"Pierangelo","non-dropping-particle":"","parse-names":false,"suffix":""},{"dropping-particle":"","family":"Politzer","given":"Peter","non-dropping-particle":"","parse-names":false,"suffix":""},{"dropping-particle":"","family":"Resnati","given":"Giuseppe","non-dropping-particle":"","parse-names":false,"suffix":""},{"dropping-particle":"","family":"Rissanen","given":"Kari","non-dropping-particle":"","parse-names":false,"suffix":""}],"container-title":"Pure and Applied Chemistry","id":"ITEM-3","issue":"8","issued":{"date-parts":[["2013","1","10"]]},"page":"1711-1713","publisher":"International Union of Pure and Applied Chemistry","title":"Definition of the halogen bond (IUPAC Recommendations 2013)","type":"article-journal","volume":"85"},"uris":["http://www.mendeley.com/documents/?uuid=3d44989d-96c7-3946-bd08-5486292861f8"]}],"mendeley":{"formattedCitation":"&lt;sup&gt;2–4&lt;/sup&gt;","plainTextFormattedCitation":"2–4","previouslyFormattedCitation":"&lt;sup&gt;2–4&lt;/sup&gt;"},"properties":{"noteIndex":0},"schema":"https://github.com/citation-style-language/schema/raw/master/csl-citation.json"}</w:instrText>
      </w:r>
      <w:r w:rsidR="00CE3A32" w:rsidRPr="00460059">
        <w:rPr>
          <w:rFonts w:ascii="Times New Roman" w:hAnsi="Times New Roman" w:cs="Times New Roman"/>
          <w:sz w:val="24"/>
          <w:szCs w:val="24"/>
        </w:rPr>
        <w:fldChar w:fldCharType="separate"/>
      </w:r>
      <w:r w:rsidR="00CE3A32" w:rsidRPr="00460059">
        <w:rPr>
          <w:rFonts w:ascii="Times New Roman" w:hAnsi="Times New Roman" w:cs="Times New Roman"/>
          <w:noProof/>
          <w:sz w:val="24"/>
          <w:szCs w:val="24"/>
          <w:vertAlign w:val="superscript"/>
        </w:rPr>
        <w:t>2–4</w:t>
      </w:r>
      <w:r w:rsidR="00CE3A32"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which is increasingly establishing as a versatile tool in crystal engineering, catalysis and photoluminescence.</w:t>
      </w:r>
      <w:r w:rsidR="00200C9D" w:rsidRPr="00460059">
        <w:rPr>
          <w:rFonts w:ascii="Times New Roman" w:hAnsi="Times New Roman" w:cs="Times New Roman"/>
          <w:sz w:val="24"/>
          <w:szCs w:val="24"/>
        </w:rPr>
        <w:fldChar w:fldCharType="begin" w:fldLock="1"/>
      </w:r>
      <w:r w:rsidR="003E3D52" w:rsidRPr="00460059">
        <w:rPr>
          <w:rFonts w:ascii="Times New Roman" w:hAnsi="Times New Roman" w:cs="Times New Roman"/>
          <w:sz w:val="24"/>
          <w:szCs w:val="24"/>
        </w:rPr>
        <w:instrText>ADDIN CSL_CITATION {"citationItems":[{"id":"ITEM-1","itemData":{"DOI":"10.1021/acs.chemrev.5b00484","ISBN":"0009-2665","ISSN":"15206890","PMID":"26812185","abstract":"The halogen bond occurs when there is evidence of a net attractive interaction between an electrophilic region associated with a halogen atom in a molecular entity and a nucleophilic region in another, or the same, molecular entity. In this fairly extensive review, after a brief history of the interaction, we will provide the reader with a snapshot of where the research on the halogen bond is now, and, perhaps, where it is going. The specific advantages brought up by a design based on the use of the halogen bond will be demonstrated in quite different fields spanning from material sciences to biomolecular recognition and drug design.","author":[{"dropping-particle":"","family":"Cavallo","given":"Gabriella","non-dropping-particle":"","parse-names":false,"suffix":""},{"dropping-particle":"","family":"Metrangolo","given":"Pierangelo","non-dropping-particle":"","parse-names":false,"suffix":""},{"dropping-particle":"","family":"Milani","given":"Roberto","non-dropping-particle":"","parse-names":false,"suffix":""},{"dropping-particle":"","family":"Pilati","given":"Tullio","non-dropping-particle":"","parse-names":false,"suffix":""},{"dropping-particle":"","family":"Priimagi","given":"Arri","non-dropping-particle":"","parse-names":false,"suffix":""},{"dropping-particle":"","family":"Resnati","given":"Giuseppe","non-dropping-particle":"","parse-names":false,"suffix":""},{"dropping-particle":"","family":"Terraneo","given":"Giancarlo","non-dropping-particle":"","parse-names":false,"suffix":""}],"container-title":"Chemical Reviews","id":"ITEM-1","issue":"4","issued":{"date-parts":[["2016","2","24"]]},"page":"2478-2601","publisher":"American Chemical Society","title":"The halogen bond","type":"article-journal","volume":"116"},"uris":["http://www.mendeley.com/documents/?uuid=0b5e9ec9-bb00-48fa-ab17-c38751af2d4f"]}],"mendeley":{"formattedCitation":"&lt;sup&gt;3&lt;/sup&gt;","plainTextFormattedCitation":"3","previouslyFormattedCitation":"&lt;sup&gt;3&lt;/sup&gt;"},"properties":{"noteIndex":0},"schema":"https://github.com/citation-style-language/schema/raw/master/csl-citation.json"}</w:instrText>
      </w:r>
      <w:r w:rsidR="00200C9D" w:rsidRPr="00460059">
        <w:rPr>
          <w:rFonts w:ascii="Times New Roman" w:hAnsi="Times New Roman" w:cs="Times New Roman"/>
          <w:sz w:val="24"/>
          <w:szCs w:val="24"/>
        </w:rPr>
        <w:fldChar w:fldCharType="separate"/>
      </w:r>
      <w:r w:rsidR="00200C9D" w:rsidRPr="00460059">
        <w:rPr>
          <w:rFonts w:ascii="Times New Roman" w:hAnsi="Times New Roman" w:cs="Times New Roman"/>
          <w:noProof/>
          <w:sz w:val="24"/>
          <w:szCs w:val="24"/>
          <w:vertAlign w:val="superscript"/>
        </w:rPr>
        <w:t>3</w:t>
      </w:r>
      <w:r w:rsidR="00200C9D"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More recently, the </w:t>
      </w:r>
      <w:r w:rsidR="00FB2CBD" w:rsidRPr="00460059">
        <w:rPr>
          <w:rFonts w:ascii="Times New Roman" w:hAnsi="Times New Roman" w:cs="Times New Roman"/>
          <w:sz w:val="24"/>
          <w:szCs w:val="24"/>
        </w:rPr>
        <w:t xml:space="preserve">family of </w:t>
      </w:r>
      <w:r w:rsidRPr="00460059">
        <w:rPr>
          <w:rFonts w:ascii="Times New Roman" w:hAnsi="Times New Roman" w:cs="Times New Roman"/>
          <w:sz w:val="24"/>
          <w:szCs w:val="24"/>
        </w:rPr>
        <w:t>σ-hole interactions</w:t>
      </w:r>
      <w:r w:rsidR="007E2B3E" w:rsidRPr="00460059">
        <w:rPr>
          <w:rFonts w:ascii="Times New Roman" w:hAnsi="Times New Roman" w:cs="Times New Roman"/>
          <w:sz w:val="24"/>
          <w:szCs w:val="24"/>
        </w:rPr>
        <w:t xml:space="preserve"> </w:t>
      </w:r>
      <w:r w:rsidRPr="00460059">
        <w:rPr>
          <w:rFonts w:ascii="Times New Roman" w:hAnsi="Times New Roman" w:cs="Times New Roman"/>
          <w:sz w:val="24"/>
          <w:szCs w:val="24"/>
        </w:rPr>
        <w:t>has been expanding throughout the periodic table to chalcogen (ChB),</w:t>
      </w:r>
      <w:r w:rsidR="00C43818" w:rsidRPr="00460059">
        <w:rPr>
          <w:rFonts w:ascii="Times New Roman" w:hAnsi="Times New Roman" w:cs="Times New Roman"/>
          <w:sz w:val="24"/>
          <w:szCs w:val="24"/>
        </w:rPr>
        <w:fldChar w:fldCharType="begin" w:fldLock="1"/>
      </w:r>
      <w:r w:rsidR="0083419C" w:rsidRPr="00460059">
        <w:rPr>
          <w:rFonts w:ascii="Times New Roman" w:hAnsi="Times New Roman" w:cs="Times New Roman"/>
          <w:sz w:val="24"/>
          <w:szCs w:val="24"/>
        </w:rPr>
        <w:instrText>ADDIN CSL_CITATION {"citationItems":[{"id":"ITEM-1","itemData":{"DOI":"10.1021/jacs.7b08511","ISSN":"15205126","abstract":"Favorable molecular interactions between group 16 elements have been implicated in catalysis, biological processes, and materials and medicinal chemistry. Such interactions have since become known as chalcogen bonds by analogy to hydrogen and halogen bonds. Although the prevalence and applications of chalcogen-bonding interactions continues to develop, debate still surrounds the energetic significance and physicochemical origins of this class of σ-hole interaction. Here, synthetic molecular balances were used to perform a quantitative experimental investigation of chalcogen-bonding interactions. Over 160 experimental conformational free energies were measured in 13 different solvents to examine the energetics of O···S, O···Se, S···S, O···HC, and S···HC contacts and the associated substituent and solvent effects. The strongest chalcogen-bonding interactions were found to be at least as strong as conventional H-bonds, but unlike H-bonds, surprisingly independent of the solvent. The independence of the confo...","author":[{"dropping-particle":"","family":"Pascoe","given":"Dominic J.","non-dropping-particle":"","parse-names":false,"suffix":""},{"dropping-particle":"","family":"Ling","given":"Kenneth B.","non-dropping-particle":"","parse-names":false,"suffix":""},{"dropping-particle":"","family":"Cockroft","given":"Scott L.","non-dropping-particle":"","parse-names":false,"suffix":""}],"container-title":"Journal of the American Chemical Society","id":"ITEM-1","issue":"42","issued":{"date-parts":[["2017","10","25"]]},"page":"15160-15167","publisher":"American Chemical Society","title":"The Origin of Chalcogen-Bonding Interactions","type":"article-journal","volume":"139"},"uris":["http://www.mendeley.com/documents/?uuid=eb657e2f-bc29-3b10-91bf-8101ffb83969"]},{"id":"ITEM-2","itemData":{"DOI":"10.1021/acs.accounts.9b00037","ISSN":"15204898","abstract":"ConspectusThe distribution of the electron density around covalently bonded atoms is anisotropic, and this determines the presence, on atoms surface, of areas of higher and lower electron density where the electrostatic potential is frequently negative and positive, respectively. The ability of positive areas on atoms to form attractive interactions with electron rich sites became recently the subject of a flurry of papers. The halogen bond (HaB), the attractive interaction formed by halogens with nucleophiles, emerged as a quite common and dependable tool for controlling phenomena as diverse as the binding of small molecules to proteinaceous targets or the organization of molecular functional materials. The mindset developed in relation to the halogen bond prompted the interest in the tendency of elements of groups 13-16 of the periodic table to form analogous attractive interactions with nucleophiles.This Account addresses the chalcogen bond (ChB), the attractive interaction formed by group 16 elements with nucleophiles, by adopting a crystallographic point of view. Structures of organic derivatives are considered where chalcogen atoms form close contacts with nucleophiles in the geometry typical for chalcogen bonds. It is shown how sulfur, selenium, and tellurium can all form chalcogen bonds, the tendency to give rise to close contacts with nucleophiles increasing with the polarizability of the element. Also oxygen, when conveniently substituted, can form ChBs in crystalline solids. Chalcogen bonds can be strong enough to allow for the interaction to function as an effective and robust tool in crystal engineering. It is presented how chalcogen containing heteroaromatics, sulfides, disulfides, and selenium and tellurium analogues as well as some other molecular moieties can afford dependable chalcogen bond based supramolecular synthons. Particular attention is given to chalcogen containing azoles and their derivatives due to the relevance of these moieties in biosystems and molecular materials. It is shown how the interaction pattern around electrophilic chalcogen atoms frequently recalls the pattern around analogous halogen, pnictogen, and tetrel derivatives. For instance, directionalities of chalcogen bonds around sulfur and selenium in some thiazolium and selenazolium derivatives are similar to directionalities of halogen bonds around bromine and iodine in bromonium and iodonium compounds. This gives experimental evidence that similarities in the a…","author":[{"dropping-particle":"","family":"Scilabra","given":"Patrick","non-dropping-particle":"","parse-names":false,"suffix":""},{"dropping-particle":"","family":"Terraneo","given":"Giancarlo","non-dropping-particle":"","parse-names":false,"suffix":""},{"dropping-particle":"","family":"Resnati","given":"Giuseppe","non-dropping-particle":"","parse-names":false,"suffix":""}],"container-title":"Accounts of Chemical Research","id":"ITEM-2","issued":{"date-parts":[["2019"]]},"page":"1313-1324","publisher":"American Chemical Society","title":"The Chalcogen Bond in Crystalline Solids: A World Parallel to Halogen Bond","type":"article-journal","volume":"52"},"uris":["http://www.mendeley.com/documents/?uuid=16da0b9e-779f-3961-ae8c-664d7074d204"]},{"id":"ITEM-3","itemData":{"DOI":"10.1021/ja512183e","ISSN":"15205126","abstract":"Chalcogen bonding is the noncovalent interaction between an electron-deficient, covalently bonded chalcogen (Te, Se, S) and a Lewis base. Although substantial evidence supports the existence of chalcogen bonding in the solid state, quantitative data regarding the strengths of the interactions in the solution phase are lacking. Herein, determinations of the association constants of benzotelluradiazoles with a variety of Lewis bases (Cl-, Br-, I-, NO3- and quinuclidine, in organic solvent) are described. The participation of the benzotelluradiazoles in chalcogen bonding interactions was probed by UV-vis, 1H and 19F NMR spectroscopy as well as nano-ESI mass spectrometry. Trends in the free energy of chalcogen bonds upon variation of the donor, acceptor and solvent are evident from these data, including a linear free energy relationship between chalcogen bond donor ability and calculated electrostatic potential at the tellurium center. Calculations using the dispersion-corrected B97-D3 functional were found to give good agreement with the experimental free energies of chalcogen bonding.","author":[{"dropping-particle":"","family":"Garrett","given":"Graham E.","non-dropping-particle":"","parse-names":false,"suffix":""},{"dropping-particle":"","family":"Gibson","given":"Gregory L.","non-dropping-particle":"","parse-names":false,"suffix":""},{"dropping-particle":"","family":"Straus","given":"Rita N.","non-dropping-particle":"","parse-names":false,"suffix":""},{"dropping-particle":"","family":"Seferos","given":"Dwight S.","non-dropping-particle":"","parse-names":false,"suffix":""},{"dropping-particle":"","family":"Taylor","given":"Mark S.","non-dropping-particle":"","parse-names":false,"suffix":""}],"container-title":"Journal of the American Chemical Society","id":"ITEM-3","issue":"12","issued":{"date-parts":[["2015","4","1"]]},"page":"4126-4133","publisher":"American Chemical Society","title":"Chalcogen bonding in solution: Interactions of benzotelluradiazoles with anionic and uncharged Lewis bases","type":"article-journal","volume":"137"},"uris":["http://www.mendeley.com/documents/?uuid=920f1433-9883-3c2a-b927-5c0c433443ee"]},{"id":"ITEM-4","itemData":{"DOI":"10.1515/pac-2018-0713","ISSN":"13653075","abstract":"This recommendation proposes a definition for the term \"chalcogen bond\"; it is recommended the term is used to designate the specific subset of inter- A nd intramolecular interactions formed by chalcogen atoms wherein the Group 16 element is the electrophilic site.","author":[{"dropping-particle":"","family":"Aakeroy","given":"Christer B.","non-dropping-particle":"","parse-names":false,"suffix":""},{"dropping-particle":"","family":"Bryce","given":"David L.","non-dropping-particle":"","parse-names":false,"suffix":""},{"dropping-particle":"","family":"Desiraju","given":"Gautam R.","non-dropping-particle":"","parse-names":false,"suffix":""},{"dropping-particle":"","family":"Frontera","given":"Antonio","non-dropping-particle":"","parse-names":false,"suffix":""},{"dropping-particle":"","family":"Legon","given":"Anthony C.","non-dropping-particle":"","parse-names":false,"suffix":""},{"dropping-particle":"","family":"Nicotra","given":"Francesco","non-dropping-particle":"","parse-names":false,"suffix":""},{"dropping-particle":"","family":"Rissanen","given":"Kari","non-dropping-particle":"","parse-names":false,"suffix":""},{"dropping-particle":"","family":"Scheiner","given":"Steve","non-dropping-particle":"","parse-names":false,"suffix":""},{"dropping-particle":"","family":"Terraneo","given":"Giancarlo","non-dropping-particle":"","parse-names":false,"suffix":""},{"dropping-particle":"","family":"Metrangolo","given":"Pierangelo","non-dropping-particle":"","parse-names":false,"suffix":""},{"dropping-particle":"","family":"Resnati","given":"Giuseppe","non-dropping-particle":"","parse-names":false,"suffix":""}],"container-title":"Pure and Applied Chemistry","id":"ITEM-4","issue":"11","issued":{"date-parts":[["2019","11","26"]]},"page":"1889-1892","publisher":"De Gruyter","title":"Definition of the chalcogen bond (IUPAC Recommendations 2019)","type":"article-journal","volume":"91"},"uris":["http://www.mendeley.com/documents/?uuid=61ea6d83-ec8c-36f2-bd70-3f05f6007c28"]}],"mendeley":{"formattedCitation":"&lt;sup&gt;5–8&lt;/sup&gt;","plainTextFormattedCitation":"5–8","previouslyFormattedCitation":"&lt;sup&gt;5–8&lt;/sup&gt;"},"properties":{"noteIndex":0},"schema":"https://github.com/citation-style-language/schema/raw/master/csl-citation.json"}</w:instrText>
      </w:r>
      <w:r w:rsidR="00C43818" w:rsidRPr="00460059">
        <w:rPr>
          <w:rFonts w:ascii="Times New Roman" w:hAnsi="Times New Roman" w:cs="Times New Roman"/>
          <w:sz w:val="24"/>
          <w:szCs w:val="24"/>
        </w:rPr>
        <w:fldChar w:fldCharType="separate"/>
      </w:r>
      <w:r w:rsidR="003D4588" w:rsidRPr="00460059">
        <w:rPr>
          <w:rFonts w:ascii="Times New Roman" w:hAnsi="Times New Roman" w:cs="Times New Roman"/>
          <w:noProof/>
          <w:sz w:val="24"/>
          <w:szCs w:val="24"/>
          <w:vertAlign w:val="superscript"/>
        </w:rPr>
        <w:t>5–8</w:t>
      </w:r>
      <w:r w:rsidR="00C43818"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pnictogen (PB)</w:t>
      </w:r>
      <w:r w:rsidR="007C4C0A" w:rsidRPr="00460059">
        <w:rPr>
          <w:rFonts w:ascii="Times New Roman" w:hAnsi="Times New Roman" w:cs="Times New Roman"/>
          <w:sz w:val="24"/>
          <w:szCs w:val="24"/>
        </w:rPr>
        <w:fldChar w:fldCharType="begin" w:fldLock="1"/>
      </w:r>
      <w:r w:rsidR="0083419C" w:rsidRPr="00460059">
        <w:rPr>
          <w:rFonts w:ascii="Times New Roman" w:hAnsi="Times New Roman" w:cs="Times New Roman"/>
          <w:sz w:val="24"/>
          <w:szCs w:val="24"/>
        </w:rPr>
        <w:instrText>ADDIN CSL_CITATION {"citationItems":[{"id":"ITEM-1","itemData":{"DOI":"10.1016/j.jfluchem.2017.10.002","ISSN":"00221139","abstract":"The presence of fluorine atom(s) in a molecule makes the σ-hole potentials of surrounding atoms more positive and thus increases their tendencies to interact attractively with nucleophiles. This review shows that in the crystal structures of fluorinated derivatives of the Group 15 atoms, close contacts between Group 15 atoms and negative sites (e.g. lone pair possessing atoms and anions) are quite common. These close contacts are taken as indications of attractive interactions. The collection of single crystal X-ray structures analysed in this paper demonstrates that the ability of fluorinated atoms of Group 15 to work as electrophilic sites, namely to function as pnictogen bond donors, is fairly general. The directionalities and separations of these pninctogen bonds are convincing experimental evidences that linking a fluorine to a pnictogen atom increases its electrophilicity to the point that pnictogen bonding formation may become a determinant of the lattice structures in crystalline solids. Pnictogen bonding formation may become an heuristic principle for predicting some of the short contacts that are present in the crystal structures of compounds containing fluorinated atoms of Group 15, particularly when polyfluorinated. Pnictogen derivatives containing other moieties may also work as effective electrophilic sites and a convenient design of the used tectons may allow pnictogen bond to become a general and reliable tool in crystal engineering.","author":[{"dropping-particle":"","family":"Scilabra","given":"Patrick","non-dropping-particle":"","parse-names":false,"suffix":""},{"dropping-particle":"","family":"Terraneo","given":"Giancarlo","non-dropping-particle":"","parse-names":false,"suffix":""},{"dropping-particle":"","family":"Resnati","given":"Giuseppe","non-dropping-particle":"","parse-names":false,"suffix":""}],"container-title":"Journal of Fluorine Chemistry","id":"ITEM-1","issued":{"date-parts":[["2017","11","1"]]},"page":"62-74","publisher":"Elsevier B.V.","title":"Fluorinated elements of Group 15 as pnictogen bond donor sites","type":"article","volume":"203"},"uris":["http://www.mendeley.com/documents/?uuid=63c2769e-fb25-3f57-8a25-ca7c0dd84a8b"]}],"mendeley":{"formattedCitation":"&lt;sup&gt;9&lt;/sup&gt;","plainTextFormattedCitation":"9","previouslyFormattedCitation":"&lt;sup&gt;9&lt;/sup&gt;"},"properties":{"noteIndex":0},"schema":"https://github.com/citation-style-language/schema/raw/master/csl-citation.json"}</w:instrText>
      </w:r>
      <w:r w:rsidR="007C4C0A" w:rsidRPr="00460059">
        <w:rPr>
          <w:rFonts w:ascii="Times New Roman" w:hAnsi="Times New Roman" w:cs="Times New Roman"/>
          <w:sz w:val="24"/>
          <w:szCs w:val="24"/>
        </w:rPr>
        <w:fldChar w:fldCharType="separate"/>
      </w:r>
      <w:r w:rsidR="003D4588" w:rsidRPr="00460059">
        <w:rPr>
          <w:rFonts w:ascii="Times New Roman" w:hAnsi="Times New Roman" w:cs="Times New Roman"/>
          <w:noProof/>
          <w:sz w:val="24"/>
          <w:szCs w:val="24"/>
          <w:vertAlign w:val="superscript"/>
        </w:rPr>
        <w:t>9</w:t>
      </w:r>
      <w:r w:rsidR="007C4C0A"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and </w:t>
      </w:r>
      <w:proofErr w:type="spellStart"/>
      <w:r w:rsidRPr="00460059">
        <w:rPr>
          <w:rFonts w:ascii="Times New Roman" w:hAnsi="Times New Roman" w:cs="Times New Roman"/>
          <w:sz w:val="24"/>
          <w:szCs w:val="24"/>
        </w:rPr>
        <w:t>tetrel</w:t>
      </w:r>
      <w:proofErr w:type="spellEnd"/>
      <w:r w:rsidRPr="00460059">
        <w:rPr>
          <w:rFonts w:ascii="Times New Roman" w:hAnsi="Times New Roman" w:cs="Times New Roman"/>
          <w:sz w:val="24"/>
          <w:szCs w:val="24"/>
        </w:rPr>
        <w:t xml:space="preserve"> bond (TB).</w:t>
      </w:r>
      <w:r w:rsidR="007C4C0A" w:rsidRPr="00460059">
        <w:rPr>
          <w:rFonts w:ascii="Times New Roman" w:hAnsi="Times New Roman" w:cs="Times New Roman"/>
          <w:sz w:val="24"/>
          <w:szCs w:val="24"/>
        </w:rPr>
        <w:fldChar w:fldCharType="begin" w:fldLock="1"/>
      </w:r>
      <w:r w:rsidR="0083419C" w:rsidRPr="00460059">
        <w:rPr>
          <w:rFonts w:ascii="Times New Roman" w:hAnsi="Times New Roman" w:cs="Times New Roman"/>
          <w:sz w:val="24"/>
          <w:szCs w:val="24"/>
        </w:rPr>
        <w:instrText>ADDIN CSL_CITATION {"citationItems":[{"id":"ITEM-1","itemData":{"DOI":"10.1016/j.ccr.2019.01.003","ISSN":"00108545","abstract":"A tetrel bond can be defined as an interaction between any electron donating moiety and a group 14 element acting as Lewis acid. Experimental and theoretical research on this interaction has rapidly grown in recent years. A reason for that is related to the fact that it can be easily exploited to design supramolecular structures. This review is devoted to highlight the role of heavier tetrel atoms (tin and lead) as promising building blocks for the construction of supramolecular assemblies and supramolecular MOFs based on tetrel bonding interactions. In the case of tin, the number of investigations on this topic is limited, therefore we also provide a survey of crystal structures retrieved from the Cambridge Structural Database where this interaction is crucial for the crystal packing stability. We have sub-divided this part taking into consideration the atom or group of atoms acting as lone pair donor atom (O, S, N, halogen) and also the intra- or intermolecular nature of the interaction. This survey evidences that close contacts between Sn and lone-pair-possessing atoms are quite common and oriented along the extension of the covalent bond formed by the Sn and the most electron-withdrawing substituent. Moreover, it provides experimental evidence of the ability to act as electrophilic site (tetrel bond donor). This ability has a prominent role upon the conformations and the packing of Tin organic derivatives in the solid state. For Pb(IV) organic compounds, where the geometry around the metal center is tetrahedral we also provide a survey of crystal structures retrieved from the Cambridge Structural Database. To our knowledge, this type of analysis in Pb(IV) is unprecedented in the literature. For Pb(II), we have selected several works where the tetrel bonding interaction is used as a robust tool in crystal engineering and supramolecular chemistry.","author":[{"dropping-particle":"","family":"Bauzá","given":"Antonio","non-dropping-particle":"","parse-names":false,"suffix":""},{"dropping-particle":"","family":"Seth","given":"Saikat Kumar","non-dropping-particle":"","parse-names":false,"suffix":""},{"dropping-particle":"","family":"Frontera","given":"Antonio","non-dropping-particle":"","parse-names":false,"suffix":""}],"container-title":"Coordination Chemistry Reviews","id":"ITEM-1","issued":{"date-parts":[["2019","4","1"]]},"page":"107-125","publisher":"Elsevier B.V.","title":"Tetrel bonding interactions at work: Impact on tin and lead coordination compounds","type":"article","volume":"384"},"uris":["http://www.mendeley.com/documents/?uuid=186c6a72-dd02-301e-bd1f-e4c1de66e3a0"]}],"mendeley":{"formattedCitation":"&lt;sup&gt;10&lt;/sup&gt;","plainTextFormattedCitation":"10","previouslyFormattedCitation":"&lt;sup&gt;10&lt;/sup&gt;"},"properties":{"noteIndex":0},"schema":"https://github.com/citation-style-language/schema/raw/master/csl-citation.json"}</w:instrText>
      </w:r>
      <w:r w:rsidR="007C4C0A" w:rsidRPr="00460059">
        <w:rPr>
          <w:rFonts w:ascii="Times New Roman" w:hAnsi="Times New Roman" w:cs="Times New Roman"/>
          <w:sz w:val="24"/>
          <w:szCs w:val="24"/>
        </w:rPr>
        <w:fldChar w:fldCharType="separate"/>
      </w:r>
      <w:r w:rsidR="003D4588" w:rsidRPr="00460059">
        <w:rPr>
          <w:rFonts w:ascii="Times New Roman" w:hAnsi="Times New Roman" w:cs="Times New Roman"/>
          <w:noProof/>
          <w:sz w:val="24"/>
          <w:szCs w:val="24"/>
          <w:vertAlign w:val="superscript"/>
        </w:rPr>
        <w:t>10</w:t>
      </w:r>
      <w:r w:rsidR="007C4C0A"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Along with the latter, π-hole interactions demonstrated to be worth of attention.</w:t>
      </w:r>
      <w:r w:rsidR="00C9275B" w:rsidRPr="00460059">
        <w:rPr>
          <w:rFonts w:ascii="Times New Roman" w:hAnsi="Times New Roman" w:cs="Times New Roman"/>
          <w:sz w:val="24"/>
          <w:szCs w:val="24"/>
        </w:rPr>
        <w:fldChar w:fldCharType="begin" w:fldLock="1"/>
      </w:r>
      <w:r w:rsidR="0083419C" w:rsidRPr="00460059">
        <w:rPr>
          <w:rFonts w:ascii="Times New Roman" w:hAnsi="Times New Roman" w:cs="Times New Roman"/>
          <w:sz w:val="24"/>
          <w:szCs w:val="24"/>
        </w:rPr>
        <w:instrText>ADDIN CSL_CITATION {"citationItems":[{"id":"ITEM-1","itemData":{"DOI":"10.1002/cphc.201500314","ISSN":"14397641","abstract":"Non-covalent interactions play a crucial role in (supramolecular) chemistry and much of biology. Supramolecular forces can indeed determine the structure and function of a host-guest system. Many sensors, for example, rely on reversible bonding with the analyte. Natural machineries also often have a significant non-covalent component (e.g. protein folding, recognition) and rational interference in such 'living' devices can have pharmacological implications. For the rational design/tweaking of supramolecular systems it is helpful to know what supramolecular synthons are available and to understand the forces that make these synthons stick to one another. In this review we focus on σ-hole and π-hole interactions. A σ- or π-hole can be seen as positive electrostatic potential on unpopulated σ</w:instrText>
      </w:r>
      <w:r w:rsidR="0083419C" w:rsidRPr="00460059">
        <w:rPr>
          <w:rFonts w:ascii="Cambria Math" w:hAnsi="Cambria Math" w:cs="Cambria Math"/>
          <w:sz w:val="24"/>
          <w:szCs w:val="24"/>
        </w:rPr>
        <w:instrText>∗</w:instrText>
      </w:r>
      <w:r w:rsidR="0083419C" w:rsidRPr="00460059">
        <w:rPr>
          <w:rFonts w:ascii="Times New Roman" w:hAnsi="Times New Roman" w:cs="Times New Roman"/>
          <w:sz w:val="24"/>
          <w:szCs w:val="24"/>
        </w:rPr>
        <w:instrText xml:space="preserve"> or π&lt;sup&gt;(&lt;/sup&gt;</w:instrText>
      </w:r>
      <w:r w:rsidR="0083419C" w:rsidRPr="00460059">
        <w:rPr>
          <w:rFonts w:ascii="Cambria Math" w:hAnsi="Cambria Math" w:cs="Cambria Math"/>
          <w:sz w:val="24"/>
          <w:szCs w:val="24"/>
        </w:rPr>
        <w:instrText>∗</w:instrText>
      </w:r>
      <w:r w:rsidR="0083419C" w:rsidRPr="00460059">
        <w:rPr>
          <w:rFonts w:ascii="Times New Roman" w:hAnsi="Times New Roman" w:cs="Times New Roman"/>
          <w:sz w:val="24"/>
          <w:szCs w:val="24"/>
        </w:rPr>
        <w:instrText>&lt;sup&gt;)&lt;/sup&gt; orbitals, which are thus capable of interacting with some electron dense region. A σ-hole is typically located along the vector of a covalent bond such as XH or XHlg (X=any atom, Hlg=halogen), which are respectively known as hydrogen and halogen bond donors. Only recently it has become clear that σ-holes can also be found along a covalent bond with chalcogen (XCh), pnictogen (XPn) and tetrel (XTr) atoms. Interactions with these synthons are named chalcogen, pnigtogen and tetrel interactions. A π-hole is typically located perpendicular to the molecular framework of diatomic π-systems such as carbonyls, or conjugated π-systems such as hexafluorobenzene. Anion-π and lone-pair-π interactions are examples of named π-hole interactions between conjugated π-systems and anions or lone-pair electrons respectively. While the above nomenclature indicates the distinct chemical identity of the supramolecular synthon acting as Lewis acid, it is worth stressing that the underlying physics is very similar. This implies that interactions that are now not so well-established might turn out to be equally useful as conventional hydrogen and halogen bonds. In summary, we describe the physical nature of σ- and π-hole interactions, present a selection of inquiries that utilise σ- and π-holes, and give an overview of analyses of structural databases (CSD/PDB) that demonstrate how prevalent these interactions already are in solid-state structures.","author":[{"dropping-particle":"","family":"Bauzá","given":"Antonio","non-dropping-particle":"","parse-names":false,"suffix":""},{"dropping-particle":"","family":"Mooibroek","given":"Tiddo J.","non-dropping-particle":"","parse-names":false,"suffix":""},{"dropping-particle":"","family":"Frontera","given":"Antonio","non-dropping-particle":"","parse-names":false,"suffix":""}],"container-title":"ChemPhysChem","id":"ITEM-1","issue":"12","issued":{"date-parts":[["2015","8","1"]]},"page":"2496-2517","publisher":"Wiley-VCH Verlag","title":"The Bright Future of Unconventional σ/π-Hole Interactions","type":"article","volume":"16"},"uris":["http://www.mendeley.com/documents/?uuid=15d626c8-6438-3f10-94ec-09bb3fda9c46"]},{"id":"ITEM-2","itemData":{"DOI":"10.1002/cphc.201900968","ISSN":"14397641","PMID":"31733136","abstract":"The energetics of σ- and π-hole interactions can be described very well in terms of electrostatics and polarization, consistent with their Coulombic natures. When both of these components are taken into account, very good correlations with quantum-chemically computed interaction energies are obtained. If polarization is only minor, as when the interactions are quite weak, then electrostatics can suffice, as represented by the most positive electrostatic potential associated with the σ- or π-hole. For stronger interactions, the combination of electrostatics plus polarization is very effective even for interaction energies considerably greater in magnitude than what is normally considered noncovalent bonding. Several procedures for treating polarization are summarized, including the use of point charges and the direct inclusion of electric fields.","author":[{"dropping-particle":"","family":"Politzer","given":"Peter","non-dropping-particle":"","parse-names":false,"suffix":""},{"dropping-particle":"","family":"Murray","given":"Jane S.","non-dropping-particle":"","parse-names":false,"suffix":""}],"container-title":"ChemPhysChem","id":"ITEM-2","issue":"7","issued":{"date-parts":[["2020","4","2"]]},"page":"579-588","publisher":"Wiley-VCH Verlag","title":"Electrostatics and Polarization in σ- and π-Hole Noncovalent Interactions: An Overview","type":"article","volume":"21"},"uris":["http://www.mendeley.com/documents/?uuid=b341094b-6b47-3e23-bbac-1603263bf5ba"]}],"mendeley":{"formattedCitation":"&lt;sup&gt;11,12&lt;/sup&gt;","plainTextFormattedCitation":"11,12","previouslyFormattedCitation":"&lt;sup&gt;11,12&lt;/sup&gt;"},"properties":{"noteIndex":0},"schema":"https://github.com/citation-style-language/schema/raw/master/csl-citation.json"}</w:instrText>
      </w:r>
      <w:r w:rsidR="00C9275B" w:rsidRPr="00460059">
        <w:rPr>
          <w:rFonts w:ascii="Times New Roman" w:hAnsi="Times New Roman" w:cs="Times New Roman"/>
          <w:sz w:val="24"/>
          <w:szCs w:val="24"/>
        </w:rPr>
        <w:fldChar w:fldCharType="separate"/>
      </w:r>
      <w:r w:rsidR="003D4588" w:rsidRPr="00460059">
        <w:rPr>
          <w:rFonts w:ascii="Times New Roman" w:hAnsi="Times New Roman" w:cs="Times New Roman"/>
          <w:noProof/>
          <w:sz w:val="24"/>
          <w:szCs w:val="24"/>
          <w:vertAlign w:val="superscript"/>
        </w:rPr>
        <w:t>11,12</w:t>
      </w:r>
      <w:r w:rsidR="00C9275B" w:rsidRPr="00460059">
        <w:rPr>
          <w:rFonts w:ascii="Times New Roman" w:hAnsi="Times New Roman" w:cs="Times New Roman"/>
          <w:sz w:val="24"/>
          <w:szCs w:val="24"/>
        </w:rPr>
        <w:fldChar w:fldCharType="end"/>
      </w:r>
    </w:p>
    <w:p w14:paraId="6CFD077F" w14:textId="4153B65B" w:rsidR="004D29DA" w:rsidRPr="00460059" w:rsidRDefault="007E0E6E" w:rsidP="007E0E6E">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lastRenderedPageBreak/>
        <w:t>The latest addition to this group is the metal bond, which entails systems where a σ-hole is locali</w:t>
      </w:r>
      <w:r w:rsidR="005A0687" w:rsidRPr="00460059">
        <w:rPr>
          <w:rFonts w:ascii="Times New Roman" w:hAnsi="Times New Roman" w:cs="Times New Roman"/>
          <w:sz w:val="24"/>
          <w:szCs w:val="24"/>
        </w:rPr>
        <w:t>z</w:t>
      </w:r>
      <w:r w:rsidRPr="00460059">
        <w:rPr>
          <w:rFonts w:ascii="Times New Roman" w:hAnsi="Times New Roman" w:cs="Times New Roman"/>
          <w:sz w:val="24"/>
          <w:szCs w:val="24"/>
        </w:rPr>
        <w:t xml:space="preserve">ed on a transition metal having a completely filled </w:t>
      </w:r>
      <w:r w:rsidRPr="00460059">
        <w:rPr>
          <w:rFonts w:ascii="Times New Roman" w:hAnsi="Times New Roman" w:cs="Times New Roman"/>
          <w:i/>
          <w:iCs/>
          <w:sz w:val="24"/>
          <w:szCs w:val="24"/>
        </w:rPr>
        <w:t>d</w:t>
      </w:r>
      <w:r w:rsidRPr="00460059">
        <w:rPr>
          <w:rFonts w:ascii="Times New Roman" w:hAnsi="Times New Roman" w:cs="Times New Roman"/>
          <w:sz w:val="24"/>
          <w:szCs w:val="24"/>
        </w:rPr>
        <w:t xml:space="preserve"> shell.</w:t>
      </w:r>
      <w:r w:rsidR="003450F2" w:rsidRPr="00460059">
        <w:rPr>
          <w:rFonts w:ascii="Times New Roman" w:hAnsi="Times New Roman" w:cs="Times New Roman"/>
          <w:sz w:val="24"/>
          <w:szCs w:val="24"/>
        </w:rPr>
        <w:t xml:space="preserve"> </w:t>
      </w:r>
      <w:r w:rsidR="004D29DA" w:rsidRPr="00460059">
        <w:rPr>
          <w:rFonts w:ascii="Times New Roman" w:hAnsi="Times New Roman" w:cs="Times New Roman"/>
          <w:sz w:val="24"/>
          <w:szCs w:val="24"/>
        </w:rPr>
        <w:t xml:space="preserve">For </w:t>
      </w:r>
      <w:r w:rsidR="00FB2CBD" w:rsidRPr="00460059">
        <w:rPr>
          <w:rFonts w:ascii="Times New Roman" w:hAnsi="Times New Roman" w:cs="Times New Roman"/>
          <w:sz w:val="24"/>
          <w:szCs w:val="24"/>
        </w:rPr>
        <w:t>instance</w:t>
      </w:r>
      <w:r w:rsidR="005C1AE6" w:rsidRPr="00460059">
        <w:rPr>
          <w:rFonts w:ascii="Times New Roman" w:hAnsi="Times New Roman" w:cs="Times New Roman"/>
          <w:sz w:val="24"/>
          <w:szCs w:val="24"/>
        </w:rPr>
        <w:t>,</w:t>
      </w:r>
      <w:r w:rsidR="003B0A03" w:rsidRPr="00460059">
        <w:rPr>
          <w:rFonts w:ascii="Times New Roman" w:hAnsi="Times New Roman" w:cs="Times New Roman"/>
          <w:sz w:val="24"/>
          <w:szCs w:val="24"/>
        </w:rPr>
        <w:t xml:space="preserve"> the</w:t>
      </w:r>
      <w:r w:rsidR="00FB2CBD" w:rsidRPr="00460059">
        <w:rPr>
          <w:rFonts w:ascii="Times New Roman" w:hAnsi="Times New Roman" w:cs="Times New Roman"/>
          <w:sz w:val="24"/>
          <w:szCs w:val="24"/>
        </w:rPr>
        <w:t xml:space="preserve"> existence of a</w:t>
      </w:r>
      <w:r w:rsidR="003B0A03" w:rsidRPr="00460059">
        <w:rPr>
          <w:rFonts w:ascii="Times New Roman" w:hAnsi="Times New Roman" w:cs="Times New Roman"/>
          <w:sz w:val="24"/>
          <w:szCs w:val="24"/>
        </w:rPr>
        <w:t xml:space="preserve"> </w:t>
      </w:r>
      <w:r w:rsidR="00002FED" w:rsidRPr="00460059">
        <w:rPr>
          <w:rFonts w:ascii="Times New Roman" w:hAnsi="Times New Roman" w:cs="Times New Roman"/>
          <w:sz w:val="24"/>
          <w:szCs w:val="24"/>
        </w:rPr>
        <w:t>“coinage metal-bond” has been proposed</w:t>
      </w:r>
      <w:r w:rsidR="00D52E0F" w:rsidRPr="00460059">
        <w:rPr>
          <w:rFonts w:ascii="Times New Roman" w:hAnsi="Times New Roman" w:cs="Times New Roman"/>
          <w:sz w:val="24"/>
          <w:szCs w:val="24"/>
        </w:rPr>
        <w:t xml:space="preserve"> </w:t>
      </w:r>
      <w:r w:rsidR="00FB2CBD" w:rsidRPr="00460059">
        <w:rPr>
          <w:rFonts w:ascii="Times New Roman" w:hAnsi="Times New Roman" w:cs="Times New Roman"/>
          <w:sz w:val="24"/>
          <w:szCs w:val="24"/>
        </w:rPr>
        <w:t xml:space="preserve">to account </w:t>
      </w:r>
      <w:r w:rsidR="00D52E0F" w:rsidRPr="00460059">
        <w:rPr>
          <w:rFonts w:ascii="Times New Roman" w:hAnsi="Times New Roman" w:cs="Times New Roman"/>
          <w:sz w:val="24"/>
          <w:szCs w:val="24"/>
        </w:rPr>
        <w:t>for the mainly electrostatic interaction between a polarized</w:t>
      </w:r>
      <w:r w:rsidR="00FB2CBD" w:rsidRPr="00460059">
        <w:rPr>
          <w:rFonts w:ascii="Times New Roman" w:hAnsi="Times New Roman" w:cs="Times New Roman"/>
          <w:sz w:val="24"/>
          <w:szCs w:val="24"/>
        </w:rPr>
        <w:t xml:space="preserve"> group 11</w:t>
      </w:r>
      <w:r w:rsidR="00D52E0F" w:rsidRPr="00460059">
        <w:rPr>
          <w:rFonts w:ascii="Times New Roman" w:hAnsi="Times New Roman" w:cs="Times New Roman"/>
          <w:sz w:val="24"/>
          <w:szCs w:val="24"/>
        </w:rPr>
        <w:t xml:space="preserve"> metal (</w:t>
      </w:r>
      <w:r w:rsidR="005929DA" w:rsidRPr="00460059">
        <w:rPr>
          <w:rFonts w:ascii="Times New Roman" w:hAnsi="Times New Roman" w:cs="Times New Roman"/>
          <w:sz w:val="24"/>
          <w:szCs w:val="24"/>
        </w:rPr>
        <w:t xml:space="preserve">such </w:t>
      </w:r>
      <w:r w:rsidR="00D52E0F" w:rsidRPr="00460059">
        <w:rPr>
          <w:rFonts w:ascii="Times New Roman" w:hAnsi="Times New Roman" w:cs="Times New Roman"/>
          <w:sz w:val="24"/>
          <w:szCs w:val="24"/>
        </w:rPr>
        <w:t>as</w:t>
      </w:r>
      <w:r w:rsidR="00FB2CBD" w:rsidRPr="00460059">
        <w:rPr>
          <w:rFonts w:ascii="Times New Roman" w:hAnsi="Times New Roman" w:cs="Times New Roman"/>
          <w:sz w:val="24"/>
          <w:szCs w:val="24"/>
        </w:rPr>
        <w:t xml:space="preserve"> in</w:t>
      </w:r>
      <w:r w:rsidR="00D52E0F" w:rsidRPr="00460059">
        <w:rPr>
          <w:rFonts w:ascii="Times New Roman" w:hAnsi="Times New Roman" w:cs="Times New Roman"/>
          <w:sz w:val="24"/>
          <w:szCs w:val="24"/>
        </w:rPr>
        <w:t xml:space="preserve"> </w:t>
      </w:r>
      <w:proofErr w:type="spellStart"/>
      <w:r w:rsidR="00D52E0F" w:rsidRPr="00460059">
        <w:rPr>
          <w:rFonts w:ascii="Times New Roman" w:hAnsi="Times New Roman" w:cs="Times New Roman"/>
          <w:sz w:val="24"/>
          <w:szCs w:val="24"/>
        </w:rPr>
        <w:t>CuCl</w:t>
      </w:r>
      <w:proofErr w:type="spellEnd"/>
      <w:r w:rsidR="00D52E0F" w:rsidRPr="00460059">
        <w:rPr>
          <w:rFonts w:ascii="Times New Roman" w:hAnsi="Times New Roman" w:cs="Times New Roman"/>
          <w:sz w:val="24"/>
          <w:szCs w:val="24"/>
        </w:rPr>
        <w:t xml:space="preserve"> or AgCl) and a </w:t>
      </w:r>
      <w:r w:rsidR="009544AF" w:rsidRPr="00460059">
        <w:rPr>
          <w:rFonts w:ascii="Times New Roman" w:hAnsi="Times New Roman" w:cs="Times New Roman"/>
          <w:sz w:val="24"/>
          <w:szCs w:val="24"/>
        </w:rPr>
        <w:t>LB</w:t>
      </w:r>
      <w:r w:rsidR="00C24A96" w:rsidRPr="00460059">
        <w:rPr>
          <w:rFonts w:ascii="Times New Roman" w:hAnsi="Times New Roman" w:cs="Times New Roman"/>
          <w:sz w:val="24"/>
          <w:szCs w:val="24"/>
        </w:rPr>
        <w:t>.</w:t>
      </w:r>
      <w:r w:rsidR="0083419C" w:rsidRPr="00460059">
        <w:rPr>
          <w:rFonts w:ascii="Times New Roman" w:hAnsi="Times New Roman" w:cs="Times New Roman"/>
          <w:sz w:val="24"/>
          <w:szCs w:val="24"/>
        </w:rPr>
        <w:fldChar w:fldCharType="begin" w:fldLock="1"/>
      </w:r>
      <w:r w:rsidR="00DC1944" w:rsidRPr="00460059">
        <w:rPr>
          <w:rFonts w:ascii="Times New Roman" w:hAnsi="Times New Roman" w:cs="Times New Roman"/>
          <w:sz w:val="24"/>
          <w:szCs w:val="24"/>
        </w:rPr>
        <w:instrText>ADDIN CSL_CITATION {"citationItems":[{"id":"ITEM-1","itemData":{"DOI":"10.1021/ja0304300","ISSN":"00027863","abstract":"Microwave spectra of the complexes KrAuF and KrAgBr have been measured for the first time using a cavity pulsed jet Fourier transform microwave spectrometer. The samples were prepared by laser ablation of the metal from its solid and allowing the resulting plasma to react with an appropriate precursor (Kr, plus SF6 or Br2) contained in the backing gas of the jet (usually Ar). Rotational constants; geometries; centrifugal distortion constants; vibration frequencies; and 197Au, 79Br, and 81Br nuclear quadrupole coupling constants have all been evaluated. The complexes are unusually rigid and have short Kr-Au and Kr-Ag bonds. The 197Au nuclear quadrupole coupling constant differs radically from its value in an AuF monomer. In addition 83Kr hyperfine structure has been measured for KrAuF and the previously reported complex KrAgF. The geometry of the latter has been reevaluated. Large values for the 83Kr nuclear quadrupole coupling constants have been found for both complexes. Both the 197Au and 83Kr hyperfine constants indicate a large reorganization of the electron distribution on complex formation. A thorough assessment of the nature of the noble gas-noble metal bonding in these and related complexes (NgMX; Ng is a noble gas, M is a noble metal, and X is a halogen) has been carried out. The bond lengths are compared with sums of standard atomic and ionic radii, Ab initio calculations have produced dissociation energies along with Mulliken populations and other data on the electron distributions in the complexes. The origins of the rigidity, dissociation energies, and nuclear quadrupole coupling constants are considered. It is concluded that there is strong evidence for weak noble gas-noble metal chemical bonding in the complexes.","author":[{"dropping-particle":"","family":"Thomas","given":"Jason M.","non-dropping-particle":"","parse-names":false,"suffix":""},{"dropping-particle":"","family":"Walker","given":"Nicholas R.","non-dropping-particle":"","parse-names":false,"suffix":""},{"dropping-particle":"","family":"Cooke","given":"Stephen A.","non-dropping-particle":"","parse-names":false,"suffix":""},{"dropping-particle":"","family":"Gerry","given":"Michael C.L.","non-dropping-particle":"","parse-names":false,"suffix":""}],"container-title":"Journal of the American Chemical Society","id":"ITEM-1","issue":"4","issued":{"date-parts":[["2004","2","4"]]},"page":"1235-1246","publisher":"American Chemical Society","title":"Microwave Spectra and Structures of KrAuF, KrAgF, and KrAgBr; 83Kr Nuclear Quadrupole Coupling and the Nature of Noble Gas-Noble Metal Halide Bonding","type":"article-journal","volume":"126"},"uris":["http://www.mendeley.com/documents/?uuid=a3595898-b0ab-36ac-b4a9-1e568d853ba7"]},{"id":"ITEM-2","itemData":{"DOI":"10.1021/ja000874l","ISSN":"00027863","abstract":"The pure rotational spectra of Ar-AuCl and Kr-AuCl have been measured using a pulsed-jet cavity Fourier transform microwave spectrometer. Both complexes have been found to be linear and are relatively rigid in their ground vibrational states. The noble gas-gold stretching frequencies have been estimated to be 198 and 161 cm-1 for Ar-AuCl and Kr-AuCl, respectively. From the isotopic data obtained, r0 structures have been calculated for both Ar-AuCl and Kr-AuCl, while a partial substitution (r(s)) structure has been obtained for Kr-AuCl. The Ar-Au distance has been found to be 2.47 Å, while the Kr-Au distance is 2.52 A. Ab initio calculations have been performed at the MP2 level of theory on both complexes to obtain geometries, vibrational frequencies, and dissociation energies. The dissociation energies for Ar-AuCl and Kr-AuCl have been estimated to be 47 and 71 kJ mol-1, respectively. The nuclear quadrupole coupling constant of Au has been found to change significantly on complex formation (to -259.8 MHz in Ar-AuCl, and -349.9 MHz in Kr-AuCl) from its value in the monomer unit (+9.6 MHz in AuCl), which is consistent with extensive charge rearrangement on formation of the complexes. This, in conjunction with the sizable dissociation energies, indicates that the Ar-Au and Kr-Au bonds are weakly covalent.","author":[{"dropping-particle":"","family":"Evans","given":"Corey J.","non-dropping-particle":"","parse-names":false,"suffix":""},{"dropping-particle":"","family":"Lesarri","given":"Alberto","non-dropping-particle":"","parse-names":false,"suffix":""},{"dropping-particle":"","family":"Gerry","given":"Michael C.L.","non-dropping-particle":"","parse-names":false,"suffix":""}],"container-title":"Journal of the American Chemical Society","id":"ITEM-2","issue":"25","issued":{"date-parts":[["2000","6"]]},"page":"6100-6105","title":"Noble gas-metal chemical bonds. Microwave spectra, geometries, and nuclear quadrupole coupling constants of Ar-AuCl and Kr-AuCl","type":"article-journal","volume":"122"},"uris":["http://www.mendeley.com/documents/?uuid=9dde8525-d81e-3c13-83cc-6b5e42fc0eab"]}],"mendeley":{"formattedCitation":"&lt;sup&gt;13,14&lt;/sup&gt;","plainTextFormattedCitation":"13,14","previouslyFormattedCitation":"&lt;sup&gt;13,14&lt;/sup&gt;"},"properties":{"noteIndex":0},"schema":"https://github.com/citation-style-language/schema/raw/master/csl-citation.json"}</w:instrText>
      </w:r>
      <w:r w:rsidR="0083419C" w:rsidRPr="00460059">
        <w:rPr>
          <w:rFonts w:ascii="Times New Roman" w:hAnsi="Times New Roman" w:cs="Times New Roman"/>
          <w:sz w:val="24"/>
          <w:szCs w:val="24"/>
        </w:rPr>
        <w:fldChar w:fldCharType="separate"/>
      </w:r>
      <w:r w:rsidR="0083419C" w:rsidRPr="00460059">
        <w:rPr>
          <w:rFonts w:ascii="Times New Roman" w:hAnsi="Times New Roman" w:cs="Times New Roman"/>
          <w:noProof/>
          <w:sz w:val="24"/>
          <w:szCs w:val="24"/>
          <w:vertAlign w:val="superscript"/>
        </w:rPr>
        <w:t>13,14</w:t>
      </w:r>
      <w:r w:rsidR="0083419C" w:rsidRPr="00460059">
        <w:rPr>
          <w:rFonts w:ascii="Times New Roman" w:hAnsi="Times New Roman" w:cs="Times New Roman"/>
          <w:sz w:val="24"/>
          <w:szCs w:val="24"/>
        </w:rPr>
        <w:fldChar w:fldCharType="end"/>
      </w:r>
      <w:r w:rsidR="000E10D4" w:rsidRPr="00460059">
        <w:rPr>
          <w:rFonts w:ascii="Times New Roman" w:hAnsi="Times New Roman" w:cs="Times New Roman"/>
          <w:sz w:val="24"/>
          <w:szCs w:val="24"/>
        </w:rPr>
        <w:t xml:space="preserve"> </w:t>
      </w:r>
      <w:r w:rsidR="00C24A96" w:rsidRPr="00460059">
        <w:rPr>
          <w:rFonts w:ascii="Times New Roman" w:hAnsi="Times New Roman" w:cs="Times New Roman"/>
          <w:sz w:val="24"/>
          <w:szCs w:val="24"/>
        </w:rPr>
        <w:t>It is worth mentioning that</w:t>
      </w:r>
      <w:r w:rsidR="000E10D4" w:rsidRPr="00460059">
        <w:rPr>
          <w:rFonts w:ascii="Times New Roman" w:hAnsi="Times New Roman" w:cs="Times New Roman"/>
          <w:sz w:val="24"/>
          <w:szCs w:val="24"/>
        </w:rPr>
        <w:t xml:space="preserve"> some authors </w:t>
      </w:r>
      <w:r w:rsidR="00C24A96" w:rsidRPr="00460059">
        <w:rPr>
          <w:rFonts w:ascii="Times New Roman" w:hAnsi="Times New Roman" w:cs="Times New Roman"/>
          <w:sz w:val="24"/>
          <w:szCs w:val="24"/>
        </w:rPr>
        <w:t>propose</w:t>
      </w:r>
      <w:r w:rsidR="000E10D4" w:rsidRPr="00460059">
        <w:rPr>
          <w:rFonts w:ascii="Times New Roman" w:hAnsi="Times New Roman" w:cs="Times New Roman"/>
          <w:sz w:val="24"/>
          <w:szCs w:val="24"/>
        </w:rPr>
        <w:t xml:space="preserve"> a more </w:t>
      </w:r>
      <w:r w:rsidR="00BA73EB" w:rsidRPr="00460059">
        <w:rPr>
          <w:rFonts w:ascii="Times New Roman" w:hAnsi="Times New Roman" w:cs="Times New Roman"/>
          <w:sz w:val="24"/>
          <w:szCs w:val="24"/>
        </w:rPr>
        <w:t>concise and general nomenclature,</w:t>
      </w:r>
      <w:r w:rsidR="00002FED" w:rsidRPr="00460059">
        <w:rPr>
          <w:rFonts w:ascii="Times New Roman" w:hAnsi="Times New Roman" w:cs="Times New Roman"/>
          <w:sz w:val="24"/>
          <w:szCs w:val="24"/>
        </w:rPr>
        <w:fldChar w:fldCharType="begin" w:fldLock="1"/>
      </w:r>
      <w:r w:rsidR="00DC1944" w:rsidRPr="00460059">
        <w:rPr>
          <w:rFonts w:ascii="Times New Roman" w:hAnsi="Times New Roman" w:cs="Times New Roman"/>
          <w:sz w:val="24"/>
          <w:szCs w:val="24"/>
        </w:rPr>
        <w:instrText>ADDIN CSL_CITATION {"citationItems":[{"id":"ITEM-1","itemData":{"DOI":"10.1039/c8cp03432j","ISSN":"14639076","PMID":"29993059","abstract":"Many complexes of the type B</w:instrText>
      </w:r>
      <w:r w:rsidR="00DC1944" w:rsidRPr="00460059">
        <w:rPr>
          <w:rFonts w:ascii="Cambria Math" w:hAnsi="Cambria Math" w:cs="Cambria Math"/>
          <w:sz w:val="24"/>
          <w:szCs w:val="24"/>
        </w:rPr>
        <w:instrText>⋯</w:instrText>
      </w:r>
      <w:r w:rsidR="00DC1944" w:rsidRPr="00460059">
        <w:rPr>
          <w:rFonts w:ascii="Times New Roman" w:hAnsi="Times New Roman" w:cs="Times New Roman"/>
          <w:sz w:val="24"/>
          <w:szCs w:val="24"/>
        </w:rPr>
        <w:instrText>MX, (where B is a Lewis base such as H2, N2, ethyne, ethene, cyclopropane, H2O, H2S, PH3, or NH3, M is a coinage-metal atom Cu, Ag or Au, and X is a halogen atom) have now been characterised in the gas phase through their rotational spectra. It is pointed out that, for a given B, such complexes have angular geometries that are isomorphous with those of their hydrogen- and halogen-bonded counterparts B</w:instrText>
      </w:r>
      <w:r w:rsidR="00DC1944" w:rsidRPr="00460059">
        <w:rPr>
          <w:rFonts w:ascii="Cambria Math" w:hAnsi="Cambria Math" w:cs="Cambria Math"/>
          <w:sz w:val="24"/>
          <w:szCs w:val="24"/>
        </w:rPr>
        <w:instrText>⋯</w:instrText>
      </w:r>
      <w:r w:rsidR="00DC1944" w:rsidRPr="00460059">
        <w:rPr>
          <w:rFonts w:ascii="Times New Roman" w:hAnsi="Times New Roman" w:cs="Times New Roman"/>
          <w:sz w:val="24"/>
          <w:szCs w:val="24"/>
        </w:rPr>
        <w:instrText>HX and B</w:instrText>
      </w:r>
      <w:r w:rsidR="00DC1944" w:rsidRPr="00460059">
        <w:rPr>
          <w:rFonts w:ascii="Cambria Math" w:hAnsi="Cambria Math" w:cs="Cambria Math"/>
          <w:sz w:val="24"/>
          <w:szCs w:val="24"/>
        </w:rPr>
        <w:instrText>⋯</w:instrText>
      </w:r>
      <w:r w:rsidR="00DC1944" w:rsidRPr="00460059">
        <w:rPr>
          <w:rFonts w:ascii="Times New Roman" w:hAnsi="Times New Roman" w:cs="Times New Roman"/>
          <w:sz w:val="24"/>
          <w:szCs w:val="24"/>
        </w:rPr>
        <w:instrText>XY, respectively. Since the MX are, like the B, HX and XY referred to, closed-shell molecules, the complexes B</w:instrText>
      </w:r>
      <w:r w:rsidR="00DC1944" w:rsidRPr="00460059">
        <w:rPr>
          <w:rFonts w:ascii="Cambria Math" w:hAnsi="Cambria Math" w:cs="Cambria Math"/>
          <w:sz w:val="24"/>
          <w:szCs w:val="24"/>
        </w:rPr>
        <w:instrText>⋯</w:instrText>
      </w:r>
      <w:r w:rsidR="00DC1944" w:rsidRPr="00460059">
        <w:rPr>
          <w:rFonts w:ascii="Times New Roman" w:hAnsi="Times New Roman" w:cs="Times New Roman"/>
          <w:sz w:val="24"/>
          <w:szCs w:val="24"/>
        </w:rPr>
        <w:instrText>MX also involve a non-covalent bond. Therefore, the name 'coinage-metal' bond is suggested for the non-covalent interaction in B</w:instrText>
      </w:r>
      <w:r w:rsidR="00DC1944" w:rsidRPr="00460059">
        <w:rPr>
          <w:rFonts w:ascii="Cambria Math" w:hAnsi="Cambria Math" w:cs="Cambria Math"/>
          <w:sz w:val="24"/>
          <w:szCs w:val="24"/>
        </w:rPr>
        <w:instrText>⋯</w:instrText>
      </w:r>
      <w:r w:rsidR="00DC1944" w:rsidRPr="00460059">
        <w:rPr>
          <w:rFonts w:ascii="Times New Roman" w:hAnsi="Times New Roman" w:cs="Times New Roman"/>
          <w:sz w:val="24"/>
          <w:szCs w:val="24"/>
        </w:rPr>
        <w:instrText>MX, by analogy with hydrogen and halogen bonds. A generalised definition that covers all non-covalent bonds is also presented.","author":[{"dropping-particle":"","family":"Legon","given":"Anthony C.","non-dropping-particle":"","parse-names":false,"suffix":""},{"dropping-particle":"","family":"Walker","given":"Nicholas R.","non-dropping-particle":"","parse-names":false,"suffix":""}],"container-title":"Physical Chemistry Chemical Physics","id":"ITEM-1","issue":"29","issued":{"date-parts":[["2018","7","25"]]},"page":"19332-19338","publisher":"Royal Society of Chemistry","title":"What's in a name? 'Coinage-metal' non-covalent bonds and their definition","type":"article","volume":"20"},"uris":["http://www.mendeley.com/documents/?uuid=70cdba4e-a1be-38ca-ab15-a6fb904fa6cf"]}],"mendeley":{"formattedCitation":"&lt;sup&gt;15&lt;/sup&gt;","plainTextFormattedCitation":"15","previouslyFormattedCitation":"&lt;sup&gt;15&lt;/sup&gt;"},"properties":{"noteIndex":0},"schema":"https://github.com/citation-style-language/schema/raw/master/csl-citation.json"}</w:instrText>
      </w:r>
      <w:r w:rsidR="00002FED" w:rsidRPr="00460059">
        <w:rPr>
          <w:rFonts w:ascii="Times New Roman" w:hAnsi="Times New Roman" w:cs="Times New Roman"/>
          <w:sz w:val="24"/>
          <w:szCs w:val="24"/>
        </w:rPr>
        <w:fldChar w:fldCharType="separate"/>
      </w:r>
      <w:r w:rsidR="0083419C" w:rsidRPr="00460059">
        <w:rPr>
          <w:rFonts w:ascii="Times New Roman" w:hAnsi="Times New Roman" w:cs="Times New Roman"/>
          <w:noProof/>
          <w:sz w:val="24"/>
          <w:szCs w:val="24"/>
          <w:vertAlign w:val="superscript"/>
        </w:rPr>
        <w:t>15</w:t>
      </w:r>
      <w:r w:rsidR="00002FED" w:rsidRPr="00460059">
        <w:rPr>
          <w:rFonts w:ascii="Times New Roman" w:hAnsi="Times New Roman" w:cs="Times New Roman"/>
          <w:sz w:val="24"/>
          <w:szCs w:val="24"/>
        </w:rPr>
        <w:fldChar w:fldCharType="end"/>
      </w:r>
      <w:r w:rsidR="00BA73EB" w:rsidRPr="00460059">
        <w:rPr>
          <w:rFonts w:ascii="Times New Roman" w:hAnsi="Times New Roman" w:cs="Times New Roman"/>
          <w:sz w:val="24"/>
          <w:szCs w:val="24"/>
        </w:rPr>
        <w:t xml:space="preserve"> recognizing the common nature of all these weak interactions.</w:t>
      </w:r>
      <w:r w:rsidR="00493EAD" w:rsidRPr="00460059">
        <w:rPr>
          <w:rFonts w:ascii="Times New Roman" w:hAnsi="Times New Roman" w:cs="Times New Roman"/>
          <w:sz w:val="24"/>
          <w:szCs w:val="24"/>
        </w:rPr>
        <w:t xml:space="preserve"> Joy and </w:t>
      </w:r>
      <w:proofErr w:type="spellStart"/>
      <w:r w:rsidR="00493EAD" w:rsidRPr="00460059">
        <w:rPr>
          <w:rFonts w:ascii="Times New Roman" w:hAnsi="Times New Roman" w:cs="Times New Roman"/>
          <w:sz w:val="24"/>
          <w:szCs w:val="24"/>
        </w:rPr>
        <w:t>Jemmis</w:t>
      </w:r>
      <w:proofErr w:type="spellEnd"/>
      <w:r w:rsidR="00493EAD" w:rsidRPr="00460059">
        <w:rPr>
          <w:rFonts w:ascii="Times New Roman" w:hAnsi="Times New Roman" w:cs="Times New Roman"/>
          <w:sz w:val="24"/>
          <w:szCs w:val="24"/>
        </w:rPr>
        <w:t xml:space="preserve"> </w:t>
      </w:r>
      <w:r w:rsidR="00BE1FCB" w:rsidRPr="00460059">
        <w:rPr>
          <w:rFonts w:ascii="Times New Roman" w:hAnsi="Times New Roman" w:cs="Times New Roman"/>
          <w:sz w:val="24"/>
          <w:szCs w:val="24"/>
        </w:rPr>
        <w:t xml:space="preserve">underlined that a LB → M </w:t>
      </w:r>
      <w:r w:rsidR="00670AE6" w:rsidRPr="00460059">
        <w:rPr>
          <w:rFonts w:ascii="Times New Roman" w:hAnsi="Times New Roman" w:cs="Times New Roman"/>
          <w:sz w:val="24"/>
          <w:szCs w:val="24"/>
        </w:rPr>
        <w:t>polarization is possible only for metal</w:t>
      </w:r>
      <w:r w:rsidR="00504B49" w:rsidRPr="00460059">
        <w:rPr>
          <w:rFonts w:ascii="Times New Roman" w:hAnsi="Times New Roman" w:cs="Times New Roman"/>
          <w:sz w:val="24"/>
          <w:szCs w:val="24"/>
        </w:rPr>
        <w:t>s</w:t>
      </w:r>
      <w:r w:rsidR="00670AE6" w:rsidRPr="00460059">
        <w:rPr>
          <w:rFonts w:ascii="Times New Roman" w:hAnsi="Times New Roman" w:cs="Times New Roman"/>
          <w:sz w:val="24"/>
          <w:szCs w:val="24"/>
        </w:rPr>
        <w:t xml:space="preserve"> having a completely filled </w:t>
      </w:r>
      <w:r w:rsidR="00670AE6" w:rsidRPr="00460059">
        <w:rPr>
          <w:rFonts w:ascii="Times New Roman" w:hAnsi="Times New Roman" w:cs="Times New Roman"/>
          <w:i/>
          <w:iCs/>
          <w:sz w:val="24"/>
          <w:szCs w:val="24"/>
        </w:rPr>
        <w:t>d</w:t>
      </w:r>
      <w:r w:rsidR="00670AE6" w:rsidRPr="00460059">
        <w:rPr>
          <w:rFonts w:ascii="Times New Roman" w:hAnsi="Times New Roman" w:cs="Times New Roman"/>
          <w:sz w:val="24"/>
          <w:szCs w:val="24"/>
        </w:rPr>
        <w:t xml:space="preserve"> shell, whereas for others</w:t>
      </w:r>
      <w:r w:rsidR="000A0699" w:rsidRPr="00460059">
        <w:rPr>
          <w:rFonts w:ascii="Times New Roman" w:hAnsi="Times New Roman" w:cs="Times New Roman"/>
          <w:sz w:val="24"/>
          <w:szCs w:val="24"/>
        </w:rPr>
        <w:t xml:space="preserve">, as </w:t>
      </w:r>
      <w:r w:rsidR="009B69F3" w:rsidRPr="00460059">
        <w:rPr>
          <w:rFonts w:ascii="Times New Roman" w:hAnsi="Times New Roman" w:cs="Times New Roman"/>
          <w:sz w:val="24"/>
          <w:szCs w:val="24"/>
        </w:rPr>
        <w:t>rhodium and cobalt for instance,</w:t>
      </w:r>
      <w:r w:rsidR="00670AE6" w:rsidRPr="00460059">
        <w:rPr>
          <w:rFonts w:ascii="Times New Roman" w:hAnsi="Times New Roman" w:cs="Times New Roman"/>
          <w:sz w:val="24"/>
          <w:szCs w:val="24"/>
        </w:rPr>
        <w:t xml:space="preserve"> a M → LB polarization </w:t>
      </w:r>
      <w:r w:rsidR="00B41E64" w:rsidRPr="00460059">
        <w:rPr>
          <w:rFonts w:ascii="Times New Roman" w:hAnsi="Times New Roman" w:cs="Times New Roman"/>
          <w:sz w:val="24"/>
          <w:szCs w:val="24"/>
        </w:rPr>
        <w:t>prevails</w:t>
      </w:r>
      <w:r w:rsidR="002706DE">
        <w:rPr>
          <w:rFonts w:ascii="Times New Roman" w:hAnsi="Times New Roman" w:cs="Times New Roman"/>
          <w:sz w:val="24"/>
          <w:szCs w:val="24"/>
        </w:rPr>
        <w:t>, even i</w:t>
      </w:r>
      <w:r w:rsidR="006A6B9D">
        <w:rPr>
          <w:rFonts w:ascii="Times New Roman" w:hAnsi="Times New Roman" w:cs="Times New Roman"/>
          <w:sz w:val="24"/>
          <w:szCs w:val="24"/>
        </w:rPr>
        <w:t>f this depends also on the exact nature of the LB</w:t>
      </w:r>
      <w:r w:rsidR="00B41E64" w:rsidRPr="00460059">
        <w:rPr>
          <w:rFonts w:ascii="Times New Roman" w:hAnsi="Times New Roman" w:cs="Times New Roman"/>
          <w:sz w:val="24"/>
          <w:szCs w:val="24"/>
        </w:rPr>
        <w:t>.</w:t>
      </w:r>
      <w:r w:rsidR="00EC2C01" w:rsidRPr="00460059">
        <w:rPr>
          <w:rFonts w:ascii="Times New Roman" w:hAnsi="Times New Roman" w:cs="Times New Roman"/>
          <w:sz w:val="24"/>
          <w:szCs w:val="24"/>
        </w:rPr>
        <w:fldChar w:fldCharType="begin" w:fldLock="1"/>
      </w:r>
      <w:r w:rsidR="00632296" w:rsidRPr="00460059">
        <w:rPr>
          <w:rFonts w:ascii="Times New Roman" w:hAnsi="Times New Roman" w:cs="Times New Roman"/>
          <w:sz w:val="24"/>
          <w:szCs w:val="24"/>
        </w:rPr>
        <w:instrText>ADDIN CSL_CITATION {"citationItems":[{"id":"ITEM-1","itemData":{"DOI":"10.1021/acs.inorgchem.6b02073","ISSN":"1520510X","abstract":"In contrast to the increasing family of weak intermolecular interactions in main-group compounds (X-Z···Y, Z = main-group elements), an analysis of the Cambridge Structural Database indicates that electron-saturated (18-electron) transition-metal complexes show reluctance toward weak M bond formation (X-M···Y, M = transition metal). In particular, weak M bonds involving electron-saturated (18-electron) complexes of transition metals with partially filled d-orbitals are not found. We propose that the nature of valence electron density distribution in transition-metal complexes is the primary reason for this reluctance. A survey of the interaction of selected electron-saturated transition-metal complexes with electron-rich molecules (Y) demonstrates the following: shielding the possible σ-hole on the metal center by the core electron density in 3d series, and enhanced electronegativity and relativistic effects in 4d and 5d series, hinders the formation of the M bond. A balance in all the destabilizing effects has been found in the 4d series due to its moderate polarizability and primogenic repulsion from inner core d-electrons. A changeover in the donor-acceptor nature of the metal center toward different types of incoming molecules is also unveiled here. The present study confirms the possibility of M bond as a new supramolecular force in designing the crystal structures of electron-saturated transition-metal complexes by invoking extreme ligand conditions.","author":[{"dropping-particle":"","family":"Joy","given":"Jyothish","non-dropping-particle":"","parse-names":false,"suffix":""},{"dropping-particle":"","family":"Jemmis","given":"Eluvathingal D.","non-dropping-particle":"","parse-names":false,"suffix":""}],"container-title":"Inorganic Chemistry","id":"ITEM-1","issue":"3","issued":{"date-parts":[["2017","2","6"]]},"page":"1132-1143","publisher":"American Chemical Society","title":"Contrasting Behavior of the Z Bonds in X-Z···Y Weak Interactions: Z = Main Group Elements Versus the Transition Metals","type":"article-journal","volume":"56"},"uris":["http://www.mendeley.com/documents/?uuid=bafd7091-7b8c-3e58-84fa-5d89c15294f8"]}],"mendeley":{"formattedCitation":"&lt;sup&gt;16&lt;/sup&gt;","plainTextFormattedCitation":"16","previouslyFormattedCitation":"&lt;sup&gt;16&lt;/sup&gt;"},"properties":{"noteIndex":0},"schema":"https://github.com/citation-style-language/schema/raw/master/csl-citation.json"}</w:instrText>
      </w:r>
      <w:r w:rsidR="00EC2C01" w:rsidRPr="00460059">
        <w:rPr>
          <w:rFonts w:ascii="Times New Roman" w:hAnsi="Times New Roman" w:cs="Times New Roman"/>
          <w:sz w:val="24"/>
          <w:szCs w:val="24"/>
        </w:rPr>
        <w:fldChar w:fldCharType="separate"/>
      </w:r>
      <w:r w:rsidR="00EC2C01" w:rsidRPr="00460059">
        <w:rPr>
          <w:rFonts w:ascii="Times New Roman" w:hAnsi="Times New Roman" w:cs="Times New Roman"/>
          <w:noProof/>
          <w:sz w:val="24"/>
          <w:szCs w:val="24"/>
          <w:vertAlign w:val="superscript"/>
        </w:rPr>
        <w:t>16</w:t>
      </w:r>
      <w:r w:rsidR="00EC2C01" w:rsidRPr="00460059">
        <w:rPr>
          <w:rFonts w:ascii="Times New Roman" w:hAnsi="Times New Roman" w:cs="Times New Roman"/>
          <w:sz w:val="24"/>
          <w:szCs w:val="24"/>
        </w:rPr>
        <w:fldChar w:fldCharType="end"/>
      </w:r>
    </w:p>
    <w:p w14:paraId="59C2B1AC" w14:textId="2D11A958" w:rsidR="007E0E6E" w:rsidRPr="00460059" w:rsidRDefault="007E0E6E" w:rsidP="007E0E6E">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An interesting case is that of group 12 metals, for which the capability of forming the so-called “spodium bond” (</w:t>
      </w:r>
      <w:proofErr w:type="spellStart"/>
      <w:r w:rsidRPr="00460059">
        <w:rPr>
          <w:rFonts w:ascii="Times New Roman" w:hAnsi="Times New Roman" w:cs="Times New Roman"/>
          <w:sz w:val="24"/>
          <w:szCs w:val="24"/>
        </w:rPr>
        <w:t>SpB</w:t>
      </w:r>
      <w:proofErr w:type="spellEnd"/>
      <w:r w:rsidRPr="00460059">
        <w:rPr>
          <w:rFonts w:ascii="Times New Roman" w:hAnsi="Times New Roman" w:cs="Times New Roman"/>
          <w:sz w:val="24"/>
          <w:szCs w:val="24"/>
        </w:rPr>
        <w:t>)</w:t>
      </w:r>
      <w:r w:rsidR="00F9761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{"citationItems":[{"id":"ITEM-1","itemData":{"DOI":"10.3390/ijms21197091","ISSN":"14220067","PMID":"32993027","abstract":"Two new dinuclear zinc(II) complexes, [Zn2(µ1,3-OAc)(L1)2]I·MeOH (1) and [Zn2(µ1,3-OAc)(L2)(NCS)] (2), (where HL1 = 2-(((3-(dimethylamino)propyl)amino)methyl)-6-methoxy-phenol and H2L2 = 2,2′-[(1-Methyl-1,2-ethanediyl)bis(iminomethylene)]bis[6-ethoxyphenol] have been synthesized and characterized by elemental and spectral analysis. Their X-ray solid state structures have been determined, revealing the existence of intramolecular Zn···O spodium bonds in both complexes due to the presence of methoxy (1) or ethoxy (2) substituents adjacent to the coordinated phenolic O-atom. These noncovalent interactions have been studied using density functional theory (DFT) calculations, the quantum theory of “atoms-in-molecules” and the noncovalent interaction plot. Moreover, a search in the Cambridge structure database (CSD) has been conducted in order to investigate the prevalence of intramolecular spodium bonds in Zn complexes. To our knowledge this is the first investigation dealing with intramolecular spodium bonds.","author":[{"dropping-particle":"","family":"Karmakar","given":"Mainak","non-dropping-particle":"","parse-names":false,"suffix":""},{"dropping-particle":"","family":"Frontera","given":"Antonio","non-dropping-particle":"","parse-names":false,"suffix":""},{"dropping-particle":"","family":"Chattopadhyay","given":"Shouvik","non-dropping-particle":"","parse-names":false,"suffix":""},{"dropping-particle":"","family":"Mooibroek","given":"Tiddo J.","non-dropping-particle":"","parse-names":false,"suffix":""},{"dropping-particle":"","family":"Bauzá","given":"Antonio","non-dropping-particle":"","parse-names":false,"suffix":""}],"container-title":"International Journal of Molecular Sciences","id":"ITEM-1","issue":"19","issued":{"date-parts":[["2020","9","25"]]},"page":"1-14","publisher":"MDPI AG","title":"Intramolecular spodium bonds in Zn(II) complexes: Insights from theory and experiment","type":"article-journal","volume":"21"},"uris":["http://www.mendeley.com/documents/?uuid=d722d7d8-d996-3801-896b-fb4f71f8d15a"]},{"id":"ITEM-2","itemData":{"DOI":"10.1039/d0nj04444j","ISSN":"1144-0546","abstract":"In this manuscript, the synthesis and X-ray characterization of a new spodium bond driven coordination polymer constructed from mercury( ii ) azide and 1,2-bis(pyridin-2-ylmethylene)hydrazine are reported. In this work we report on a new Hg II coordination polymer [Hg 2 L(N 3 ) 4 ] n ( 1 ), which was readily fabricated from a mixture of Hg(CH 3 COO) 2 , NaN 3 and 1,2-bis(pyridin-2-ylmethylene)hydrazine ( L ) in MeOH. Complex exhibits a 1D zig-zag polymeric chain, constructed exclusively through the Hg–N covalent bonds. This chain is formed due to bridging organic ligands L , both coordination pockets of which chelate metal ions, as well bridging end-on coordinated azide anions. The coordination sphere of the Hg II ions is completed by terminal azide anions, yielding a pentacoordinated geometry. The structure of 1 was found to be extended to a 2D supramolecular polymeric layer due to Hg</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N spodium bonds, formed between neighbouring 1D zig-zag polymeric chains. Due to the spodium bond, the metal cation now exhibits a hexacoordinated geometry. According to the topological analysis, the 2D supramolecular polymeric layer of 1 discloses a uninodal 3-connected hcb (Shubnikov hexagonal plane net/(6,3)) topology defined by the point symbol of (6 3 ). The 2D supramolecular polymeric layer is further stabilized by intermolecular non-covalent C–H</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N and N–N</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π 2-Py interactions. Adjacent 2D supramolecular polymeric layers are interlinked through π</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π stacking interactions between the pyridine rings. The diffuse reflectance spectrum of 1 revealed a broad band, accompanied with a shoulder, in the UV region, corresponding to intraligand transitions, and a broad intense band in the visible region, corresponding to metal-to-ligand charge-transfer. In this work we report on a pivotal role of the Hg II -derived spodium bond on the crystal packing and its characterization using DFT calculations, the quantum theory of atoms-in-molecules and the non-covalent interaction plot computational tools.","author":[{"dropping-particle":"","family":"Mahmoudi","given":"Ghodrat","non-dropping-particle":"","parse-names":false,"suffix":""},{"dropping-particle":"","family":"Lawrence","given":"Simon E.","non-dropping-particle":"","parse-names":false,"suffix":""},{"dropping-particle":"","family":"Cisterna","given":"Jonathan","non-dropping-particle":"","parse-names":false,"suffix":""},{"dropping-particle":"","family":"Cárdenas","given":"Alejandro","non-dropping-particle":"","parse-names":false,"suffix":""},{"dropping-particle":"","family":"Brito","given":"Iván","non-dropping-particle":"","parse-names":false,"suffix":""},{"dropping-particle":"","family":"Frontera","given":"Antonio","non-dropping-particle":"","parse-names":false,"suffix":""},{"dropping-particle":"","family":"Safin","given":"Damir A.","non-dropping-particle":"","parse-names":false,"suffix":""}],"container-title":"New Journal of Chemistry","id":"ITEM-2","issued":{"date-parts":[["2020"]]},"publisher":"Royal Society of Chemistry (RSC)","title":"A new spodium bond driven coordination polymer constructed from mercury( ii ) azide and 1,2-bis(pyridin-2-ylmethylene)hydrazine","type":"article-journal"},"uris":["http://www.mendeley.com/documents/?uuid=d618b2d0-7f60-3dec-8b01-71f8fd66b126"]}],"mendeley":{"formattedCitation":"&lt;sup&gt;17,18&lt;/sup&gt;","plainTextFormattedCitation":"17,18","previouslyFormattedCitation":"&lt;sup&gt;17,18&lt;/sup&gt;"},"properties":{"noteIndex":0},"schema":"https://github.com/citation-style-language/schema/raw/master/csl-citation.json"}</w:instrText>
      </w:r>
      <w:r w:rsidR="00F9761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17,18</w:t>
      </w:r>
      <w:r w:rsidR="00F9761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has been proposed.</w:t>
      </w:r>
      <w:r w:rsidR="00906CC9"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{"citationItems":[{"id":"ITEM-1","itemData":{"DOI":"10.3390/cryst10030180","ISSN":"20734352","abstract":"In this review, we provide a consistent description of noncovalent interactions, covering most groups of the Periodic Table. Different types of bonds are discussed using their trivial names. Moreover, the new name \"Spodium bonds\" is proposed for group 12 since noncovalent interactions involving this group of elements as electron acceptors have not yet been named. Excluding hydrogen bonds, the following noncovalent interactions will be discussed: alkali, alkaline earth, regium, spodium, triel, tetrel, pnictogen, chalcogen, halogen, and aerogen, which almost covers the Periodic Table entirely. Other interactions, such as orthogonal interactions and π-π stacking, will also be considered. Research and applications of σ-hole and π-hole interactions involving the p-block element is growing exponentially. The important applications include supramolecular chemistry, crystal engineering, catalysis, enzymatic chemistry molecular machines, membrane ion transport, etc. Despite the fact that this review is not intended to be comprehensive, a number of representative works for each type of interaction is provided. The possibility of modeling the dissociation energies of the complexes using different models (HSAB, ECW, Alkorta-Legon) was analyzed. Finally, the extension of Cahn-Ingold-Prelog priority rules to noncovalent is proposed.","author":[{"dropping-particle":"","family":"Alkorta","given":"Ibon","non-dropping-particle":"","parse-names":false,"suffix":""},{"dropping-particle":"","family":"Elguero","given":"José","non-dropping-particle":"","parse-names":false,"suffix":""},{"dropping-particle":"","family":"Frontera","given":"Antonio","non-dropping-particle":"","parse-names":false,"suffix":""}],"container-title":"Crystals","id":"ITEM-1","issue":"3","issued":{"date-parts":[["2020","3","6"]]},"page":"180","publisher":"MDPI AG","title":"Not only hydrogen bonds: Other noncovalent interactions","type":"article","volume":"10"},"uris":["http://www.mendeley.com/documents/?uuid=295aee1c-2051-3262-b266-827c3bb20a7b"]}],"mendeley":{"formattedCitation":"&lt;sup&gt;19&lt;/sup&gt;","plainTextFormattedCitation":"19","previouslyFormattedCitation":"&lt;sup&gt;19&lt;/sup&gt;"},"properties":{"noteIndex":0},"schema":"https://github.com/citation-style-language/schema/raw/master/csl-citation.json"}</w:instrText>
      </w:r>
      <w:r w:rsidR="00906CC9"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19</w:t>
      </w:r>
      <w:r w:rsidR="00906CC9"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In a recent contribution, Frontera </w:t>
      </w:r>
      <w:r w:rsidRPr="00460059">
        <w:rPr>
          <w:rFonts w:ascii="Times New Roman" w:hAnsi="Times New Roman" w:cs="Times New Roman"/>
          <w:i/>
          <w:sz w:val="24"/>
          <w:szCs w:val="24"/>
        </w:rPr>
        <w:t>et al.</w:t>
      </w:r>
      <w:r w:rsidRPr="00460059">
        <w:rPr>
          <w:rFonts w:ascii="Times New Roman" w:hAnsi="Times New Roman" w:cs="Times New Roman"/>
          <w:sz w:val="24"/>
          <w:szCs w:val="24"/>
        </w:rPr>
        <w:t xml:space="preserve"> analy</w:t>
      </w:r>
      <w:r w:rsidR="005A0687" w:rsidRPr="00460059">
        <w:rPr>
          <w:rFonts w:ascii="Times New Roman" w:hAnsi="Times New Roman" w:cs="Times New Roman"/>
          <w:sz w:val="24"/>
          <w:szCs w:val="24"/>
        </w:rPr>
        <w:t>z</w:t>
      </w:r>
      <w:r w:rsidRPr="00460059">
        <w:rPr>
          <w:rFonts w:ascii="Times New Roman" w:hAnsi="Times New Roman" w:cs="Times New Roman"/>
          <w:sz w:val="24"/>
          <w:szCs w:val="24"/>
        </w:rPr>
        <w:t xml:space="preserve">ed a series of </w:t>
      </w:r>
      <w:r w:rsidR="003450F2" w:rsidRPr="00460059">
        <w:rPr>
          <w:rFonts w:ascii="Times New Roman" w:hAnsi="Times New Roman" w:cs="Times New Roman"/>
          <w:sz w:val="24"/>
          <w:szCs w:val="24"/>
        </w:rPr>
        <w:t>[</w:t>
      </w:r>
      <w:r w:rsidRPr="00460059">
        <w:rPr>
          <w:rFonts w:ascii="Times New Roman" w:hAnsi="Times New Roman" w:cs="Times New Roman"/>
          <w:sz w:val="24"/>
          <w:szCs w:val="24"/>
        </w:rPr>
        <w:t>(thiourea)</w:t>
      </w:r>
      <w:r w:rsidR="003450F2" w:rsidRPr="00460059">
        <w:rPr>
          <w:rFonts w:ascii="Times New Roman" w:hAnsi="Times New Roman" w:cs="Times New Roman"/>
          <w:sz w:val="24"/>
          <w:szCs w:val="24"/>
          <w:vertAlign w:val="subscript"/>
        </w:rPr>
        <w:t>2</w:t>
      </w:r>
      <w:r w:rsidRPr="00460059">
        <w:rPr>
          <w:rFonts w:ascii="Times New Roman" w:hAnsi="Times New Roman" w:cs="Times New Roman"/>
          <w:sz w:val="24"/>
          <w:szCs w:val="24"/>
        </w:rPr>
        <w:t>MX</w:t>
      </w:r>
      <w:r w:rsidRPr="00460059">
        <w:rPr>
          <w:rFonts w:ascii="Times New Roman" w:hAnsi="Times New Roman" w:cs="Times New Roman"/>
          <w:sz w:val="24"/>
          <w:szCs w:val="24"/>
          <w:vertAlign w:val="subscript"/>
        </w:rPr>
        <w:t>2</w:t>
      </w:r>
      <w:r w:rsidR="003450F2" w:rsidRPr="00460059">
        <w:rPr>
          <w:rFonts w:ascii="Times New Roman" w:hAnsi="Times New Roman" w:cs="Times New Roman"/>
          <w:sz w:val="24"/>
          <w:szCs w:val="24"/>
        </w:rPr>
        <w:t xml:space="preserve">] </w:t>
      </w:r>
      <w:r w:rsidRPr="00460059">
        <w:rPr>
          <w:rFonts w:ascii="Times New Roman" w:hAnsi="Times New Roman" w:cs="Times New Roman"/>
          <w:sz w:val="24"/>
          <w:szCs w:val="24"/>
        </w:rPr>
        <w:t>complexes (M = Zn, Cd, Hg; X = Cl, Br, I) and revealed that σ-holes located along the bisector of the S–M</w:t>
      </w:r>
      <w:r w:rsidR="00C24A96" w:rsidRPr="00460059">
        <w:rPr>
          <w:rFonts w:ascii="Times New Roman" w:hAnsi="Times New Roman" w:cs="Times New Roman"/>
          <w:sz w:val="24"/>
          <w:szCs w:val="24"/>
        </w:rPr>
        <w:t>–</w:t>
      </w:r>
      <w:r w:rsidRPr="00460059">
        <w:rPr>
          <w:rFonts w:ascii="Times New Roman" w:hAnsi="Times New Roman" w:cs="Times New Roman"/>
          <w:sz w:val="24"/>
          <w:szCs w:val="24"/>
        </w:rPr>
        <w:t>S bond can establish weak, non-coordinative interactions with</w:t>
      </w:r>
      <w:r w:rsidR="000E022F" w:rsidRPr="00460059">
        <w:rPr>
          <w:rFonts w:ascii="Times New Roman" w:hAnsi="Times New Roman" w:cs="Times New Roman"/>
          <w:sz w:val="24"/>
          <w:szCs w:val="24"/>
        </w:rPr>
        <w:t xml:space="preserve"> </w:t>
      </w:r>
      <w:r w:rsidR="00C24A96" w:rsidRPr="00460059">
        <w:rPr>
          <w:rFonts w:ascii="Times New Roman" w:hAnsi="Times New Roman" w:cs="Times New Roman"/>
          <w:sz w:val="24"/>
          <w:szCs w:val="24"/>
        </w:rPr>
        <w:t xml:space="preserve">mild </w:t>
      </w:r>
      <w:r w:rsidRPr="00460059">
        <w:rPr>
          <w:rFonts w:ascii="Times New Roman" w:hAnsi="Times New Roman" w:cs="Times New Roman"/>
          <w:sz w:val="24"/>
          <w:szCs w:val="24"/>
        </w:rPr>
        <w:t>LBs such as CO, CH</w:t>
      </w:r>
      <w:r w:rsidRPr="00460059">
        <w:rPr>
          <w:rFonts w:ascii="Times New Roman" w:hAnsi="Times New Roman" w:cs="Times New Roman"/>
          <w:sz w:val="24"/>
          <w:szCs w:val="24"/>
          <w:vertAlign w:val="subscript"/>
        </w:rPr>
        <w:t>3</w:t>
      </w:r>
      <w:r w:rsidRPr="00460059">
        <w:rPr>
          <w:rFonts w:ascii="Times New Roman" w:hAnsi="Times New Roman" w:cs="Times New Roman"/>
          <w:sz w:val="24"/>
          <w:szCs w:val="24"/>
        </w:rPr>
        <w:t>CN or CH</w:t>
      </w:r>
      <w:r w:rsidRPr="00460059">
        <w:rPr>
          <w:rFonts w:ascii="Times New Roman" w:hAnsi="Times New Roman" w:cs="Times New Roman"/>
          <w:sz w:val="24"/>
          <w:szCs w:val="24"/>
          <w:vertAlign w:val="subscript"/>
        </w:rPr>
        <w:t>2</w:t>
      </w:r>
      <w:r w:rsidRPr="00460059">
        <w:rPr>
          <w:rFonts w:ascii="Times New Roman" w:hAnsi="Times New Roman" w:cs="Times New Roman"/>
          <w:sz w:val="24"/>
          <w:szCs w:val="24"/>
        </w:rPr>
        <w:t>O.</w:t>
      </w:r>
      <w:r w:rsidR="00906CC9"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{"citationItems":[{"id":"ITEM-1","itemData":{"DOI":"10.1002/anie.202007814","ISSN":"1433-7851","abstract":"The term Spodium (Sp) bond is proposed to refer to a net attractive interaction between any element of group 12 and electron rich atoms (Lewis bases or anions). We argue how these noncovalent interactions are markedly different from coordination bonds (antibonding Sp–Ligand orbital involved). We provide evidence of the existence of this interaction by calculations at the RI‐MP2/aug‐cc‐pVTZ level of theory, atoms‐in‐molecules and natural bond orbital analyses and by examining solid state structures in the Cambridge Structure Database.","author":[{"dropping-particle":"","family":"Bauzá","given":"Antonio","non-dropping-particle":"","parse-names":false,"suffix":""},{"dropping-particle":"","family":"Alkorta","given":"Ibon","non-dropping-particle":"","parse-names":false,"suffix":""},{"dropping-particle":"","family":"Elguero","given":"José","non-dropping-particle":"","parse-names":false,"suffix":""},{"dropping-particle":"","family":"Mooibroek","given":"Tiddo J.","non-dropping-particle":"","parse-names":false,"suffix":""},{"dropping-particle":"","family":"Frontera","given":"Antonio","non-dropping-particle":"","parse-names":false,"suffix":""}],"container-title":"Angewandte Chemie International Edition","id":"ITEM-1","issued":{"date-parts":[["2020","6","15"]]},"page":"anie.202007814","publisher":"John Wiley &amp; Sons, Ltd","title":"Spodium bonds: noncovalent interactions involving group 12 of elements","type":"article-journal"},"uris":["http://www.mendeley.com/documents/?uuid=c4ba9c17-1826-35bc-ad78-161161235102"]}],"mendeley":{"formattedCitation":"&lt;sup&gt;20&lt;/sup&gt;","plainTextFormattedCitation":"20","previouslyFormattedCitation":"&lt;sup&gt;20&lt;/sup&gt;"},"properties":{"noteIndex":0},"schema":"https://github.com/citation-style-language/schema/raw/master/csl-citation.json"}</w:instrText>
      </w:r>
      <w:r w:rsidR="00906CC9"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20</w:t>
      </w:r>
      <w:r w:rsidR="00906CC9"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w:t>
      </w:r>
      <w:r w:rsidR="001755B4" w:rsidRPr="00460059">
        <w:rPr>
          <w:rFonts w:ascii="Times New Roman" w:hAnsi="Times New Roman" w:cs="Times New Roman"/>
          <w:sz w:val="24"/>
          <w:szCs w:val="24"/>
        </w:rPr>
        <w:t xml:space="preserve">Such </w:t>
      </w:r>
      <w:r w:rsidRPr="00460059">
        <w:rPr>
          <w:rFonts w:ascii="Times New Roman" w:hAnsi="Times New Roman" w:cs="Times New Roman"/>
          <w:sz w:val="24"/>
          <w:szCs w:val="24"/>
        </w:rPr>
        <w:t xml:space="preserve">model adducts generally show the concomitant presence of a series of weak interactions, including hydrogen (HB) and chalcogen bonds, as evidenced by the quantum theory of atoms in molecules (QTAIM). Since they all contribute to the overall fragment interaction energy, it is important to disentangle these contributions to provide a precise assessment of the importance of </w:t>
      </w:r>
      <w:proofErr w:type="spellStart"/>
      <w:r w:rsidRPr="00460059">
        <w:rPr>
          <w:rFonts w:ascii="Times New Roman" w:hAnsi="Times New Roman" w:cs="Times New Roman"/>
          <w:sz w:val="24"/>
          <w:szCs w:val="24"/>
        </w:rPr>
        <w:t>SpB</w:t>
      </w:r>
      <w:proofErr w:type="spellEnd"/>
      <w:r w:rsidRPr="00460059">
        <w:rPr>
          <w:rFonts w:ascii="Times New Roman" w:hAnsi="Times New Roman" w:cs="Times New Roman"/>
          <w:sz w:val="24"/>
          <w:szCs w:val="24"/>
        </w:rPr>
        <w:t>.</w:t>
      </w:r>
    </w:p>
    <w:p w14:paraId="7427D8BE" w14:textId="06510471" w:rsidR="007E0E6E" w:rsidRPr="00460059" w:rsidRDefault="00484FEC" w:rsidP="001561CC">
      <w:pPr>
        <w:pStyle w:val="Corpotesto"/>
        <w:spacing w:after="0" w:line="360" w:lineRule="auto"/>
        <w:jc w:val="both"/>
        <w:rPr>
          <w:rFonts w:ascii="Times New Roman" w:hAnsi="Times New Roman" w:cs="Times New Roman"/>
          <w:b/>
          <w:bCs/>
          <w:sz w:val="24"/>
          <w:szCs w:val="24"/>
          <w:lang w:val="en-GB"/>
        </w:rPr>
      </w:pPr>
      <w:r w:rsidRPr="00460059">
        <w:rPr>
          <w:rFonts w:ascii="Times New Roman" w:hAnsi="Times New Roman" w:cs="Times New Roman"/>
          <w:sz w:val="24"/>
          <w:szCs w:val="24"/>
        </w:rPr>
        <w:t>A recent theoretical</w:t>
      </w:r>
      <w:r w:rsidR="0014607A" w:rsidRPr="00460059">
        <w:rPr>
          <w:rFonts w:ascii="Times New Roman" w:hAnsi="Times New Roman" w:cs="Times New Roman"/>
          <w:sz w:val="24"/>
          <w:szCs w:val="24"/>
        </w:rPr>
        <w:t xml:space="preserve"> and detailed</w:t>
      </w:r>
      <w:r w:rsidRPr="00460059">
        <w:rPr>
          <w:rFonts w:ascii="Times New Roman" w:hAnsi="Times New Roman" w:cs="Times New Roman"/>
          <w:sz w:val="24"/>
          <w:szCs w:val="24"/>
        </w:rPr>
        <w:t xml:space="preserve"> work </w:t>
      </w:r>
      <w:r w:rsidR="0014607A" w:rsidRPr="00460059">
        <w:rPr>
          <w:rFonts w:ascii="Times New Roman" w:hAnsi="Times New Roman" w:cs="Times New Roman"/>
          <w:sz w:val="24"/>
          <w:szCs w:val="24"/>
        </w:rPr>
        <w:t>used the Energy Decomposition Analysis (EDA)</w:t>
      </w:r>
      <w:r w:rsidR="00441221"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{"citationItems":[{"id":"ITEM-1","itemData":{"DOI":"10.1002/wcms.71","ISBN":"1759-0876","ISSN":"17590876","abstract":"The energy decomposition analysis (EDA) is a powerful method for a quantitative interpretation of chemical bonds in terms of three major expressions. The instantaneous interaction energy ΔEint between two fragments A and B in a molecule A–B is partitioned in three terms, namely, (1) the quasiclassical electrostatic interaction ΔEelstat between the fragments, (2) the repulsive exchange (Pauli) interaction ΔEPauli between electrons of the two fragments having the same spin, and (3) the orbital (covalent) interaction ΔEorb, which comes from the orbital relaxation and the orbital mixing between the fragments. The latter term can be decomposed into contributions of orbitals with different symmetry, which makes it possible to distinguish between σ, π, and δ bonding. After a short introduction into the theoretical background of the EDA, we present illustrative examples of main group and transition metal chemistry. The results show that the EDA terms can be interpreted in a chemically meaningful way, thus providing a bridge between quantum chemical calculations and heuristic bonding models of traditional chemistry. © 2011 John Wiley &amp; Sons, Ltd.","author":[{"dropping-particle":"von","family":"Hopffgarten","given":"Moritz","non-dropping-particle":"","parse-names":false,"suffix":""},{"dropping-particle":"","family":"Frenking","given":"Gernot","non-dropping-particle":"","parse-names":false,"suffix":""}],"container-title":"Wiley Interdisciplinary Reviews: Computational Molecular Science","id":"ITEM-1","issue":"1","issued":{"date-parts":[["2012","1"]]},"page":"43-62","title":"Energy decomposition analysis","type":"article-journal","volume":"2"},"uris":["http://www.mendeley.com/documents/?uuid=bb2ed22c-30df-4b6e-a4f5-41438bfff9e6"]},{"id":"ITEM-2","itemData":{"DOI":"10.1002/jcc.20543","ISSN":"01928651","abstract":"The appearance and the significance of heuristically developed bonding models are compared with the phenomenon of unicorns in mythical saga. It is argued that classical bonding models played an essential role for the development of the chemical science providing the language which is spoken in the territory of chemistry. The advent and the further development of quantum chemistry demands some restrictions and boundary conditions for classical chemical bonding models, which will continue to be integral parts of chemistry. © 2006 Wiley Periodicals, Inc. J Comput Chem 2007[ABSTRACT FROM AUTHOR]","author":[{"dropping-particle":"","family":"Frenking","given":"Gernot","non-dropping-particle":"","parse-names":false,"suffix":""},{"dropping-particle":"","family":"Krapp","given":"Andreas","non-dropping-particle":"","parse-names":false,"suffix":""}],"container-title":"Journal of Computational Chemistry","id":"ITEM-2","issue":"1","issued":{"date-parts":[["2007","1","15"]]},"page":"15-24","publisher":"John Wiley &amp; Sons, Ltd","title":"Unicorns in the world of chemical bonding models","type":"article-journal","volume":"28"},"uris":["http://www.mendeley.com/documents/?uuid=2f7e3cb1-ea3c-3b57-85ab-18aae3a944df"]}],"mendeley":{"formattedCitation":"&lt;sup&gt;21,22&lt;/sup&gt;","plainTextFormattedCitation":"21,22","previouslyFormattedCitation":"&lt;sup&gt;21,22&lt;/sup&gt;"},"properties":{"noteIndex":0},"schema":"https://github.com/citation-style-language/schema/raw/master/csl-citation.json"}</w:instrText>
      </w:r>
      <w:r w:rsidR="00441221"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21,22</w:t>
      </w:r>
      <w:r w:rsidR="00441221" w:rsidRPr="00460059">
        <w:rPr>
          <w:rFonts w:ascii="Times New Roman" w:hAnsi="Times New Roman" w:cs="Times New Roman"/>
          <w:sz w:val="24"/>
          <w:szCs w:val="24"/>
        </w:rPr>
        <w:fldChar w:fldCharType="end"/>
      </w:r>
      <w:r w:rsidR="0014607A" w:rsidRPr="00460059">
        <w:rPr>
          <w:rFonts w:ascii="Times New Roman" w:hAnsi="Times New Roman" w:cs="Times New Roman"/>
          <w:sz w:val="24"/>
          <w:szCs w:val="24"/>
        </w:rPr>
        <w:t xml:space="preserve"> </w:t>
      </w:r>
      <w:r w:rsidR="00302EE1" w:rsidRPr="00460059">
        <w:rPr>
          <w:rFonts w:ascii="Times New Roman" w:hAnsi="Times New Roman" w:cs="Times New Roman"/>
          <w:sz w:val="24"/>
          <w:szCs w:val="24"/>
        </w:rPr>
        <w:t xml:space="preserve">and other tools on </w:t>
      </w:r>
      <w:r w:rsidRPr="00460059">
        <w:rPr>
          <w:rFonts w:ascii="Times New Roman" w:hAnsi="Times New Roman" w:cs="Times New Roman"/>
          <w:sz w:val="24"/>
          <w:szCs w:val="24"/>
        </w:rPr>
        <w:t>HgCl</w:t>
      </w:r>
      <w:r w:rsidRPr="00460059">
        <w:rPr>
          <w:rFonts w:ascii="Times New Roman" w:hAnsi="Times New Roman" w:cs="Times New Roman"/>
          <w:sz w:val="24"/>
          <w:szCs w:val="24"/>
          <w:vertAlign w:val="subscript"/>
        </w:rPr>
        <w:t>2</w:t>
      </w:r>
      <w:r w:rsidRPr="00460059">
        <w:rPr>
          <w:rFonts w:ascii="Times New Roman" w:hAnsi="Times New Roman" w:cs="Times New Roman"/>
          <w:sz w:val="24"/>
          <w:szCs w:val="24"/>
          <w:vertAlign w:val="superscript"/>
        </w:rPr>
        <w:t>...</w:t>
      </w:r>
      <w:r w:rsidRPr="00460059">
        <w:rPr>
          <w:rFonts w:ascii="Times New Roman" w:hAnsi="Times New Roman" w:cs="Times New Roman"/>
          <w:sz w:val="24"/>
          <w:szCs w:val="24"/>
        </w:rPr>
        <w:t>L</w:t>
      </w:r>
      <w:r w:rsidR="0014607A" w:rsidRPr="00460059">
        <w:rPr>
          <w:rFonts w:ascii="Times New Roman" w:hAnsi="Times New Roman" w:cs="Times New Roman"/>
          <w:sz w:val="24"/>
          <w:szCs w:val="24"/>
        </w:rPr>
        <w:t>B</w:t>
      </w:r>
      <w:r w:rsidR="00302EE1" w:rsidRPr="00460059">
        <w:rPr>
          <w:rFonts w:ascii="Times New Roman" w:hAnsi="Times New Roman" w:cs="Times New Roman"/>
          <w:sz w:val="24"/>
          <w:szCs w:val="24"/>
        </w:rPr>
        <w:t xml:space="preserve"> adducts</w:t>
      </w:r>
      <w:r w:rsidR="00FD4D48" w:rsidRPr="00460059">
        <w:rPr>
          <w:rFonts w:ascii="Times New Roman" w:hAnsi="Times New Roman" w:cs="Times New Roman"/>
          <w:sz w:val="24"/>
          <w:szCs w:val="24"/>
        </w:rPr>
        <w:t xml:space="preserve">, highlighting that </w:t>
      </w:r>
      <w:r w:rsidR="0071102A" w:rsidRPr="00460059">
        <w:rPr>
          <w:rFonts w:ascii="Times New Roman" w:hAnsi="Times New Roman" w:cs="Times New Roman"/>
          <w:sz w:val="24"/>
          <w:szCs w:val="24"/>
        </w:rPr>
        <w:t>these</w:t>
      </w:r>
      <w:r w:rsidR="00FD4D48" w:rsidRPr="00460059">
        <w:rPr>
          <w:rFonts w:ascii="Times New Roman" w:hAnsi="Times New Roman" w:cs="Times New Roman"/>
          <w:sz w:val="24"/>
          <w:szCs w:val="24"/>
        </w:rPr>
        <w:t xml:space="preserve"> are held together by a </w:t>
      </w:r>
      <w:r w:rsidR="0071102A" w:rsidRPr="00460059">
        <w:rPr>
          <w:rFonts w:ascii="Times New Roman" w:hAnsi="Times New Roman" w:cs="Times New Roman"/>
          <w:sz w:val="24"/>
          <w:szCs w:val="24"/>
        </w:rPr>
        <w:t xml:space="preserve">composition </w:t>
      </w:r>
      <w:r w:rsidR="00FD4D48" w:rsidRPr="00460059">
        <w:rPr>
          <w:rFonts w:ascii="Times New Roman" w:hAnsi="Times New Roman" w:cs="Times New Roman"/>
          <w:sz w:val="24"/>
          <w:szCs w:val="24"/>
        </w:rPr>
        <w:t>of</w:t>
      </w:r>
      <w:r w:rsidR="008E2618" w:rsidRPr="00460059">
        <w:rPr>
          <w:rFonts w:ascii="Times New Roman" w:hAnsi="Times New Roman" w:cs="Times New Roman"/>
          <w:sz w:val="24"/>
          <w:szCs w:val="24"/>
        </w:rPr>
        <w:t xml:space="preserve"> electrostatic (</w:t>
      </w:r>
      <w:proofErr w:type="spellStart"/>
      <w:r w:rsidR="008E2618" w:rsidRPr="00460059">
        <w:rPr>
          <w:rFonts w:ascii="Times New Roman" w:hAnsi="Times New Roman" w:cs="Times New Roman"/>
          <w:sz w:val="24"/>
          <w:szCs w:val="24"/>
        </w:rPr>
        <w:t>E</w:t>
      </w:r>
      <w:r w:rsidR="008E2618" w:rsidRPr="00460059">
        <w:rPr>
          <w:rFonts w:ascii="Times New Roman" w:hAnsi="Times New Roman" w:cs="Times New Roman"/>
          <w:sz w:val="24"/>
          <w:szCs w:val="24"/>
          <w:vertAlign w:val="subscript"/>
        </w:rPr>
        <w:t>elst</w:t>
      </w:r>
      <w:proofErr w:type="spellEnd"/>
      <w:r w:rsidR="008E2618" w:rsidRPr="00460059">
        <w:rPr>
          <w:rFonts w:ascii="Times New Roman" w:hAnsi="Times New Roman" w:cs="Times New Roman"/>
          <w:sz w:val="24"/>
          <w:szCs w:val="24"/>
        </w:rPr>
        <w:t>) and orbital (</w:t>
      </w:r>
      <w:proofErr w:type="spellStart"/>
      <w:r w:rsidR="008E2618" w:rsidRPr="00460059">
        <w:rPr>
          <w:rFonts w:ascii="Times New Roman" w:hAnsi="Times New Roman" w:cs="Times New Roman"/>
          <w:sz w:val="24"/>
          <w:szCs w:val="24"/>
        </w:rPr>
        <w:t>E</w:t>
      </w:r>
      <w:r w:rsidR="008E2618" w:rsidRPr="00460059">
        <w:rPr>
          <w:rFonts w:ascii="Times New Roman" w:hAnsi="Times New Roman" w:cs="Times New Roman"/>
          <w:sz w:val="24"/>
          <w:szCs w:val="24"/>
          <w:vertAlign w:val="subscript"/>
        </w:rPr>
        <w:t>orb</w:t>
      </w:r>
      <w:proofErr w:type="spellEnd"/>
      <w:r w:rsidR="008E2618" w:rsidRPr="00460059">
        <w:rPr>
          <w:rFonts w:ascii="Times New Roman" w:hAnsi="Times New Roman" w:cs="Times New Roman"/>
          <w:sz w:val="24"/>
          <w:szCs w:val="24"/>
        </w:rPr>
        <w:t xml:space="preserve">) </w:t>
      </w:r>
      <w:r w:rsidR="0071102A" w:rsidRPr="00460059">
        <w:rPr>
          <w:rFonts w:ascii="Times New Roman" w:hAnsi="Times New Roman" w:cs="Times New Roman"/>
          <w:sz w:val="24"/>
          <w:szCs w:val="24"/>
        </w:rPr>
        <w:t>contributions</w:t>
      </w:r>
      <w:r w:rsidR="00DC3FA7" w:rsidRPr="00460059">
        <w:rPr>
          <w:rFonts w:ascii="Times New Roman" w:hAnsi="Times New Roman" w:cs="Times New Roman"/>
          <w:sz w:val="24"/>
          <w:szCs w:val="24"/>
        </w:rPr>
        <w:t>.</w:t>
      </w:r>
      <w:r w:rsidR="00441221"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{"citationItems":[{"id":"ITEM-1","itemData":{"DOI":"10.1016/j.chemphys.2020.110978","ISSN":"03010104","abstract":"Halogen bonds have received increasing interest in non-covalent interactions. Recently, a new kind of non-covalent interaction, spodium bond, was proposed to refer to a net attractive interaction between any element of group 12 and electron rich atoms. Due to strong relativistic effect, Hg is much different from the other group 12 elements, which prefers more linear coordination. Thus, we theoretically studied the model of HgCl2</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L (where L = ClR, SR2, PR3 families) to explore the nature of the linear coordinated spodium bonds. Analyses of electrostatic potential surfaces, together with ELF, LOL, and chemical bonding analyses, suggest the presence of covalent interaction. Complexes with nitrogen, oxygen, and fluorine donors result in more coulombic component, whereas others are dominated by covalent interaction, indicating coexistence of coulombic and covalent interaction. Besides, covalent interaction is significantly stronger with phosphorus donor. This model can provide intriguing perspectives for future weak intermolecular interactions studies.","author":[{"dropping-particle":"","family":"Xia","given":"Tao","non-dropping-particle":"","parse-names":false,"suffix":""},{"dropping-particle":"","family":"Li","given":"Dan","non-dropping-particle":"","parse-names":false,"suffix":""},{"dropping-particle":"","family":"Cheng","given":"Longjiu","non-dropping-particle":"","parse-names":false,"suffix":""}],"container-title":"Chemical Physics","id":"ITEM-1","issued":{"date-parts":[["2020","11","1"]]},"page":"110978","publisher":"Elsevier B.V.","title":"Theoretical analysis of the spodium bonds in HgCl2</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L (L = ClR, SR2, and PR3) dimers","type":"article-journal","volume":"539"},"uris":["http://www.mendeley.com/documents/?uuid=5fb9799c-489b-3779-8ef7-fb3e60a72f44"]}],"mendeley":{"formattedCitation":"&lt;sup&gt;23&lt;/sup&gt;","plainTextFormattedCitation":"23","previouslyFormattedCitation":"&lt;sup&gt;23&lt;/sup&gt;"},"properties":{"noteIndex":0},"schema":"https://github.com/citation-style-language/schema/raw/master/csl-citation.json"}</w:instrText>
      </w:r>
      <w:r w:rsidR="00441221"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23</w:t>
      </w:r>
      <w:r w:rsidR="00441221" w:rsidRPr="00460059">
        <w:rPr>
          <w:rFonts w:ascii="Times New Roman" w:hAnsi="Times New Roman" w:cs="Times New Roman"/>
          <w:sz w:val="24"/>
          <w:szCs w:val="24"/>
        </w:rPr>
        <w:fldChar w:fldCharType="end"/>
      </w:r>
      <w:r w:rsidR="008E2618" w:rsidRPr="00460059">
        <w:rPr>
          <w:rFonts w:ascii="Times New Roman" w:hAnsi="Times New Roman" w:cs="Times New Roman"/>
          <w:sz w:val="24"/>
          <w:szCs w:val="24"/>
        </w:rPr>
        <w:t xml:space="preserve"> </w:t>
      </w:r>
      <w:r w:rsidR="0071102A" w:rsidRPr="00460059">
        <w:rPr>
          <w:rFonts w:ascii="Times New Roman" w:hAnsi="Times New Roman" w:cs="Times New Roman"/>
          <w:sz w:val="24"/>
          <w:szCs w:val="24"/>
        </w:rPr>
        <w:t xml:space="preserve">Despite the latter is found to </w:t>
      </w:r>
      <w:r w:rsidR="005929DA" w:rsidRPr="00460059">
        <w:rPr>
          <w:rFonts w:ascii="Times New Roman" w:hAnsi="Times New Roman" w:cs="Times New Roman"/>
          <w:sz w:val="24"/>
          <w:szCs w:val="24"/>
        </w:rPr>
        <w:t>account</w:t>
      </w:r>
      <w:r w:rsidR="0071102A" w:rsidRPr="00460059">
        <w:rPr>
          <w:rFonts w:ascii="Times New Roman" w:hAnsi="Times New Roman" w:cs="Times New Roman"/>
          <w:sz w:val="24"/>
          <w:szCs w:val="24"/>
        </w:rPr>
        <w:t xml:space="preserve"> for</w:t>
      </w:r>
      <w:r w:rsidRPr="00460059">
        <w:rPr>
          <w:rFonts w:ascii="Times New Roman" w:hAnsi="Times New Roman" w:cs="Times New Roman"/>
          <w:sz w:val="24"/>
          <w:szCs w:val="24"/>
        </w:rPr>
        <w:t xml:space="preserve"> 20</w:t>
      </w:r>
      <w:r w:rsidR="0071102A" w:rsidRPr="00460059">
        <w:rPr>
          <w:rFonts w:ascii="Times New Roman" w:hAnsi="Times New Roman" w:cs="Times New Roman"/>
          <w:sz w:val="24"/>
          <w:szCs w:val="24"/>
        </w:rPr>
        <w:t>-</w:t>
      </w:r>
      <w:r w:rsidRPr="00460059">
        <w:rPr>
          <w:rFonts w:ascii="Times New Roman" w:hAnsi="Times New Roman" w:cs="Times New Roman"/>
          <w:sz w:val="24"/>
          <w:szCs w:val="24"/>
        </w:rPr>
        <w:t>30%</w:t>
      </w:r>
      <w:r w:rsidR="0071102A" w:rsidRPr="00460059">
        <w:rPr>
          <w:rFonts w:ascii="Times New Roman" w:hAnsi="Times New Roman" w:cs="Times New Roman"/>
          <w:sz w:val="24"/>
          <w:szCs w:val="24"/>
        </w:rPr>
        <w:t xml:space="preserve"> of the overall attraction energy, it is still of interest</w:t>
      </w:r>
      <w:r w:rsidR="002E4B41" w:rsidRPr="00460059">
        <w:rPr>
          <w:rFonts w:ascii="Times New Roman" w:hAnsi="Times New Roman" w:cs="Times New Roman"/>
          <w:sz w:val="24"/>
          <w:szCs w:val="24"/>
        </w:rPr>
        <w:t xml:space="preserve"> to </w:t>
      </w:r>
      <w:r w:rsidR="003773C7" w:rsidRPr="00460059">
        <w:rPr>
          <w:rFonts w:ascii="Times New Roman" w:hAnsi="Times New Roman" w:cs="Times New Roman"/>
          <w:sz w:val="24"/>
          <w:szCs w:val="24"/>
        </w:rPr>
        <w:t>better understand what</w:t>
      </w:r>
      <w:r w:rsidR="008200FB" w:rsidRPr="00460059">
        <w:rPr>
          <w:rFonts w:ascii="Times New Roman" w:hAnsi="Times New Roman" w:cs="Times New Roman"/>
          <w:sz w:val="24"/>
          <w:szCs w:val="24"/>
        </w:rPr>
        <w:t xml:space="preserve"> </w:t>
      </w:r>
      <w:r w:rsidR="003773C7" w:rsidRPr="00460059">
        <w:rPr>
          <w:rFonts w:ascii="Times New Roman" w:hAnsi="Times New Roman" w:cs="Times New Roman"/>
          <w:sz w:val="24"/>
          <w:szCs w:val="24"/>
        </w:rPr>
        <w:t xml:space="preserve">is the role of the </w:t>
      </w:r>
      <w:proofErr w:type="spellStart"/>
      <w:r w:rsidR="003773C7" w:rsidRPr="00460059">
        <w:rPr>
          <w:rFonts w:ascii="Times New Roman" w:hAnsi="Times New Roman" w:cs="Times New Roman"/>
          <w:sz w:val="24"/>
          <w:szCs w:val="24"/>
        </w:rPr>
        <w:t>SpB</w:t>
      </w:r>
      <w:proofErr w:type="spellEnd"/>
      <w:r w:rsidR="003773C7" w:rsidRPr="00460059">
        <w:rPr>
          <w:rFonts w:ascii="Times New Roman" w:hAnsi="Times New Roman" w:cs="Times New Roman"/>
          <w:sz w:val="24"/>
          <w:szCs w:val="24"/>
        </w:rPr>
        <w:t xml:space="preserve"> in the </w:t>
      </w:r>
      <w:proofErr w:type="spellStart"/>
      <w:r w:rsidR="003773C7" w:rsidRPr="00460059">
        <w:rPr>
          <w:rFonts w:ascii="Times New Roman" w:hAnsi="Times New Roman" w:cs="Times New Roman"/>
          <w:sz w:val="24"/>
          <w:szCs w:val="24"/>
        </w:rPr>
        <w:t>E</w:t>
      </w:r>
      <w:r w:rsidR="003C4DAB" w:rsidRPr="00460059">
        <w:rPr>
          <w:rFonts w:ascii="Times New Roman" w:hAnsi="Times New Roman" w:cs="Times New Roman"/>
          <w:sz w:val="24"/>
          <w:szCs w:val="24"/>
          <w:vertAlign w:val="subscript"/>
        </w:rPr>
        <w:t>orb</w:t>
      </w:r>
      <w:proofErr w:type="spellEnd"/>
      <w:r w:rsidR="003C4DAB" w:rsidRPr="00460059">
        <w:rPr>
          <w:rFonts w:ascii="Times New Roman" w:hAnsi="Times New Roman" w:cs="Times New Roman"/>
          <w:sz w:val="24"/>
          <w:szCs w:val="24"/>
        </w:rPr>
        <w:t xml:space="preserve"> term</w:t>
      </w:r>
      <w:r w:rsidR="003635C7" w:rsidRPr="00460059">
        <w:rPr>
          <w:rFonts w:ascii="Times New Roman" w:hAnsi="Times New Roman" w:cs="Times New Roman"/>
          <w:sz w:val="24"/>
          <w:szCs w:val="24"/>
        </w:rPr>
        <w:t xml:space="preserve">, </w:t>
      </w:r>
      <w:r w:rsidR="0071102A" w:rsidRPr="00460059">
        <w:rPr>
          <w:rFonts w:ascii="Times New Roman" w:hAnsi="Times New Roman" w:cs="Times New Roman"/>
          <w:sz w:val="24"/>
          <w:szCs w:val="24"/>
        </w:rPr>
        <w:t>which would correspond</w:t>
      </w:r>
      <w:r w:rsidR="001725B8" w:rsidRPr="00460059">
        <w:rPr>
          <w:rFonts w:ascii="Times New Roman" w:hAnsi="Times New Roman" w:cs="Times New Roman"/>
          <w:sz w:val="24"/>
          <w:szCs w:val="24"/>
        </w:rPr>
        <w:t xml:space="preserve"> </w:t>
      </w:r>
      <w:r w:rsidR="0071102A" w:rsidRPr="00460059">
        <w:rPr>
          <w:rFonts w:ascii="Times New Roman" w:hAnsi="Times New Roman" w:cs="Times New Roman"/>
          <w:sz w:val="24"/>
          <w:szCs w:val="24"/>
        </w:rPr>
        <w:t>to</w:t>
      </w:r>
      <w:r w:rsidR="003635C7" w:rsidRPr="00460059">
        <w:rPr>
          <w:rFonts w:ascii="Times New Roman" w:hAnsi="Times New Roman" w:cs="Times New Roman"/>
          <w:sz w:val="24"/>
          <w:szCs w:val="24"/>
        </w:rPr>
        <w:t xml:space="preserve"> a net charge</w:t>
      </w:r>
      <w:r w:rsidR="004E2467" w:rsidRPr="00460059">
        <w:rPr>
          <w:rFonts w:ascii="Times New Roman" w:hAnsi="Times New Roman" w:cs="Times New Roman"/>
          <w:sz w:val="24"/>
          <w:szCs w:val="24"/>
        </w:rPr>
        <w:t xml:space="preserve"> transfer from the filled orbitals of the LB to the empty </w:t>
      </w:r>
      <w:r w:rsidR="002559FE" w:rsidRPr="00460059">
        <w:rPr>
          <w:rFonts w:ascii="Times New Roman" w:hAnsi="Times New Roman" w:cs="Times New Roman"/>
          <w:sz w:val="24"/>
          <w:szCs w:val="24"/>
        </w:rPr>
        <w:t>σ*(M-X) orbital</w:t>
      </w:r>
      <w:r w:rsidR="003C4DAB" w:rsidRPr="00460059">
        <w:rPr>
          <w:rFonts w:ascii="Times New Roman" w:hAnsi="Times New Roman" w:cs="Times New Roman"/>
          <w:sz w:val="24"/>
          <w:szCs w:val="24"/>
        </w:rPr>
        <w:t>.</w:t>
      </w:r>
    </w:p>
    <w:p w14:paraId="6879254D" w14:textId="65A98DD1" w:rsidR="00DC3FA7" w:rsidRPr="00460059" w:rsidRDefault="002F241E" w:rsidP="00FE66DA">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 xml:space="preserve">As previously </w:t>
      </w:r>
      <w:r w:rsidR="00DC3FA7" w:rsidRPr="00460059">
        <w:rPr>
          <w:rFonts w:ascii="Times New Roman" w:hAnsi="Times New Roman" w:cs="Times New Roman"/>
          <w:sz w:val="24"/>
          <w:szCs w:val="24"/>
        </w:rPr>
        <w:t>noted</w:t>
      </w:r>
      <w:r w:rsidR="00C87D97" w:rsidRPr="00460059">
        <w:rPr>
          <w:rFonts w:ascii="Times New Roman" w:hAnsi="Times New Roman" w:cs="Times New Roman"/>
          <w:sz w:val="24"/>
          <w:szCs w:val="24"/>
        </w:rPr>
        <w:t>, t</w:t>
      </w:r>
      <w:r w:rsidR="000C2DD4" w:rsidRPr="00460059">
        <w:rPr>
          <w:rFonts w:ascii="Times New Roman" w:hAnsi="Times New Roman" w:cs="Times New Roman"/>
          <w:sz w:val="24"/>
          <w:szCs w:val="24"/>
        </w:rPr>
        <w:t>he i</w:t>
      </w:r>
      <w:r w:rsidR="00F06DA4" w:rsidRPr="00460059">
        <w:rPr>
          <w:rFonts w:ascii="Times New Roman" w:hAnsi="Times New Roman" w:cs="Times New Roman"/>
          <w:sz w:val="24"/>
          <w:szCs w:val="24"/>
        </w:rPr>
        <w:t xml:space="preserve">nspection of </w:t>
      </w:r>
      <w:r w:rsidRPr="00460059">
        <w:rPr>
          <w:rFonts w:ascii="Times New Roman" w:hAnsi="Times New Roman" w:cs="Times New Roman"/>
          <w:sz w:val="24"/>
          <w:szCs w:val="24"/>
        </w:rPr>
        <w:t>the Cambridge St</w:t>
      </w:r>
      <w:r w:rsidR="00D81615">
        <w:rPr>
          <w:rFonts w:ascii="Times New Roman" w:hAnsi="Times New Roman" w:cs="Times New Roman"/>
          <w:sz w:val="24"/>
          <w:szCs w:val="24"/>
        </w:rPr>
        <w:t>r</w:t>
      </w:r>
      <w:r w:rsidRPr="00460059">
        <w:rPr>
          <w:rFonts w:ascii="Times New Roman" w:hAnsi="Times New Roman" w:cs="Times New Roman"/>
          <w:sz w:val="24"/>
          <w:szCs w:val="24"/>
        </w:rPr>
        <w:t>uctural Database (CSD)</w:t>
      </w:r>
      <w:r w:rsidR="00B7029B" w:rsidRPr="00460059">
        <w:rPr>
          <w:rFonts w:ascii="Times New Roman" w:hAnsi="Times New Roman" w:cs="Times New Roman"/>
          <w:sz w:val="24"/>
          <w:szCs w:val="24"/>
        </w:rPr>
        <w:t xml:space="preserve"> reveals </w:t>
      </w:r>
      <w:r w:rsidR="00B25313" w:rsidRPr="00460059">
        <w:rPr>
          <w:rFonts w:ascii="Times New Roman" w:hAnsi="Times New Roman" w:cs="Times New Roman"/>
          <w:sz w:val="24"/>
          <w:szCs w:val="24"/>
        </w:rPr>
        <w:t>the existence of a number of structures of group 12 compounds showing intermolecular M</w:t>
      </w:r>
      <w:r w:rsidR="00B25313" w:rsidRPr="00460059">
        <w:rPr>
          <w:rFonts w:ascii="Times New Roman" w:hAnsi="Times New Roman" w:cs="Times New Roman"/>
          <w:sz w:val="24"/>
          <w:szCs w:val="24"/>
          <w:vertAlign w:val="superscript"/>
        </w:rPr>
        <w:t>...</w:t>
      </w:r>
      <w:r w:rsidR="008A7B53" w:rsidRPr="00460059">
        <w:rPr>
          <w:rFonts w:ascii="Times New Roman" w:hAnsi="Times New Roman" w:cs="Times New Roman"/>
          <w:sz w:val="24"/>
          <w:szCs w:val="24"/>
        </w:rPr>
        <w:t>LB</w:t>
      </w:r>
      <w:r w:rsidR="00B25313" w:rsidRPr="00460059">
        <w:rPr>
          <w:rFonts w:ascii="Times New Roman" w:hAnsi="Times New Roman" w:cs="Times New Roman"/>
          <w:sz w:val="24"/>
          <w:szCs w:val="24"/>
        </w:rPr>
        <w:t xml:space="preserve"> distances shorter than the sum of the corresponding van der Waals radii in the solid-state.</w:t>
      </w:r>
      <w:r w:rsidR="00C6712B"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{"citationItems":[{"id":"ITEM-1","itemData":{"DOI":"10.1002/anie.202007814","ISSN":"1433-7851","abstract":"The term Spodium (Sp) bond is proposed to refer to a net attractive interaction between any element of group 12 and electron rich atoms (Lewis bases or anions). We argue how these noncovalent interactions are markedly different from coordination bonds (antibonding Sp–Ligand orbital involved). We provide evidence of the existence of this interaction by calculations at the RI‐MP2/aug‐cc‐pVTZ level of theory, atoms‐in‐molecules and natural bond orbital analyses and by examining solid state structures in the Cambridge Structure Database.","author":[{"dropping-particle":"","family":"Bauzá","given":"Antonio","non-dropping-particle":"","parse-names":false,"suffix":""},{"dropping-particle":"","family":"Alkorta","given":"Ibon","non-dropping-particle":"","parse-names":false,"suffix":""},{"dropping-particle":"","family":"Elguero","given":"José","non-dropping-particle":"","parse-names":false,"suffix":""},{"dropping-particle":"","family":"Mooibroek","given":"Tiddo J.","non-dropping-particle":"","parse-names":false,"suffix":""},{"dropping-particle":"","family":"Frontera","given":"Antonio","non-dropping-particle":"","parse-names":false,"suffix":""}],"container-title":"Angewandte Chemie International Edition","id":"ITEM-1","issued":{"date-parts":[["2020","6","15"]]},"page":"anie.202007814","publisher":"John Wiley &amp; Sons, Ltd","title":"Spodium bonds: noncovalent interactions involving group 12 of elements","type":"article-journal"},"uris":["http://www.mendeley.com/documents/?uuid=c4ba9c17-1826-35bc-ad78-161161235102"]}],"mendeley":{"formattedCitation":"&lt;sup&gt;20&lt;/sup&gt;","plainTextFormattedCitation":"20","previouslyFormattedCitation":"&lt;sup&gt;20&lt;/sup&gt;"},"properties":{"noteIndex":0},"schema":"https://github.com/citation-style-language/schema/raw/master/csl-citation.json"}</w:instrText>
      </w:r>
      <w:r w:rsidR="00C6712B"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20</w:t>
      </w:r>
      <w:r w:rsidR="00C6712B" w:rsidRPr="00460059">
        <w:rPr>
          <w:rFonts w:ascii="Times New Roman" w:hAnsi="Times New Roman" w:cs="Times New Roman"/>
          <w:sz w:val="24"/>
          <w:szCs w:val="24"/>
        </w:rPr>
        <w:fldChar w:fldCharType="end"/>
      </w:r>
      <w:r w:rsidR="00760835" w:rsidRPr="00460059">
        <w:rPr>
          <w:rFonts w:ascii="Times New Roman" w:hAnsi="Times New Roman" w:cs="Times New Roman"/>
          <w:sz w:val="24"/>
          <w:szCs w:val="24"/>
        </w:rPr>
        <w:t xml:space="preserve"> </w:t>
      </w:r>
      <w:r w:rsidRPr="00460059">
        <w:rPr>
          <w:rFonts w:ascii="Times New Roman" w:hAnsi="Times New Roman" w:cs="Times New Roman"/>
          <w:sz w:val="24"/>
          <w:szCs w:val="24"/>
        </w:rPr>
        <w:t>In the large majority of</w:t>
      </w:r>
      <w:r w:rsidR="00760835" w:rsidRPr="00460059">
        <w:rPr>
          <w:rFonts w:ascii="Times New Roman" w:hAnsi="Times New Roman" w:cs="Times New Roman"/>
          <w:sz w:val="24"/>
          <w:szCs w:val="24"/>
        </w:rPr>
        <w:t xml:space="preserve"> the cases</w:t>
      </w:r>
      <w:r w:rsidRPr="00460059">
        <w:rPr>
          <w:rFonts w:ascii="Times New Roman" w:hAnsi="Times New Roman" w:cs="Times New Roman"/>
          <w:sz w:val="24"/>
          <w:szCs w:val="24"/>
        </w:rPr>
        <w:t>, though,</w:t>
      </w:r>
      <w:r w:rsidR="00FE66DA" w:rsidRPr="00460059">
        <w:rPr>
          <w:rFonts w:ascii="Times New Roman" w:hAnsi="Times New Roman" w:cs="Times New Roman"/>
          <w:sz w:val="24"/>
          <w:szCs w:val="24"/>
        </w:rPr>
        <w:t xml:space="preserve"> many interactions are potentially active.</w:t>
      </w:r>
      <w:r w:rsidR="00543753" w:rsidRPr="00460059">
        <w:rPr>
          <w:rFonts w:ascii="Times New Roman" w:hAnsi="Times New Roman" w:cs="Times New Roman"/>
          <w:sz w:val="24"/>
          <w:szCs w:val="24"/>
        </w:rPr>
        <w:t xml:space="preserve"> </w:t>
      </w:r>
      <w:r w:rsidRPr="00460059">
        <w:rPr>
          <w:rFonts w:ascii="Times New Roman" w:hAnsi="Times New Roman" w:cs="Times New Roman"/>
          <w:sz w:val="24"/>
          <w:szCs w:val="24"/>
        </w:rPr>
        <w:t>In a very simplistic approximation, o</w:t>
      </w:r>
      <w:r w:rsidR="00543753" w:rsidRPr="00460059">
        <w:rPr>
          <w:rFonts w:ascii="Times New Roman" w:hAnsi="Times New Roman" w:cs="Times New Roman"/>
          <w:sz w:val="24"/>
          <w:szCs w:val="24"/>
        </w:rPr>
        <w:t xml:space="preserve">ne could </w:t>
      </w:r>
      <w:r w:rsidRPr="00460059">
        <w:rPr>
          <w:rFonts w:ascii="Times New Roman" w:hAnsi="Times New Roman" w:cs="Times New Roman"/>
          <w:sz w:val="24"/>
          <w:szCs w:val="24"/>
        </w:rPr>
        <w:t>group them all under the</w:t>
      </w:r>
      <w:r w:rsidR="00835503" w:rsidRPr="00460059">
        <w:rPr>
          <w:rFonts w:ascii="Times New Roman" w:hAnsi="Times New Roman" w:cs="Times New Roman"/>
          <w:sz w:val="24"/>
          <w:szCs w:val="24"/>
        </w:rPr>
        <w:t xml:space="preserve"> </w:t>
      </w:r>
      <w:proofErr w:type="spellStart"/>
      <w:r w:rsidR="00835503" w:rsidRPr="00460059">
        <w:rPr>
          <w:rFonts w:ascii="Times New Roman" w:hAnsi="Times New Roman" w:cs="Times New Roman"/>
          <w:sz w:val="24"/>
          <w:szCs w:val="24"/>
        </w:rPr>
        <w:t>SpB</w:t>
      </w:r>
      <w:proofErr w:type="spellEnd"/>
      <w:r w:rsidR="00DD3CB1" w:rsidRPr="00460059">
        <w:rPr>
          <w:rFonts w:ascii="Times New Roman" w:hAnsi="Times New Roman" w:cs="Times New Roman"/>
          <w:sz w:val="24"/>
          <w:szCs w:val="24"/>
        </w:rPr>
        <w:t xml:space="preserve"> </w:t>
      </w:r>
      <w:r w:rsidRPr="00460059">
        <w:rPr>
          <w:rFonts w:ascii="Times New Roman" w:hAnsi="Times New Roman" w:cs="Times New Roman"/>
          <w:sz w:val="24"/>
          <w:szCs w:val="24"/>
        </w:rPr>
        <w:t>umbrella</w:t>
      </w:r>
      <w:r w:rsidR="007D3515" w:rsidRPr="00460059">
        <w:rPr>
          <w:rFonts w:ascii="Times New Roman" w:hAnsi="Times New Roman" w:cs="Times New Roman"/>
          <w:sz w:val="24"/>
          <w:szCs w:val="24"/>
        </w:rPr>
        <w:t xml:space="preserve">, but this </w:t>
      </w:r>
      <w:r w:rsidR="005E4F9C" w:rsidRPr="00460059">
        <w:rPr>
          <w:rFonts w:ascii="Times New Roman" w:hAnsi="Times New Roman" w:cs="Times New Roman"/>
          <w:sz w:val="24"/>
          <w:szCs w:val="24"/>
        </w:rPr>
        <w:t>is</w:t>
      </w:r>
      <w:r w:rsidR="007D3515" w:rsidRPr="00460059">
        <w:rPr>
          <w:rFonts w:ascii="Times New Roman" w:hAnsi="Times New Roman" w:cs="Times New Roman"/>
          <w:sz w:val="24"/>
          <w:szCs w:val="24"/>
        </w:rPr>
        <w:t xml:space="preserve"> not obvious</w:t>
      </w:r>
      <w:r w:rsidR="00DD3CB1" w:rsidRPr="00460059">
        <w:rPr>
          <w:rFonts w:ascii="Times New Roman" w:hAnsi="Times New Roman" w:cs="Times New Roman"/>
          <w:sz w:val="24"/>
          <w:szCs w:val="24"/>
        </w:rPr>
        <w:t xml:space="preserve">, especially </w:t>
      </w:r>
      <w:r w:rsidR="000E11EF" w:rsidRPr="00460059">
        <w:rPr>
          <w:rFonts w:ascii="Times New Roman" w:hAnsi="Times New Roman" w:cs="Times New Roman"/>
          <w:sz w:val="24"/>
          <w:szCs w:val="24"/>
        </w:rPr>
        <w:t>from the orbital point of view</w:t>
      </w:r>
      <w:r w:rsidR="007D3515" w:rsidRPr="00460059">
        <w:rPr>
          <w:rFonts w:ascii="Times New Roman" w:hAnsi="Times New Roman" w:cs="Times New Roman"/>
          <w:sz w:val="24"/>
          <w:szCs w:val="24"/>
        </w:rPr>
        <w:t>.</w:t>
      </w:r>
      <w:r w:rsidR="00942832" w:rsidRPr="00460059">
        <w:rPr>
          <w:rFonts w:ascii="Times New Roman" w:hAnsi="Times New Roman" w:cs="Times New Roman"/>
          <w:sz w:val="24"/>
          <w:szCs w:val="24"/>
        </w:rPr>
        <w:t xml:space="preserve"> </w:t>
      </w:r>
    </w:p>
    <w:p w14:paraId="76E6AA6D" w14:textId="06AD1649" w:rsidR="00861AF2" w:rsidRPr="00460059" w:rsidRDefault="00DC3FA7" w:rsidP="00FE66DA">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 xml:space="preserve">In view of this, we took inspiration from the work by Frontera </w:t>
      </w:r>
      <w:r w:rsidRPr="00460059">
        <w:rPr>
          <w:rFonts w:ascii="Times New Roman" w:hAnsi="Times New Roman" w:cs="Times New Roman"/>
          <w:i/>
          <w:sz w:val="24"/>
          <w:szCs w:val="24"/>
        </w:rPr>
        <w:t>et al.</w:t>
      </w:r>
      <w:r w:rsidRPr="00460059">
        <w:rPr>
          <w:rFonts w:ascii="Times New Roman" w:hAnsi="Times New Roman" w:cs="Times New Roman"/>
          <w:sz w:val="24"/>
          <w:szCs w:val="24"/>
        </w:rPr>
        <w:t xml:space="preserve"> and investigated the adducts showed in </w:t>
      </w:r>
      <w:r w:rsidRPr="00460059">
        <w:rPr>
          <w:rFonts w:ascii="Times New Roman" w:hAnsi="Times New Roman" w:cs="Times New Roman"/>
          <w:sz w:val="24"/>
          <w:szCs w:val="24"/>
        </w:rPr>
        <w:fldChar w:fldCharType="begin"/>
      </w:r>
      <w:r w:rsidRPr="00460059">
        <w:rPr>
          <w:rFonts w:ascii="Times New Roman" w:hAnsi="Times New Roman" w:cs="Times New Roman"/>
          <w:sz w:val="24"/>
          <w:szCs w:val="24"/>
        </w:rPr>
        <w:instrText xml:space="preserve"> REF _Ref54175107 \h  \* MERGEFORMAT </w:instrText>
      </w:r>
      <w:r w:rsidRPr="00460059">
        <w:rPr>
          <w:rFonts w:ascii="Times New Roman" w:hAnsi="Times New Roman" w:cs="Times New Roman"/>
          <w:sz w:val="24"/>
          <w:szCs w:val="24"/>
        </w:rPr>
      </w:r>
      <w:r w:rsidRPr="00460059">
        <w:rPr>
          <w:rFonts w:ascii="Times New Roman" w:hAnsi="Times New Roman" w:cs="Times New Roman"/>
          <w:sz w:val="24"/>
          <w:szCs w:val="24"/>
        </w:rPr>
        <w:fldChar w:fldCharType="separate"/>
      </w:r>
      <w:r w:rsidRPr="00460059">
        <w:rPr>
          <w:rFonts w:ascii="Times New Roman" w:hAnsi="Times New Roman" w:cs="Times New Roman"/>
          <w:sz w:val="24"/>
          <w:szCs w:val="24"/>
        </w:rPr>
        <w:t xml:space="preserve">Scheme </w:t>
      </w:r>
      <w:r w:rsidRPr="00460059">
        <w:rPr>
          <w:rFonts w:ascii="Times New Roman" w:hAnsi="Times New Roman" w:cs="Times New Roman"/>
          <w:noProof/>
          <w:sz w:val="24"/>
          <w:szCs w:val="24"/>
        </w:rPr>
        <w:t>1</w:t>
      </w:r>
      <w:r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by Natural Orbital for Chemical Valence (NOCV)</w:t>
      </w:r>
      <w:r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{"citationItems":[{"id":"ITEM-1","itemData":{"DOI":"10.1021/ct800503d","ISSN":"15499618","abstract":"In the present study we have introduced a new scheme for chemical bond analysis by combining the Extended Transition State (ETS) method [Theor. Chim. Acta 1977, 46, 1] with the Natural Orbitals for Chemical Valence (NOCV) theory [J. Phys. Chem. A 2008, 112, 1933; J. Mol. Model. 2007, 13, 347]. The ETS-NOCV charge and energy decomposition scheme based on the Kohn-Sham approach makes it not only possible to decompose the deformation density, ?F, into the different components (such as α, π, δ, etc.) of the chemical bond, but it also provides the corresponding energy contributions to the total bond energy. Thus, the ETS-NOCV scheme offers a compact, qualitative, and quantitative picture of the chemical bond formation within one common theoretical framework. Although, the ETS-NOCV approach contains a certain arbitrariness in the definition of the molecular subsystems that constitute the whole molecule, it can be widely used for the description of different types of chemical bonds. The applicability of the ETS-NOCV scheme is demonstrated for single (H 3X-XH3, for X ) C, Si, Ge, Sn) and multiple (H 2X=XH2, H3CX≡XCH3, for X ) C, Ge) covalent bonds between main group elements, for sextuple and quadruple bonds between metal centers (Cr2, Mo2, W2, [Cl 4CrCrCl4]4-), and for double bonds between a metal and a main group element ((CO)5Cr=XH2, for X = C, Si, Ge, Sn). We include finally two applications involving hydrogen bonding. The first covers the adeninethymine base pair and the second the interaction between C-H bonds and the metal center in the alkyl complex. © 2009 American Chemical Society.","author":[{"dropping-particle":"","family":"Mitoraj","given":"Mariusz P.","non-dropping-particle":"","parse-names":false,"suffix":""},{"dropping-particle":"","family":"Michalak","given":"Artur","non-dropping-particle":"","parse-names":false,"suffix":""},{"dropping-particle":"","family":"Ziegler","given":"Tom","non-dropping-particle":"","parse-names":false,"suffix":""}],"container-title":"Journal of Chemical Theory and Computation","id":"ITEM-1","issue":"4","issued":{"date-parts":[["2009","4","14"]]},"page":"962-975","title":"A combined charge and energy decomposition scheme for bond analysis","type":"article-journal","volume":"5"},"uris":["http://www.mendeley.com/documents/?uuid=1c2ef831-3fb3-30f3-8690-a704d30f96df"]},{"id":"ITEM-2","itemData":{"DOI":"10.1007/s00214-008-0428-5","ISSN":"1432881X","abstract":"Natural orbitals for chemical valence (NOCV) were recently introduced as descriptors of chemical bond. They were shown to provide a valuable bond diagnosis in transition metal complexes (Mitoraj and Michalak in J Mol Model 13:347–355, 2007). The present paper treats the math- ematical basis for the proposed method. In particular, the algebraic properties of NOCV, on which this methodology relies, are rigorously proven.","author":[{"dropping-particle":"","family":"Radoń","given":"Mariusz","non-dropping-particle":"","parse-names":false,"suffix":""}],"container-title":"Theoretical Chemistry Accounts","id":"ITEM-2","issue":"4-6","issued":{"date-parts":[["2008","7","7"]]},"page":"337-339","publisher":"Springer-Verlag","title":"On the properties of natural orbitals for chemical valence","type":"article-journal","volume":"120"},"uris":["http://www.mendeley.com/documents/?uuid=98f27ee3-53cd-3585-af68-c2da9292520d"]}],"mendeley":{"formattedCitation":"&lt;sup&gt;24,25&lt;/sup&gt;","plainTextFormattedCitation":"24,25","previouslyFormattedCitation":"&lt;sup&gt;24,25&lt;/sup&gt;"},"properties":{"noteIndex":0},"schema":"https://github.com/citation-style-language/schema/raw/master/csl-citation.json"}</w:instrText>
      </w:r>
      <w:r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24,25</w:t>
      </w:r>
      <w:r w:rsidRPr="00460059">
        <w:rPr>
          <w:rFonts w:ascii="Times New Roman" w:hAnsi="Times New Roman" w:cs="Times New Roman"/>
          <w:sz w:val="24"/>
          <w:szCs w:val="24"/>
        </w:rPr>
        <w:fldChar w:fldCharType="end"/>
      </w:r>
      <w:r w:rsidRPr="00460059">
        <w:rPr>
          <w:rFonts w:ascii="Times New Roman" w:hAnsi="Times New Roman" w:cs="Times New Roman"/>
          <w:sz w:val="24"/>
          <w:szCs w:val="24"/>
        </w:rPr>
        <w:t>-Charge Displacement (CD)</w:t>
      </w:r>
      <w:r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{"citationItems":[{"id":"ITEM-1","itemData":{"DOI":"10.3390/molecules25020300","ISSN":"1420-3049","abstract":"Theoretical bonding analysis is of prime importance for the deep understanding of the various chemical interactions, covalent or not. Among the various methods that have been developed in the last decades, the analysis of the Charge Displacement function (CD) demonstrated to be useful to reveal the charge transfer effects in many contexts, from weak hydrogen bonds, to the characterization of σ hole interactions, as halogen, chalcogen and pnictogen bonding or even in the decomposition of the metal-ligand bond. Quite often, the CD analysis has also been coupled with experimental techniques, in order to give a complete description of the system under study. In this review, we focus on the use of CD analysis on halogen bonded systems, describing the most relevant literature examples about gas phase and condensed phase systems. Chemical insights will be drawn about the nature of halogen bond, its cooperativity and its influence on metal-ligand bond components.","author":[{"dropping-particle":"","family":"Ciancaleoni","given":"Gianluca","non-dropping-particle":"","parse-names":false,"suffix":""},{"dropping-particle":"","family":"Nunzi","given":"Francesca","non-dropping-particle":"","parse-names":false,"suffix":""},{"dropping-particle":"","family":"Belpassi","given":"Leonardo","non-dropping-particle":"","parse-names":false,"suffix":""}],"container-title":"Molecules","id":"ITEM-1","issue":"2","issued":{"date-parts":[["2020","1","11"]]},"page":"300","title":"Charge Displacement Analysis—A Tool to Theoretically Characterize the Charge Transfer Contribution of Halogen Bonds","type":"article-journal","volume":"25"},"uris":["http://www.mendeley.com/documents/?uuid=95454ef6-8355-32df-8fce-57a66a87806f"]},{"id":"ITEM-2","itemData":{"DOI":"10.1021/acsomega.8b02243","ISSN":"24701343","abstract":"The effect of a Lewis base (LB) on the nucleophilic attack on chalcogeniranium (chalcogen = sulfur and selenium) cations, the so-called LB activation of a Lewis acid, has been studied coupling natural orbital for chemical valence decomposition of the orbital interaction energy with charge displacement analysis. This methodology provides a detailed and accurate description of all the interactions (LB···chalcogen, chalcogen···olefin and olefin···ammonia) present in the system and leads to a deeper understanding of how they influence each other at all stages of the reaction: reactant complex, transition state, and product complex. In particular, the bond between the chalcogen and the olefin has been decomposed in terms of σ donation/π back-donation and the bond components quantified. This allowed determination of a linear relationship between the activation barrier of the nucleophilic attack and the net amount of charge donated by the olefin to the chalcogen.","author":[{"dropping-particle":"","family":"Ciancaleoni","given":"Gianluca","non-dropping-particle":"","parse-names":false,"suffix":""}],"container-title":"ACS Omega","id":"ITEM-2","issue":"11","issued":{"date-parts":[["2018","11","30"]]},"page":"16292-16300","publisher":"American Chemical Society","title":"Lewis Base Activation of Lewis Acid: A Detailed Bond Analysis","type":"article-journal","volume":"3"},"uris":["http://www.mendeley.com/documents/?uuid=ca425610-336e-3084-946e-1fe3f37e83be"]},{"id":"ITEM-3","itemData":{"DOI":"10.1063/1.4908537","ISSN":"00219606","abstract":"We recently devised a simple scheme for analyzing on quantitative grounds the Dewar-Chatt-Duncanson donation and back-donation in symmetric coordination complexes. Our approach is based on a symmetry decomposition of the so called Charge-Displacement (CD) function quantifying the charge flow, upon formation of a metal (M)-substrate (S) bond, along the M-S interaction axis and provides clear-cut measures of donation and back-donation charges in correlation with experimental observables [G. Bistoni et al., Angew. Chem., Int. Ed. 52, 11599 (2013)]. The symmetry constraints exclude of course from the analysis most systems of interest in coordination chemistry. In this paper, we show how to entirely overcome this limitation by taking advantage of the properties of the natural orbitals for chemical valence [M. Mitoraj and A. Michalak, J. Mol. Model. 13, 347 (2007)]. A general scheme for disentangling donation and back-donation in the CD function of both symmetric and non-symmetric systems is presented and illustrated through applications to M-ethyne (M = Au, Ni and W) coordination bonds, including an explicative study on substrate activation in a model reaction mechanism.","author":[{"dropping-particle":"","family":"Bistoni","given":"Giovanni","non-dropping-particle":"","parse-names":false,"suffix":""},{"dropping-particle":"","family":"Rampino","given":"Sergio","non-dropping-particle":"","parse-names":false,"suffix":""},{"dropping-particle":"","family":"Tarantelli","given":"Francesco","non-dropping-particle":"","parse-names":false,"suffix":""},{"dropping-particle":"","family":"Belpassi","given":"Leonardo","non-dropping-particle":"","parse-names":false,"suffix":""}],"container-title":"Journal of Chemical Physics","id":"ITEM-3","issue":"8","issued":{"date-parts":[["2015","2","28"]]},"page":"084112","publisher":"AIP Publishing LLC","title":"Charge-displacement analysis via natural orbitals for chemical valence: Charge transfer effects in coordination chemistry","type":"article-journal","volume":"142"},"uris":["http://www.mendeley.com/documents/?uuid=bebea8d3-7ce9-40b2-9346-c075163c6341"]}],"mendeley":{"formattedCitation":"&lt;sup&gt;26–28&lt;/sup&gt;","plainTextFormattedCitation":"26–28","previouslyFormattedCitation":"&lt;sup&gt;26–28&lt;/sup&gt;"},"properties":{"noteIndex":0},"schema":"https://github.com/citation-style-language/schema/raw/master/csl-citation.json"}</w:instrText>
      </w:r>
      <w:r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26–28</w:t>
      </w:r>
      <w:r w:rsidRPr="00460059">
        <w:rPr>
          <w:rFonts w:ascii="Times New Roman" w:hAnsi="Times New Roman" w:cs="Times New Roman"/>
          <w:sz w:val="24"/>
          <w:szCs w:val="24"/>
        </w:rPr>
        <w:fldChar w:fldCharType="end"/>
      </w:r>
      <w:r w:rsidRPr="00460059">
        <w:rPr>
          <w:rFonts w:ascii="Times New Roman" w:hAnsi="Times New Roman" w:cs="Times New Roman"/>
          <w:sz w:val="24"/>
          <w:szCs w:val="24"/>
        </w:rPr>
        <w:t xml:space="preserve"> analysis, which recently proved to be a powerful tool for the characterization of adducts held together by multiple interactions.</w:t>
      </w:r>
      <w:r w:rsidRPr="00460059">
        <w:rPr>
          <w:rFonts w:ascii="Times New Roman" w:hAnsi="Times New Roman" w:cs="Times New Roman"/>
          <w:sz w:val="24"/>
          <w:szCs w:val="24"/>
        </w:rPr>
        <w:fldChar w:fldCharType="begin" w:fldLock="1"/>
      </w:r>
      <w:r w:rsidR="00D15D67">
        <w:rPr>
          <w:rFonts w:ascii="Times New Roman" w:hAnsi="Times New Roman" w:cs="Times New Roman"/>
          <w:sz w:val="24"/>
          <w:szCs w:val="24"/>
        </w:rPr>
        <w:instrText>ADDIN CSL_CITATION {"citationItems":[{"id":"ITEM-1","itemData":{"DOI":"10.1039/c9cp03811f","ISSN":"14639076","PMID":"31463502","abstract":"A gold(i) complex bearing nitrogen acyclic carbene (NAC) and selenourea (SeU) has been used to verify whether the second-sphere Se</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I halogen bond (XB) is able to modify the Dewar-Chatt-Duncanson components of the Au-C and Au-Se bonds. The chosen system was found to be thermically unstable but it allowed an in-depth theoretical study by means of Energy Decomposition Analysis, Natural Bond Orbital and Natural Orbitals for Chemical Valence methods, coupled with Charge Displacement analysis. Indeed, in the presence of iodoperfluoroalkanes as XB donors, iodine interacts with the lone pair of the coordinated selenium, enhancing the Au ← C σ donation and depressing the Au → C π back-donation, as demonstrated also by the increase of the rotational barrier of the C-N bond of the NAC (see G. Ciancaleoni and others, Chem.-Eur. J., 2015, 21, 2467). On the other hand, in the presence of N-iodosuccinimide (NIS), the gold directly establishes a XB with the iodine by using its d lone pairs. This Au</w:instrText>
      </w:r>
      <w:r w:rsidR="00D15D67">
        <w:rPr>
          <w:rFonts w:ascii="Cambria Math" w:hAnsi="Cambria Math" w:cs="Cambria Math"/>
          <w:sz w:val="24"/>
          <w:szCs w:val="24"/>
        </w:rPr>
        <w:instrText>⋯</w:instrText>
      </w:r>
      <w:r w:rsidR="00D15D67">
        <w:rPr>
          <w:rFonts w:ascii="Times New Roman" w:hAnsi="Times New Roman" w:cs="Times New Roman"/>
          <w:sz w:val="24"/>
          <w:szCs w:val="24"/>
        </w:rPr>
        <w:instrText>I XB is favored by the low steric hindrance of the ligands coordinated to the gold and the presence of the amino protons of SeU, which establish additional hydrogen bonds with the NIS. Also in this case, the effect is to increase the σ acidity and decrease the π basicity of the metal.","author":[{"dropping-particle":"","family":"Buttarazzi","given":"Edoardo","non-dropping-particle":"","parse-names":false,"suffix":""},{"dropping-particle":"","family":"Rosi","given":"Francesco","non-dropping-particle":"","parse-names":false,"suffix":""},{"dropping-particle":"","family":"Ciancaleoni","given":"Gianluca","non-dropping-particle":"","parse-names":false,"suffix":""}],"container-title":"Physical Chemistry Chemical Physics","id":"ITEM-1","issue":"36","issued":{"date-parts":[["2019"]]},"page":"20478-20485","publisher":"The Royal Society of Chemistry","title":"Influence of halogen bonding on gold(i)-ligand bond components and DFT characterization of a gold-iodine halogen bond","type":"article-journal","volume":"21"},"uris":["http://www.mendeley.com/documents/?uuid=8701b07a-38ac-485c-b960-1a8bfc2f10c6"]},{"id":"ITEM-2","itemData":{"DOI":"10.1002/jcc.26165","ISSN":"1096987X","PMID":"32011001","abstract":"As known, the electron density of covalently bound halogen atoms is anisotropically distributed, making them potentially able to establish many weak interactions, acting at the same time as halogen bond donors and hydrogen bond acceptors. Indeed, there are many examples in which the halogen and hydrogen bond coexist in the same structure and, if a correct bond analysis is required, their separation is mandatory. Here, the advantages and limitations of coupling the charge displacement analysis with natural orbital for chemical valence method (NOCV-CD) to separately analyze orthogonal weak interactions are shown, for both symmetric and asymmetric adducts. The methodology gives optimal results with intermolecular adducts but, in the presence of an organometallic complex, also intramolecular interactions can be correctly analyzed. Beyond the methodological aspects, it is shown that correctly separate and quantify the interactions can give interesting chemical insights about the systems.","author":[{"dropping-particle":"","family":"Ciancaleoni","given":"Gianluca","non-dropping-particle":"","parse-names":false,"suffix":""},{"dropping-particle":"","family":"Belpassi","given":"Leonardo","non-dropping-particle":"","parse-names":false,"suffix":""}],"container-title":"Journal of Computational Chemistry","id":"ITEM-2","issue":"12","issued":{"date-parts":[["2020","5","5"]]},"page":"1185-1193","publisher":"John Wiley and Sons Inc.","title":"Disentanglement of orthogonal hydrogen and halogen bonds via natural orbital for chemical valence: A charge displacement analysis","type":"article-journal","volume":"41"},"uris":["http://www.mendeley.com/documents/?uuid=6fdc7131-32c0-34a4-81b7-555f3d0321c3"]},{"id":"ITEM-3","itemData":{"DOI":"10.1039/C4CP05532B","ISSN":"1463-9076","abstract":"Depending on the relative orientation of the halogen-bond donor and acceptor, this bifurcated interaction may be classified as ‘σ-hole – lone pair’ or ‘σ-hole – π’ bonding.","author":[{"dropping-particle":"","family":"Novák","given":"Martin","non-dropping-particle":"","parse-names":false,"suffix":""},{"dropping-particle":"","family":"Foroutan-Nejad","given":"Cina","non-dropping-particle":"","parse-names":false,"suffix":""},{"dropping-particle":"","family":"Marek","given":"Radek","non-dropping-particle":"","parse-names":false,"suffix":""}],"container-title":"Physical Chemistry Chemical Physics","id":"ITEM-3","issue":"9","issued":{"date-parts":[["2015","3","7"]]},"page":"6440-6450","publisher":"Royal Society of Chemistry","title":"Asymmetric bifurcated halogen bonds","type":"article-journal","volume":"17"},"uris":["http://www.mendeley.com/documents/?uuid=24effecf-61fa-3b22-99ff-684931ada500"]},{"id":"ITEM-4","itemData":{"DOI":"10.1002/chem.201700179","ISSN":"15213765","abstract":"Supramolecular interactions are generally classified as noncovalent. However, recent studies have demonstrated that many of these interactions are stabilized by a significant covalent component. Herein, for systems of the general structure [MX6]2−:YX2 (M=Se or Pt; Y=S, Se, or Te; X=F, Cl, Br, I), featuring bifurcated chalcogen bonding, it is shown that, although electrostatic parameters are useful for estimating the long-range electrostatic component of the interaction, they fail to predict the correct order of binding energies in a series of compounds. Instead, the Lewis basicity of the individual substituents X on the chalcogen atom governs the trends in the binding energies through fine-tuning the covalent character of the chalcogen bond. The effects of substituents on the binding energy and supramolecular electron sharing are consistently identified by an arsenal of theoretical methods, ranging from approaches based on the quantum chemical topology to analytical tools based on the localized molecular orbitals. The chalcogen bonding investigated herein is driven by orbital interactions with significant electron sharing; this can be designated as supramolecular covalence.","author":[{"dropping-particle":"","family":"Bora","given":"Pankaj Lochan","non-dropping-particle":"","parse-names":false,"suffix":""},{"dropping-particle":"","family":"Novák","given":"Martin","non-dropping-particle":"","parse-names":false,"suffix":""},{"dropping-particle":"","family":"Novotný","given":"Jan","non-dropping-particle":"","parse-names":false,"suffix":""},{"dropping-particle":"","family":"Foroutan-Nejad","given":"Cina","non-dropping-particle":"","parse-names":false,"suffix":""},{"dropping-particle":"","family":"Marek","given":"Radek","non-dropping-particle":"","parse-names":false,"suffix":""}],"container-title":"Chemistry - A European Journal","id":"ITEM-4","issue":"30","issued":{"date-parts":[["2017","5","29"]]},"page":"7315-7323","publisher":"Wiley-VCH Verlag","title":"Supramolecular Covalence in Bifurcated Chalcogen Bonding","type":"article-journal","volume":"23"},"uris":["http://www.mendeley.com/documents/?uuid=20b5cd7f-8182-3b00-a9f9-f93a22587b65"]},{"id":"ITEM-5","itemData":{"DOI":"10.1007/s00894-012-1474-4","ISSN":"16102940","abstract":"In the present study we have characterized the halogen bonding in selected molecules H3N-ICF3 (1-NH 3 ), (PH 3)2C-ICF3 (1-CPH 3 ), C 3H7Br-(IN2H2C3) 2C6H4 (2-Br), H2-(IN 2H2C3)2C6H4 (2-H 2 ) and Cl-(IC6F5)2C 7H10N2O5 (3-Cl), containing from one halogen bond (1-NH 3, 1-CPH 3 ) up to four connections in 3-Cl (the two Cl-HN and two Cl-I), based on recently proposed ETS-NOCV analysis. It was found based on the NOCV-deformation density components that the halogen bonding C-X...B (X-halogen atom, B-Lewis base), contains a large degree of covalent contribution (the charge transfer to X...B inter-atomic region) supported further by the electron donation from base atom B to the empty σ*(C-X) orbital. Such charge transfers can be of similar importance compared to the electrostatic stabilization. Further, the covalent part of halogen bonding is due to the presence of σ-hole at outer part of halogen atom (X). ETS-NOCV approach allowed to visualize formation of the σ-hole at iodine atom of CF3I molecule. It has also been demonstrated that strongly electrophilic halogen bond donor, [C6H4(C 3H2N2I)2][OTf]2, can activate chemically inert isopropyl bromide (2-Br) moiety via formation of Br-I bonding and bind the hydrogen molecule (2-H2 ). Finally, ETS-NOCV analysis performed for 3-Cl leads to the conclusion that, in terms of the orbital-interaction component, the strength of halogen (Cl-I) bond is roughly three times more important than the hydrogen bonding (Cl-HN).","author":[{"dropping-particle":"","family":"Mitoraj","given":"Mariusz P.","non-dropping-particle":"","parse-names":false,"suffix":""},{"dropping-particle":"","family":"Michalak","given":"Artur","non-dropping-particle":"","parse-names":false,"suffix":""}],"container-title":"Journal of Molecular Modeling","id":"ITEM-5","issue":"11","issued":{"date-parts":[["2013","11"]]},"page":"4681-4688","title":"Theoretical description of halogen bonding - An insight based on the natural orbitals for chemical valence combined with the extended-transition- state method (ETS-NOCV)","type":"article-journal","volume":"19"},"uris":["http://www.mendeley.com/documents/?uuid=6f8479f1-6bbf-358f-878d-e510071051d7"]}],"mendeley":{"formattedCitation":"&lt;sup&gt;29–33&lt;/sup&gt;","plainTextFormattedCitation":"29–33","previouslyFormattedCitation":"&lt;sup&gt;29–33&lt;/sup&gt;"},"properties":{"noteIndex":0},"schema":"https://github.com/citation-style-language/schema/raw/master/csl-citation.json"}</w:instrText>
      </w:r>
      <w:r w:rsidRPr="00460059">
        <w:rPr>
          <w:rFonts w:ascii="Times New Roman" w:hAnsi="Times New Roman" w:cs="Times New Roman"/>
          <w:sz w:val="24"/>
          <w:szCs w:val="24"/>
        </w:rPr>
        <w:fldChar w:fldCharType="separate"/>
      </w:r>
      <w:r w:rsidR="00F97619" w:rsidRPr="00F97619">
        <w:rPr>
          <w:rFonts w:ascii="Times New Roman" w:hAnsi="Times New Roman" w:cs="Times New Roman"/>
          <w:noProof/>
          <w:sz w:val="24"/>
          <w:szCs w:val="24"/>
          <w:vertAlign w:val="superscript"/>
        </w:rPr>
        <w:t>29–33</w:t>
      </w:r>
      <w:r w:rsidRPr="00460059">
        <w:rPr>
          <w:rFonts w:ascii="Times New Roman" w:hAnsi="Times New Roman" w:cs="Times New Roman"/>
          <w:sz w:val="24"/>
          <w:szCs w:val="24"/>
        </w:rPr>
        <w:fldChar w:fldCharType="end"/>
      </w:r>
      <w:r w:rsidR="005929DA" w:rsidRPr="00460059">
        <w:rPr>
          <w:rFonts w:ascii="Times New Roman" w:hAnsi="Times New Roman" w:cs="Times New Roman"/>
          <w:sz w:val="24"/>
          <w:szCs w:val="24"/>
        </w:rPr>
        <w:t xml:space="preserve"> </w:t>
      </w:r>
      <w:r w:rsidRPr="00460059">
        <w:rPr>
          <w:rFonts w:ascii="Times New Roman" w:hAnsi="Times New Roman" w:cs="Times New Roman"/>
          <w:sz w:val="24"/>
          <w:szCs w:val="24"/>
        </w:rPr>
        <w:t xml:space="preserve">With the results of the model systems in hand, we then selected </w:t>
      </w:r>
      <w:r w:rsidR="008513C2" w:rsidRPr="00460059">
        <w:rPr>
          <w:rFonts w:ascii="Times New Roman" w:hAnsi="Times New Roman" w:cs="Times New Roman"/>
          <w:sz w:val="24"/>
          <w:szCs w:val="24"/>
        </w:rPr>
        <w:t xml:space="preserve">some </w:t>
      </w:r>
      <w:r w:rsidR="005E4F9C" w:rsidRPr="00460059">
        <w:rPr>
          <w:rFonts w:ascii="Times New Roman" w:hAnsi="Times New Roman" w:cs="Times New Roman"/>
          <w:sz w:val="24"/>
          <w:szCs w:val="24"/>
        </w:rPr>
        <w:lastRenderedPageBreak/>
        <w:t xml:space="preserve">experimentally characterized </w:t>
      </w:r>
      <w:r w:rsidR="008513C2" w:rsidRPr="00460059">
        <w:rPr>
          <w:rFonts w:ascii="Times New Roman" w:hAnsi="Times New Roman" w:cs="Times New Roman"/>
          <w:sz w:val="24"/>
          <w:szCs w:val="24"/>
        </w:rPr>
        <w:t>s</w:t>
      </w:r>
      <w:r w:rsidR="00C9442D" w:rsidRPr="00460059">
        <w:rPr>
          <w:rFonts w:ascii="Times New Roman" w:hAnsi="Times New Roman" w:cs="Times New Roman"/>
          <w:sz w:val="24"/>
          <w:szCs w:val="24"/>
        </w:rPr>
        <w:t>tructures</w:t>
      </w:r>
      <w:r w:rsidR="008513C2" w:rsidRPr="00460059">
        <w:rPr>
          <w:rFonts w:ascii="Times New Roman" w:hAnsi="Times New Roman" w:cs="Times New Roman"/>
          <w:sz w:val="24"/>
          <w:szCs w:val="24"/>
        </w:rPr>
        <w:t xml:space="preserve">, </w:t>
      </w:r>
      <w:r w:rsidR="00C9442D" w:rsidRPr="00460059">
        <w:rPr>
          <w:rFonts w:ascii="Times New Roman" w:hAnsi="Times New Roman" w:cs="Times New Roman"/>
          <w:sz w:val="24"/>
          <w:szCs w:val="24"/>
        </w:rPr>
        <w:t>w</w:t>
      </w:r>
      <w:r w:rsidR="005929DA" w:rsidRPr="00460059">
        <w:rPr>
          <w:rFonts w:ascii="Times New Roman" w:hAnsi="Times New Roman" w:cs="Times New Roman"/>
          <w:sz w:val="24"/>
          <w:szCs w:val="24"/>
        </w:rPr>
        <w:t>here we</w:t>
      </w:r>
      <w:r w:rsidR="00C9442D" w:rsidRPr="00460059">
        <w:rPr>
          <w:rFonts w:ascii="Times New Roman" w:hAnsi="Times New Roman" w:cs="Times New Roman"/>
          <w:sz w:val="24"/>
          <w:szCs w:val="24"/>
        </w:rPr>
        <w:t xml:space="preserve"> isolated the adducts hypothetically involved in a </w:t>
      </w:r>
      <w:proofErr w:type="spellStart"/>
      <w:r w:rsidR="00C9442D" w:rsidRPr="00460059">
        <w:rPr>
          <w:rFonts w:ascii="Times New Roman" w:hAnsi="Times New Roman" w:cs="Times New Roman"/>
          <w:sz w:val="24"/>
          <w:szCs w:val="24"/>
        </w:rPr>
        <w:t>SpB</w:t>
      </w:r>
      <w:proofErr w:type="spellEnd"/>
      <w:r w:rsidR="00C9442D" w:rsidRPr="00460059">
        <w:rPr>
          <w:rFonts w:ascii="Times New Roman" w:hAnsi="Times New Roman" w:cs="Times New Roman"/>
          <w:sz w:val="24"/>
          <w:szCs w:val="24"/>
        </w:rPr>
        <w:t xml:space="preserve"> and we </w:t>
      </w:r>
      <w:r w:rsidR="00636DCB" w:rsidRPr="00460059">
        <w:rPr>
          <w:rFonts w:ascii="Times New Roman" w:hAnsi="Times New Roman" w:cs="Times New Roman"/>
          <w:sz w:val="24"/>
          <w:szCs w:val="24"/>
        </w:rPr>
        <w:t>applied both EDA and NOCV-CD analyses</w:t>
      </w:r>
      <w:r w:rsidR="00064BE6" w:rsidRPr="00460059">
        <w:rPr>
          <w:rFonts w:ascii="Times New Roman" w:hAnsi="Times New Roman" w:cs="Times New Roman"/>
          <w:sz w:val="24"/>
          <w:szCs w:val="24"/>
        </w:rPr>
        <w:t>.</w:t>
      </w:r>
    </w:p>
    <w:p w14:paraId="469FDDCE" w14:textId="128AA42F" w:rsidR="00064BE6" w:rsidRPr="00460059" w:rsidRDefault="00064BE6" w:rsidP="00FE66DA">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 xml:space="preserve">Our </w:t>
      </w:r>
      <w:r w:rsidR="005929DA" w:rsidRPr="00460059">
        <w:rPr>
          <w:rFonts w:ascii="Times New Roman" w:hAnsi="Times New Roman" w:cs="Times New Roman"/>
          <w:sz w:val="24"/>
          <w:szCs w:val="24"/>
        </w:rPr>
        <w:t xml:space="preserve">specific aim is to </w:t>
      </w:r>
      <w:r w:rsidRPr="00460059">
        <w:rPr>
          <w:rFonts w:ascii="Times New Roman" w:hAnsi="Times New Roman" w:cs="Times New Roman"/>
          <w:sz w:val="24"/>
          <w:szCs w:val="24"/>
        </w:rPr>
        <w:t>show that</w:t>
      </w:r>
      <w:r w:rsidR="00506303" w:rsidRPr="00460059">
        <w:rPr>
          <w:rFonts w:ascii="Times New Roman" w:hAnsi="Times New Roman" w:cs="Times New Roman"/>
          <w:sz w:val="24"/>
          <w:szCs w:val="24"/>
        </w:rPr>
        <w:t xml:space="preserve"> </w:t>
      </w:r>
      <w:proofErr w:type="spellStart"/>
      <w:r w:rsidR="00506303" w:rsidRPr="00460059">
        <w:rPr>
          <w:rFonts w:ascii="Times New Roman" w:hAnsi="Times New Roman" w:cs="Times New Roman"/>
          <w:i/>
          <w:sz w:val="24"/>
          <w:szCs w:val="24"/>
        </w:rPr>
        <w:t>i</w:t>
      </w:r>
      <w:proofErr w:type="spellEnd"/>
      <w:r w:rsidR="00506303" w:rsidRPr="00460059">
        <w:rPr>
          <w:rFonts w:ascii="Times New Roman" w:hAnsi="Times New Roman" w:cs="Times New Roman"/>
          <w:i/>
          <w:sz w:val="24"/>
          <w:szCs w:val="24"/>
        </w:rPr>
        <w:t>)</w:t>
      </w:r>
      <w:r w:rsidRPr="00460059">
        <w:rPr>
          <w:rFonts w:ascii="Times New Roman" w:hAnsi="Times New Roman" w:cs="Times New Roman"/>
          <w:sz w:val="24"/>
          <w:szCs w:val="24"/>
        </w:rPr>
        <w:t xml:space="preserve"> the NOCV-CD analysis </w:t>
      </w:r>
      <w:r w:rsidR="005929DA" w:rsidRPr="00460059">
        <w:rPr>
          <w:rFonts w:ascii="Times New Roman" w:hAnsi="Times New Roman" w:cs="Times New Roman"/>
          <w:sz w:val="24"/>
          <w:szCs w:val="24"/>
        </w:rPr>
        <w:t>can be used to</w:t>
      </w:r>
      <w:r w:rsidRPr="00460059">
        <w:rPr>
          <w:rFonts w:ascii="Times New Roman" w:hAnsi="Times New Roman" w:cs="Times New Roman"/>
          <w:sz w:val="24"/>
          <w:szCs w:val="24"/>
        </w:rPr>
        <w:t xml:space="preserve"> separate and quantify the different </w:t>
      </w:r>
      <w:r w:rsidR="00E22A45" w:rsidRPr="00460059">
        <w:rPr>
          <w:rFonts w:ascii="Times New Roman" w:hAnsi="Times New Roman" w:cs="Times New Roman"/>
          <w:sz w:val="24"/>
          <w:szCs w:val="24"/>
        </w:rPr>
        <w:t>interactions between two fragments</w:t>
      </w:r>
      <w:r w:rsidR="005929DA" w:rsidRPr="00460059">
        <w:rPr>
          <w:rFonts w:ascii="Times New Roman" w:hAnsi="Times New Roman" w:cs="Times New Roman"/>
          <w:sz w:val="24"/>
          <w:szCs w:val="24"/>
        </w:rPr>
        <w:t xml:space="preserve"> involved in </w:t>
      </w:r>
      <w:proofErr w:type="spellStart"/>
      <w:r w:rsidR="005929DA" w:rsidRPr="00460059">
        <w:rPr>
          <w:rFonts w:ascii="Times New Roman" w:hAnsi="Times New Roman" w:cs="Times New Roman"/>
          <w:sz w:val="24"/>
          <w:szCs w:val="24"/>
        </w:rPr>
        <w:t>SpB</w:t>
      </w:r>
      <w:proofErr w:type="spellEnd"/>
      <w:r w:rsidR="005929DA" w:rsidRPr="00460059">
        <w:rPr>
          <w:rFonts w:ascii="Times New Roman" w:hAnsi="Times New Roman" w:cs="Times New Roman"/>
          <w:sz w:val="24"/>
          <w:szCs w:val="24"/>
        </w:rPr>
        <w:t xml:space="preserve"> interactions</w:t>
      </w:r>
      <w:r w:rsidR="00E22A45" w:rsidRPr="00460059">
        <w:rPr>
          <w:rFonts w:ascii="Times New Roman" w:hAnsi="Times New Roman" w:cs="Times New Roman"/>
          <w:sz w:val="24"/>
          <w:szCs w:val="24"/>
        </w:rPr>
        <w:t>, both in terms of energy and amount of electron density involved</w:t>
      </w:r>
      <w:r w:rsidR="001E2092" w:rsidRPr="00460059">
        <w:rPr>
          <w:rFonts w:ascii="Times New Roman" w:hAnsi="Times New Roman" w:cs="Times New Roman"/>
          <w:sz w:val="24"/>
          <w:szCs w:val="24"/>
        </w:rPr>
        <w:t>,</w:t>
      </w:r>
      <w:r w:rsidR="00506303" w:rsidRPr="00460059">
        <w:rPr>
          <w:rFonts w:ascii="Times New Roman" w:hAnsi="Times New Roman" w:cs="Times New Roman"/>
          <w:sz w:val="24"/>
          <w:szCs w:val="24"/>
        </w:rPr>
        <w:t xml:space="preserve"> and </w:t>
      </w:r>
      <w:r w:rsidR="00506303" w:rsidRPr="00460059">
        <w:rPr>
          <w:rFonts w:ascii="Times New Roman" w:hAnsi="Times New Roman" w:cs="Times New Roman"/>
          <w:i/>
          <w:sz w:val="24"/>
          <w:szCs w:val="24"/>
        </w:rPr>
        <w:t>ii)</w:t>
      </w:r>
      <w:r w:rsidR="00506303" w:rsidRPr="00460059">
        <w:rPr>
          <w:rFonts w:ascii="Times New Roman" w:hAnsi="Times New Roman" w:cs="Times New Roman"/>
          <w:sz w:val="24"/>
          <w:szCs w:val="24"/>
        </w:rPr>
        <w:t xml:space="preserve"> </w:t>
      </w:r>
      <w:r w:rsidR="005929DA" w:rsidRPr="00460059">
        <w:rPr>
          <w:rFonts w:ascii="Times New Roman" w:hAnsi="Times New Roman" w:cs="Times New Roman"/>
          <w:sz w:val="24"/>
          <w:szCs w:val="24"/>
        </w:rPr>
        <w:t xml:space="preserve">to look for a correlation between </w:t>
      </w:r>
      <w:r w:rsidR="00444911" w:rsidRPr="00460059">
        <w:rPr>
          <w:rFonts w:ascii="Times New Roman" w:hAnsi="Times New Roman" w:cs="Times New Roman"/>
          <w:sz w:val="24"/>
          <w:szCs w:val="24"/>
        </w:rPr>
        <w:t xml:space="preserve">M–LB </w:t>
      </w:r>
      <w:r w:rsidR="00506303" w:rsidRPr="00460059">
        <w:rPr>
          <w:rFonts w:ascii="Times New Roman" w:hAnsi="Times New Roman" w:cs="Times New Roman"/>
          <w:sz w:val="24"/>
          <w:szCs w:val="24"/>
        </w:rPr>
        <w:t xml:space="preserve">spatial proximity </w:t>
      </w:r>
      <w:r w:rsidR="005929DA" w:rsidRPr="00460059">
        <w:rPr>
          <w:rFonts w:ascii="Times New Roman" w:hAnsi="Times New Roman" w:cs="Times New Roman"/>
          <w:sz w:val="24"/>
          <w:szCs w:val="24"/>
        </w:rPr>
        <w:t>and</w:t>
      </w:r>
      <w:r w:rsidR="00506303" w:rsidRPr="00460059">
        <w:rPr>
          <w:rFonts w:ascii="Times New Roman" w:hAnsi="Times New Roman" w:cs="Times New Roman"/>
          <w:sz w:val="24"/>
          <w:szCs w:val="24"/>
        </w:rPr>
        <w:t xml:space="preserve"> presence of an “orbital” </w:t>
      </w:r>
      <w:proofErr w:type="spellStart"/>
      <w:r w:rsidR="00506303" w:rsidRPr="00460059">
        <w:rPr>
          <w:rFonts w:ascii="Times New Roman" w:hAnsi="Times New Roman" w:cs="Times New Roman"/>
          <w:sz w:val="24"/>
          <w:szCs w:val="24"/>
        </w:rPr>
        <w:t>SpB</w:t>
      </w:r>
      <w:proofErr w:type="spellEnd"/>
      <w:r w:rsidR="001F31E2" w:rsidRPr="00460059">
        <w:rPr>
          <w:rFonts w:ascii="Times New Roman" w:hAnsi="Times New Roman" w:cs="Times New Roman"/>
          <w:sz w:val="24"/>
          <w:szCs w:val="24"/>
        </w:rPr>
        <w:t>.</w:t>
      </w:r>
    </w:p>
    <w:p w14:paraId="116170F6" w14:textId="62374D47" w:rsidR="00DC3FA7" w:rsidRPr="00460059" w:rsidRDefault="00DC3FA7" w:rsidP="00FE66DA">
      <w:pPr>
        <w:pStyle w:val="Corpotesto"/>
        <w:spacing w:after="0" w:line="360" w:lineRule="auto"/>
        <w:jc w:val="both"/>
        <w:rPr>
          <w:rFonts w:ascii="Times New Roman" w:hAnsi="Times New Roman" w:cs="Times New Roman"/>
          <w:sz w:val="24"/>
          <w:szCs w:val="24"/>
        </w:rPr>
      </w:pPr>
    </w:p>
    <w:p w14:paraId="58E69851" w14:textId="77777777" w:rsidR="00DC3FA7" w:rsidRPr="00460059" w:rsidRDefault="00DC3FA7" w:rsidP="00DC3FA7">
      <w:pPr>
        <w:pStyle w:val="RSCI03FigureSchemeChartUncaptioned"/>
        <w:spacing w:before="0" w:after="0" w:line="360" w:lineRule="auto"/>
        <w:rPr>
          <w:rFonts w:ascii="Times New Roman" w:hAnsi="Times New Roman"/>
          <w:lang w:val="en-US"/>
        </w:rPr>
      </w:pPr>
      <w:r w:rsidRPr="00460059">
        <w:rPr>
          <w:rFonts w:ascii="Times New Roman" w:hAnsi="Times New Roman"/>
          <w:noProof/>
          <w:lang w:val="en-US"/>
        </w:rPr>
        <w:drawing>
          <wp:inline distT="0" distB="0" distL="0" distR="0" wp14:anchorId="1DD5AE2B" wp14:editId="29876956">
            <wp:extent cx="2449195" cy="1320165"/>
            <wp:effectExtent l="0" t="0" r="0" b="0"/>
            <wp:docPr id="1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t="6091"/>
                    <a:stretch>
                      <a:fillRect/>
                    </a:stretch>
                  </pic:blipFill>
                  <pic:spPr bwMode="auto">
                    <a:xfrm>
                      <a:off x="0" y="0"/>
                      <a:ext cx="2449195" cy="1320165"/>
                    </a:xfrm>
                    <a:prstGeom prst="rect">
                      <a:avLst/>
                    </a:prstGeom>
                    <a:noFill/>
                    <a:ln>
                      <a:noFill/>
                    </a:ln>
                  </pic:spPr>
                </pic:pic>
              </a:graphicData>
            </a:graphic>
          </wp:inline>
        </w:drawing>
      </w:r>
    </w:p>
    <w:p w14:paraId="216E418E" w14:textId="5D43CEB1" w:rsidR="00DC3FA7" w:rsidRPr="00460059" w:rsidRDefault="00DC3FA7" w:rsidP="00DC3FA7">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b/>
          <w:bCs/>
          <w:sz w:val="24"/>
          <w:szCs w:val="24"/>
        </w:rPr>
        <w:t xml:space="preserve">Scheme </w:t>
      </w:r>
      <w:r w:rsidRPr="00460059">
        <w:rPr>
          <w:rFonts w:ascii="Times New Roman" w:hAnsi="Times New Roman" w:cs="Times New Roman"/>
          <w:b/>
          <w:bCs/>
          <w:sz w:val="24"/>
          <w:szCs w:val="24"/>
        </w:rPr>
        <w:fldChar w:fldCharType="begin"/>
      </w:r>
      <w:r w:rsidRPr="00460059">
        <w:rPr>
          <w:rFonts w:ascii="Times New Roman" w:hAnsi="Times New Roman" w:cs="Times New Roman"/>
          <w:b/>
          <w:bCs/>
          <w:sz w:val="24"/>
          <w:szCs w:val="24"/>
        </w:rPr>
        <w:instrText xml:space="preserve"> SEQ Scheme \* ARABIC </w:instrText>
      </w:r>
      <w:r w:rsidRPr="00460059">
        <w:rPr>
          <w:rFonts w:ascii="Times New Roman" w:hAnsi="Times New Roman" w:cs="Times New Roman"/>
          <w:b/>
          <w:bCs/>
          <w:sz w:val="24"/>
          <w:szCs w:val="24"/>
        </w:rPr>
        <w:fldChar w:fldCharType="separate"/>
      </w:r>
      <w:r w:rsidRPr="00460059">
        <w:rPr>
          <w:rFonts w:ascii="Times New Roman" w:hAnsi="Times New Roman" w:cs="Times New Roman"/>
          <w:b/>
          <w:bCs/>
          <w:noProof/>
          <w:sz w:val="24"/>
          <w:szCs w:val="24"/>
        </w:rPr>
        <w:t>1</w:t>
      </w:r>
      <w:r w:rsidRPr="00460059">
        <w:rPr>
          <w:rFonts w:ascii="Times New Roman" w:hAnsi="Times New Roman" w:cs="Times New Roman"/>
          <w:b/>
          <w:bCs/>
          <w:sz w:val="24"/>
          <w:szCs w:val="24"/>
        </w:rPr>
        <w:fldChar w:fldCharType="end"/>
      </w:r>
      <w:r w:rsidRPr="00460059">
        <w:rPr>
          <w:rFonts w:ascii="Times New Roman" w:hAnsi="Times New Roman" w:cs="Times New Roman"/>
          <w:sz w:val="24"/>
          <w:szCs w:val="24"/>
        </w:rPr>
        <w:t xml:space="preserve">. Numbering of the </w:t>
      </w:r>
      <w:r w:rsidR="00494E65" w:rsidRPr="00460059">
        <w:rPr>
          <w:rFonts w:ascii="Times New Roman" w:hAnsi="Times New Roman" w:cs="Times New Roman"/>
          <w:sz w:val="24"/>
          <w:szCs w:val="24"/>
        </w:rPr>
        <w:t xml:space="preserve">model </w:t>
      </w:r>
      <w:r w:rsidRPr="00460059">
        <w:rPr>
          <w:rFonts w:ascii="Times New Roman" w:hAnsi="Times New Roman" w:cs="Times New Roman"/>
          <w:sz w:val="24"/>
          <w:szCs w:val="24"/>
        </w:rPr>
        <w:t xml:space="preserve">complexes studied and optimized structure of </w:t>
      </w:r>
      <w:r w:rsidRPr="00460059">
        <w:rPr>
          <w:rFonts w:ascii="Times New Roman" w:hAnsi="Times New Roman" w:cs="Times New Roman"/>
          <w:b/>
          <w:bCs/>
          <w:sz w:val="24"/>
          <w:szCs w:val="24"/>
        </w:rPr>
        <w:t>1CH</w:t>
      </w:r>
      <w:r w:rsidRPr="00460059">
        <w:rPr>
          <w:rFonts w:ascii="Times New Roman" w:hAnsi="Times New Roman" w:cs="Times New Roman"/>
          <w:b/>
          <w:bCs/>
          <w:sz w:val="24"/>
          <w:szCs w:val="24"/>
          <w:vertAlign w:val="subscript"/>
        </w:rPr>
        <w:t>2</w:t>
      </w:r>
      <w:r w:rsidRPr="00460059">
        <w:rPr>
          <w:rFonts w:ascii="Times New Roman" w:hAnsi="Times New Roman" w:cs="Times New Roman"/>
          <w:b/>
          <w:bCs/>
          <w:sz w:val="24"/>
          <w:szCs w:val="24"/>
        </w:rPr>
        <w:t>S</w:t>
      </w:r>
      <w:r w:rsidRPr="00460059">
        <w:rPr>
          <w:rFonts w:ascii="Times New Roman" w:hAnsi="Times New Roman" w:cs="Times New Roman"/>
          <w:sz w:val="24"/>
          <w:szCs w:val="24"/>
        </w:rPr>
        <w:t>.</w:t>
      </w:r>
    </w:p>
    <w:p w14:paraId="7E9C9AAB" w14:textId="77777777" w:rsidR="00DC3FA7" w:rsidRPr="00460059" w:rsidRDefault="00DC3FA7" w:rsidP="00FE66DA">
      <w:pPr>
        <w:pStyle w:val="Corpotesto"/>
        <w:spacing w:after="0" w:line="360" w:lineRule="auto"/>
        <w:jc w:val="both"/>
        <w:rPr>
          <w:rFonts w:ascii="Times New Roman" w:hAnsi="Times New Roman" w:cs="Times New Roman"/>
          <w:sz w:val="24"/>
          <w:szCs w:val="24"/>
        </w:rPr>
      </w:pPr>
    </w:p>
    <w:p w14:paraId="7FC7F5FE" w14:textId="0A583E84" w:rsidR="00D577CB" w:rsidRPr="00460059" w:rsidRDefault="00D577CB" w:rsidP="00B46701">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sz w:val="24"/>
          <w:szCs w:val="24"/>
        </w:rPr>
        <w:t>Results and discussion</w:t>
      </w:r>
    </w:p>
    <w:p w14:paraId="71204BD9" w14:textId="2B0A7717" w:rsidR="00B46701" w:rsidRPr="00460059" w:rsidRDefault="008E2E19" w:rsidP="00A93C47">
      <w:pPr>
        <w:pStyle w:val="Corpotesto"/>
        <w:spacing w:after="0" w:line="360" w:lineRule="auto"/>
        <w:jc w:val="both"/>
        <w:rPr>
          <w:rFonts w:ascii="Times New Roman" w:hAnsi="Times New Roman" w:cs="Times New Roman"/>
          <w:b/>
          <w:bCs/>
          <w:smallCaps/>
          <w:sz w:val="24"/>
          <w:szCs w:val="24"/>
        </w:rPr>
      </w:pPr>
      <w:r w:rsidRPr="00460059">
        <w:rPr>
          <w:rFonts w:ascii="Times New Roman" w:hAnsi="Times New Roman" w:cs="Times New Roman"/>
          <w:b/>
          <w:bCs/>
          <w:sz w:val="24"/>
          <w:szCs w:val="24"/>
        </w:rPr>
        <w:t>Model systems: 1CH</w:t>
      </w:r>
      <w:r w:rsidRPr="00460059">
        <w:rPr>
          <w:rFonts w:ascii="Times New Roman" w:hAnsi="Times New Roman" w:cs="Times New Roman"/>
          <w:b/>
          <w:bCs/>
          <w:sz w:val="24"/>
          <w:szCs w:val="24"/>
          <w:vertAlign w:val="subscript"/>
        </w:rPr>
        <w:t>2</w:t>
      </w:r>
      <w:r w:rsidRPr="00460059">
        <w:rPr>
          <w:rFonts w:ascii="Times New Roman" w:hAnsi="Times New Roman" w:cs="Times New Roman"/>
          <w:b/>
          <w:bCs/>
          <w:sz w:val="24"/>
          <w:szCs w:val="24"/>
        </w:rPr>
        <w:t>S</w:t>
      </w:r>
      <w:r w:rsidR="00A93C47" w:rsidRPr="00460059">
        <w:rPr>
          <w:rFonts w:ascii="Times New Roman" w:hAnsi="Times New Roman" w:cs="Times New Roman"/>
          <w:b/>
          <w:sz w:val="24"/>
          <w:szCs w:val="24"/>
        </w:rPr>
        <w:t>.</w:t>
      </w:r>
      <w:r w:rsidR="005E4F9C" w:rsidRPr="00460059">
        <w:rPr>
          <w:rFonts w:ascii="Times New Roman" w:hAnsi="Times New Roman" w:cs="Times New Roman"/>
          <w:b/>
          <w:bCs/>
          <w:sz w:val="24"/>
          <w:szCs w:val="24"/>
        </w:rPr>
        <w:t xml:space="preserve"> </w:t>
      </w:r>
      <w:r w:rsidR="0025093F" w:rsidRPr="00460059">
        <w:rPr>
          <w:rFonts w:ascii="Times New Roman" w:hAnsi="Times New Roman" w:cs="Times New Roman"/>
          <w:sz w:val="24"/>
          <w:szCs w:val="24"/>
        </w:rPr>
        <w:t xml:space="preserve">NOCV-CD and EDA calculations on model complexes </w:t>
      </w:r>
      <w:r w:rsidR="0025093F" w:rsidRPr="00460059">
        <w:rPr>
          <w:rFonts w:ascii="Times New Roman" w:hAnsi="Times New Roman" w:cs="Times New Roman"/>
          <w:b/>
          <w:sz w:val="24"/>
          <w:szCs w:val="24"/>
        </w:rPr>
        <w:t>1</w:t>
      </w:r>
      <w:r w:rsidR="0025093F" w:rsidRPr="00460059">
        <w:rPr>
          <w:rFonts w:ascii="Times New Roman" w:hAnsi="Times New Roman" w:cs="Times New Roman"/>
          <w:sz w:val="24"/>
          <w:szCs w:val="24"/>
        </w:rPr>
        <w:t>-</w:t>
      </w:r>
      <w:r w:rsidR="0025093F" w:rsidRPr="00460059">
        <w:rPr>
          <w:rFonts w:ascii="Times New Roman" w:hAnsi="Times New Roman" w:cs="Times New Roman"/>
          <w:b/>
          <w:sz w:val="24"/>
          <w:szCs w:val="24"/>
        </w:rPr>
        <w:t>5</w:t>
      </w:r>
      <w:r w:rsidR="0025093F" w:rsidRPr="00460059">
        <w:rPr>
          <w:rFonts w:ascii="Times New Roman" w:hAnsi="Times New Roman" w:cs="Times New Roman"/>
          <w:sz w:val="24"/>
          <w:szCs w:val="24"/>
        </w:rPr>
        <w:t xml:space="preserve"> (</w:t>
      </w:r>
      <w:r w:rsidR="0025093F" w:rsidRPr="00460059">
        <w:rPr>
          <w:rFonts w:ascii="Times New Roman" w:hAnsi="Times New Roman" w:cs="Times New Roman"/>
          <w:sz w:val="24"/>
          <w:szCs w:val="24"/>
        </w:rPr>
        <w:fldChar w:fldCharType="begin"/>
      </w:r>
      <w:r w:rsidR="0025093F" w:rsidRPr="00460059">
        <w:rPr>
          <w:rFonts w:ascii="Times New Roman" w:hAnsi="Times New Roman" w:cs="Times New Roman"/>
          <w:sz w:val="24"/>
          <w:szCs w:val="24"/>
        </w:rPr>
        <w:instrText xml:space="preserve"> REF _Ref54175107 \h  \* MERGEFORMAT </w:instrText>
      </w:r>
      <w:r w:rsidR="0025093F" w:rsidRPr="00460059">
        <w:rPr>
          <w:rFonts w:ascii="Times New Roman" w:hAnsi="Times New Roman" w:cs="Times New Roman"/>
          <w:sz w:val="24"/>
          <w:szCs w:val="24"/>
        </w:rPr>
      </w:r>
      <w:r w:rsidR="0025093F" w:rsidRPr="00460059">
        <w:rPr>
          <w:rFonts w:ascii="Times New Roman" w:hAnsi="Times New Roman" w:cs="Times New Roman"/>
          <w:sz w:val="24"/>
          <w:szCs w:val="24"/>
        </w:rPr>
        <w:fldChar w:fldCharType="separate"/>
      </w:r>
      <w:r w:rsidR="003C5B77" w:rsidRPr="00460059">
        <w:rPr>
          <w:rFonts w:ascii="Times New Roman" w:hAnsi="Times New Roman" w:cs="Times New Roman"/>
          <w:sz w:val="24"/>
          <w:szCs w:val="24"/>
        </w:rPr>
        <w:t>Scheme 1</w:t>
      </w:r>
      <w:r w:rsidR="0025093F" w:rsidRPr="00460059">
        <w:rPr>
          <w:rFonts w:ascii="Times New Roman" w:hAnsi="Times New Roman" w:cs="Times New Roman"/>
          <w:sz w:val="24"/>
          <w:szCs w:val="24"/>
        </w:rPr>
        <w:fldChar w:fldCharType="end"/>
      </w:r>
      <w:r w:rsidR="0025093F" w:rsidRPr="00460059">
        <w:rPr>
          <w:rFonts w:ascii="Times New Roman" w:hAnsi="Times New Roman" w:cs="Times New Roman"/>
          <w:sz w:val="24"/>
          <w:szCs w:val="24"/>
        </w:rPr>
        <w:t>) with different Lewis bases (CH</w:t>
      </w:r>
      <w:r w:rsidR="0025093F" w:rsidRPr="00460059">
        <w:rPr>
          <w:rFonts w:ascii="Times New Roman" w:hAnsi="Times New Roman" w:cs="Times New Roman"/>
          <w:sz w:val="24"/>
          <w:szCs w:val="24"/>
          <w:vertAlign w:val="subscript"/>
        </w:rPr>
        <w:t>2</w:t>
      </w:r>
      <w:r w:rsidR="0025093F" w:rsidRPr="00460059">
        <w:rPr>
          <w:rFonts w:ascii="Times New Roman" w:hAnsi="Times New Roman" w:cs="Times New Roman"/>
          <w:sz w:val="24"/>
          <w:szCs w:val="24"/>
        </w:rPr>
        <w:t>S, CH</w:t>
      </w:r>
      <w:r w:rsidR="0025093F" w:rsidRPr="00460059">
        <w:rPr>
          <w:rFonts w:ascii="Times New Roman" w:hAnsi="Times New Roman" w:cs="Times New Roman"/>
          <w:sz w:val="24"/>
          <w:szCs w:val="24"/>
          <w:vertAlign w:val="subscript"/>
        </w:rPr>
        <w:t>2</w:t>
      </w:r>
      <w:r w:rsidR="0025093F" w:rsidRPr="00460059">
        <w:rPr>
          <w:rFonts w:ascii="Times New Roman" w:hAnsi="Times New Roman" w:cs="Times New Roman"/>
          <w:sz w:val="24"/>
          <w:szCs w:val="24"/>
        </w:rPr>
        <w:t>O, CO and CH</w:t>
      </w:r>
      <w:r w:rsidR="0025093F" w:rsidRPr="00460059">
        <w:rPr>
          <w:rFonts w:ascii="Times New Roman" w:hAnsi="Times New Roman" w:cs="Times New Roman"/>
          <w:sz w:val="24"/>
          <w:szCs w:val="24"/>
          <w:vertAlign w:val="subscript"/>
        </w:rPr>
        <w:t>3</w:t>
      </w:r>
      <w:r w:rsidR="0025093F" w:rsidRPr="00460059">
        <w:rPr>
          <w:rFonts w:ascii="Times New Roman" w:hAnsi="Times New Roman" w:cs="Times New Roman"/>
          <w:sz w:val="24"/>
          <w:szCs w:val="24"/>
        </w:rPr>
        <w:t>CN) were performed at the M06-D</w:t>
      </w:r>
      <w:r w:rsidR="00D659DB">
        <w:rPr>
          <w:rFonts w:ascii="Times New Roman" w:hAnsi="Times New Roman" w:cs="Times New Roman"/>
          <w:sz w:val="24"/>
          <w:szCs w:val="24"/>
        </w:rPr>
        <w:t>0</w:t>
      </w:r>
      <w:r w:rsidR="0025093F" w:rsidRPr="00460059">
        <w:rPr>
          <w:rFonts w:ascii="Times New Roman" w:hAnsi="Times New Roman" w:cs="Times New Roman"/>
          <w:sz w:val="24"/>
          <w:szCs w:val="24"/>
        </w:rPr>
        <w:t>/TZVP/ZORA level</w:t>
      </w:r>
      <w:r w:rsidR="00A93C47" w:rsidRPr="00460059">
        <w:rPr>
          <w:rFonts w:ascii="Times New Roman" w:hAnsi="Times New Roman" w:cs="Times New Roman"/>
          <w:sz w:val="24"/>
          <w:szCs w:val="24"/>
        </w:rPr>
        <w:fldChar w:fldCharType="begin" w:fldLock="1"/>
      </w:r>
      <w:r w:rsidR="005A0687" w:rsidRPr="00460059">
        <w:rPr>
          <w:rFonts w:ascii="Times New Roman" w:hAnsi="Times New Roman" w:cs="Times New Roman"/>
          <w:sz w:val="24"/>
          <w:szCs w:val="24"/>
        </w:rPr>
        <w:instrText>ADDIN CSL_CITATION {"citationItems":[{"id":"ITEM-1","itemData":{"DOI":"10.1021/acs.inorgchem.6b02073","ISSN":"1520510X","abstract":"In contrast to the increasing family of weak intermolecular interactions in main-group compounds (X-Z···Y, Z = main-group elements), an analysis of the Cambridge Structural Database indicates that electron-saturated (18-electron) transition-metal complexes show reluctance toward weak M bond formation (X-M···Y, M = transition metal). In particular, weak M bonds involving electron-saturated (18-electron) complexes of transition metals with partially filled d-orbitals are not found. We propose that the nature of valence electron density distribution in transition-metal complexes is the primary reason for this reluctance. A survey of the interaction of selected electron-saturated transition-metal complexes with electron-rich molecules (Y) demonstrates the following: shielding the possible σ-hole on the metal center by the core electron density in 3d series, and enhanced electronegativity and relativistic effects in 4d and 5d series, hinders the formation of the M bond. A balance in all the destabilizing effects has been found in the 4d series due to its moderate polarizability and primogenic repulsion from inner core d-electrons. A changeover in the donor-acceptor nature of the metal center toward different types of incoming molecules is also unveiled here. The present study confirms the possibility of M bond as a new supramolecular force in designing the crystal structures of electron-saturated transition-metal complexes by invoking extreme ligand conditions.","author":[{"dropping-particle":"","family":"Joy","given":"Jyothish","non-dropping-particle":"","parse-names":false,"suffix":""},{"dropping-particle":"","family":"Jemmis","given":"Eluvathingal D.","non-dropping-particle":"","parse-names":false,"suffix":""}],"container-title":"Inorganic Chemistry","id":"ITEM-1","issue":"3","issued":{"date-parts":[["2017","2","6"]]},"page":"1132-1143","publisher":"American Chemical Society","title":"Contrasting Behavior of the Z Bonds in X-Z···Y Weak Interactions: Z = Main Group Elements Versus the Transition Metals","type":"article-journal","volume":"56"},"uris":["http://www.mendeley.com/documents/?uuid=bafd7091-7b8c-3e58-84fa-5d89c15294f8"]}],"mendeley":{"formattedCitation":"&lt;sup&gt;16&lt;/sup&gt;","plainTextFormattedCitation":"16","previouslyFormattedCitation":"&lt;sup&gt;16&lt;/sup&gt;"},"properties":{"noteIndex":0},"schema":"https://github.com/citation-style-language/schema/raw/master/csl-citation.json"}</w:instrText>
      </w:r>
      <w:r w:rsidR="00A93C47" w:rsidRPr="00460059">
        <w:rPr>
          <w:rFonts w:ascii="Times New Roman" w:hAnsi="Times New Roman" w:cs="Times New Roman"/>
          <w:sz w:val="24"/>
          <w:szCs w:val="24"/>
        </w:rPr>
        <w:fldChar w:fldCharType="separate"/>
      </w:r>
      <w:r w:rsidR="00A93C47" w:rsidRPr="00460059">
        <w:rPr>
          <w:rFonts w:ascii="Times New Roman" w:hAnsi="Times New Roman" w:cs="Times New Roman"/>
          <w:noProof/>
          <w:sz w:val="24"/>
          <w:szCs w:val="24"/>
          <w:vertAlign w:val="superscript"/>
        </w:rPr>
        <w:t>16</w:t>
      </w:r>
      <w:r w:rsidR="00A93C47" w:rsidRPr="00460059">
        <w:rPr>
          <w:rFonts w:ascii="Times New Roman" w:hAnsi="Times New Roman" w:cs="Times New Roman"/>
          <w:sz w:val="24"/>
          <w:szCs w:val="24"/>
        </w:rPr>
        <w:fldChar w:fldCharType="end"/>
      </w:r>
      <w:r w:rsidR="00B46701" w:rsidRPr="00460059">
        <w:rPr>
          <w:rFonts w:ascii="Times New Roman" w:hAnsi="Times New Roman" w:cs="Times New Roman"/>
          <w:noProof/>
          <w:sz w:val="24"/>
          <w:szCs w:val="24"/>
          <w:vertAlign w:val="superscript"/>
        </w:rPr>
        <w:t xml:space="preserve"> </w:t>
      </w:r>
      <w:r w:rsidR="00B46701" w:rsidRPr="00460059">
        <w:rPr>
          <w:rFonts w:ascii="Times New Roman" w:hAnsi="Times New Roman" w:cs="Times New Roman"/>
          <w:sz w:val="24"/>
          <w:szCs w:val="24"/>
        </w:rPr>
        <w:t xml:space="preserve">(see </w:t>
      </w:r>
      <w:r w:rsidR="00A57FC8" w:rsidRPr="00460059">
        <w:rPr>
          <w:rFonts w:ascii="Times New Roman" w:hAnsi="Times New Roman" w:cs="Times New Roman"/>
          <w:sz w:val="24"/>
          <w:szCs w:val="24"/>
        </w:rPr>
        <w:t>C</w:t>
      </w:r>
      <w:r w:rsidR="00B46701" w:rsidRPr="00460059">
        <w:rPr>
          <w:rFonts w:ascii="Times New Roman" w:hAnsi="Times New Roman" w:cs="Times New Roman"/>
          <w:sz w:val="24"/>
          <w:szCs w:val="24"/>
        </w:rPr>
        <w:t xml:space="preserve">omputational </w:t>
      </w:r>
      <w:r w:rsidR="00A57FC8" w:rsidRPr="00460059">
        <w:rPr>
          <w:rFonts w:ascii="Times New Roman" w:hAnsi="Times New Roman" w:cs="Times New Roman"/>
          <w:sz w:val="24"/>
          <w:szCs w:val="24"/>
        </w:rPr>
        <w:t>D</w:t>
      </w:r>
      <w:r w:rsidR="00B46701" w:rsidRPr="00460059">
        <w:rPr>
          <w:rFonts w:ascii="Times New Roman" w:hAnsi="Times New Roman" w:cs="Times New Roman"/>
          <w:sz w:val="24"/>
          <w:szCs w:val="24"/>
        </w:rPr>
        <w:t xml:space="preserve">etails). Starting with </w:t>
      </w:r>
      <w:r w:rsidR="00B46701" w:rsidRPr="00460059">
        <w:rPr>
          <w:rFonts w:ascii="Times New Roman" w:hAnsi="Times New Roman" w:cs="Times New Roman"/>
          <w:b/>
          <w:sz w:val="24"/>
          <w:szCs w:val="24"/>
        </w:rPr>
        <w:t>1CH</w:t>
      </w:r>
      <w:r w:rsidR="00B46701" w:rsidRPr="00460059">
        <w:rPr>
          <w:rFonts w:ascii="Times New Roman" w:hAnsi="Times New Roman" w:cs="Times New Roman"/>
          <w:b/>
          <w:sz w:val="24"/>
          <w:szCs w:val="24"/>
          <w:vertAlign w:val="subscript"/>
        </w:rPr>
        <w:t>2</w:t>
      </w:r>
      <w:r w:rsidR="00B46701" w:rsidRPr="00460059">
        <w:rPr>
          <w:rFonts w:ascii="Times New Roman" w:hAnsi="Times New Roman" w:cs="Times New Roman"/>
          <w:b/>
          <w:sz w:val="24"/>
          <w:szCs w:val="24"/>
        </w:rPr>
        <w:t>S</w:t>
      </w:r>
      <w:r w:rsidR="00B46701" w:rsidRPr="00460059">
        <w:rPr>
          <w:rFonts w:ascii="Times New Roman" w:hAnsi="Times New Roman" w:cs="Times New Roman"/>
          <w:sz w:val="24"/>
          <w:szCs w:val="24"/>
        </w:rPr>
        <w:t>, we observed that the total interaction energy (</w:t>
      </w:r>
      <w:proofErr w:type="spellStart"/>
      <w:r w:rsidR="00B46701" w:rsidRPr="00460059">
        <w:rPr>
          <w:rFonts w:ascii="Times New Roman" w:hAnsi="Times New Roman" w:cs="Times New Roman"/>
          <w:sz w:val="24"/>
          <w:szCs w:val="24"/>
        </w:rPr>
        <w:t>E</w:t>
      </w:r>
      <w:r w:rsidR="00B46701" w:rsidRPr="00460059">
        <w:rPr>
          <w:rFonts w:ascii="Times New Roman" w:hAnsi="Times New Roman" w:cs="Times New Roman"/>
          <w:sz w:val="24"/>
          <w:szCs w:val="24"/>
          <w:vertAlign w:val="subscript"/>
        </w:rPr>
        <w:t>int</w:t>
      </w:r>
      <w:proofErr w:type="spellEnd"/>
      <w:r w:rsidR="00B46701" w:rsidRPr="00460059">
        <w:rPr>
          <w:rFonts w:ascii="Times New Roman" w:hAnsi="Times New Roman" w:cs="Times New Roman"/>
          <w:sz w:val="24"/>
          <w:szCs w:val="24"/>
        </w:rPr>
        <w:t xml:space="preserve">) between </w:t>
      </w:r>
      <w:r w:rsidR="00B46701" w:rsidRPr="00460059">
        <w:rPr>
          <w:rFonts w:ascii="Times New Roman" w:hAnsi="Times New Roman" w:cs="Times New Roman"/>
          <w:b/>
          <w:sz w:val="24"/>
          <w:szCs w:val="24"/>
        </w:rPr>
        <w:t>1</w:t>
      </w:r>
      <w:r w:rsidR="00B46701" w:rsidRPr="00460059">
        <w:rPr>
          <w:rFonts w:ascii="Times New Roman" w:hAnsi="Times New Roman" w:cs="Times New Roman"/>
          <w:sz w:val="24"/>
          <w:szCs w:val="24"/>
        </w:rPr>
        <w:t xml:space="preserve"> and CH</w:t>
      </w:r>
      <w:r w:rsidR="00B46701" w:rsidRPr="00460059">
        <w:rPr>
          <w:rFonts w:ascii="Times New Roman" w:hAnsi="Times New Roman" w:cs="Times New Roman"/>
          <w:sz w:val="24"/>
          <w:szCs w:val="24"/>
          <w:vertAlign w:val="subscript"/>
        </w:rPr>
        <w:t>2</w:t>
      </w:r>
      <w:r w:rsidR="00B46701" w:rsidRPr="00460059">
        <w:rPr>
          <w:rFonts w:ascii="Times New Roman" w:hAnsi="Times New Roman" w:cs="Times New Roman"/>
          <w:sz w:val="24"/>
          <w:szCs w:val="24"/>
        </w:rPr>
        <w:t>S</w:t>
      </w:r>
      <w:r w:rsidR="00B46701" w:rsidRPr="00460059">
        <w:rPr>
          <w:rFonts w:ascii="Times New Roman" w:hAnsi="Times New Roman" w:cs="Times New Roman"/>
          <w:b/>
          <w:sz w:val="24"/>
          <w:szCs w:val="24"/>
        </w:rPr>
        <w:t xml:space="preserve"> </w:t>
      </w:r>
      <w:r w:rsidR="00B46701" w:rsidRPr="00460059">
        <w:rPr>
          <w:rFonts w:ascii="Times New Roman" w:hAnsi="Times New Roman" w:cs="Times New Roman"/>
          <w:sz w:val="24"/>
          <w:szCs w:val="24"/>
        </w:rPr>
        <w:t>amounts to -10.5 kcal/mol and it is composed by a steric energy (E</w:t>
      </w:r>
      <w:r w:rsidR="00B46701" w:rsidRPr="00460059">
        <w:rPr>
          <w:rFonts w:ascii="Times New Roman" w:hAnsi="Times New Roman" w:cs="Times New Roman"/>
          <w:sz w:val="24"/>
          <w:szCs w:val="24"/>
          <w:vertAlign w:val="subscript"/>
        </w:rPr>
        <w:t>st</w:t>
      </w:r>
      <w:r w:rsidR="00B46701" w:rsidRPr="00460059">
        <w:rPr>
          <w:rFonts w:ascii="Times New Roman" w:hAnsi="Times New Roman" w:cs="Times New Roman"/>
          <w:sz w:val="24"/>
          <w:szCs w:val="24"/>
        </w:rPr>
        <w:t xml:space="preserve"> = Pauli repulsive term</w:t>
      </w:r>
      <w:r w:rsidR="005F7E1D" w:rsidRPr="00460059">
        <w:rPr>
          <w:rFonts w:ascii="Times New Roman" w:hAnsi="Times New Roman" w:cs="Times New Roman"/>
          <w:sz w:val="24"/>
          <w:szCs w:val="24"/>
        </w:rPr>
        <w:t xml:space="preserve"> </w:t>
      </w:r>
      <w:proofErr w:type="spellStart"/>
      <w:r w:rsidR="005F7E1D" w:rsidRPr="00460059">
        <w:rPr>
          <w:rFonts w:ascii="Times New Roman" w:hAnsi="Times New Roman" w:cs="Times New Roman"/>
          <w:sz w:val="24"/>
          <w:szCs w:val="24"/>
        </w:rPr>
        <w:t>E</w:t>
      </w:r>
      <w:r w:rsidR="005F7E1D" w:rsidRPr="00460059">
        <w:rPr>
          <w:rFonts w:ascii="Times New Roman" w:hAnsi="Times New Roman" w:cs="Times New Roman"/>
          <w:sz w:val="24"/>
          <w:szCs w:val="24"/>
          <w:vertAlign w:val="subscript"/>
        </w:rPr>
        <w:t>Pauli</w:t>
      </w:r>
      <w:proofErr w:type="spellEnd"/>
      <w:r w:rsidR="00B46701" w:rsidRPr="00460059">
        <w:rPr>
          <w:rFonts w:ascii="Times New Roman" w:hAnsi="Times New Roman" w:cs="Times New Roman"/>
          <w:sz w:val="24"/>
          <w:szCs w:val="24"/>
        </w:rPr>
        <w:t xml:space="preserve"> + electrostatic term</w:t>
      </w:r>
      <w:r w:rsidR="005F7E1D" w:rsidRPr="00460059">
        <w:rPr>
          <w:rFonts w:ascii="Times New Roman" w:hAnsi="Times New Roman" w:cs="Times New Roman"/>
          <w:sz w:val="24"/>
          <w:szCs w:val="24"/>
        </w:rPr>
        <w:t xml:space="preserve"> </w:t>
      </w:r>
      <w:proofErr w:type="spellStart"/>
      <w:r w:rsidR="005F7E1D" w:rsidRPr="00460059">
        <w:rPr>
          <w:rFonts w:ascii="Times New Roman" w:hAnsi="Times New Roman" w:cs="Times New Roman"/>
          <w:sz w:val="24"/>
          <w:szCs w:val="24"/>
        </w:rPr>
        <w:t>E</w:t>
      </w:r>
      <w:r w:rsidR="005F7E1D" w:rsidRPr="00460059">
        <w:rPr>
          <w:rFonts w:ascii="Times New Roman" w:hAnsi="Times New Roman" w:cs="Times New Roman"/>
          <w:sz w:val="24"/>
          <w:szCs w:val="24"/>
          <w:vertAlign w:val="subscript"/>
        </w:rPr>
        <w:t>elst</w:t>
      </w:r>
      <w:proofErr w:type="spellEnd"/>
      <w:r w:rsidR="00B46701" w:rsidRPr="00460059">
        <w:rPr>
          <w:rFonts w:ascii="Times New Roman" w:hAnsi="Times New Roman" w:cs="Times New Roman"/>
          <w:sz w:val="24"/>
          <w:szCs w:val="24"/>
        </w:rPr>
        <w:t>) of 2.2 kcal/mol, a dispersion energy of -0.9 kcal/mol and a considerable orbital contribution (</w:t>
      </w:r>
      <w:proofErr w:type="spellStart"/>
      <w:r w:rsidR="00B46701" w:rsidRPr="00460059">
        <w:rPr>
          <w:rFonts w:ascii="Times New Roman" w:hAnsi="Times New Roman" w:cs="Times New Roman"/>
          <w:sz w:val="24"/>
          <w:szCs w:val="24"/>
        </w:rPr>
        <w:t>E</w:t>
      </w:r>
      <w:r w:rsidR="00B46701" w:rsidRPr="00460059">
        <w:rPr>
          <w:rFonts w:ascii="Times New Roman" w:hAnsi="Times New Roman" w:cs="Times New Roman"/>
          <w:sz w:val="24"/>
          <w:szCs w:val="24"/>
          <w:vertAlign w:val="subscript"/>
        </w:rPr>
        <w:t>orb</w:t>
      </w:r>
      <w:proofErr w:type="spellEnd"/>
      <w:r w:rsidR="00B46701" w:rsidRPr="00460059">
        <w:rPr>
          <w:rFonts w:ascii="Times New Roman" w:hAnsi="Times New Roman" w:cs="Times New Roman"/>
          <w:sz w:val="24"/>
          <w:szCs w:val="24"/>
        </w:rPr>
        <w:t>) of -11.8 kcal/mol</w:t>
      </w:r>
      <w:r w:rsidR="002639D1" w:rsidRPr="00460059">
        <w:rPr>
          <w:rFonts w:ascii="Times New Roman" w:hAnsi="Times New Roman" w:cs="Times New Roman"/>
          <w:sz w:val="24"/>
          <w:szCs w:val="24"/>
        </w:rPr>
        <w:t xml:space="preserve"> </w:t>
      </w:r>
      <w:r w:rsidR="002639D1" w:rsidRPr="00460059">
        <w:rPr>
          <w:rStyle w:val="06CHeading"/>
          <w:b w:val="0"/>
          <w:bCs/>
          <w:smallCaps w:val="0"/>
          <w:sz w:val="24"/>
          <w:szCs w:val="24"/>
        </w:rPr>
        <w:t>(</w:t>
      </w:r>
      <w:r w:rsidR="002639D1" w:rsidRPr="00460059">
        <w:rPr>
          <w:rStyle w:val="06CHeading"/>
          <w:b w:val="0"/>
          <w:bCs/>
          <w:smallCaps w:val="0"/>
          <w:sz w:val="24"/>
          <w:szCs w:val="24"/>
        </w:rPr>
        <w:fldChar w:fldCharType="begin"/>
      </w:r>
      <w:r w:rsidR="002639D1" w:rsidRPr="00460059">
        <w:rPr>
          <w:rStyle w:val="06CHeading"/>
          <w:b w:val="0"/>
          <w:bCs/>
          <w:smallCaps w:val="0"/>
          <w:sz w:val="24"/>
          <w:szCs w:val="24"/>
        </w:rPr>
        <w:instrText xml:space="preserve"> REF _Ref54182754 \h  \* MERGEFORMAT </w:instrText>
      </w:r>
      <w:r w:rsidR="002639D1" w:rsidRPr="00460059">
        <w:rPr>
          <w:rStyle w:val="06CHeading"/>
          <w:b w:val="0"/>
          <w:bCs/>
          <w:smallCaps w:val="0"/>
          <w:sz w:val="24"/>
          <w:szCs w:val="24"/>
        </w:rPr>
      </w:r>
      <w:r w:rsidR="002639D1" w:rsidRPr="00460059">
        <w:rPr>
          <w:rStyle w:val="06CHeading"/>
          <w:b w:val="0"/>
          <w:bCs/>
          <w:smallCaps w:val="0"/>
          <w:sz w:val="24"/>
          <w:szCs w:val="24"/>
        </w:rPr>
        <w:fldChar w:fldCharType="separate"/>
      </w:r>
      <w:r w:rsidR="003C5B77" w:rsidRPr="00460059">
        <w:rPr>
          <w:rFonts w:ascii="Times New Roman" w:hAnsi="Times New Roman" w:cs="Times New Roman"/>
          <w:bCs/>
          <w:sz w:val="24"/>
          <w:szCs w:val="24"/>
        </w:rPr>
        <w:t>Table 1</w:t>
      </w:r>
      <w:r w:rsidR="002639D1" w:rsidRPr="00460059">
        <w:rPr>
          <w:rStyle w:val="06CHeading"/>
          <w:b w:val="0"/>
          <w:bCs/>
          <w:smallCaps w:val="0"/>
          <w:sz w:val="24"/>
          <w:szCs w:val="24"/>
        </w:rPr>
        <w:fldChar w:fldCharType="end"/>
      </w:r>
      <w:r w:rsidR="002639D1" w:rsidRPr="00460059">
        <w:rPr>
          <w:rStyle w:val="06CHeading"/>
          <w:b w:val="0"/>
          <w:bCs/>
          <w:smallCaps w:val="0"/>
          <w:sz w:val="24"/>
          <w:szCs w:val="24"/>
        </w:rPr>
        <w:t>)</w:t>
      </w:r>
      <w:r w:rsidR="00B46701" w:rsidRPr="00460059">
        <w:rPr>
          <w:rStyle w:val="06CHeading"/>
          <w:b w:val="0"/>
          <w:bCs/>
          <w:smallCaps w:val="0"/>
          <w:sz w:val="24"/>
          <w:szCs w:val="24"/>
        </w:rPr>
        <w:t>.</w:t>
      </w:r>
      <w:r w:rsidR="00A93C47" w:rsidRPr="00460059">
        <w:rPr>
          <w:rStyle w:val="06CHeading"/>
          <w:b w:val="0"/>
          <w:bCs/>
          <w:smallCaps w:val="0"/>
          <w:sz w:val="24"/>
          <w:szCs w:val="24"/>
        </w:rPr>
        <w:t xml:space="preserve"> </w:t>
      </w:r>
      <w:r w:rsidR="00A751DA" w:rsidRPr="00460059">
        <w:rPr>
          <w:rStyle w:val="06CHeading"/>
          <w:b w:val="0"/>
          <w:bCs/>
          <w:smallCaps w:val="0"/>
          <w:sz w:val="24"/>
          <w:szCs w:val="24"/>
        </w:rPr>
        <w:t>The latter shows to be quite stable towards changing the functional at fixed geometry</w:t>
      </w:r>
      <w:r w:rsidR="00A93C47" w:rsidRPr="00460059">
        <w:rPr>
          <w:rStyle w:val="06CHeading"/>
          <w:b w:val="0"/>
          <w:bCs/>
          <w:smallCaps w:val="0"/>
          <w:sz w:val="24"/>
          <w:szCs w:val="24"/>
        </w:rPr>
        <w:t xml:space="preserve">, </w:t>
      </w:r>
      <w:r w:rsidR="00A751DA" w:rsidRPr="00460059">
        <w:rPr>
          <w:rStyle w:val="06CHeading"/>
          <w:b w:val="0"/>
          <w:bCs/>
          <w:smallCaps w:val="0"/>
          <w:sz w:val="24"/>
          <w:szCs w:val="24"/>
        </w:rPr>
        <w:t xml:space="preserve">oscillating </w:t>
      </w:r>
      <w:r w:rsidR="002639D1" w:rsidRPr="00460059">
        <w:rPr>
          <w:rStyle w:val="06CHeading"/>
          <w:b w:val="0"/>
          <w:bCs/>
          <w:smallCaps w:val="0"/>
          <w:sz w:val="24"/>
          <w:szCs w:val="24"/>
        </w:rPr>
        <w:t xml:space="preserve">between </w:t>
      </w:r>
      <w:r w:rsidR="00071D22" w:rsidRPr="00460059">
        <w:rPr>
          <w:rStyle w:val="06CHeading"/>
          <w:b w:val="0"/>
          <w:bCs/>
          <w:smallCaps w:val="0"/>
          <w:sz w:val="24"/>
          <w:szCs w:val="24"/>
        </w:rPr>
        <w:t>–</w:t>
      </w:r>
      <w:r w:rsidR="008A64B9" w:rsidRPr="00460059">
        <w:rPr>
          <w:rStyle w:val="06CHeading"/>
          <w:b w:val="0"/>
          <w:bCs/>
          <w:smallCaps w:val="0"/>
          <w:sz w:val="24"/>
          <w:szCs w:val="24"/>
        </w:rPr>
        <w:t xml:space="preserve">11.7 and </w:t>
      </w:r>
      <w:r w:rsidR="00071D22" w:rsidRPr="00460059">
        <w:rPr>
          <w:rStyle w:val="06CHeading"/>
          <w:b w:val="0"/>
          <w:bCs/>
          <w:smallCaps w:val="0"/>
          <w:sz w:val="24"/>
          <w:szCs w:val="24"/>
        </w:rPr>
        <w:t>–</w:t>
      </w:r>
      <w:r w:rsidR="008A64B9" w:rsidRPr="00460059">
        <w:rPr>
          <w:rStyle w:val="06CHeading"/>
          <w:b w:val="0"/>
          <w:bCs/>
          <w:smallCaps w:val="0"/>
          <w:sz w:val="24"/>
          <w:szCs w:val="24"/>
        </w:rPr>
        <w:t>13.</w:t>
      </w:r>
      <w:r w:rsidR="002E5207">
        <w:rPr>
          <w:rStyle w:val="06CHeading"/>
          <w:b w:val="0"/>
          <w:bCs/>
          <w:smallCaps w:val="0"/>
          <w:sz w:val="24"/>
          <w:szCs w:val="24"/>
        </w:rPr>
        <w:t>4</w:t>
      </w:r>
      <w:r w:rsidR="008A64B9" w:rsidRPr="00460059">
        <w:rPr>
          <w:rStyle w:val="06CHeading"/>
          <w:b w:val="0"/>
          <w:bCs/>
          <w:smallCaps w:val="0"/>
          <w:sz w:val="24"/>
          <w:szCs w:val="24"/>
        </w:rPr>
        <w:t xml:space="preserve"> kcal/mol</w:t>
      </w:r>
      <w:r w:rsidR="00B46701" w:rsidRPr="00460059">
        <w:rPr>
          <w:rStyle w:val="06CHeading"/>
          <w:b w:val="0"/>
          <w:bCs/>
          <w:smallCaps w:val="0"/>
          <w:sz w:val="24"/>
          <w:szCs w:val="24"/>
        </w:rPr>
        <w:t xml:space="preserve"> </w:t>
      </w:r>
      <w:r w:rsidR="002639D1" w:rsidRPr="00460059">
        <w:rPr>
          <w:rStyle w:val="06CHeading"/>
          <w:b w:val="0"/>
          <w:bCs/>
          <w:smallCaps w:val="0"/>
          <w:sz w:val="24"/>
          <w:szCs w:val="24"/>
        </w:rPr>
        <w:t>(</w:t>
      </w:r>
      <w:r w:rsidR="002639D1" w:rsidRPr="00460059">
        <w:rPr>
          <w:rStyle w:val="06CHeading"/>
          <w:b w:val="0"/>
          <w:bCs/>
          <w:smallCaps w:val="0"/>
          <w:sz w:val="24"/>
          <w:szCs w:val="24"/>
        </w:rPr>
        <w:fldChar w:fldCharType="begin"/>
      </w:r>
      <w:r w:rsidR="002639D1" w:rsidRPr="00460059">
        <w:rPr>
          <w:rStyle w:val="06CHeading"/>
          <w:b w:val="0"/>
          <w:bCs/>
          <w:smallCaps w:val="0"/>
          <w:sz w:val="24"/>
          <w:szCs w:val="24"/>
        </w:rPr>
        <w:instrText xml:space="preserve"> REF _Ref54182754 \h  \* MERGEFORMAT </w:instrText>
      </w:r>
      <w:r w:rsidR="002639D1" w:rsidRPr="00460059">
        <w:rPr>
          <w:rStyle w:val="06CHeading"/>
          <w:b w:val="0"/>
          <w:bCs/>
          <w:smallCaps w:val="0"/>
          <w:sz w:val="24"/>
          <w:szCs w:val="24"/>
        </w:rPr>
      </w:r>
      <w:r w:rsidR="002639D1" w:rsidRPr="00460059">
        <w:rPr>
          <w:rStyle w:val="06CHeading"/>
          <w:b w:val="0"/>
          <w:bCs/>
          <w:smallCaps w:val="0"/>
          <w:sz w:val="24"/>
          <w:szCs w:val="24"/>
        </w:rPr>
        <w:fldChar w:fldCharType="separate"/>
      </w:r>
      <w:r w:rsidR="003C5B77" w:rsidRPr="00460059">
        <w:rPr>
          <w:rFonts w:ascii="Times New Roman" w:hAnsi="Times New Roman" w:cs="Times New Roman"/>
          <w:bCs/>
          <w:sz w:val="24"/>
          <w:szCs w:val="24"/>
        </w:rPr>
        <w:t>Table 1</w:t>
      </w:r>
      <w:r w:rsidR="002639D1" w:rsidRPr="00460059">
        <w:rPr>
          <w:rStyle w:val="06CHeading"/>
          <w:b w:val="0"/>
          <w:bCs/>
          <w:smallCaps w:val="0"/>
          <w:sz w:val="24"/>
          <w:szCs w:val="24"/>
        </w:rPr>
        <w:fldChar w:fldCharType="end"/>
      </w:r>
      <w:r w:rsidR="002639D1" w:rsidRPr="00460059">
        <w:rPr>
          <w:rStyle w:val="06CHeading"/>
          <w:b w:val="0"/>
          <w:bCs/>
          <w:smallCaps w:val="0"/>
          <w:sz w:val="24"/>
          <w:szCs w:val="24"/>
        </w:rPr>
        <w:t>)</w:t>
      </w:r>
      <w:r w:rsidR="00A93C47" w:rsidRPr="00460059">
        <w:rPr>
          <w:rStyle w:val="06CHeading"/>
          <w:b w:val="0"/>
          <w:bCs/>
          <w:smallCaps w:val="0"/>
          <w:sz w:val="24"/>
          <w:szCs w:val="24"/>
        </w:rPr>
        <w:t>. The largest deviation is given by</w:t>
      </w:r>
      <w:r w:rsidR="00EE326D" w:rsidRPr="00460059">
        <w:rPr>
          <w:rStyle w:val="06CHeading"/>
          <w:b w:val="0"/>
          <w:bCs/>
          <w:smallCaps w:val="0"/>
          <w:sz w:val="24"/>
          <w:szCs w:val="24"/>
        </w:rPr>
        <w:t xml:space="preserve"> </w:t>
      </w:r>
      <w:r w:rsidR="00E43F9F" w:rsidRPr="00460059">
        <w:rPr>
          <w:rStyle w:val="06CHeading"/>
          <w:b w:val="0"/>
          <w:bCs/>
          <w:smallCaps w:val="0"/>
          <w:sz w:val="24"/>
          <w:szCs w:val="24"/>
        </w:rPr>
        <w:t>the double hybrid B2PLYP functional</w:t>
      </w:r>
      <w:r w:rsidR="009F6DB8" w:rsidRPr="00460059">
        <w:rPr>
          <w:rStyle w:val="06CHeading"/>
          <w:b w:val="0"/>
          <w:bCs/>
          <w:smallCaps w:val="0"/>
          <w:sz w:val="24"/>
          <w:szCs w:val="24"/>
        </w:rPr>
        <w:t xml:space="preserve"> that</w:t>
      </w:r>
      <w:r w:rsidR="00E43F9F" w:rsidRPr="00460059">
        <w:rPr>
          <w:rStyle w:val="06CHeading"/>
          <w:b w:val="0"/>
          <w:bCs/>
          <w:smallCaps w:val="0"/>
          <w:sz w:val="24"/>
          <w:szCs w:val="24"/>
        </w:rPr>
        <w:t xml:space="preserve"> leads to a </w:t>
      </w:r>
      <w:r w:rsidR="00867DAE" w:rsidRPr="00460059">
        <w:rPr>
          <w:rStyle w:val="06CHeading"/>
          <w:b w:val="0"/>
          <w:bCs/>
          <w:smallCaps w:val="0"/>
          <w:sz w:val="24"/>
          <w:szCs w:val="24"/>
        </w:rPr>
        <w:t xml:space="preserve">slightly </w:t>
      </w:r>
      <w:r w:rsidR="00E43F9F" w:rsidRPr="00460059">
        <w:rPr>
          <w:rStyle w:val="06CHeading"/>
          <w:b w:val="0"/>
          <w:bCs/>
          <w:smallCaps w:val="0"/>
          <w:sz w:val="24"/>
          <w:szCs w:val="24"/>
        </w:rPr>
        <w:t>smaller value (-10.0 kcal/mol)</w:t>
      </w:r>
      <w:r w:rsidR="009F6DB8" w:rsidRPr="00460059">
        <w:rPr>
          <w:rStyle w:val="06CHeading"/>
          <w:b w:val="0"/>
          <w:bCs/>
          <w:smallCaps w:val="0"/>
          <w:sz w:val="24"/>
          <w:szCs w:val="24"/>
        </w:rPr>
        <w:t xml:space="preserve">. </w:t>
      </w:r>
      <w:r w:rsidR="00A751DA" w:rsidRPr="00460059">
        <w:rPr>
          <w:rStyle w:val="06CHeading"/>
          <w:b w:val="0"/>
          <w:bCs/>
          <w:smallCaps w:val="0"/>
          <w:sz w:val="24"/>
          <w:szCs w:val="24"/>
        </w:rPr>
        <w:t xml:space="preserve">As for </w:t>
      </w:r>
      <w:r w:rsidR="00A93C47" w:rsidRPr="00460059">
        <w:rPr>
          <w:rStyle w:val="06CHeading"/>
          <w:b w:val="0"/>
          <w:bCs/>
          <w:smallCaps w:val="0"/>
          <w:sz w:val="24"/>
          <w:szCs w:val="24"/>
        </w:rPr>
        <w:t>the basis set, i</w:t>
      </w:r>
      <w:r w:rsidR="009F6DB8" w:rsidRPr="00460059">
        <w:rPr>
          <w:rStyle w:val="06CHeading"/>
          <w:b w:val="0"/>
          <w:bCs/>
          <w:smallCaps w:val="0"/>
          <w:sz w:val="24"/>
          <w:szCs w:val="24"/>
        </w:rPr>
        <w:t>t is important to use a</w:t>
      </w:r>
      <w:r w:rsidR="00AB37BC" w:rsidRPr="00460059">
        <w:rPr>
          <w:rStyle w:val="06CHeading"/>
          <w:b w:val="0"/>
          <w:bCs/>
          <w:smallCaps w:val="0"/>
          <w:sz w:val="24"/>
          <w:szCs w:val="24"/>
        </w:rPr>
        <w:t>n adequate</w:t>
      </w:r>
      <w:r w:rsidR="00A751DA" w:rsidRPr="00460059">
        <w:rPr>
          <w:rStyle w:val="06CHeading"/>
          <w:b w:val="0"/>
          <w:bCs/>
          <w:smallCaps w:val="0"/>
          <w:sz w:val="24"/>
          <w:szCs w:val="24"/>
        </w:rPr>
        <w:t>ly</w:t>
      </w:r>
      <w:r w:rsidR="00AB37BC" w:rsidRPr="00460059">
        <w:rPr>
          <w:rStyle w:val="06CHeading"/>
          <w:b w:val="0"/>
          <w:bCs/>
          <w:smallCaps w:val="0"/>
          <w:sz w:val="24"/>
          <w:szCs w:val="24"/>
        </w:rPr>
        <w:t xml:space="preserve"> </w:t>
      </w:r>
      <w:r w:rsidR="00A93C47" w:rsidRPr="00460059">
        <w:rPr>
          <w:rStyle w:val="06CHeading"/>
          <w:b w:val="0"/>
          <w:bCs/>
          <w:smallCaps w:val="0"/>
          <w:sz w:val="24"/>
          <w:szCs w:val="24"/>
        </w:rPr>
        <w:t>large one</w:t>
      </w:r>
      <w:r w:rsidR="00AB37BC" w:rsidRPr="00460059">
        <w:rPr>
          <w:rStyle w:val="06CHeading"/>
          <w:b w:val="0"/>
          <w:bCs/>
          <w:smallCaps w:val="0"/>
          <w:sz w:val="24"/>
          <w:szCs w:val="24"/>
        </w:rPr>
        <w:t xml:space="preserve">, as </w:t>
      </w:r>
      <w:proofErr w:type="spellStart"/>
      <w:r w:rsidR="00AB37BC" w:rsidRPr="00460059">
        <w:rPr>
          <w:rStyle w:val="06CHeading"/>
          <w:b w:val="0"/>
          <w:bCs/>
          <w:smallCaps w:val="0"/>
          <w:sz w:val="24"/>
          <w:szCs w:val="24"/>
        </w:rPr>
        <w:t>E</w:t>
      </w:r>
      <w:r w:rsidR="00AB37BC" w:rsidRPr="00460059">
        <w:rPr>
          <w:rStyle w:val="06CHeading"/>
          <w:b w:val="0"/>
          <w:bCs/>
          <w:smallCaps w:val="0"/>
          <w:sz w:val="24"/>
          <w:szCs w:val="24"/>
          <w:vertAlign w:val="subscript"/>
        </w:rPr>
        <w:t>orb</w:t>
      </w:r>
      <w:proofErr w:type="spellEnd"/>
      <w:r w:rsidR="00AB37BC" w:rsidRPr="00460059">
        <w:rPr>
          <w:rStyle w:val="06CHeading"/>
          <w:b w:val="0"/>
          <w:bCs/>
          <w:smallCaps w:val="0"/>
          <w:sz w:val="24"/>
          <w:szCs w:val="24"/>
        </w:rPr>
        <w:t xml:space="preserve"> is over-estimated when a s</w:t>
      </w:r>
      <w:r w:rsidR="00173F95" w:rsidRPr="00460059">
        <w:rPr>
          <w:rStyle w:val="06CHeading"/>
          <w:b w:val="0"/>
          <w:bCs/>
          <w:smallCaps w:val="0"/>
          <w:sz w:val="24"/>
          <w:szCs w:val="24"/>
        </w:rPr>
        <w:t>mall basis set (</w:t>
      </w:r>
      <w:proofErr w:type="spellStart"/>
      <w:r w:rsidR="00173F95" w:rsidRPr="00460059">
        <w:rPr>
          <w:rStyle w:val="06CHeading"/>
          <w:b w:val="0"/>
          <w:bCs/>
          <w:smallCaps w:val="0"/>
          <w:sz w:val="24"/>
          <w:szCs w:val="24"/>
        </w:rPr>
        <w:t>sVP</w:t>
      </w:r>
      <w:proofErr w:type="spellEnd"/>
      <w:r w:rsidR="00173F95" w:rsidRPr="00460059">
        <w:rPr>
          <w:rStyle w:val="06CHeading"/>
          <w:b w:val="0"/>
          <w:bCs/>
          <w:smallCaps w:val="0"/>
          <w:sz w:val="24"/>
          <w:szCs w:val="24"/>
        </w:rPr>
        <w:t>) is used.</w:t>
      </w:r>
      <w:r w:rsidR="009A70E3" w:rsidRPr="00460059">
        <w:rPr>
          <w:rStyle w:val="06CHeading"/>
          <w:b w:val="0"/>
          <w:bCs/>
          <w:smallCaps w:val="0"/>
          <w:sz w:val="24"/>
          <w:szCs w:val="24"/>
        </w:rPr>
        <w:t xml:space="preserve"> </w:t>
      </w:r>
      <w:r w:rsidR="00CD5286" w:rsidRPr="00460059">
        <w:rPr>
          <w:rStyle w:val="06CHeading"/>
          <w:b w:val="0"/>
          <w:bCs/>
          <w:smallCaps w:val="0"/>
          <w:sz w:val="24"/>
          <w:szCs w:val="24"/>
        </w:rPr>
        <w:t xml:space="preserve">The </w:t>
      </w:r>
      <w:r w:rsidR="00071D22" w:rsidRPr="00460059">
        <w:rPr>
          <w:rStyle w:val="06CHeading"/>
          <w:b w:val="0"/>
          <w:bCs/>
          <w:smallCaps w:val="0"/>
          <w:sz w:val="24"/>
          <w:szCs w:val="24"/>
        </w:rPr>
        <w:t xml:space="preserve">discrepancies </w:t>
      </w:r>
      <w:r w:rsidR="00CD5286" w:rsidRPr="00460059">
        <w:rPr>
          <w:rStyle w:val="06CHeading"/>
          <w:b w:val="0"/>
          <w:bCs/>
          <w:smallCaps w:val="0"/>
          <w:sz w:val="24"/>
          <w:szCs w:val="24"/>
        </w:rPr>
        <w:t>in the dispersion term</w:t>
      </w:r>
      <w:r w:rsidR="00475AF2">
        <w:rPr>
          <w:rStyle w:val="06CHeading"/>
          <w:b w:val="0"/>
          <w:bCs/>
          <w:smallCaps w:val="0"/>
          <w:sz w:val="24"/>
          <w:szCs w:val="24"/>
        </w:rPr>
        <w:t>s</w:t>
      </w:r>
      <w:r w:rsidR="00CD5286" w:rsidRPr="00460059">
        <w:rPr>
          <w:rStyle w:val="06CHeading"/>
          <w:b w:val="0"/>
          <w:bCs/>
          <w:smallCaps w:val="0"/>
          <w:sz w:val="24"/>
          <w:szCs w:val="24"/>
        </w:rPr>
        <w:t xml:space="preserve"> </w:t>
      </w:r>
      <w:r w:rsidR="00B96D0D" w:rsidRPr="00460059">
        <w:rPr>
          <w:rStyle w:val="06CHeading"/>
          <w:b w:val="0"/>
          <w:bCs/>
          <w:smallCaps w:val="0"/>
          <w:sz w:val="24"/>
          <w:szCs w:val="24"/>
        </w:rPr>
        <w:t>(</w:t>
      </w:r>
      <w:proofErr w:type="spellStart"/>
      <w:r w:rsidR="00B96D0D" w:rsidRPr="00460059">
        <w:rPr>
          <w:rStyle w:val="06CHeading"/>
          <w:b w:val="0"/>
          <w:bCs/>
          <w:smallCaps w:val="0"/>
          <w:sz w:val="24"/>
          <w:szCs w:val="24"/>
        </w:rPr>
        <w:t>E</w:t>
      </w:r>
      <w:r w:rsidR="00B96D0D" w:rsidRPr="00460059">
        <w:rPr>
          <w:rStyle w:val="06CHeading"/>
          <w:b w:val="0"/>
          <w:bCs/>
          <w:smallCaps w:val="0"/>
          <w:sz w:val="24"/>
          <w:szCs w:val="24"/>
          <w:vertAlign w:val="subscript"/>
        </w:rPr>
        <w:t>disp</w:t>
      </w:r>
      <w:proofErr w:type="spellEnd"/>
      <w:r w:rsidR="00B96D0D" w:rsidRPr="00460059">
        <w:rPr>
          <w:rStyle w:val="06CHeading"/>
          <w:b w:val="0"/>
          <w:bCs/>
          <w:smallCaps w:val="0"/>
          <w:sz w:val="24"/>
          <w:szCs w:val="24"/>
        </w:rPr>
        <w:t>) are due to the different corrections used (</w:t>
      </w:r>
      <w:r w:rsidR="00855E0F" w:rsidRPr="00460059">
        <w:rPr>
          <w:rStyle w:val="06CHeading"/>
          <w:b w:val="0"/>
          <w:bCs/>
          <w:smallCaps w:val="0"/>
          <w:sz w:val="24"/>
          <w:szCs w:val="24"/>
        </w:rPr>
        <w:t>in ORCA 4.1.0, M06 functional come</w:t>
      </w:r>
      <w:r w:rsidR="00A93C47" w:rsidRPr="00460059">
        <w:rPr>
          <w:rStyle w:val="06CHeading"/>
          <w:b w:val="0"/>
          <w:bCs/>
          <w:smallCaps w:val="0"/>
          <w:sz w:val="24"/>
          <w:szCs w:val="24"/>
        </w:rPr>
        <w:t>s</w:t>
      </w:r>
      <w:r w:rsidR="00855E0F" w:rsidRPr="00460059">
        <w:rPr>
          <w:rStyle w:val="06CHeading"/>
          <w:b w:val="0"/>
          <w:bCs/>
          <w:smallCaps w:val="0"/>
          <w:sz w:val="24"/>
          <w:szCs w:val="24"/>
        </w:rPr>
        <w:t xml:space="preserve"> only with the D0</w:t>
      </w:r>
      <w:r w:rsidR="006D5B5B" w:rsidRPr="00460059">
        <w:rPr>
          <w:rStyle w:val="06CHeading"/>
          <w:b w:val="0"/>
          <w:bCs/>
          <w:smallCaps w:val="0"/>
          <w:sz w:val="24"/>
          <w:szCs w:val="24"/>
        </w:rPr>
        <w:t xml:space="preserve"> correction).</w:t>
      </w:r>
    </w:p>
    <w:p w14:paraId="31A3E02E" w14:textId="77777777" w:rsidR="00B46701" w:rsidRPr="00460059" w:rsidRDefault="00B46701" w:rsidP="00B46701">
      <w:pPr>
        <w:pStyle w:val="Corpotesto"/>
        <w:spacing w:after="0" w:line="360" w:lineRule="auto"/>
        <w:rPr>
          <w:rFonts w:ascii="Times New Roman" w:hAnsi="Times New Roman" w:cs="Times New Roman"/>
          <w:b/>
          <w:bCs/>
          <w:sz w:val="24"/>
          <w:szCs w:val="24"/>
        </w:rPr>
      </w:pPr>
    </w:p>
    <w:p w14:paraId="0BA5C67D" w14:textId="68117BAD" w:rsidR="00CC3E93" w:rsidRPr="00460059" w:rsidRDefault="00CC3E93" w:rsidP="00CC3E93">
      <w:pPr>
        <w:pStyle w:val="Didascalia"/>
        <w:spacing w:after="0" w:line="360" w:lineRule="auto"/>
        <w:jc w:val="both"/>
        <w:rPr>
          <w:rFonts w:ascii="Times New Roman" w:hAnsi="Times New Roman" w:cs="Times New Roman"/>
          <w:bCs/>
          <w:i w:val="0"/>
          <w:color w:val="auto"/>
          <w:sz w:val="24"/>
          <w:szCs w:val="24"/>
        </w:rPr>
      </w:pPr>
      <w:bookmarkStart w:id="0" w:name="_Ref54182754"/>
      <w:r w:rsidRPr="00460059">
        <w:rPr>
          <w:rFonts w:ascii="Times New Roman" w:hAnsi="Times New Roman" w:cs="Times New Roman"/>
          <w:bCs/>
          <w:i w:val="0"/>
          <w:color w:val="auto"/>
          <w:sz w:val="24"/>
          <w:szCs w:val="24"/>
        </w:rPr>
        <w:t xml:space="preserve">Table </w:t>
      </w:r>
      <w:r w:rsidRPr="00460059">
        <w:rPr>
          <w:rFonts w:ascii="Times New Roman" w:hAnsi="Times New Roman" w:cs="Times New Roman"/>
          <w:bCs/>
          <w:i w:val="0"/>
          <w:color w:val="auto"/>
          <w:sz w:val="24"/>
          <w:szCs w:val="24"/>
        </w:rPr>
        <w:fldChar w:fldCharType="begin"/>
      </w:r>
      <w:r w:rsidRPr="00460059">
        <w:rPr>
          <w:rFonts w:ascii="Times New Roman" w:hAnsi="Times New Roman" w:cs="Times New Roman"/>
          <w:bCs/>
          <w:i w:val="0"/>
          <w:color w:val="auto"/>
          <w:sz w:val="24"/>
          <w:szCs w:val="24"/>
        </w:rPr>
        <w:instrText xml:space="preserve"> SEQ Table \* ARABIC </w:instrText>
      </w:r>
      <w:r w:rsidRPr="00460059">
        <w:rPr>
          <w:rFonts w:ascii="Times New Roman" w:hAnsi="Times New Roman" w:cs="Times New Roman"/>
          <w:bCs/>
          <w:i w:val="0"/>
          <w:color w:val="auto"/>
          <w:sz w:val="24"/>
          <w:szCs w:val="24"/>
        </w:rPr>
        <w:fldChar w:fldCharType="separate"/>
      </w:r>
      <w:r w:rsidR="00F51554" w:rsidRPr="00460059">
        <w:rPr>
          <w:rFonts w:ascii="Times New Roman" w:hAnsi="Times New Roman" w:cs="Times New Roman"/>
          <w:bCs/>
          <w:i w:val="0"/>
          <w:noProof/>
          <w:color w:val="auto"/>
          <w:sz w:val="24"/>
          <w:szCs w:val="24"/>
        </w:rPr>
        <w:t>1</w:t>
      </w:r>
      <w:r w:rsidRPr="00460059">
        <w:rPr>
          <w:rFonts w:ascii="Times New Roman" w:hAnsi="Times New Roman" w:cs="Times New Roman"/>
          <w:bCs/>
          <w:i w:val="0"/>
          <w:color w:val="auto"/>
          <w:sz w:val="24"/>
          <w:szCs w:val="24"/>
        </w:rPr>
        <w:fldChar w:fldCharType="end"/>
      </w:r>
      <w:bookmarkEnd w:id="0"/>
      <w:r w:rsidRPr="00460059">
        <w:rPr>
          <w:rFonts w:ascii="Times New Roman" w:hAnsi="Times New Roman" w:cs="Times New Roman"/>
          <w:bCs/>
          <w:i w:val="0"/>
          <w:color w:val="auto"/>
          <w:sz w:val="24"/>
          <w:szCs w:val="24"/>
        </w:rPr>
        <w:t xml:space="preserve">. Dependence of EDA results with functional/basis set for </w:t>
      </w:r>
      <w:r w:rsidRPr="00460059">
        <w:rPr>
          <w:rFonts w:ascii="Times New Roman" w:hAnsi="Times New Roman" w:cs="Times New Roman"/>
          <w:b/>
          <w:i w:val="0"/>
          <w:color w:val="auto"/>
          <w:sz w:val="24"/>
          <w:szCs w:val="24"/>
        </w:rPr>
        <w:t>1CH</w:t>
      </w:r>
      <w:r w:rsidRPr="00460059">
        <w:rPr>
          <w:rFonts w:ascii="Times New Roman" w:hAnsi="Times New Roman" w:cs="Times New Roman"/>
          <w:b/>
          <w:i w:val="0"/>
          <w:color w:val="auto"/>
          <w:sz w:val="24"/>
          <w:szCs w:val="24"/>
          <w:vertAlign w:val="subscript"/>
        </w:rPr>
        <w:t>2</w:t>
      </w:r>
      <w:r w:rsidRPr="00460059">
        <w:rPr>
          <w:rFonts w:ascii="Times New Roman" w:hAnsi="Times New Roman" w:cs="Times New Roman"/>
          <w:b/>
          <w:i w:val="0"/>
          <w:color w:val="auto"/>
          <w:sz w:val="24"/>
          <w:szCs w:val="24"/>
        </w:rPr>
        <w:t>S</w:t>
      </w:r>
      <w:r w:rsidRPr="00460059">
        <w:rPr>
          <w:rFonts w:ascii="Times New Roman" w:hAnsi="Times New Roman" w:cs="Times New Roman"/>
          <w:bCs/>
          <w:i w:val="0"/>
          <w:color w:val="auto"/>
          <w:sz w:val="24"/>
          <w:szCs w:val="24"/>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7"/>
        <w:gridCol w:w="716"/>
        <w:gridCol w:w="716"/>
        <w:gridCol w:w="636"/>
        <w:gridCol w:w="630"/>
      </w:tblGrid>
      <w:tr w:rsidR="008517C3" w:rsidRPr="00460059" w14:paraId="685E942D" w14:textId="77777777" w:rsidTr="00624718">
        <w:trPr>
          <w:jc w:val="center"/>
        </w:trPr>
        <w:tc>
          <w:tcPr>
            <w:tcW w:w="0" w:type="auto"/>
            <w:tcBorders>
              <w:top w:val="single" w:sz="4" w:space="0" w:color="auto"/>
              <w:bottom w:val="single" w:sz="4" w:space="0" w:color="auto"/>
            </w:tcBorders>
          </w:tcPr>
          <w:p w14:paraId="71BC6C78"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Functional/basis set</w:t>
            </w:r>
          </w:p>
        </w:tc>
        <w:tc>
          <w:tcPr>
            <w:tcW w:w="0" w:type="auto"/>
            <w:tcBorders>
              <w:top w:val="single" w:sz="4" w:space="0" w:color="auto"/>
              <w:bottom w:val="single" w:sz="4" w:space="0" w:color="auto"/>
            </w:tcBorders>
          </w:tcPr>
          <w:p w14:paraId="649A273C" w14:textId="77777777" w:rsidR="008517C3" w:rsidRPr="00460059" w:rsidRDefault="008517C3" w:rsidP="00F868D4">
            <w:pPr>
              <w:spacing w:line="360" w:lineRule="auto"/>
              <w:rPr>
                <w:rFonts w:ascii="Times New Roman" w:hAnsi="Times New Roman" w:cs="Times New Roman"/>
                <w:sz w:val="24"/>
                <w:szCs w:val="24"/>
              </w:rPr>
            </w:pP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int</w:t>
            </w:r>
            <w:proofErr w:type="spellEnd"/>
          </w:p>
        </w:tc>
        <w:tc>
          <w:tcPr>
            <w:tcW w:w="0" w:type="auto"/>
            <w:tcBorders>
              <w:top w:val="single" w:sz="4" w:space="0" w:color="auto"/>
              <w:bottom w:val="single" w:sz="4" w:space="0" w:color="auto"/>
            </w:tcBorders>
          </w:tcPr>
          <w:p w14:paraId="08E01B84" w14:textId="77777777" w:rsidR="008517C3" w:rsidRPr="00460059" w:rsidRDefault="008517C3" w:rsidP="00F868D4">
            <w:pPr>
              <w:spacing w:line="360" w:lineRule="auto"/>
              <w:rPr>
                <w:rFonts w:ascii="Times New Roman" w:hAnsi="Times New Roman" w:cs="Times New Roman"/>
                <w:sz w:val="24"/>
                <w:szCs w:val="24"/>
              </w:rPr>
            </w:pP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orb</w:t>
            </w:r>
            <w:proofErr w:type="spellEnd"/>
          </w:p>
        </w:tc>
        <w:tc>
          <w:tcPr>
            <w:tcW w:w="0" w:type="auto"/>
            <w:tcBorders>
              <w:top w:val="single" w:sz="4" w:space="0" w:color="auto"/>
              <w:bottom w:val="single" w:sz="4" w:space="0" w:color="auto"/>
            </w:tcBorders>
          </w:tcPr>
          <w:p w14:paraId="188C4DF4"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st</w:t>
            </w:r>
          </w:p>
        </w:tc>
        <w:tc>
          <w:tcPr>
            <w:tcW w:w="0" w:type="auto"/>
            <w:tcBorders>
              <w:top w:val="single" w:sz="4" w:space="0" w:color="auto"/>
              <w:bottom w:val="single" w:sz="4" w:space="0" w:color="auto"/>
            </w:tcBorders>
          </w:tcPr>
          <w:p w14:paraId="5997498E" w14:textId="77777777" w:rsidR="008517C3" w:rsidRPr="00460059" w:rsidRDefault="008517C3" w:rsidP="00F868D4">
            <w:pPr>
              <w:spacing w:line="360" w:lineRule="auto"/>
              <w:rPr>
                <w:rFonts w:ascii="Times New Roman" w:hAnsi="Times New Roman" w:cs="Times New Roman"/>
                <w:sz w:val="24"/>
                <w:szCs w:val="24"/>
              </w:rPr>
            </w:pP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disp</w:t>
            </w:r>
            <w:proofErr w:type="spellEnd"/>
          </w:p>
        </w:tc>
      </w:tr>
      <w:tr w:rsidR="008517C3" w:rsidRPr="00460059" w14:paraId="0EA3106A" w14:textId="77777777" w:rsidTr="00624718">
        <w:trPr>
          <w:jc w:val="center"/>
        </w:trPr>
        <w:tc>
          <w:tcPr>
            <w:tcW w:w="0" w:type="auto"/>
            <w:tcBorders>
              <w:top w:val="single" w:sz="4" w:space="0" w:color="auto"/>
            </w:tcBorders>
          </w:tcPr>
          <w:p w14:paraId="0F67669B" w14:textId="4D45D310"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M06-D0/</w:t>
            </w:r>
            <w:r w:rsidR="00B876E6" w:rsidRPr="00460059">
              <w:rPr>
                <w:rFonts w:ascii="Times New Roman" w:hAnsi="Times New Roman" w:cs="Times New Roman"/>
                <w:sz w:val="24"/>
                <w:szCs w:val="24"/>
              </w:rPr>
              <w:t>ZORA</w:t>
            </w:r>
            <w:r w:rsidRPr="00460059">
              <w:rPr>
                <w:rFonts w:ascii="Times New Roman" w:hAnsi="Times New Roman" w:cs="Times New Roman"/>
                <w:sz w:val="24"/>
                <w:szCs w:val="24"/>
              </w:rPr>
              <w:t>-TZVP</w:t>
            </w:r>
          </w:p>
        </w:tc>
        <w:tc>
          <w:tcPr>
            <w:tcW w:w="0" w:type="auto"/>
            <w:tcBorders>
              <w:top w:val="single" w:sz="4" w:space="0" w:color="auto"/>
            </w:tcBorders>
          </w:tcPr>
          <w:p w14:paraId="0CD7FD23"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-10.5</w:t>
            </w:r>
          </w:p>
        </w:tc>
        <w:tc>
          <w:tcPr>
            <w:tcW w:w="0" w:type="auto"/>
            <w:tcBorders>
              <w:top w:val="single" w:sz="4" w:space="0" w:color="auto"/>
            </w:tcBorders>
          </w:tcPr>
          <w:p w14:paraId="5516DD5D"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-11.8</w:t>
            </w:r>
          </w:p>
        </w:tc>
        <w:tc>
          <w:tcPr>
            <w:tcW w:w="0" w:type="auto"/>
            <w:tcBorders>
              <w:top w:val="single" w:sz="4" w:space="0" w:color="auto"/>
            </w:tcBorders>
          </w:tcPr>
          <w:p w14:paraId="693714B8"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2.2</w:t>
            </w:r>
          </w:p>
        </w:tc>
        <w:tc>
          <w:tcPr>
            <w:tcW w:w="0" w:type="auto"/>
            <w:tcBorders>
              <w:top w:val="single" w:sz="4" w:space="0" w:color="auto"/>
            </w:tcBorders>
          </w:tcPr>
          <w:p w14:paraId="0122D22E"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-0.9</w:t>
            </w:r>
          </w:p>
        </w:tc>
      </w:tr>
      <w:tr w:rsidR="008517C3" w:rsidRPr="00460059" w14:paraId="6EF0E5E5" w14:textId="77777777" w:rsidTr="00624718">
        <w:trPr>
          <w:jc w:val="center"/>
        </w:trPr>
        <w:tc>
          <w:tcPr>
            <w:tcW w:w="0" w:type="auto"/>
          </w:tcPr>
          <w:p w14:paraId="20B966F6" w14:textId="72A40263"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lastRenderedPageBreak/>
              <w:t>B3LYP-D3/</w:t>
            </w:r>
            <w:r w:rsidR="00B876E6" w:rsidRPr="00460059">
              <w:rPr>
                <w:rFonts w:ascii="Times New Roman" w:hAnsi="Times New Roman" w:cs="Times New Roman"/>
                <w:sz w:val="24"/>
                <w:szCs w:val="24"/>
              </w:rPr>
              <w:t>ZORA</w:t>
            </w:r>
            <w:r w:rsidRPr="00460059">
              <w:rPr>
                <w:rFonts w:ascii="Times New Roman" w:hAnsi="Times New Roman" w:cs="Times New Roman"/>
                <w:sz w:val="24"/>
                <w:szCs w:val="24"/>
              </w:rPr>
              <w:t>-TZVP</w:t>
            </w:r>
          </w:p>
        </w:tc>
        <w:tc>
          <w:tcPr>
            <w:tcW w:w="0" w:type="auto"/>
          </w:tcPr>
          <w:p w14:paraId="03AFA48B"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-10.0</w:t>
            </w:r>
          </w:p>
        </w:tc>
        <w:tc>
          <w:tcPr>
            <w:tcW w:w="0" w:type="auto"/>
          </w:tcPr>
          <w:p w14:paraId="04480C51"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-11.7</w:t>
            </w:r>
          </w:p>
        </w:tc>
        <w:tc>
          <w:tcPr>
            <w:tcW w:w="0" w:type="auto"/>
          </w:tcPr>
          <w:p w14:paraId="5B0D2C28"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9.4</w:t>
            </w:r>
          </w:p>
        </w:tc>
        <w:tc>
          <w:tcPr>
            <w:tcW w:w="0" w:type="auto"/>
          </w:tcPr>
          <w:p w14:paraId="2363E53B" w14:textId="77777777" w:rsidR="008517C3" w:rsidRPr="00460059" w:rsidRDefault="008517C3" w:rsidP="00F868D4">
            <w:pPr>
              <w:spacing w:line="360" w:lineRule="auto"/>
              <w:rPr>
                <w:rFonts w:ascii="Times New Roman" w:hAnsi="Times New Roman" w:cs="Times New Roman"/>
                <w:sz w:val="24"/>
                <w:szCs w:val="24"/>
              </w:rPr>
            </w:pPr>
            <w:r w:rsidRPr="00460059">
              <w:rPr>
                <w:rFonts w:ascii="Times New Roman" w:hAnsi="Times New Roman" w:cs="Times New Roman"/>
                <w:sz w:val="24"/>
                <w:szCs w:val="24"/>
              </w:rPr>
              <w:t>-7.6</w:t>
            </w:r>
          </w:p>
        </w:tc>
      </w:tr>
      <w:tr w:rsidR="00173F95" w:rsidRPr="00460059" w14:paraId="5079CE73" w14:textId="77777777" w:rsidTr="00624718">
        <w:trPr>
          <w:jc w:val="center"/>
        </w:trPr>
        <w:tc>
          <w:tcPr>
            <w:tcW w:w="0" w:type="auto"/>
          </w:tcPr>
          <w:p w14:paraId="1FB1E0A8" w14:textId="48A4C0EB" w:rsidR="00173F95" w:rsidRPr="00460059" w:rsidRDefault="00173F95" w:rsidP="00A93C47">
            <w:pPr>
              <w:spacing w:line="360" w:lineRule="auto"/>
              <w:rPr>
                <w:rFonts w:ascii="Times New Roman" w:hAnsi="Times New Roman" w:cs="Times New Roman"/>
                <w:sz w:val="24"/>
                <w:szCs w:val="24"/>
              </w:rPr>
            </w:pPr>
            <w:r w:rsidRPr="00460059">
              <w:rPr>
                <w:rFonts w:ascii="Times New Roman" w:hAnsi="Times New Roman" w:cs="Times New Roman"/>
                <w:sz w:val="24"/>
                <w:szCs w:val="24"/>
              </w:rPr>
              <w:t>PBE0-D3/</w:t>
            </w:r>
            <w:r w:rsidR="00A93C47" w:rsidRPr="00460059">
              <w:rPr>
                <w:rFonts w:ascii="Times New Roman" w:hAnsi="Times New Roman" w:cs="Times New Roman"/>
                <w:sz w:val="24"/>
                <w:szCs w:val="24"/>
              </w:rPr>
              <w:t>ZORA</w:t>
            </w:r>
            <w:r w:rsidRPr="00460059">
              <w:rPr>
                <w:rFonts w:ascii="Times New Roman" w:hAnsi="Times New Roman" w:cs="Times New Roman"/>
                <w:sz w:val="24"/>
                <w:szCs w:val="24"/>
              </w:rPr>
              <w:t>-TZVP</w:t>
            </w:r>
          </w:p>
        </w:tc>
        <w:tc>
          <w:tcPr>
            <w:tcW w:w="0" w:type="auto"/>
          </w:tcPr>
          <w:p w14:paraId="06045664" w14:textId="2D75D2BD"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-10.3</w:t>
            </w:r>
          </w:p>
        </w:tc>
        <w:tc>
          <w:tcPr>
            <w:tcW w:w="0" w:type="auto"/>
          </w:tcPr>
          <w:p w14:paraId="6F72E722" w14:textId="1C225B8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-11.7</w:t>
            </w:r>
          </w:p>
        </w:tc>
        <w:tc>
          <w:tcPr>
            <w:tcW w:w="0" w:type="auto"/>
          </w:tcPr>
          <w:p w14:paraId="2619F505" w14:textId="6D1E0CBA"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5.6</w:t>
            </w:r>
          </w:p>
        </w:tc>
        <w:tc>
          <w:tcPr>
            <w:tcW w:w="0" w:type="auto"/>
          </w:tcPr>
          <w:p w14:paraId="4CD9896C" w14:textId="34DB2EBC"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-4.3</w:t>
            </w:r>
          </w:p>
        </w:tc>
      </w:tr>
      <w:tr w:rsidR="00173F95" w:rsidRPr="00460059" w14:paraId="7F059157" w14:textId="77777777" w:rsidTr="00624718">
        <w:trPr>
          <w:jc w:val="center"/>
        </w:trPr>
        <w:tc>
          <w:tcPr>
            <w:tcW w:w="0" w:type="auto"/>
          </w:tcPr>
          <w:p w14:paraId="4E465D49" w14:textId="15D9EF38"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TPSSh-D3/ZORA-TZVP</w:t>
            </w:r>
          </w:p>
        </w:tc>
        <w:tc>
          <w:tcPr>
            <w:tcW w:w="0" w:type="auto"/>
          </w:tcPr>
          <w:p w14:paraId="7C75A27E" w14:textId="73309365" w:rsidR="00173F95" w:rsidRPr="00460059" w:rsidRDefault="00173F95" w:rsidP="00624718">
            <w:pPr>
              <w:spacing w:line="360" w:lineRule="auto"/>
              <w:jc w:val="center"/>
              <w:rPr>
                <w:rFonts w:ascii="Times New Roman" w:hAnsi="Times New Roman" w:cs="Times New Roman"/>
                <w:sz w:val="24"/>
                <w:szCs w:val="24"/>
              </w:rPr>
            </w:pPr>
            <w:r w:rsidRPr="00460059">
              <w:rPr>
                <w:rFonts w:ascii="Times New Roman" w:hAnsi="Times New Roman" w:cs="Times New Roman"/>
                <w:sz w:val="24"/>
                <w:szCs w:val="24"/>
              </w:rPr>
              <w:t>-10.8</w:t>
            </w:r>
          </w:p>
        </w:tc>
        <w:tc>
          <w:tcPr>
            <w:tcW w:w="0" w:type="auto"/>
          </w:tcPr>
          <w:p w14:paraId="47E7A7F8" w14:textId="5852FB23"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-12.3</w:t>
            </w:r>
          </w:p>
        </w:tc>
        <w:tc>
          <w:tcPr>
            <w:tcW w:w="0" w:type="auto"/>
          </w:tcPr>
          <w:p w14:paraId="1D23BA06" w14:textId="4A7A985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7.2</w:t>
            </w:r>
          </w:p>
        </w:tc>
        <w:tc>
          <w:tcPr>
            <w:tcW w:w="0" w:type="auto"/>
          </w:tcPr>
          <w:p w14:paraId="7EA4455A" w14:textId="5DF12199"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-5.7</w:t>
            </w:r>
          </w:p>
        </w:tc>
      </w:tr>
      <w:tr w:rsidR="00173F95" w:rsidRPr="00460059" w14:paraId="1B5EF188" w14:textId="77777777" w:rsidTr="00624718">
        <w:trPr>
          <w:jc w:val="center"/>
        </w:trPr>
        <w:tc>
          <w:tcPr>
            <w:tcW w:w="0" w:type="auto"/>
          </w:tcPr>
          <w:p w14:paraId="22FCBAAA" w14:textId="7AEA9EC5"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TPSS-D3/ZORA-TZVP</w:t>
            </w:r>
          </w:p>
        </w:tc>
        <w:tc>
          <w:tcPr>
            <w:tcW w:w="0" w:type="auto"/>
          </w:tcPr>
          <w:p w14:paraId="5491C9CC" w14:textId="3CEEFFE3"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-10.8</w:t>
            </w:r>
          </w:p>
        </w:tc>
        <w:tc>
          <w:tcPr>
            <w:tcW w:w="0" w:type="auto"/>
          </w:tcPr>
          <w:p w14:paraId="77F7803B" w14:textId="7BB564C8"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-13.0</w:t>
            </w:r>
          </w:p>
        </w:tc>
        <w:tc>
          <w:tcPr>
            <w:tcW w:w="0" w:type="auto"/>
          </w:tcPr>
          <w:p w14:paraId="6CFF5190" w14:textId="3BAC1C9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8.0</w:t>
            </w:r>
          </w:p>
        </w:tc>
        <w:tc>
          <w:tcPr>
            <w:tcW w:w="0" w:type="auto"/>
          </w:tcPr>
          <w:p w14:paraId="19E90484" w14:textId="32EDF0AC"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-5.8</w:t>
            </w:r>
          </w:p>
        </w:tc>
      </w:tr>
      <w:tr w:rsidR="00173F95" w:rsidRPr="00460059" w14:paraId="4C2AA6DA" w14:textId="77777777" w:rsidTr="00624718">
        <w:trPr>
          <w:jc w:val="center"/>
        </w:trPr>
        <w:tc>
          <w:tcPr>
            <w:tcW w:w="0" w:type="auto"/>
          </w:tcPr>
          <w:p w14:paraId="03E8653E" w14:textId="0FB3AC6E"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BLYP-D3/ZORA-TZVP</w:t>
            </w:r>
          </w:p>
        </w:tc>
        <w:tc>
          <w:tcPr>
            <w:tcW w:w="0" w:type="auto"/>
          </w:tcPr>
          <w:p w14:paraId="0580A09E" w14:textId="49E4D473"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-10.1</w:t>
            </w:r>
          </w:p>
        </w:tc>
        <w:tc>
          <w:tcPr>
            <w:tcW w:w="0" w:type="auto"/>
          </w:tcPr>
          <w:p w14:paraId="329E7D81" w14:textId="70D581A6"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-13.1</w:t>
            </w:r>
          </w:p>
        </w:tc>
        <w:tc>
          <w:tcPr>
            <w:tcW w:w="0" w:type="auto"/>
          </w:tcPr>
          <w:p w14:paraId="054188DF" w14:textId="12CFD73A"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12.1</w:t>
            </w:r>
          </w:p>
        </w:tc>
        <w:tc>
          <w:tcPr>
            <w:tcW w:w="0" w:type="auto"/>
          </w:tcPr>
          <w:p w14:paraId="3E2C7FAB" w14:textId="4CCFDFD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-9.1</w:t>
            </w:r>
          </w:p>
        </w:tc>
      </w:tr>
      <w:tr w:rsidR="00173F95" w:rsidRPr="00460059" w14:paraId="466CE436" w14:textId="77777777" w:rsidTr="00624718">
        <w:trPr>
          <w:jc w:val="center"/>
        </w:trPr>
        <w:tc>
          <w:tcPr>
            <w:tcW w:w="0" w:type="auto"/>
          </w:tcPr>
          <w:p w14:paraId="2AB074C2" w14:textId="21748F8C"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BP86-D3/ZORA-TZVP</w:t>
            </w:r>
          </w:p>
        </w:tc>
        <w:tc>
          <w:tcPr>
            <w:tcW w:w="0" w:type="auto"/>
          </w:tcPr>
          <w:p w14:paraId="4E7C05FA" w14:textId="7777777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-12.5</w:t>
            </w:r>
          </w:p>
        </w:tc>
        <w:tc>
          <w:tcPr>
            <w:tcW w:w="0" w:type="auto"/>
          </w:tcPr>
          <w:p w14:paraId="06FE16F3" w14:textId="7777777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-13.4</w:t>
            </w:r>
          </w:p>
        </w:tc>
        <w:tc>
          <w:tcPr>
            <w:tcW w:w="0" w:type="auto"/>
          </w:tcPr>
          <w:p w14:paraId="5CC3148F" w14:textId="7777777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9.3</w:t>
            </w:r>
          </w:p>
        </w:tc>
        <w:tc>
          <w:tcPr>
            <w:tcW w:w="0" w:type="auto"/>
          </w:tcPr>
          <w:p w14:paraId="42F89933" w14:textId="77777777"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-8.3</w:t>
            </w:r>
          </w:p>
        </w:tc>
      </w:tr>
      <w:tr w:rsidR="00173F95" w:rsidRPr="00460059" w14:paraId="710F841C" w14:textId="77777777" w:rsidTr="00624718">
        <w:trPr>
          <w:jc w:val="center"/>
        </w:trPr>
        <w:tc>
          <w:tcPr>
            <w:tcW w:w="0" w:type="auto"/>
          </w:tcPr>
          <w:p w14:paraId="34B5E079" w14:textId="5B211342"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B2PLYP-D3/ZORA-TZVP</w:t>
            </w:r>
          </w:p>
        </w:tc>
        <w:tc>
          <w:tcPr>
            <w:tcW w:w="0" w:type="auto"/>
          </w:tcPr>
          <w:p w14:paraId="40714AB6" w14:textId="3D7ED384"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-9.1</w:t>
            </w:r>
          </w:p>
        </w:tc>
        <w:tc>
          <w:tcPr>
            <w:tcW w:w="0" w:type="auto"/>
          </w:tcPr>
          <w:p w14:paraId="554C1044" w14:textId="3241E2D4"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-10.0</w:t>
            </w:r>
          </w:p>
        </w:tc>
        <w:tc>
          <w:tcPr>
            <w:tcW w:w="0" w:type="auto"/>
          </w:tcPr>
          <w:p w14:paraId="6218ECF9" w14:textId="6088558A"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5.0</w:t>
            </w:r>
          </w:p>
        </w:tc>
        <w:tc>
          <w:tcPr>
            <w:tcW w:w="0" w:type="auto"/>
          </w:tcPr>
          <w:p w14:paraId="7147F85A" w14:textId="245BD95E"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-4.0</w:t>
            </w:r>
          </w:p>
        </w:tc>
      </w:tr>
      <w:tr w:rsidR="00173F95" w:rsidRPr="00460059" w14:paraId="6F42884F" w14:textId="77777777" w:rsidTr="00624718">
        <w:trPr>
          <w:jc w:val="center"/>
        </w:trPr>
        <w:tc>
          <w:tcPr>
            <w:tcW w:w="0" w:type="auto"/>
          </w:tcPr>
          <w:p w14:paraId="792B2CD9" w14:textId="452E770B"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B3LYP-D3/ZORA-</w:t>
            </w:r>
            <w:proofErr w:type="spellStart"/>
            <w:r w:rsidRPr="00460059">
              <w:rPr>
                <w:rFonts w:ascii="Times New Roman" w:hAnsi="Times New Roman" w:cs="Times New Roman"/>
                <w:sz w:val="24"/>
                <w:szCs w:val="24"/>
              </w:rPr>
              <w:t>sVP</w:t>
            </w:r>
            <w:proofErr w:type="spellEnd"/>
          </w:p>
        </w:tc>
        <w:tc>
          <w:tcPr>
            <w:tcW w:w="0" w:type="auto"/>
          </w:tcPr>
          <w:p w14:paraId="08647294" w14:textId="2299B538"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-14.6</w:t>
            </w:r>
          </w:p>
        </w:tc>
        <w:tc>
          <w:tcPr>
            <w:tcW w:w="0" w:type="auto"/>
          </w:tcPr>
          <w:p w14:paraId="108C410E" w14:textId="7DC9DF1C"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-15.8</w:t>
            </w:r>
          </w:p>
        </w:tc>
        <w:tc>
          <w:tcPr>
            <w:tcW w:w="0" w:type="auto"/>
          </w:tcPr>
          <w:p w14:paraId="6FA86CC8" w14:textId="44813719"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8.9</w:t>
            </w:r>
          </w:p>
        </w:tc>
        <w:tc>
          <w:tcPr>
            <w:tcW w:w="0" w:type="auto"/>
          </w:tcPr>
          <w:p w14:paraId="2B62256D" w14:textId="2C2B92B9"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-7.6</w:t>
            </w:r>
          </w:p>
        </w:tc>
      </w:tr>
      <w:tr w:rsidR="00173F95" w:rsidRPr="00460059" w14:paraId="6B67591D" w14:textId="77777777" w:rsidTr="00624718">
        <w:trPr>
          <w:jc w:val="center"/>
        </w:trPr>
        <w:tc>
          <w:tcPr>
            <w:tcW w:w="0" w:type="auto"/>
            <w:tcBorders>
              <w:bottom w:val="single" w:sz="4" w:space="0" w:color="auto"/>
            </w:tcBorders>
          </w:tcPr>
          <w:p w14:paraId="7FCD40B8" w14:textId="332EEB73"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BP86-D3/ZORA-</w:t>
            </w:r>
            <w:proofErr w:type="spellStart"/>
            <w:r w:rsidRPr="00460059">
              <w:rPr>
                <w:rFonts w:ascii="Times New Roman" w:hAnsi="Times New Roman" w:cs="Times New Roman"/>
                <w:sz w:val="24"/>
                <w:szCs w:val="24"/>
              </w:rPr>
              <w:t>sVP</w:t>
            </w:r>
            <w:proofErr w:type="spellEnd"/>
          </w:p>
        </w:tc>
        <w:tc>
          <w:tcPr>
            <w:tcW w:w="0" w:type="auto"/>
            <w:tcBorders>
              <w:bottom w:val="single" w:sz="4" w:space="0" w:color="auto"/>
            </w:tcBorders>
          </w:tcPr>
          <w:p w14:paraId="0038C111" w14:textId="2A0B6BED"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-16.9</w:t>
            </w:r>
          </w:p>
        </w:tc>
        <w:tc>
          <w:tcPr>
            <w:tcW w:w="0" w:type="auto"/>
            <w:tcBorders>
              <w:bottom w:val="single" w:sz="4" w:space="0" w:color="auto"/>
            </w:tcBorders>
          </w:tcPr>
          <w:p w14:paraId="1C536426" w14:textId="13383213"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-17.8</w:t>
            </w:r>
          </w:p>
        </w:tc>
        <w:tc>
          <w:tcPr>
            <w:tcW w:w="0" w:type="auto"/>
            <w:tcBorders>
              <w:bottom w:val="single" w:sz="4" w:space="0" w:color="auto"/>
            </w:tcBorders>
          </w:tcPr>
          <w:p w14:paraId="4635B769" w14:textId="6DE5C79C"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9.3</w:t>
            </w:r>
          </w:p>
        </w:tc>
        <w:tc>
          <w:tcPr>
            <w:tcW w:w="0" w:type="auto"/>
            <w:tcBorders>
              <w:bottom w:val="single" w:sz="4" w:space="0" w:color="auto"/>
            </w:tcBorders>
          </w:tcPr>
          <w:p w14:paraId="15CA0273" w14:textId="23279B2B" w:rsidR="00173F95" w:rsidRPr="00460059" w:rsidRDefault="00173F95" w:rsidP="00173F95">
            <w:pPr>
              <w:spacing w:line="360" w:lineRule="auto"/>
              <w:rPr>
                <w:rFonts w:ascii="Times New Roman" w:hAnsi="Times New Roman" w:cs="Times New Roman"/>
                <w:sz w:val="24"/>
                <w:szCs w:val="24"/>
              </w:rPr>
            </w:pPr>
            <w:r w:rsidRPr="00460059">
              <w:rPr>
                <w:rFonts w:ascii="Times New Roman" w:hAnsi="Times New Roman" w:cs="Times New Roman"/>
                <w:sz w:val="24"/>
                <w:szCs w:val="24"/>
              </w:rPr>
              <w:t>-8.3</w:t>
            </w:r>
          </w:p>
        </w:tc>
      </w:tr>
    </w:tbl>
    <w:p w14:paraId="4129BA09" w14:textId="02B4BB3E" w:rsidR="007E6BE5" w:rsidRPr="00460059" w:rsidRDefault="007E6BE5" w:rsidP="00B46701">
      <w:pPr>
        <w:pStyle w:val="RSCB02ArticleText"/>
        <w:spacing w:line="360" w:lineRule="auto"/>
        <w:jc w:val="center"/>
        <w:rPr>
          <w:rFonts w:ascii="Times New Roman" w:hAnsi="Times New Roman"/>
          <w:sz w:val="24"/>
          <w:szCs w:val="24"/>
        </w:rPr>
      </w:pPr>
    </w:p>
    <w:p w14:paraId="3CF5F5C9" w14:textId="08F10A10" w:rsidR="00A33567" w:rsidRPr="00460059" w:rsidRDefault="00D40363" w:rsidP="006640E5">
      <w:pPr>
        <w:pStyle w:val="RSCB02ArticleText"/>
        <w:spacing w:line="360" w:lineRule="auto"/>
        <w:rPr>
          <w:rFonts w:ascii="Times New Roman" w:hAnsi="Times New Roman"/>
          <w:sz w:val="24"/>
          <w:szCs w:val="24"/>
        </w:rPr>
      </w:pPr>
      <w:r w:rsidRPr="00460059">
        <w:rPr>
          <w:rFonts w:ascii="Times New Roman" w:hAnsi="Times New Roman"/>
          <w:sz w:val="24"/>
          <w:szCs w:val="24"/>
        </w:rPr>
        <w:t>The decomposition of E</w:t>
      </w:r>
      <w:r w:rsidRPr="00460059">
        <w:rPr>
          <w:rFonts w:ascii="Times New Roman" w:hAnsi="Times New Roman"/>
          <w:sz w:val="24"/>
          <w:szCs w:val="24"/>
          <w:vertAlign w:val="subscript"/>
        </w:rPr>
        <w:t>st</w:t>
      </w:r>
      <w:r w:rsidRPr="00460059">
        <w:rPr>
          <w:rFonts w:ascii="Times New Roman" w:hAnsi="Times New Roman"/>
          <w:sz w:val="24"/>
          <w:szCs w:val="24"/>
        </w:rPr>
        <w:t xml:space="preserve"> in </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Pauli</w:t>
      </w:r>
      <w:proofErr w:type="spellEnd"/>
      <w:r w:rsidRPr="00460059">
        <w:rPr>
          <w:rFonts w:ascii="Times New Roman" w:hAnsi="Times New Roman"/>
          <w:sz w:val="24"/>
          <w:szCs w:val="24"/>
          <w:vertAlign w:val="subscript"/>
        </w:rPr>
        <w:t xml:space="preserve"> </w:t>
      </w:r>
      <w:r w:rsidRPr="00460059">
        <w:rPr>
          <w:rFonts w:ascii="Times New Roman" w:hAnsi="Times New Roman"/>
          <w:sz w:val="24"/>
          <w:szCs w:val="24"/>
        </w:rPr>
        <w:t xml:space="preserve">and </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el</w:t>
      </w:r>
      <w:r w:rsidR="005F7E1D" w:rsidRPr="00460059">
        <w:rPr>
          <w:rFonts w:ascii="Times New Roman" w:hAnsi="Times New Roman"/>
          <w:sz w:val="24"/>
          <w:szCs w:val="24"/>
          <w:vertAlign w:val="subscript"/>
        </w:rPr>
        <w:t>st</w:t>
      </w:r>
      <w:proofErr w:type="spellEnd"/>
      <w:r w:rsidR="005F7E1D" w:rsidRPr="00460059">
        <w:rPr>
          <w:rFonts w:ascii="Times New Roman" w:hAnsi="Times New Roman"/>
          <w:sz w:val="24"/>
          <w:szCs w:val="24"/>
        </w:rPr>
        <w:t>, which is not possible with ORCA 4.1</w:t>
      </w:r>
      <w:r w:rsidR="00AD216F" w:rsidRPr="00460059">
        <w:rPr>
          <w:rFonts w:ascii="Times New Roman" w:hAnsi="Times New Roman"/>
          <w:sz w:val="24"/>
          <w:szCs w:val="24"/>
        </w:rPr>
        <w:t>.0, can be done with ADF</w:t>
      </w:r>
      <w:r w:rsidR="00071D22" w:rsidRPr="00460059">
        <w:rPr>
          <w:rFonts w:ascii="Times New Roman" w:hAnsi="Times New Roman"/>
          <w:sz w:val="24"/>
          <w:szCs w:val="24"/>
        </w:rPr>
        <w:t xml:space="preserve"> (B3LYP-D3, ZORA and TZ2P basis set)</w:t>
      </w:r>
      <w:r w:rsidR="00D328FA" w:rsidRPr="00460059">
        <w:rPr>
          <w:rFonts w:ascii="Times New Roman" w:hAnsi="Times New Roman"/>
          <w:sz w:val="24"/>
          <w:szCs w:val="24"/>
        </w:rPr>
        <w:t>, leading</w:t>
      </w:r>
      <w:r w:rsidR="00B74DC7" w:rsidRPr="00460059">
        <w:rPr>
          <w:rFonts w:ascii="Times New Roman" w:hAnsi="Times New Roman"/>
          <w:sz w:val="24"/>
          <w:szCs w:val="24"/>
        </w:rPr>
        <w:t xml:space="preserve"> </w:t>
      </w:r>
      <w:r w:rsidR="000C025B" w:rsidRPr="00460059">
        <w:rPr>
          <w:rFonts w:ascii="Times New Roman" w:hAnsi="Times New Roman"/>
          <w:sz w:val="24"/>
          <w:szCs w:val="24"/>
        </w:rPr>
        <w:t>to</w:t>
      </w:r>
      <w:r w:rsidR="00C36823" w:rsidRPr="00460059">
        <w:rPr>
          <w:rFonts w:ascii="Times New Roman" w:hAnsi="Times New Roman"/>
          <w:sz w:val="24"/>
          <w:szCs w:val="24"/>
        </w:rPr>
        <w:t xml:space="preserve"> </w:t>
      </w:r>
      <w:r w:rsidR="009D246B" w:rsidRPr="00460059">
        <w:rPr>
          <w:rFonts w:ascii="Times New Roman" w:hAnsi="Times New Roman"/>
          <w:sz w:val="24"/>
          <w:szCs w:val="24"/>
        </w:rPr>
        <w:t>the following</w:t>
      </w:r>
      <w:r w:rsidR="00C36823" w:rsidRPr="00460059">
        <w:rPr>
          <w:rFonts w:ascii="Times New Roman" w:hAnsi="Times New Roman"/>
          <w:sz w:val="24"/>
          <w:szCs w:val="24"/>
        </w:rPr>
        <w:t xml:space="preserve"> results: </w:t>
      </w:r>
      <w:proofErr w:type="spellStart"/>
      <w:r w:rsidR="00C36823" w:rsidRPr="00460059">
        <w:rPr>
          <w:rFonts w:ascii="Times New Roman" w:hAnsi="Times New Roman"/>
          <w:sz w:val="24"/>
          <w:szCs w:val="24"/>
        </w:rPr>
        <w:t>E</w:t>
      </w:r>
      <w:r w:rsidR="00314424" w:rsidRPr="00460059">
        <w:rPr>
          <w:rFonts w:ascii="Times New Roman" w:hAnsi="Times New Roman"/>
          <w:sz w:val="24"/>
          <w:szCs w:val="24"/>
          <w:vertAlign w:val="subscript"/>
        </w:rPr>
        <w:t>int</w:t>
      </w:r>
      <w:proofErr w:type="spellEnd"/>
      <w:r w:rsidR="00314424" w:rsidRPr="00460059">
        <w:rPr>
          <w:rFonts w:ascii="Times New Roman" w:hAnsi="Times New Roman"/>
          <w:sz w:val="24"/>
          <w:szCs w:val="24"/>
          <w:vertAlign w:val="subscript"/>
        </w:rPr>
        <w:t xml:space="preserve"> </w:t>
      </w:r>
      <w:r w:rsidR="00314424" w:rsidRPr="00460059">
        <w:rPr>
          <w:rFonts w:ascii="Times New Roman" w:hAnsi="Times New Roman"/>
          <w:sz w:val="24"/>
          <w:szCs w:val="24"/>
        </w:rPr>
        <w:t xml:space="preserve">= -8.6, </w:t>
      </w:r>
      <w:proofErr w:type="spellStart"/>
      <w:r w:rsidR="00314424" w:rsidRPr="00460059">
        <w:rPr>
          <w:rFonts w:ascii="Times New Roman" w:hAnsi="Times New Roman"/>
          <w:sz w:val="24"/>
          <w:szCs w:val="24"/>
        </w:rPr>
        <w:t>E</w:t>
      </w:r>
      <w:r w:rsidR="00314424" w:rsidRPr="00460059">
        <w:rPr>
          <w:rFonts w:ascii="Times New Roman" w:hAnsi="Times New Roman"/>
          <w:sz w:val="24"/>
          <w:szCs w:val="24"/>
          <w:vertAlign w:val="subscript"/>
        </w:rPr>
        <w:t>orb</w:t>
      </w:r>
      <w:proofErr w:type="spellEnd"/>
      <w:r w:rsidR="00314424" w:rsidRPr="00460059">
        <w:rPr>
          <w:rFonts w:ascii="Times New Roman" w:hAnsi="Times New Roman"/>
          <w:sz w:val="24"/>
          <w:szCs w:val="24"/>
        </w:rPr>
        <w:t xml:space="preserve"> = -12.3, </w:t>
      </w:r>
      <w:proofErr w:type="spellStart"/>
      <w:r w:rsidR="00314424" w:rsidRPr="00460059">
        <w:rPr>
          <w:rFonts w:ascii="Times New Roman" w:hAnsi="Times New Roman"/>
          <w:sz w:val="24"/>
          <w:szCs w:val="24"/>
        </w:rPr>
        <w:t>E</w:t>
      </w:r>
      <w:r w:rsidR="00453794" w:rsidRPr="00460059">
        <w:rPr>
          <w:rFonts w:ascii="Times New Roman" w:hAnsi="Times New Roman"/>
          <w:sz w:val="24"/>
          <w:szCs w:val="24"/>
          <w:vertAlign w:val="subscript"/>
        </w:rPr>
        <w:t>Pauli</w:t>
      </w:r>
      <w:proofErr w:type="spellEnd"/>
      <w:r w:rsidR="00314424" w:rsidRPr="00460059">
        <w:rPr>
          <w:rFonts w:ascii="Times New Roman" w:hAnsi="Times New Roman"/>
          <w:sz w:val="24"/>
          <w:szCs w:val="24"/>
        </w:rPr>
        <w:t xml:space="preserve"> = </w:t>
      </w:r>
      <w:r w:rsidR="00453794" w:rsidRPr="00460059">
        <w:rPr>
          <w:rFonts w:ascii="Times New Roman" w:hAnsi="Times New Roman"/>
          <w:sz w:val="24"/>
          <w:szCs w:val="24"/>
        </w:rPr>
        <w:t>39.0</w:t>
      </w:r>
      <w:r w:rsidR="00314424" w:rsidRPr="00460059">
        <w:rPr>
          <w:rFonts w:ascii="Times New Roman" w:hAnsi="Times New Roman"/>
          <w:sz w:val="24"/>
          <w:szCs w:val="24"/>
        </w:rPr>
        <w:t>,</w:t>
      </w:r>
      <w:r w:rsidR="00453794" w:rsidRPr="00460059">
        <w:rPr>
          <w:rFonts w:ascii="Times New Roman" w:hAnsi="Times New Roman"/>
          <w:sz w:val="24"/>
          <w:szCs w:val="24"/>
        </w:rPr>
        <w:t xml:space="preserve"> </w:t>
      </w:r>
      <w:proofErr w:type="spellStart"/>
      <w:r w:rsidR="00453794" w:rsidRPr="00460059">
        <w:rPr>
          <w:rFonts w:ascii="Times New Roman" w:hAnsi="Times New Roman"/>
          <w:sz w:val="24"/>
          <w:szCs w:val="24"/>
        </w:rPr>
        <w:t>E</w:t>
      </w:r>
      <w:r w:rsidR="00453794" w:rsidRPr="00460059">
        <w:rPr>
          <w:rFonts w:ascii="Times New Roman" w:hAnsi="Times New Roman"/>
          <w:sz w:val="24"/>
          <w:szCs w:val="24"/>
          <w:vertAlign w:val="subscript"/>
        </w:rPr>
        <w:t>elst</w:t>
      </w:r>
      <w:proofErr w:type="spellEnd"/>
      <w:r w:rsidR="00453794" w:rsidRPr="00460059">
        <w:rPr>
          <w:rFonts w:ascii="Times New Roman" w:hAnsi="Times New Roman"/>
          <w:sz w:val="24"/>
          <w:szCs w:val="24"/>
        </w:rPr>
        <w:t xml:space="preserve"> = -27.7 and </w:t>
      </w:r>
      <w:proofErr w:type="spellStart"/>
      <w:r w:rsidR="00453794" w:rsidRPr="00460059">
        <w:rPr>
          <w:rFonts w:ascii="Times New Roman" w:hAnsi="Times New Roman"/>
          <w:sz w:val="24"/>
          <w:szCs w:val="24"/>
        </w:rPr>
        <w:t>E</w:t>
      </w:r>
      <w:r w:rsidR="00453794" w:rsidRPr="00460059">
        <w:rPr>
          <w:rFonts w:ascii="Times New Roman" w:hAnsi="Times New Roman"/>
          <w:sz w:val="24"/>
          <w:szCs w:val="24"/>
          <w:vertAlign w:val="subscript"/>
        </w:rPr>
        <w:t>disp</w:t>
      </w:r>
      <w:proofErr w:type="spellEnd"/>
      <w:r w:rsidR="00453794" w:rsidRPr="00460059">
        <w:rPr>
          <w:rFonts w:ascii="Times New Roman" w:hAnsi="Times New Roman"/>
          <w:sz w:val="24"/>
          <w:szCs w:val="24"/>
        </w:rPr>
        <w:t xml:space="preserve"> = -</w:t>
      </w:r>
      <w:r w:rsidR="009134F3" w:rsidRPr="00460059">
        <w:rPr>
          <w:rFonts w:ascii="Times New Roman" w:hAnsi="Times New Roman"/>
          <w:sz w:val="24"/>
          <w:szCs w:val="24"/>
        </w:rPr>
        <w:t>7</w:t>
      </w:r>
      <w:r w:rsidR="00453794" w:rsidRPr="00460059">
        <w:rPr>
          <w:rFonts w:ascii="Times New Roman" w:hAnsi="Times New Roman"/>
          <w:sz w:val="24"/>
          <w:szCs w:val="24"/>
        </w:rPr>
        <w:t>.</w:t>
      </w:r>
      <w:r w:rsidR="009134F3" w:rsidRPr="00460059">
        <w:rPr>
          <w:rFonts w:ascii="Times New Roman" w:hAnsi="Times New Roman"/>
          <w:sz w:val="24"/>
          <w:szCs w:val="24"/>
        </w:rPr>
        <w:t>6 kcal/mol.</w:t>
      </w:r>
      <w:r w:rsidR="009D246B" w:rsidRPr="00460059">
        <w:rPr>
          <w:rFonts w:ascii="Times New Roman" w:hAnsi="Times New Roman"/>
          <w:sz w:val="24"/>
          <w:szCs w:val="24"/>
        </w:rPr>
        <w:t xml:space="preserve"> </w:t>
      </w:r>
      <w:r w:rsidR="00B6105D" w:rsidRPr="00460059">
        <w:rPr>
          <w:rFonts w:ascii="Times New Roman" w:hAnsi="Times New Roman"/>
          <w:sz w:val="24"/>
          <w:szCs w:val="24"/>
        </w:rPr>
        <w:t xml:space="preserve">Noteworthy, </w:t>
      </w:r>
      <w:r w:rsidR="00C75D18" w:rsidRPr="00460059">
        <w:rPr>
          <w:rFonts w:ascii="Times New Roman" w:hAnsi="Times New Roman"/>
          <w:sz w:val="24"/>
          <w:szCs w:val="24"/>
        </w:rPr>
        <w:t xml:space="preserve">the value of </w:t>
      </w:r>
      <w:proofErr w:type="spellStart"/>
      <w:r w:rsidR="00B6105D" w:rsidRPr="00460059">
        <w:rPr>
          <w:rFonts w:ascii="Times New Roman" w:hAnsi="Times New Roman"/>
          <w:sz w:val="24"/>
          <w:szCs w:val="24"/>
        </w:rPr>
        <w:t>E</w:t>
      </w:r>
      <w:r w:rsidR="00B6105D" w:rsidRPr="00460059">
        <w:rPr>
          <w:rFonts w:ascii="Times New Roman" w:hAnsi="Times New Roman"/>
          <w:sz w:val="24"/>
          <w:szCs w:val="24"/>
          <w:vertAlign w:val="subscript"/>
        </w:rPr>
        <w:t>orb</w:t>
      </w:r>
      <w:proofErr w:type="spellEnd"/>
      <w:r w:rsidR="00B6105D" w:rsidRPr="00460059">
        <w:rPr>
          <w:rFonts w:ascii="Times New Roman" w:hAnsi="Times New Roman"/>
          <w:sz w:val="24"/>
          <w:szCs w:val="24"/>
        </w:rPr>
        <w:t xml:space="preserve"> is </w:t>
      </w:r>
      <w:r w:rsidR="00C75D18" w:rsidRPr="00460059">
        <w:rPr>
          <w:rFonts w:ascii="Times New Roman" w:hAnsi="Times New Roman"/>
          <w:sz w:val="24"/>
          <w:szCs w:val="24"/>
        </w:rPr>
        <w:t>similar to that obtained with ORCA</w:t>
      </w:r>
      <w:r w:rsidR="00222E37" w:rsidRPr="00460059">
        <w:rPr>
          <w:rFonts w:ascii="Times New Roman" w:hAnsi="Times New Roman"/>
          <w:sz w:val="24"/>
          <w:szCs w:val="24"/>
        </w:rPr>
        <w:t xml:space="preserve">, whereas </w:t>
      </w:r>
      <w:proofErr w:type="spellStart"/>
      <w:r w:rsidR="00222E37" w:rsidRPr="00460059">
        <w:rPr>
          <w:rFonts w:ascii="Times New Roman" w:hAnsi="Times New Roman"/>
          <w:sz w:val="24"/>
          <w:szCs w:val="24"/>
        </w:rPr>
        <w:t>E</w:t>
      </w:r>
      <w:r w:rsidR="00222E37" w:rsidRPr="00460059">
        <w:rPr>
          <w:rFonts w:ascii="Times New Roman" w:hAnsi="Times New Roman"/>
          <w:sz w:val="24"/>
          <w:szCs w:val="24"/>
          <w:vertAlign w:val="subscript"/>
        </w:rPr>
        <w:t>int</w:t>
      </w:r>
      <w:proofErr w:type="spellEnd"/>
      <w:r w:rsidR="00222E37" w:rsidRPr="00460059">
        <w:rPr>
          <w:rFonts w:ascii="Times New Roman" w:hAnsi="Times New Roman"/>
          <w:sz w:val="24"/>
          <w:szCs w:val="24"/>
        </w:rPr>
        <w:t xml:space="preserve"> is </w:t>
      </w:r>
      <w:r w:rsidR="00AE041A" w:rsidRPr="00460059">
        <w:rPr>
          <w:rFonts w:ascii="Times New Roman" w:hAnsi="Times New Roman"/>
          <w:sz w:val="24"/>
          <w:szCs w:val="24"/>
        </w:rPr>
        <w:t xml:space="preserve">smaller. The complete decomposition </w:t>
      </w:r>
      <w:r w:rsidR="00DC1A99" w:rsidRPr="00460059">
        <w:rPr>
          <w:rFonts w:ascii="Times New Roman" w:hAnsi="Times New Roman"/>
          <w:sz w:val="24"/>
          <w:szCs w:val="24"/>
        </w:rPr>
        <w:t xml:space="preserve">shows that the electrostatic component is </w:t>
      </w:r>
      <w:r w:rsidR="00051E2E" w:rsidRPr="00460059">
        <w:rPr>
          <w:rFonts w:ascii="Times New Roman" w:hAnsi="Times New Roman"/>
          <w:sz w:val="24"/>
          <w:szCs w:val="24"/>
        </w:rPr>
        <w:t>very relevant, as it happens with all the σ-hole interactions</w:t>
      </w:r>
      <w:r w:rsidR="00C527D4" w:rsidRPr="00460059">
        <w:rPr>
          <w:rFonts w:ascii="Times New Roman" w:hAnsi="Times New Roman"/>
          <w:sz w:val="24"/>
          <w:szCs w:val="24"/>
        </w:rPr>
        <w:t>.</w:t>
      </w:r>
      <w:r w:rsidR="00A93C47" w:rsidRPr="00460059">
        <w:rPr>
          <w:rFonts w:ascii="Times New Roman" w:hAnsi="Times New Roman"/>
          <w:sz w:val="24"/>
          <w:szCs w:val="24"/>
        </w:rPr>
        <w:t xml:space="preserve"> The orbital term is about 25% of all the attractive forces</w:t>
      </w:r>
      <w:r w:rsidR="00071D22" w:rsidRPr="00460059">
        <w:rPr>
          <w:rFonts w:ascii="Times New Roman" w:hAnsi="Times New Roman"/>
          <w:sz w:val="24"/>
          <w:szCs w:val="24"/>
        </w:rPr>
        <w:t xml:space="preserve">, similarly to what observed by </w:t>
      </w:r>
      <w:r w:rsidR="005A0687" w:rsidRPr="00460059">
        <w:rPr>
          <w:rFonts w:ascii="Times New Roman" w:hAnsi="Times New Roman"/>
          <w:sz w:val="24"/>
          <w:szCs w:val="24"/>
        </w:rPr>
        <w:t>Cheng</w:t>
      </w:r>
      <w:r w:rsidR="00071D22" w:rsidRPr="00460059">
        <w:rPr>
          <w:rFonts w:ascii="Times New Roman" w:hAnsi="Times New Roman"/>
          <w:sz w:val="24"/>
          <w:szCs w:val="24"/>
        </w:rPr>
        <w:t xml:space="preserve"> on HgCl</w:t>
      </w:r>
      <w:r w:rsidR="00071D22" w:rsidRPr="00460059">
        <w:rPr>
          <w:rFonts w:ascii="Times New Roman" w:hAnsi="Times New Roman"/>
          <w:sz w:val="24"/>
          <w:szCs w:val="24"/>
          <w:vertAlign w:val="subscript"/>
        </w:rPr>
        <w:t>2</w:t>
      </w:r>
      <w:r w:rsidR="00071D22" w:rsidRPr="00460059">
        <w:rPr>
          <w:rFonts w:ascii="Times New Roman" w:hAnsi="Times New Roman"/>
          <w:sz w:val="24"/>
          <w:szCs w:val="24"/>
        </w:rPr>
        <w:t>.</w:t>
      </w:r>
      <w:r w:rsidR="005A0687" w:rsidRPr="00460059">
        <w:rPr>
          <w:rFonts w:ascii="Times New Roman" w:hAnsi="Times New Roman"/>
          <w:sz w:val="24"/>
          <w:szCs w:val="24"/>
        </w:rPr>
        <w:fldChar w:fldCharType="begin" w:fldLock="1"/>
      </w:r>
      <w:r w:rsidR="00D15D67">
        <w:rPr>
          <w:rFonts w:ascii="Times New Roman" w:hAnsi="Times New Roman"/>
          <w:sz w:val="24"/>
          <w:szCs w:val="24"/>
        </w:rPr>
        <w:instrText>ADDIN CSL_CITATION {"citationItems":[{"id":"ITEM-1","itemData":{"DOI":"10.1016/j.chemphys.2020.110978","ISSN":"03010104","abstract":"Halogen bonds have received increasing interest in non-covalent interactions. Recently, a new kind of non-covalent interaction, spodium bond, was proposed to refer to a net attractive interaction between any element of group 12 and electron rich atoms. Due to strong relativistic effect, Hg is much different from the other group 12 elements, which prefers more linear coordination. Thus, we theoretically studied the model of HgCl2</w:instrText>
      </w:r>
      <w:r w:rsidR="00D15D67">
        <w:rPr>
          <w:rFonts w:ascii="Cambria Math" w:hAnsi="Cambria Math" w:cs="Cambria Math"/>
          <w:sz w:val="24"/>
          <w:szCs w:val="24"/>
        </w:rPr>
        <w:instrText>⋯</w:instrText>
      </w:r>
      <w:r w:rsidR="00D15D67">
        <w:rPr>
          <w:rFonts w:ascii="Times New Roman" w:hAnsi="Times New Roman"/>
          <w:sz w:val="24"/>
          <w:szCs w:val="24"/>
        </w:rPr>
        <w:instrText>L (where L = ClR, SR2, PR3 families) to explore the nature of the linear coordinated spodium bonds. Analyses of electrostatic potential surfaces, together with ELF, LOL, and chemical bonding analyses, suggest the presence of covalent interaction. Complexes with nitrogen, oxygen, and fluorine donors result in more coulombic component, whereas others are dominated by covalent interaction, indicating coexistence of coulombic and covalent interaction. Besides, covalent interaction is significantly stronger with phosphorus donor. This model can provide intriguing perspectives for future weak intermolecular interactions studies.","author":[{"dropping-particle":"","family":"Xia","given":"Tao","non-dropping-particle":"","parse-names":false,"suffix":""},{"dropping-particle":"","family":"Li","given":"Dan","non-dropping-particle":"","parse-names":false,"suffix":""},{"dropping-particle":"","family":"Cheng","given":"Longjiu","non-dropping-particle":"","parse-names":false,"suffix":""}],"container-title":"Chemical Physics","id":"ITEM-1","issued":{"date-parts":[["2020","11","1"]]},"page":"110978","publisher":"Elsevier B.V.","title":"Theoretical analysis of the spodium bonds in HgCl2</w:instrText>
      </w:r>
      <w:r w:rsidR="00D15D67">
        <w:rPr>
          <w:rFonts w:ascii="Cambria Math" w:hAnsi="Cambria Math" w:cs="Cambria Math"/>
          <w:sz w:val="24"/>
          <w:szCs w:val="24"/>
        </w:rPr>
        <w:instrText>⋯</w:instrText>
      </w:r>
      <w:r w:rsidR="00D15D67">
        <w:rPr>
          <w:rFonts w:ascii="Times New Roman" w:hAnsi="Times New Roman"/>
          <w:sz w:val="24"/>
          <w:szCs w:val="24"/>
        </w:rPr>
        <w:instrText>L (L = ClR, SR2, and PR3) dimers","type":"article-journal","volume":"539"},"uris":["http://www.mendeley.com/documents/?uuid=5fb9799c-489b-3779-8ef7-fb3e60a72f44"]}],"mendeley":{"formattedCitation":"&lt;sup&gt;23&lt;/sup&gt;","plainTextFormattedCitation":"23","previouslyFormattedCitation":"&lt;sup&gt;23&lt;/sup&gt;"},"properties":{"noteIndex":0},"schema":"https://github.com/citation-style-language/schema/raw/master/csl-citation.json"}</w:instrText>
      </w:r>
      <w:r w:rsidR="005A0687" w:rsidRPr="00460059">
        <w:rPr>
          <w:rFonts w:ascii="Times New Roman" w:hAnsi="Times New Roman"/>
          <w:sz w:val="24"/>
          <w:szCs w:val="24"/>
        </w:rPr>
        <w:fldChar w:fldCharType="separate"/>
      </w:r>
      <w:r w:rsidR="00F97619" w:rsidRPr="00F97619">
        <w:rPr>
          <w:rFonts w:ascii="Times New Roman" w:hAnsi="Times New Roman"/>
          <w:noProof/>
          <w:sz w:val="24"/>
          <w:szCs w:val="24"/>
          <w:vertAlign w:val="superscript"/>
        </w:rPr>
        <w:t>23</w:t>
      </w:r>
      <w:r w:rsidR="005A0687" w:rsidRPr="00460059">
        <w:rPr>
          <w:rFonts w:ascii="Times New Roman" w:hAnsi="Times New Roman"/>
          <w:sz w:val="24"/>
          <w:szCs w:val="24"/>
        </w:rPr>
        <w:fldChar w:fldCharType="end"/>
      </w:r>
    </w:p>
    <w:p w14:paraId="2103325F" w14:textId="66A451D2" w:rsidR="009D3735" w:rsidRPr="00460059" w:rsidRDefault="00A33567" w:rsidP="00A33567">
      <w:pPr>
        <w:pStyle w:val="RSCB02ArticleText"/>
        <w:spacing w:line="360" w:lineRule="auto"/>
        <w:rPr>
          <w:rFonts w:ascii="Times New Roman" w:hAnsi="Times New Roman"/>
          <w:bCs/>
          <w:sz w:val="24"/>
          <w:szCs w:val="24"/>
        </w:rPr>
      </w:pPr>
      <w:r w:rsidRPr="00460059">
        <w:rPr>
          <w:rFonts w:ascii="Times New Roman" w:hAnsi="Times New Roman"/>
          <w:sz w:val="24"/>
          <w:szCs w:val="24"/>
        </w:rPr>
        <w:t xml:space="preserve">A visual inspection of the geometry of </w:t>
      </w: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S</w:t>
      </w:r>
      <w:r w:rsidRPr="00460059">
        <w:rPr>
          <w:rFonts w:ascii="Times New Roman" w:hAnsi="Times New Roman"/>
          <w:bCs/>
          <w:sz w:val="24"/>
          <w:szCs w:val="24"/>
        </w:rPr>
        <w:t xml:space="preserve"> </w:t>
      </w:r>
      <w:r w:rsidR="003D1ECD" w:rsidRPr="00460059">
        <w:rPr>
          <w:rFonts w:ascii="Times New Roman" w:hAnsi="Times New Roman"/>
          <w:bCs/>
          <w:sz w:val="24"/>
          <w:szCs w:val="24"/>
        </w:rPr>
        <w:t>shows clearly</w:t>
      </w:r>
      <w:r w:rsidRPr="00460059">
        <w:rPr>
          <w:rFonts w:ascii="Times New Roman" w:hAnsi="Times New Roman"/>
          <w:bCs/>
          <w:sz w:val="24"/>
          <w:szCs w:val="24"/>
        </w:rPr>
        <w:t xml:space="preserve"> that many interactions concur in </w:t>
      </w:r>
      <w:r w:rsidR="009D3735" w:rsidRPr="00460059">
        <w:rPr>
          <w:rFonts w:ascii="Times New Roman" w:hAnsi="Times New Roman"/>
          <w:bCs/>
          <w:sz w:val="24"/>
          <w:szCs w:val="24"/>
        </w:rPr>
        <w:t xml:space="preserve">the stabilization of the adduct. The same conclusion can be drawn </w:t>
      </w:r>
      <w:r w:rsidR="00071D22" w:rsidRPr="00460059">
        <w:rPr>
          <w:rFonts w:ascii="Times New Roman" w:hAnsi="Times New Roman"/>
          <w:bCs/>
          <w:sz w:val="24"/>
          <w:szCs w:val="24"/>
        </w:rPr>
        <w:t xml:space="preserve">by </w:t>
      </w:r>
      <w:r w:rsidR="009D3735" w:rsidRPr="00460059">
        <w:rPr>
          <w:rFonts w:ascii="Times New Roman" w:hAnsi="Times New Roman"/>
          <w:bCs/>
          <w:sz w:val="24"/>
          <w:szCs w:val="24"/>
        </w:rPr>
        <w:t>computing the deformation map</w:t>
      </w:r>
      <w:r w:rsidR="00726B13" w:rsidRPr="00460059">
        <w:rPr>
          <w:rFonts w:ascii="Times New Roman" w:hAnsi="Times New Roman"/>
          <w:bCs/>
          <w:sz w:val="24"/>
          <w:szCs w:val="24"/>
        </w:rPr>
        <w:t xml:space="preserve"> between the adduct and the</w:t>
      </w:r>
      <w:r w:rsidR="005E1E6D" w:rsidRPr="00460059">
        <w:rPr>
          <w:rFonts w:ascii="Times New Roman" w:hAnsi="Times New Roman"/>
          <w:bCs/>
          <w:sz w:val="24"/>
          <w:szCs w:val="24"/>
        </w:rPr>
        <w:t xml:space="preserve"> sum of the isolated fragments</w:t>
      </w:r>
      <w:r w:rsidR="00726B13" w:rsidRPr="00460059">
        <w:rPr>
          <w:rFonts w:ascii="Times New Roman" w:hAnsi="Times New Roman"/>
          <w:bCs/>
          <w:sz w:val="24"/>
          <w:szCs w:val="24"/>
        </w:rPr>
        <w:t>, showing how the electronic density cha</w:t>
      </w:r>
      <w:r w:rsidR="005E1E6D" w:rsidRPr="00460059">
        <w:rPr>
          <w:rFonts w:ascii="Times New Roman" w:hAnsi="Times New Roman"/>
          <w:bCs/>
          <w:sz w:val="24"/>
          <w:szCs w:val="24"/>
        </w:rPr>
        <w:t>n</w:t>
      </w:r>
      <w:r w:rsidR="00726B13" w:rsidRPr="00460059">
        <w:rPr>
          <w:rFonts w:ascii="Times New Roman" w:hAnsi="Times New Roman"/>
          <w:bCs/>
          <w:sz w:val="24"/>
          <w:szCs w:val="24"/>
        </w:rPr>
        <w:t>ges upon the formation of the adduct</w:t>
      </w:r>
      <w:r w:rsidR="005E1E6D" w:rsidRPr="00460059">
        <w:rPr>
          <w:rFonts w:ascii="Times New Roman" w:hAnsi="Times New Roman"/>
          <w:bCs/>
          <w:sz w:val="24"/>
          <w:szCs w:val="24"/>
        </w:rPr>
        <w:t xml:space="preserve"> (</w:t>
      </w:r>
      <w:proofErr w:type="spellStart"/>
      <w:r w:rsidR="005E1E6D" w:rsidRPr="00460059">
        <w:rPr>
          <w:rFonts w:ascii="Times New Roman" w:hAnsi="Times New Roman"/>
          <w:bCs/>
          <w:sz w:val="24"/>
          <w:szCs w:val="24"/>
        </w:rPr>
        <w:t>Δρ</w:t>
      </w:r>
      <w:r w:rsidR="005E1E6D" w:rsidRPr="00460059">
        <w:rPr>
          <w:rFonts w:ascii="Times New Roman" w:hAnsi="Times New Roman"/>
          <w:bCs/>
          <w:sz w:val="24"/>
          <w:szCs w:val="24"/>
          <w:vertAlign w:val="subscript"/>
        </w:rPr>
        <w:t>tot</w:t>
      </w:r>
      <w:proofErr w:type="spellEnd"/>
      <w:r w:rsidR="005E1E6D" w:rsidRPr="00460059">
        <w:rPr>
          <w:rFonts w:ascii="Times New Roman" w:hAnsi="Times New Roman"/>
          <w:bCs/>
          <w:sz w:val="24"/>
          <w:szCs w:val="24"/>
        </w:rPr>
        <w:t xml:space="preserve">, </w:t>
      </w:r>
      <w:r w:rsidR="005E1E6D" w:rsidRPr="00460059">
        <w:rPr>
          <w:rFonts w:ascii="Times New Roman" w:hAnsi="Times New Roman"/>
          <w:bCs/>
          <w:sz w:val="24"/>
          <w:szCs w:val="24"/>
        </w:rPr>
        <w:fldChar w:fldCharType="begin"/>
      </w:r>
      <w:r w:rsidR="005E1E6D" w:rsidRPr="00460059">
        <w:rPr>
          <w:rFonts w:ascii="Times New Roman" w:hAnsi="Times New Roman"/>
          <w:bCs/>
          <w:sz w:val="24"/>
          <w:szCs w:val="24"/>
        </w:rPr>
        <w:instrText xml:space="preserve"> REF _Ref45269060 \h  \* MERGEFORMAT </w:instrText>
      </w:r>
      <w:r w:rsidR="005E1E6D" w:rsidRPr="00460059">
        <w:rPr>
          <w:rFonts w:ascii="Times New Roman" w:hAnsi="Times New Roman"/>
          <w:bCs/>
          <w:sz w:val="24"/>
          <w:szCs w:val="24"/>
        </w:rPr>
      </w:r>
      <w:r w:rsidR="005E1E6D" w:rsidRPr="00460059">
        <w:rPr>
          <w:rFonts w:ascii="Times New Roman" w:hAnsi="Times New Roman"/>
          <w:bCs/>
          <w:sz w:val="24"/>
          <w:szCs w:val="24"/>
        </w:rPr>
        <w:fldChar w:fldCharType="separate"/>
      </w:r>
      <w:r w:rsidR="003C5B77" w:rsidRPr="00460059">
        <w:rPr>
          <w:rFonts w:ascii="Times New Roman" w:hAnsi="Times New Roman"/>
          <w:bCs/>
          <w:sz w:val="24"/>
          <w:szCs w:val="24"/>
        </w:rPr>
        <w:t>Figure 1</w:t>
      </w:r>
      <w:r w:rsidR="005E1E6D" w:rsidRPr="00460059">
        <w:rPr>
          <w:rFonts w:ascii="Times New Roman" w:hAnsi="Times New Roman"/>
          <w:bCs/>
          <w:sz w:val="24"/>
          <w:szCs w:val="24"/>
        </w:rPr>
        <w:fldChar w:fldCharType="end"/>
      </w:r>
      <w:r w:rsidR="005E1E6D" w:rsidRPr="00460059">
        <w:rPr>
          <w:rFonts w:ascii="Times New Roman" w:hAnsi="Times New Roman"/>
          <w:bCs/>
          <w:sz w:val="24"/>
          <w:szCs w:val="24"/>
        </w:rPr>
        <w:t>)</w:t>
      </w:r>
      <w:r w:rsidR="00726B13" w:rsidRPr="00460059">
        <w:rPr>
          <w:rFonts w:ascii="Times New Roman" w:hAnsi="Times New Roman"/>
          <w:bCs/>
          <w:sz w:val="24"/>
          <w:szCs w:val="24"/>
        </w:rPr>
        <w:t>.</w:t>
      </w:r>
      <w:r w:rsidR="000B36C4" w:rsidRPr="00460059">
        <w:rPr>
          <w:rFonts w:ascii="Times New Roman" w:hAnsi="Times New Roman"/>
          <w:bCs/>
          <w:sz w:val="24"/>
          <w:szCs w:val="24"/>
        </w:rPr>
        <w:t xml:space="preserve"> </w:t>
      </w:r>
      <w:r w:rsidR="00071D22" w:rsidRPr="00460059">
        <w:rPr>
          <w:rFonts w:ascii="Times New Roman" w:hAnsi="Times New Roman"/>
          <w:bCs/>
          <w:sz w:val="24"/>
          <w:szCs w:val="24"/>
        </w:rPr>
        <w:t>O</w:t>
      </w:r>
      <w:r w:rsidR="000B36C4" w:rsidRPr="00460059">
        <w:rPr>
          <w:rFonts w:ascii="Times New Roman" w:hAnsi="Times New Roman"/>
          <w:bCs/>
          <w:sz w:val="24"/>
          <w:szCs w:val="24"/>
        </w:rPr>
        <w:t>ne set of accumulation/depletion (blue/red coloured regions)</w:t>
      </w:r>
      <w:r w:rsidR="00726B13" w:rsidRPr="00460059">
        <w:rPr>
          <w:rFonts w:ascii="Times New Roman" w:hAnsi="Times New Roman"/>
          <w:bCs/>
          <w:sz w:val="24"/>
          <w:szCs w:val="24"/>
        </w:rPr>
        <w:t xml:space="preserve"> </w:t>
      </w:r>
      <w:r w:rsidR="003D1ECD" w:rsidRPr="00460059">
        <w:rPr>
          <w:rFonts w:ascii="Times New Roman" w:hAnsi="Times New Roman"/>
          <w:bCs/>
          <w:sz w:val="24"/>
          <w:szCs w:val="24"/>
        </w:rPr>
        <w:t>can be observed on</w:t>
      </w:r>
      <w:r w:rsidR="000B36C4" w:rsidRPr="00460059">
        <w:rPr>
          <w:rFonts w:ascii="Times New Roman" w:hAnsi="Times New Roman"/>
          <w:bCs/>
          <w:sz w:val="24"/>
          <w:szCs w:val="24"/>
        </w:rPr>
        <w:t xml:space="preserve"> the Cd-S axis, </w:t>
      </w:r>
      <w:r w:rsidR="003D1ECD" w:rsidRPr="00460059">
        <w:rPr>
          <w:rFonts w:ascii="Times New Roman" w:hAnsi="Times New Roman"/>
          <w:bCs/>
          <w:sz w:val="24"/>
          <w:szCs w:val="24"/>
        </w:rPr>
        <w:t xml:space="preserve">while </w:t>
      </w:r>
      <w:r w:rsidR="000B36C4" w:rsidRPr="00460059">
        <w:rPr>
          <w:rFonts w:ascii="Times New Roman" w:hAnsi="Times New Roman"/>
          <w:bCs/>
          <w:sz w:val="24"/>
          <w:szCs w:val="24"/>
        </w:rPr>
        <w:t xml:space="preserve">another set </w:t>
      </w:r>
      <w:r w:rsidR="003D1ECD" w:rsidRPr="00460059">
        <w:rPr>
          <w:rFonts w:ascii="Times New Roman" w:hAnsi="Times New Roman"/>
          <w:bCs/>
          <w:sz w:val="24"/>
          <w:szCs w:val="24"/>
        </w:rPr>
        <w:t xml:space="preserve">lies </w:t>
      </w:r>
      <w:r w:rsidR="000B36C4" w:rsidRPr="00460059">
        <w:rPr>
          <w:rFonts w:ascii="Times New Roman" w:hAnsi="Times New Roman"/>
          <w:bCs/>
          <w:sz w:val="24"/>
          <w:szCs w:val="24"/>
        </w:rPr>
        <w:t>on the Cl-H axis</w:t>
      </w:r>
      <w:r w:rsidR="003D1ECD" w:rsidRPr="00460059">
        <w:rPr>
          <w:rFonts w:ascii="Times New Roman" w:hAnsi="Times New Roman"/>
          <w:bCs/>
          <w:sz w:val="24"/>
          <w:szCs w:val="24"/>
        </w:rPr>
        <w:t>.</w:t>
      </w:r>
      <w:r w:rsidR="000B36C4" w:rsidRPr="00460059">
        <w:rPr>
          <w:rFonts w:ascii="Times New Roman" w:hAnsi="Times New Roman"/>
          <w:bCs/>
          <w:sz w:val="24"/>
          <w:szCs w:val="24"/>
        </w:rPr>
        <w:t xml:space="preserve"> </w:t>
      </w:r>
      <w:r w:rsidR="003D1ECD" w:rsidRPr="00460059">
        <w:rPr>
          <w:rFonts w:ascii="Times New Roman" w:hAnsi="Times New Roman"/>
          <w:bCs/>
          <w:sz w:val="24"/>
          <w:szCs w:val="24"/>
        </w:rPr>
        <w:t xml:space="preserve">This suggests </w:t>
      </w:r>
      <w:r w:rsidR="000B36C4" w:rsidRPr="00460059">
        <w:rPr>
          <w:rFonts w:ascii="Times New Roman" w:hAnsi="Times New Roman"/>
          <w:bCs/>
          <w:sz w:val="24"/>
          <w:szCs w:val="24"/>
        </w:rPr>
        <w:t>that</w:t>
      </w:r>
      <w:r w:rsidR="003D1ECD" w:rsidRPr="00460059">
        <w:rPr>
          <w:rFonts w:ascii="Times New Roman" w:hAnsi="Times New Roman"/>
          <w:bCs/>
          <w:sz w:val="24"/>
          <w:szCs w:val="24"/>
        </w:rPr>
        <w:t xml:space="preserve"> </w:t>
      </w:r>
      <w:r w:rsidR="000B36C4" w:rsidRPr="00460059">
        <w:rPr>
          <w:rFonts w:ascii="Times New Roman" w:hAnsi="Times New Roman"/>
          <w:bCs/>
          <w:sz w:val="24"/>
          <w:szCs w:val="24"/>
        </w:rPr>
        <w:t>the metal</w:t>
      </w:r>
      <w:r w:rsidR="003D1ECD" w:rsidRPr="00460059">
        <w:rPr>
          <w:rFonts w:ascii="Times New Roman" w:hAnsi="Times New Roman"/>
          <w:bCs/>
          <w:sz w:val="24"/>
          <w:szCs w:val="24"/>
        </w:rPr>
        <w:t xml:space="preserve"> </w:t>
      </w:r>
      <w:proofErr w:type="spellStart"/>
      <w:r w:rsidR="003D1ECD" w:rsidRPr="00460059">
        <w:rPr>
          <w:rFonts w:ascii="Times New Roman" w:hAnsi="Times New Roman"/>
          <w:bCs/>
          <w:sz w:val="24"/>
          <w:szCs w:val="24"/>
        </w:rPr>
        <w:t>center</w:t>
      </w:r>
      <w:proofErr w:type="spellEnd"/>
      <w:r w:rsidR="000B36C4" w:rsidRPr="00460059">
        <w:rPr>
          <w:rFonts w:ascii="Times New Roman" w:hAnsi="Times New Roman"/>
          <w:bCs/>
          <w:sz w:val="24"/>
          <w:szCs w:val="24"/>
        </w:rPr>
        <w:t xml:space="preserve"> </w:t>
      </w:r>
      <w:r w:rsidR="003D1ECD" w:rsidRPr="00460059">
        <w:rPr>
          <w:rFonts w:ascii="Times New Roman" w:hAnsi="Times New Roman"/>
          <w:bCs/>
          <w:sz w:val="24"/>
          <w:szCs w:val="24"/>
        </w:rPr>
        <w:t xml:space="preserve">definitely </w:t>
      </w:r>
      <w:r w:rsidR="000B36C4" w:rsidRPr="00460059">
        <w:rPr>
          <w:rFonts w:ascii="Times New Roman" w:hAnsi="Times New Roman"/>
          <w:bCs/>
          <w:sz w:val="24"/>
          <w:szCs w:val="24"/>
        </w:rPr>
        <w:t>interact</w:t>
      </w:r>
      <w:r w:rsidR="003D1ECD" w:rsidRPr="00460059">
        <w:rPr>
          <w:rFonts w:ascii="Times New Roman" w:hAnsi="Times New Roman"/>
          <w:bCs/>
          <w:sz w:val="24"/>
          <w:szCs w:val="24"/>
        </w:rPr>
        <w:t>s</w:t>
      </w:r>
      <w:r w:rsidR="000B36C4" w:rsidRPr="00460059">
        <w:rPr>
          <w:rFonts w:ascii="Times New Roman" w:hAnsi="Times New Roman"/>
          <w:bCs/>
          <w:sz w:val="24"/>
          <w:szCs w:val="24"/>
        </w:rPr>
        <w:t xml:space="preserve"> with the Lewis base, but there is also a </w:t>
      </w:r>
      <w:r w:rsidR="003D1ECD" w:rsidRPr="00460059">
        <w:rPr>
          <w:rFonts w:ascii="Times New Roman" w:hAnsi="Times New Roman"/>
          <w:bCs/>
          <w:sz w:val="24"/>
          <w:szCs w:val="24"/>
        </w:rPr>
        <w:t xml:space="preserve">Cl–H </w:t>
      </w:r>
      <w:r w:rsidR="000B36C4" w:rsidRPr="00460059">
        <w:rPr>
          <w:rFonts w:ascii="Times New Roman" w:hAnsi="Times New Roman"/>
          <w:bCs/>
          <w:sz w:val="24"/>
          <w:szCs w:val="24"/>
        </w:rPr>
        <w:t xml:space="preserve">hydrogen bond (HB). </w:t>
      </w:r>
      <w:r w:rsidR="003D1ECD" w:rsidRPr="00460059">
        <w:rPr>
          <w:rFonts w:ascii="Times New Roman" w:hAnsi="Times New Roman"/>
          <w:bCs/>
          <w:sz w:val="24"/>
          <w:szCs w:val="24"/>
        </w:rPr>
        <w:t>Disentangling these two interactions</w:t>
      </w:r>
      <w:r w:rsidRPr="00460059">
        <w:rPr>
          <w:rFonts w:ascii="Times New Roman" w:hAnsi="Times New Roman"/>
          <w:bCs/>
          <w:sz w:val="24"/>
          <w:szCs w:val="24"/>
        </w:rPr>
        <w:t xml:space="preserve"> would be desirable for a complete bond analysis. </w:t>
      </w:r>
    </w:p>
    <w:p w14:paraId="29BF109F" w14:textId="35FC16AB" w:rsidR="004B43EF" w:rsidRPr="00460059" w:rsidRDefault="003D1ECD" w:rsidP="00A33567">
      <w:pPr>
        <w:pStyle w:val="RSCB02ArticleText"/>
        <w:spacing w:line="360" w:lineRule="auto"/>
        <w:rPr>
          <w:rFonts w:ascii="Times New Roman" w:hAnsi="Times New Roman"/>
          <w:sz w:val="24"/>
          <w:szCs w:val="24"/>
        </w:rPr>
      </w:pPr>
      <w:r w:rsidRPr="00460059">
        <w:rPr>
          <w:rFonts w:ascii="Times New Roman" w:hAnsi="Times New Roman"/>
          <w:sz w:val="24"/>
          <w:szCs w:val="24"/>
        </w:rPr>
        <w:t xml:space="preserve">While </w:t>
      </w:r>
      <w:r w:rsidR="000B36C4" w:rsidRPr="00460059">
        <w:rPr>
          <w:rFonts w:ascii="Times New Roman" w:hAnsi="Times New Roman"/>
          <w:sz w:val="24"/>
          <w:szCs w:val="24"/>
        </w:rPr>
        <w:t>i</w:t>
      </w:r>
      <w:r w:rsidR="00C527D4" w:rsidRPr="00460059">
        <w:rPr>
          <w:rFonts w:ascii="Times New Roman" w:hAnsi="Times New Roman"/>
          <w:sz w:val="24"/>
          <w:szCs w:val="24"/>
        </w:rPr>
        <w:t xml:space="preserve">t is not possible to decompose </w:t>
      </w:r>
      <w:proofErr w:type="spellStart"/>
      <w:r w:rsidR="00C527D4" w:rsidRPr="00460059">
        <w:rPr>
          <w:rFonts w:ascii="Times New Roman" w:hAnsi="Times New Roman"/>
          <w:sz w:val="24"/>
          <w:szCs w:val="24"/>
        </w:rPr>
        <w:t>E</w:t>
      </w:r>
      <w:r w:rsidR="00C527D4" w:rsidRPr="00460059">
        <w:rPr>
          <w:rFonts w:ascii="Times New Roman" w:hAnsi="Times New Roman"/>
          <w:sz w:val="24"/>
          <w:szCs w:val="24"/>
          <w:vertAlign w:val="subscript"/>
        </w:rPr>
        <w:t>elst</w:t>
      </w:r>
      <w:proofErr w:type="spellEnd"/>
      <w:r w:rsidR="00C527D4" w:rsidRPr="00460059">
        <w:rPr>
          <w:rFonts w:ascii="Times New Roman" w:hAnsi="Times New Roman"/>
          <w:sz w:val="24"/>
          <w:szCs w:val="24"/>
        </w:rPr>
        <w:t xml:space="preserve"> in chemically me</w:t>
      </w:r>
      <w:r w:rsidR="000B36C4" w:rsidRPr="00460059">
        <w:rPr>
          <w:rFonts w:ascii="Times New Roman" w:hAnsi="Times New Roman"/>
          <w:sz w:val="24"/>
          <w:szCs w:val="24"/>
        </w:rPr>
        <w:t xml:space="preserve">aningful contributions, </w:t>
      </w:r>
      <w:r w:rsidRPr="00460059">
        <w:rPr>
          <w:rFonts w:ascii="Times New Roman" w:hAnsi="Times New Roman"/>
          <w:sz w:val="24"/>
          <w:szCs w:val="24"/>
        </w:rPr>
        <w:t>this</w:t>
      </w:r>
      <w:r w:rsidR="00C527D4" w:rsidRPr="00460059">
        <w:rPr>
          <w:rFonts w:ascii="Times New Roman" w:hAnsi="Times New Roman"/>
          <w:sz w:val="24"/>
          <w:szCs w:val="24"/>
        </w:rPr>
        <w:t xml:space="preserve"> </w:t>
      </w:r>
      <w:r w:rsidRPr="00460059">
        <w:rPr>
          <w:rFonts w:ascii="Times New Roman" w:hAnsi="Times New Roman"/>
          <w:sz w:val="24"/>
          <w:szCs w:val="24"/>
        </w:rPr>
        <w:t xml:space="preserve">can be done </w:t>
      </w:r>
      <w:r w:rsidR="00C527D4" w:rsidRPr="00460059">
        <w:rPr>
          <w:rFonts w:ascii="Times New Roman" w:hAnsi="Times New Roman"/>
          <w:sz w:val="24"/>
          <w:szCs w:val="24"/>
        </w:rPr>
        <w:t xml:space="preserve">with </w:t>
      </w:r>
      <w:proofErr w:type="spellStart"/>
      <w:r w:rsidR="00C527D4" w:rsidRPr="00460059">
        <w:rPr>
          <w:rFonts w:ascii="Times New Roman" w:hAnsi="Times New Roman"/>
          <w:sz w:val="24"/>
          <w:szCs w:val="24"/>
        </w:rPr>
        <w:t>E</w:t>
      </w:r>
      <w:r w:rsidR="00C527D4" w:rsidRPr="00460059">
        <w:rPr>
          <w:rFonts w:ascii="Times New Roman" w:hAnsi="Times New Roman"/>
          <w:sz w:val="24"/>
          <w:szCs w:val="24"/>
          <w:vertAlign w:val="subscript"/>
        </w:rPr>
        <w:t>orb</w:t>
      </w:r>
      <w:proofErr w:type="spellEnd"/>
      <w:r w:rsidR="00DF31B2" w:rsidRPr="00460059">
        <w:rPr>
          <w:rFonts w:ascii="Times New Roman" w:hAnsi="Times New Roman"/>
          <w:sz w:val="24"/>
          <w:szCs w:val="24"/>
        </w:rPr>
        <w:t xml:space="preserve">. </w:t>
      </w:r>
      <w:r w:rsidR="004B43EF" w:rsidRPr="00460059">
        <w:rPr>
          <w:rFonts w:ascii="Times New Roman" w:hAnsi="Times New Roman"/>
          <w:sz w:val="24"/>
          <w:szCs w:val="24"/>
        </w:rPr>
        <w:t>The stability of the latter towards the computational parameters (Table 1), would suggest that the choice of the functional is not crucial</w:t>
      </w:r>
      <w:r w:rsidR="00670E21" w:rsidRPr="00460059">
        <w:rPr>
          <w:rFonts w:ascii="Times New Roman" w:hAnsi="Times New Roman"/>
          <w:sz w:val="24"/>
          <w:szCs w:val="24"/>
        </w:rPr>
        <w:t>. However,</w:t>
      </w:r>
      <w:r w:rsidR="004B43EF" w:rsidRPr="00460059">
        <w:rPr>
          <w:rFonts w:ascii="Times New Roman" w:hAnsi="Times New Roman"/>
          <w:sz w:val="24"/>
          <w:szCs w:val="24"/>
        </w:rPr>
        <w:t xml:space="preserve"> to be consistent with the literature,</w:t>
      </w:r>
      <w:r w:rsidR="004B43EF" w:rsidRPr="00460059">
        <w:rPr>
          <w:rFonts w:ascii="Times New Roman" w:hAnsi="Times New Roman"/>
          <w:sz w:val="24"/>
          <w:szCs w:val="24"/>
        </w:rPr>
        <w:fldChar w:fldCharType="begin" w:fldLock="1"/>
      </w:r>
      <w:r w:rsidR="004B43EF" w:rsidRPr="00460059">
        <w:rPr>
          <w:rFonts w:ascii="Times New Roman" w:hAnsi="Times New Roman"/>
          <w:sz w:val="24"/>
          <w:szCs w:val="24"/>
        </w:rPr>
        <w:instrText>ADDIN CSL_CITATION {"citationItems":[{"id":"ITEM-1","itemData":{"DOI":"10.1021/acs.inorgchem.6b02073","ISSN":"1520510X","abstract":"In contrast to the increasing family of weak intermolecular interactions in main-group compounds (X-Z···Y, Z = main-group elements), an analysis of the Cambridge Structural Database indicates that electron-saturated (18-electron) transition-metal complexes show reluctance toward weak M bond formation (X-M···Y, M = transition metal). In particular, weak M bonds involving electron-saturated (18-electron) complexes of transition metals with partially filled d-orbitals are not found. We propose that the nature of valence electron density distribution in transition-metal complexes is the primary reason for this reluctance. A survey of the interaction of selected electron-saturated transition-metal complexes with electron-rich molecules (Y) demonstrates the following: shielding the possible σ-hole on the metal center by the core electron density in 3d series, and enhanced electronegativity and relativistic effects in 4d and 5d series, hinders the formation of the M bond. A balance in all the destabilizing effects has been found in the 4d series due to its moderate polarizability and primogenic repulsion from inner core d-electrons. A changeover in the donor-acceptor nature of the metal center toward different types of incoming molecules is also unveiled here. The present study confirms the possibility of M bond as a new supramolecular force in designing the crystal structures of electron-saturated transition-metal complexes by invoking extreme ligand conditions.","author":[{"dropping-particle":"","family":"Joy","given":"Jyothish","non-dropping-particle":"","parse-names":false,"suffix":""},{"dropping-particle":"","family":"Jemmis","given":"Eluvathingal D.","non-dropping-particle":"","parse-names":false,"suffix":""}],"container-title":"Inorganic Chemistry","id":"ITEM-1","issue":"3","issued":{"date-parts":[["2017","2","6"]]},"page":"1132-1143","publisher":"American Chemical Society","title":"Contrasting Behavior of the Z Bonds in X-Z···Y Weak Interactions: Z = Main Group Elements Versus the Transition Metals","type":"article-journal","volume":"56"},"uris":["http://www.mendeley.com/documents/?uuid=bafd7091-7b8c-3e58-84fa-5d89c15294f8"]}],"mendeley":{"formattedCitation":"&lt;sup&gt;16&lt;/sup&gt;","plainTextFormattedCitation":"16","previouslyFormattedCitation":"&lt;sup&gt;16&lt;/sup&gt;"},"properties":{"noteIndex":0},"schema":"https://github.com/citation-style-language/schema/raw/master/csl-citation.json"}</w:instrText>
      </w:r>
      <w:r w:rsidR="004B43EF" w:rsidRPr="00460059">
        <w:rPr>
          <w:rFonts w:ascii="Times New Roman" w:hAnsi="Times New Roman"/>
          <w:sz w:val="24"/>
          <w:szCs w:val="24"/>
        </w:rPr>
        <w:fldChar w:fldCharType="separate"/>
      </w:r>
      <w:r w:rsidR="004B43EF" w:rsidRPr="00460059">
        <w:rPr>
          <w:rFonts w:ascii="Times New Roman" w:hAnsi="Times New Roman"/>
          <w:noProof/>
          <w:sz w:val="24"/>
          <w:szCs w:val="24"/>
          <w:vertAlign w:val="superscript"/>
        </w:rPr>
        <w:t>16</w:t>
      </w:r>
      <w:r w:rsidR="004B43EF" w:rsidRPr="00460059">
        <w:rPr>
          <w:rFonts w:ascii="Times New Roman" w:hAnsi="Times New Roman"/>
          <w:sz w:val="24"/>
          <w:szCs w:val="24"/>
        </w:rPr>
        <w:fldChar w:fldCharType="end"/>
      </w:r>
      <w:r w:rsidR="004B43EF" w:rsidRPr="00460059">
        <w:rPr>
          <w:rFonts w:ascii="Times New Roman" w:hAnsi="Times New Roman"/>
          <w:sz w:val="24"/>
          <w:szCs w:val="24"/>
        </w:rPr>
        <w:t xml:space="preserve"> the M06 functional was used </w:t>
      </w:r>
      <w:r w:rsidR="0016141B" w:rsidRPr="00460059">
        <w:rPr>
          <w:rFonts w:ascii="Times New Roman" w:hAnsi="Times New Roman"/>
          <w:sz w:val="24"/>
          <w:szCs w:val="24"/>
        </w:rPr>
        <w:t>throughout</w:t>
      </w:r>
      <w:r w:rsidR="004B43EF" w:rsidRPr="00460059">
        <w:rPr>
          <w:rFonts w:ascii="Times New Roman" w:hAnsi="Times New Roman"/>
          <w:sz w:val="24"/>
          <w:szCs w:val="24"/>
        </w:rPr>
        <w:t xml:space="preserve"> this study.</w:t>
      </w:r>
    </w:p>
    <w:p w14:paraId="6A7FF70A" w14:textId="4D51C714" w:rsidR="006640E5" w:rsidRPr="00460059" w:rsidRDefault="00670E21" w:rsidP="00A33567">
      <w:pPr>
        <w:pStyle w:val="RSCB02ArticleText"/>
        <w:spacing w:line="360" w:lineRule="auto"/>
        <w:rPr>
          <w:rFonts w:ascii="Times New Roman" w:hAnsi="Times New Roman"/>
          <w:sz w:val="24"/>
          <w:szCs w:val="24"/>
        </w:rPr>
      </w:pPr>
      <w:r w:rsidRPr="00460059">
        <w:rPr>
          <w:rFonts w:ascii="Times New Roman" w:hAnsi="Times New Roman"/>
          <w:sz w:val="24"/>
          <w:szCs w:val="24"/>
        </w:rPr>
        <w:t>T</w:t>
      </w:r>
      <w:r w:rsidR="00A33567" w:rsidRPr="00460059">
        <w:rPr>
          <w:rFonts w:ascii="Times New Roman" w:hAnsi="Times New Roman"/>
          <w:sz w:val="24"/>
          <w:szCs w:val="24"/>
        </w:rPr>
        <w:t>h</w:t>
      </w:r>
      <w:r w:rsidR="003F44FA" w:rsidRPr="00460059">
        <w:rPr>
          <w:rFonts w:ascii="Times New Roman" w:hAnsi="Times New Roman"/>
          <w:sz w:val="24"/>
          <w:szCs w:val="24"/>
        </w:rPr>
        <w:t xml:space="preserve">e decomposition of </w:t>
      </w:r>
      <w:proofErr w:type="spellStart"/>
      <w:r w:rsidR="003F44FA" w:rsidRPr="00460059">
        <w:rPr>
          <w:rFonts w:ascii="Times New Roman" w:hAnsi="Times New Roman"/>
          <w:sz w:val="24"/>
          <w:szCs w:val="24"/>
        </w:rPr>
        <w:t>E</w:t>
      </w:r>
      <w:r w:rsidR="003F44FA" w:rsidRPr="00460059">
        <w:rPr>
          <w:rFonts w:ascii="Times New Roman" w:hAnsi="Times New Roman"/>
          <w:sz w:val="24"/>
          <w:szCs w:val="24"/>
          <w:vertAlign w:val="subscript"/>
        </w:rPr>
        <w:t>orb</w:t>
      </w:r>
      <w:proofErr w:type="spellEnd"/>
      <w:r w:rsidR="003F44FA" w:rsidRPr="00460059">
        <w:rPr>
          <w:rFonts w:ascii="Times New Roman" w:hAnsi="Times New Roman"/>
          <w:sz w:val="24"/>
          <w:szCs w:val="24"/>
        </w:rPr>
        <w:t xml:space="preserve"> </w:t>
      </w:r>
      <w:r w:rsidR="00A33567" w:rsidRPr="00460059">
        <w:rPr>
          <w:rFonts w:ascii="Times New Roman" w:hAnsi="Times New Roman"/>
          <w:sz w:val="24"/>
          <w:szCs w:val="24"/>
        </w:rPr>
        <w:t xml:space="preserve">could be </w:t>
      </w:r>
      <w:r w:rsidRPr="00460059">
        <w:rPr>
          <w:rFonts w:ascii="Times New Roman" w:hAnsi="Times New Roman"/>
          <w:sz w:val="24"/>
          <w:szCs w:val="24"/>
        </w:rPr>
        <w:t xml:space="preserve">potentially </w:t>
      </w:r>
      <w:r w:rsidR="00A33567" w:rsidRPr="00460059">
        <w:rPr>
          <w:rFonts w:ascii="Times New Roman" w:hAnsi="Times New Roman"/>
          <w:sz w:val="24"/>
          <w:szCs w:val="24"/>
        </w:rPr>
        <w:t>done</w:t>
      </w:r>
      <w:r w:rsidRPr="00460059">
        <w:rPr>
          <w:rFonts w:ascii="Times New Roman" w:hAnsi="Times New Roman"/>
          <w:sz w:val="24"/>
          <w:szCs w:val="24"/>
        </w:rPr>
        <w:t xml:space="preserve"> </w:t>
      </w:r>
      <w:r w:rsidR="00A33567" w:rsidRPr="00460059">
        <w:rPr>
          <w:rFonts w:ascii="Times New Roman" w:hAnsi="Times New Roman"/>
          <w:sz w:val="24"/>
          <w:szCs w:val="24"/>
        </w:rPr>
        <w:t xml:space="preserve">by taking advantage of the symmetry of the system, at least in </w:t>
      </w:r>
      <w:r w:rsidRPr="00460059">
        <w:rPr>
          <w:rFonts w:ascii="Times New Roman" w:hAnsi="Times New Roman"/>
          <w:sz w:val="24"/>
          <w:szCs w:val="24"/>
        </w:rPr>
        <w:t>cases where</w:t>
      </w:r>
      <w:r w:rsidR="00A33567" w:rsidRPr="00460059">
        <w:rPr>
          <w:rFonts w:ascii="Times New Roman" w:hAnsi="Times New Roman"/>
          <w:sz w:val="24"/>
          <w:szCs w:val="24"/>
        </w:rPr>
        <w:t xml:space="preserve"> different contributions belong to different irreducible representations.</w:t>
      </w:r>
      <w:r w:rsidR="003F44FA" w:rsidRPr="00460059">
        <w:rPr>
          <w:rFonts w:ascii="Times New Roman" w:hAnsi="Times New Roman"/>
          <w:sz w:val="24"/>
          <w:szCs w:val="24"/>
        </w:rPr>
        <w:fldChar w:fldCharType="begin" w:fldLock="1"/>
      </w:r>
      <w:r w:rsidR="00D15D67">
        <w:rPr>
          <w:rFonts w:ascii="Times New Roman" w:hAnsi="Times New Roman"/>
          <w:sz w:val="24"/>
          <w:szCs w:val="24"/>
        </w:rPr>
        <w:instrText>ADDIN CSL_CITATION {"citationItems":[{"id":"ITEM-1","itemData":{"DOI":"10.1002/chem.201000608","ISBN":"1521-3765","ISSN":"09476539","PMID":"20468042","abstract":"We provide a rigorous model-free definition and a detailed theoretical analysis of the electron-charge displacements making up the donation and back-donation components of the Dewar-Chatt-Duncanson model in some realistic catalytic intermediates of formula L-Au(I)-S in which L is an N-heterocyclic carbene or Cl(-) and S is an eta(2)-coordinated substrate containing a C-C multiple bond. We thus show, contrary to a widely held view, that the gold-substrate bond is characterized by a large pi back-donation component that is comparable to, and often as large as, the sigma donation. The back-donation is found to be a highly tunable bond component and we analyze its relationship with the nature of the auxiliary ligand L and with structural (interdependent) factors such as metal-substrate bond lengths and carbon pyramidalization.","author":[{"dropping-particle":"","family":"Salvi","given":"Nicola","non-dropping-particle":"","parse-names":false,"suffix":""},{"dropping-particle":"","family":"Belpassi","given":"Leonardo","non-dropping-particle":"","parse-names":false,"suffix":""},{"dropping-particle":"","family":"Tarantelli","given":"Francesco","non-dropping-particle":"","parse-names":false,"suffix":""}],"container-title":"Chemistry - A European Journal","id":"ITEM-1","issue":"24","issued":{"date-parts":[["2010","6","25"]]},"page":"7231-7240","publisher":"Wiley-Blackwell","title":"On the Dewar-Chatt-Duncanson model for catalytic gold(I) complexes","type":"article-journal","volume":"16"},"uris":["http://www.mendeley.com/documents/?uuid=b5c81dc9-8fb2-3be8-82f2-c104cb90299d"]}],"mendeley":{"formattedCitation":"&lt;sup&gt;34&lt;/sup&gt;","plainTextFormattedCitation":"34","previouslyFormattedCitation":"&lt;sup&gt;34&lt;/sup&gt;"},"properties":{"noteIndex":0},"schema":"https://github.com/citation-style-language/schema/raw/master/csl-citation.json"}</w:instrText>
      </w:r>
      <w:r w:rsidR="003F44FA" w:rsidRPr="00460059">
        <w:rPr>
          <w:rFonts w:ascii="Times New Roman" w:hAnsi="Times New Roman"/>
          <w:sz w:val="24"/>
          <w:szCs w:val="24"/>
        </w:rPr>
        <w:fldChar w:fldCharType="separate"/>
      </w:r>
      <w:r w:rsidR="00F97619" w:rsidRPr="00F97619">
        <w:rPr>
          <w:rFonts w:ascii="Times New Roman" w:hAnsi="Times New Roman"/>
          <w:noProof/>
          <w:sz w:val="24"/>
          <w:szCs w:val="24"/>
          <w:vertAlign w:val="superscript"/>
        </w:rPr>
        <w:t>34</w:t>
      </w:r>
      <w:r w:rsidR="003F44FA" w:rsidRPr="00460059">
        <w:rPr>
          <w:rFonts w:ascii="Times New Roman" w:hAnsi="Times New Roman"/>
          <w:sz w:val="24"/>
          <w:szCs w:val="24"/>
        </w:rPr>
        <w:fldChar w:fldCharType="end"/>
      </w:r>
      <w:r w:rsidR="00A33567" w:rsidRPr="00460059">
        <w:rPr>
          <w:rFonts w:ascii="Times New Roman" w:hAnsi="Times New Roman"/>
          <w:sz w:val="24"/>
          <w:szCs w:val="24"/>
        </w:rPr>
        <w:t xml:space="preserve"> Anyway, this approach </w:t>
      </w:r>
      <w:r w:rsidRPr="00460059">
        <w:rPr>
          <w:rFonts w:ascii="Times New Roman" w:hAnsi="Times New Roman"/>
          <w:sz w:val="24"/>
          <w:szCs w:val="24"/>
        </w:rPr>
        <w:t xml:space="preserve">often </w:t>
      </w:r>
      <w:r w:rsidR="00A33567" w:rsidRPr="00460059">
        <w:rPr>
          <w:rFonts w:ascii="Times New Roman" w:hAnsi="Times New Roman"/>
          <w:sz w:val="24"/>
          <w:szCs w:val="24"/>
        </w:rPr>
        <w:t>requires a</w:t>
      </w:r>
      <w:r w:rsidRPr="00460059">
        <w:rPr>
          <w:rFonts w:ascii="Times New Roman" w:hAnsi="Times New Roman"/>
          <w:sz w:val="24"/>
          <w:szCs w:val="24"/>
        </w:rPr>
        <w:t xml:space="preserve">n </w:t>
      </w:r>
      <w:r w:rsidRPr="00460059">
        <w:rPr>
          <w:rFonts w:ascii="Times New Roman" w:hAnsi="Times New Roman"/>
          <w:i/>
          <w:sz w:val="24"/>
          <w:szCs w:val="24"/>
        </w:rPr>
        <w:t>in silico</w:t>
      </w:r>
      <w:r w:rsidR="00A33567" w:rsidRPr="00460059">
        <w:rPr>
          <w:rFonts w:ascii="Times New Roman" w:hAnsi="Times New Roman"/>
          <w:sz w:val="24"/>
          <w:szCs w:val="24"/>
        </w:rPr>
        <w:t xml:space="preserve"> modification of the system </w:t>
      </w:r>
      <w:r w:rsidR="00A33567" w:rsidRPr="00460059">
        <w:rPr>
          <w:rFonts w:ascii="Times New Roman" w:hAnsi="Times New Roman"/>
          <w:sz w:val="24"/>
          <w:szCs w:val="24"/>
        </w:rPr>
        <w:lastRenderedPageBreak/>
        <w:t xml:space="preserve">experimentally studied in order to achieve a perfect symmetry. </w:t>
      </w:r>
      <w:r w:rsidRPr="00460059">
        <w:rPr>
          <w:rFonts w:ascii="Times New Roman" w:hAnsi="Times New Roman"/>
          <w:sz w:val="24"/>
          <w:szCs w:val="24"/>
        </w:rPr>
        <w:t>The</w:t>
      </w:r>
      <w:r w:rsidR="00A33567" w:rsidRPr="00460059">
        <w:rPr>
          <w:rFonts w:ascii="Times New Roman" w:hAnsi="Times New Roman"/>
          <w:sz w:val="24"/>
          <w:szCs w:val="24"/>
        </w:rPr>
        <w:t xml:space="preserve"> Natural Orbital for Chemical Valence (NOCV) analysis allows</w:t>
      </w:r>
      <w:r w:rsidRPr="00460059">
        <w:rPr>
          <w:rFonts w:ascii="Times New Roman" w:hAnsi="Times New Roman"/>
          <w:sz w:val="24"/>
          <w:szCs w:val="24"/>
        </w:rPr>
        <w:t xml:space="preserve"> an alternative route to the</w:t>
      </w:r>
      <w:r w:rsidR="00A33567" w:rsidRPr="00460059">
        <w:rPr>
          <w:rFonts w:ascii="Times New Roman" w:hAnsi="Times New Roman"/>
          <w:sz w:val="24"/>
          <w:szCs w:val="24"/>
        </w:rPr>
        <w:t xml:space="preserve"> decomposition of </w:t>
      </w:r>
      <w:proofErr w:type="spellStart"/>
      <w:r w:rsidR="000B36C4" w:rsidRPr="00460059">
        <w:rPr>
          <w:rFonts w:ascii="Times New Roman" w:hAnsi="Times New Roman"/>
          <w:bCs/>
          <w:sz w:val="24"/>
          <w:szCs w:val="24"/>
        </w:rPr>
        <w:t>Δρ</w:t>
      </w:r>
      <w:r w:rsidR="000B36C4" w:rsidRPr="00460059">
        <w:rPr>
          <w:rFonts w:ascii="Times New Roman" w:hAnsi="Times New Roman"/>
          <w:bCs/>
          <w:sz w:val="24"/>
          <w:szCs w:val="24"/>
          <w:vertAlign w:val="subscript"/>
        </w:rPr>
        <w:t>tot</w:t>
      </w:r>
      <w:proofErr w:type="spellEnd"/>
      <w:r w:rsidR="000B36C4" w:rsidRPr="00460059">
        <w:rPr>
          <w:rFonts w:ascii="Times New Roman" w:hAnsi="Times New Roman"/>
          <w:bCs/>
          <w:sz w:val="24"/>
          <w:szCs w:val="24"/>
        </w:rPr>
        <w:t xml:space="preserve"> and </w:t>
      </w:r>
      <w:proofErr w:type="spellStart"/>
      <w:r w:rsidR="00A33567" w:rsidRPr="00460059">
        <w:rPr>
          <w:rFonts w:ascii="Times New Roman" w:hAnsi="Times New Roman"/>
          <w:sz w:val="24"/>
          <w:szCs w:val="24"/>
        </w:rPr>
        <w:t>E</w:t>
      </w:r>
      <w:r w:rsidR="00A33567" w:rsidRPr="00460059">
        <w:rPr>
          <w:rFonts w:ascii="Times New Roman" w:hAnsi="Times New Roman"/>
          <w:sz w:val="24"/>
          <w:szCs w:val="24"/>
          <w:vertAlign w:val="subscript"/>
        </w:rPr>
        <w:t>orb</w:t>
      </w:r>
      <w:proofErr w:type="spellEnd"/>
      <w:r w:rsidR="00A33567" w:rsidRPr="00460059">
        <w:rPr>
          <w:rFonts w:ascii="Times New Roman" w:hAnsi="Times New Roman"/>
          <w:sz w:val="24"/>
          <w:szCs w:val="24"/>
        </w:rPr>
        <w:t xml:space="preserve"> into chemically meaningful contributions</w:t>
      </w:r>
      <w:r w:rsidR="000B36C4" w:rsidRPr="00460059">
        <w:rPr>
          <w:rFonts w:ascii="Times New Roman" w:hAnsi="Times New Roman"/>
          <w:sz w:val="24"/>
          <w:szCs w:val="24"/>
        </w:rPr>
        <w:t xml:space="preserve"> (</w:t>
      </w:r>
      <w:proofErr w:type="spellStart"/>
      <w:r w:rsidR="000B36C4" w:rsidRPr="00460059">
        <w:rPr>
          <w:rFonts w:ascii="Times New Roman" w:hAnsi="Times New Roman"/>
          <w:bCs/>
          <w:sz w:val="24"/>
          <w:szCs w:val="24"/>
        </w:rPr>
        <w:t>Δρ</w:t>
      </w:r>
      <w:r w:rsidR="000B36C4" w:rsidRPr="00460059">
        <w:rPr>
          <w:rFonts w:ascii="Times New Roman" w:hAnsi="Times New Roman"/>
          <w:bCs/>
          <w:sz w:val="24"/>
          <w:szCs w:val="24"/>
          <w:vertAlign w:val="subscript"/>
        </w:rPr>
        <w:t>k</w:t>
      </w:r>
      <w:proofErr w:type="spellEnd"/>
      <w:r w:rsidR="000B36C4" w:rsidRPr="00460059">
        <w:rPr>
          <w:rFonts w:ascii="Times New Roman" w:hAnsi="Times New Roman"/>
          <w:bCs/>
          <w:sz w:val="24"/>
          <w:szCs w:val="24"/>
        </w:rPr>
        <w:t xml:space="preserve"> and </w:t>
      </w:r>
      <w:proofErr w:type="spellStart"/>
      <w:r w:rsidR="000B36C4" w:rsidRPr="00460059">
        <w:rPr>
          <w:rFonts w:ascii="Times New Roman" w:hAnsi="Times New Roman"/>
          <w:bCs/>
          <w:sz w:val="24"/>
          <w:szCs w:val="24"/>
        </w:rPr>
        <w:t>E</w:t>
      </w:r>
      <w:r w:rsidR="000B36C4" w:rsidRPr="00460059">
        <w:rPr>
          <w:rFonts w:ascii="Times New Roman" w:hAnsi="Times New Roman"/>
          <w:bCs/>
          <w:sz w:val="24"/>
          <w:szCs w:val="24"/>
          <w:vertAlign w:val="subscript"/>
        </w:rPr>
        <w:t>k</w:t>
      </w:r>
      <w:proofErr w:type="spellEnd"/>
      <w:r w:rsidR="000B36C4" w:rsidRPr="00460059">
        <w:rPr>
          <w:rFonts w:ascii="Times New Roman" w:hAnsi="Times New Roman"/>
          <w:bCs/>
          <w:sz w:val="24"/>
          <w:szCs w:val="24"/>
        </w:rPr>
        <w:t xml:space="preserve">) </w:t>
      </w:r>
      <w:r w:rsidR="00A33567" w:rsidRPr="00460059">
        <w:rPr>
          <w:rFonts w:ascii="Times New Roman" w:hAnsi="Times New Roman"/>
          <w:sz w:val="24"/>
          <w:szCs w:val="24"/>
        </w:rPr>
        <w:t>without passing throug</w:t>
      </w:r>
      <w:r w:rsidRPr="00460059">
        <w:rPr>
          <w:rFonts w:ascii="Times New Roman" w:hAnsi="Times New Roman"/>
          <w:sz w:val="24"/>
          <w:szCs w:val="24"/>
        </w:rPr>
        <w:t>h</w:t>
      </w:r>
      <w:r w:rsidR="00A33567" w:rsidRPr="00460059">
        <w:rPr>
          <w:rFonts w:ascii="Times New Roman" w:hAnsi="Times New Roman"/>
          <w:sz w:val="24"/>
          <w:szCs w:val="24"/>
        </w:rPr>
        <w:t xml:space="preserve"> irreducible representations. The two methodolog</w:t>
      </w:r>
      <w:r w:rsidR="00EF7D57" w:rsidRPr="00460059">
        <w:rPr>
          <w:rFonts w:ascii="Times New Roman" w:hAnsi="Times New Roman"/>
          <w:sz w:val="24"/>
          <w:szCs w:val="24"/>
        </w:rPr>
        <w:t>ies</w:t>
      </w:r>
      <w:r w:rsidR="00A33567" w:rsidRPr="00460059">
        <w:rPr>
          <w:rFonts w:ascii="Times New Roman" w:hAnsi="Times New Roman"/>
          <w:sz w:val="24"/>
          <w:szCs w:val="24"/>
        </w:rPr>
        <w:t xml:space="preserve"> have been compared for halogen bonding and, when both are applicable, give similar results.</w:t>
      </w:r>
      <w:r w:rsidR="00616270" w:rsidRPr="00460059">
        <w:rPr>
          <w:rFonts w:ascii="Times New Roman" w:hAnsi="Times New Roman"/>
          <w:sz w:val="24"/>
          <w:szCs w:val="24"/>
        </w:rPr>
        <w:fldChar w:fldCharType="begin" w:fldLock="1"/>
      </w:r>
      <w:r w:rsidR="00D15D67">
        <w:rPr>
          <w:rFonts w:ascii="Times New Roman" w:hAnsi="Times New Roman"/>
          <w:sz w:val="24"/>
          <w:szCs w:val="24"/>
        </w:rPr>
        <w:instrText>ADDIN CSL_CITATION {"citationItems":[{"id":"ITEM-1","itemData":{"DOI":"10.1002/jcc.26165","ISSN":"1096987X","PMID":"32011001","abstract":"As known, the electron density of covalently bound halogen atoms is anisotropically distributed, making them potentially able to establish many weak interactions, acting at the same time as halogen bond donors and hydrogen bond acceptors. Indeed, there are many examples in which the halogen and hydrogen bond coexist in the same structure and, if a correct bond analysis is required, their separation is mandatory. Here, the advantages and limitations of coupling the charge displacement analysis with natural orbital for chemical valence method (NOCV-CD) to separately analyze orthogonal weak interactions are shown, for both symmetric and asymmetric adducts. The methodology gives optimal results with intermolecular adducts but, in the presence of an organometallic complex, also intramolecular interactions can be correctly analyzed. Beyond the methodological aspects, it is shown that correctly separate and quantify the interactions can give interesting chemical insights about the systems.","author":[{"dropping-particle":"","family":"Ciancaleoni","given":"Gianluca","non-dropping-particle":"","parse-names":false,"suffix":""},{"dropping-particle":"","family":"Belpassi","given":"Leonardo","non-dropping-particle":"","parse-names":false,"suffix":""}],"container-title":"Journal of Computational Chemistry","id":"ITEM-1","issue":"12","issued":{"date-parts":[["2020","5","5"]]},"page":"1185-1193","publisher":"John Wiley and Sons Inc.","title":"Disentanglement of orthogonal hydrogen and halogen bonds via natural orbital for chemical valence: A charge displacement analysis","type":"article-journal","volume":"41"},"uris":["http://www.mendeley.com/documents/?uuid=6fdc7131-32c0-34a4-81b7-555f3d0321c3"]}],"mendeley":{"formattedCitation":"&lt;sup&gt;30&lt;/sup&gt;","plainTextFormattedCitation":"30","previouslyFormattedCitation":"&lt;sup&gt;30&lt;/sup&gt;"},"properties":{"noteIndex":0},"schema":"https://github.com/citation-style-language/schema/raw/master/csl-citation.json"}</w:instrText>
      </w:r>
      <w:r w:rsidR="00616270" w:rsidRPr="00460059">
        <w:rPr>
          <w:rFonts w:ascii="Times New Roman" w:hAnsi="Times New Roman"/>
          <w:sz w:val="24"/>
          <w:szCs w:val="24"/>
        </w:rPr>
        <w:fldChar w:fldCharType="separate"/>
      </w:r>
      <w:r w:rsidR="00F97619" w:rsidRPr="00F97619">
        <w:rPr>
          <w:rFonts w:ascii="Times New Roman" w:hAnsi="Times New Roman"/>
          <w:noProof/>
          <w:sz w:val="24"/>
          <w:szCs w:val="24"/>
          <w:vertAlign w:val="superscript"/>
        </w:rPr>
        <w:t>30</w:t>
      </w:r>
      <w:r w:rsidR="00616270" w:rsidRPr="00460059">
        <w:rPr>
          <w:rFonts w:ascii="Times New Roman" w:hAnsi="Times New Roman"/>
          <w:sz w:val="24"/>
          <w:szCs w:val="24"/>
        </w:rPr>
        <w:fldChar w:fldCharType="end"/>
      </w:r>
    </w:p>
    <w:p w14:paraId="1601C015" w14:textId="77777777" w:rsidR="000B36C4" w:rsidRPr="00460059" w:rsidRDefault="000B36C4" w:rsidP="00B46701">
      <w:pPr>
        <w:pStyle w:val="RSCB02ArticleText"/>
        <w:spacing w:line="360" w:lineRule="auto"/>
        <w:jc w:val="center"/>
        <w:rPr>
          <w:rFonts w:ascii="Times New Roman" w:hAnsi="Times New Roman"/>
        </w:rPr>
      </w:pPr>
    </w:p>
    <w:p w14:paraId="467D4777" w14:textId="2708C1DB" w:rsidR="00F97529" w:rsidRPr="00460059" w:rsidRDefault="00F97529" w:rsidP="00B46701">
      <w:pPr>
        <w:pStyle w:val="RSCB02ArticleText"/>
        <w:spacing w:line="360" w:lineRule="auto"/>
        <w:jc w:val="center"/>
        <w:rPr>
          <w:rFonts w:ascii="Times New Roman" w:hAnsi="Times New Roman"/>
        </w:rPr>
      </w:pPr>
      <w:r w:rsidRPr="00460059">
        <w:rPr>
          <w:rFonts w:ascii="Times New Roman" w:hAnsi="Times New Roman"/>
          <w:noProof/>
          <w:lang w:val="en-US"/>
        </w:rPr>
        <w:drawing>
          <wp:inline distT="0" distB="0" distL="0" distR="0" wp14:anchorId="53DF803A" wp14:editId="4047006B">
            <wp:extent cx="3159604" cy="2592000"/>
            <wp:effectExtent l="0" t="0" r="317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rotWithShape="1">
                    <a:blip r:embed="rId9" cstate="print">
                      <a:extLst>
                        <a:ext uri="{28A0092B-C50C-407E-A947-70E740481C1C}">
                          <a14:useLocalDpi xmlns:a14="http://schemas.microsoft.com/office/drawing/2010/main" val="0"/>
                        </a:ext>
                      </a:extLst>
                    </a:blip>
                    <a:srcRect l="8619"/>
                    <a:stretch/>
                  </pic:blipFill>
                  <pic:spPr bwMode="auto">
                    <a:xfrm>
                      <a:off x="0" y="0"/>
                      <a:ext cx="3159604" cy="2592000"/>
                    </a:xfrm>
                    <a:prstGeom prst="rect">
                      <a:avLst/>
                    </a:prstGeom>
                    <a:ln>
                      <a:noFill/>
                    </a:ln>
                    <a:extLst>
                      <a:ext uri="{53640926-AAD7-44D8-BBD7-CCE9431645EC}">
                        <a14:shadowObscured xmlns:a14="http://schemas.microsoft.com/office/drawing/2010/main"/>
                      </a:ext>
                    </a:extLst>
                  </pic:spPr>
                </pic:pic>
              </a:graphicData>
            </a:graphic>
          </wp:inline>
        </w:drawing>
      </w:r>
    </w:p>
    <w:p w14:paraId="4F2B86CF" w14:textId="4BB01C0C" w:rsidR="00F97529" w:rsidRPr="00460059" w:rsidRDefault="00F97529" w:rsidP="00B46701">
      <w:pPr>
        <w:pStyle w:val="Corpotesto"/>
        <w:spacing w:after="0" w:line="360" w:lineRule="auto"/>
        <w:jc w:val="both"/>
        <w:rPr>
          <w:rFonts w:ascii="Times New Roman" w:hAnsi="Times New Roman" w:cs="Times New Roman"/>
          <w:sz w:val="24"/>
          <w:szCs w:val="24"/>
        </w:rPr>
      </w:pPr>
      <w:bookmarkStart w:id="1" w:name="_Ref45269060"/>
      <w:r w:rsidRPr="00460059">
        <w:rPr>
          <w:rFonts w:ascii="Times New Roman" w:hAnsi="Times New Roman" w:cs="Times New Roman"/>
          <w:b/>
          <w:bCs/>
          <w:sz w:val="24"/>
          <w:szCs w:val="24"/>
        </w:rPr>
        <w:t xml:space="preserve">Figure </w:t>
      </w:r>
      <w:r w:rsidRPr="00460059">
        <w:rPr>
          <w:rFonts w:ascii="Times New Roman" w:hAnsi="Times New Roman" w:cs="Times New Roman"/>
          <w:b/>
          <w:bCs/>
          <w:sz w:val="24"/>
          <w:szCs w:val="24"/>
        </w:rPr>
        <w:fldChar w:fldCharType="begin"/>
      </w:r>
      <w:r w:rsidRPr="00460059">
        <w:rPr>
          <w:rFonts w:ascii="Times New Roman" w:hAnsi="Times New Roman" w:cs="Times New Roman"/>
          <w:b/>
          <w:bCs/>
          <w:sz w:val="24"/>
          <w:szCs w:val="24"/>
        </w:rPr>
        <w:instrText xml:space="preserve"> SEQ Figure \* ARABIC </w:instrText>
      </w:r>
      <w:r w:rsidRPr="00460059">
        <w:rPr>
          <w:rFonts w:ascii="Times New Roman" w:hAnsi="Times New Roman" w:cs="Times New Roman"/>
          <w:b/>
          <w:bCs/>
          <w:sz w:val="24"/>
          <w:szCs w:val="24"/>
        </w:rPr>
        <w:fldChar w:fldCharType="separate"/>
      </w:r>
      <w:r w:rsidR="00096663" w:rsidRPr="00460059">
        <w:rPr>
          <w:rFonts w:ascii="Times New Roman" w:hAnsi="Times New Roman" w:cs="Times New Roman"/>
          <w:b/>
          <w:bCs/>
          <w:noProof/>
          <w:sz w:val="24"/>
          <w:szCs w:val="24"/>
        </w:rPr>
        <w:t>1</w:t>
      </w:r>
      <w:r w:rsidRPr="00460059">
        <w:rPr>
          <w:rFonts w:ascii="Times New Roman" w:hAnsi="Times New Roman" w:cs="Times New Roman"/>
          <w:b/>
          <w:bCs/>
          <w:sz w:val="24"/>
          <w:szCs w:val="24"/>
        </w:rPr>
        <w:fldChar w:fldCharType="end"/>
      </w:r>
      <w:bookmarkEnd w:id="1"/>
      <w:r w:rsidRPr="00460059">
        <w:rPr>
          <w:rFonts w:ascii="Times New Roman" w:hAnsi="Times New Roman" w:cs="Times New Roman"/>
          <w:sz w:val="24"/>
          <w:szCs w:val="24"/>
        </w:rPr>
        <w:t>. Isodensity surface plots (isodensity value 1 me a.u.</w:t>
      </w:r>
      <w:r w:rsidRPr="00460059">
        <w:rPr>
          <w:rFonts w:ascii="Times New Roman" w:hAnsi="Times New Roman" w:cs="Times New Roman"/>
          <w:sz w:val="24"/>
          <w:szCs w:val="24"/>
          <w:vertAlign w:val="superscript"/>
        </w:rPr>
        <w:t>-3</w:t>
      </w:r>
      <w:r w:rsidRPr="00460059">
        <w:rPr>
          <w:rFonts w:ascii="Times New Roman" w:hAnsi="Times New Roman" w:cs="Times New Roman"/>
          <w:sz w:val="24"/>
          <w:szCs w:val="24"/>
        </w:rPr>
        <w:t xml:space="preserve"> except for Δρ</w:t>
      </w:r>
      <w:r w:rsidRPr="00460059">
        <w:rPr>
          <w:rFonts w:ascii="Times New Roman" w:hAnsi="Times New Roman" w:cs="Times New Roman"/>
          <w:sz w:val="24"/>
          <w:szCs w:val="24"/>
          <w:vertAlign w:val="subscript"/>
        </w:rPr>
        <w:t>1</w:t>
      </w:r>
      <w:r w:rsidRPr="00460059">
        <w:rPr>
          <w:rFonts w:ascii="Times New Roman" w:hAnsi="Times New Roman" w:cs="Times New Roman"/>
          <w:sz w:val="24"/>
          <w:szCs w:val="24"/>
        </w:rPr>
        <w:t>, 0.7 me a.u.</w:t>
      </w:r>
      <w:r w:rsidRPr="00460059">
        <w:rPr>
          <w:rFonts w:ascii="Times New Roman" w:hAnsi="Times New Roman" w:cs="Times New Roman"/>
          <w:sz w:val="24"/>
          <w:szCs w:val="24"/>
          <w:vertAlign w:val="superscript"/>
        </w:rPr>
        <w:t>-3</w:t>
      </w:r>
      <w:r w:rsidRPr="00460059">
        <w:rPr>
          <w:rFonts w:ascii="Times New Roman" w:hAnsi="Times New Roman" w:cs="Times New Roman"/>
          <w:sz w:val="24"/>
          <w:szCs w:val="24"/>
        </w:rPr>
        <w:t xml:space="preserve">) for the deformation maps relative to </w:t>
      </w:r>
      <w:proofErr w:type="spellStart"/>
      <w:r w:rsidRPr="00460059">
        <w:rPr>
          <w:rFonts w:ascii="Times New Roman" w:hAnsi="Times New Roman" w:cs="Times New Roman"/>
          <w:sz w:val="24"/>
          <w:szCs w:val="24"/>
        </w:rPr>
        <w:t>Δρ</w:t>
      </w:r>
      <w:r w:rsidRPr="00460059">
        <w:rPr>
          <w:rFonts w:ascii="Times New Roman" w:hAnsi="Times New Roman" w:cs="Times New Roman"/>
          <w:sz w:val="24"/>
          <w:szCs w:val="24"/>
          <w:vertAlign w:val="subscript"/>
        </w:rPr>
        <w:t>tot</w:t>
      </w:r>
      <w:proofErr w:type="spellEnd"/>
      <w:r w:rsidRPr="00460059">
        <w:rPr>
          <w:rFonts w:ascii="Times New Roman" w:hAnsi="Times New Roman" w:cs="Times New Roman"/>
          <w:sz w:val="24"/>
          <w:szCs w:val="24"/>
        </w:rPr>
        <w:t xml:space="preserve"> and </w:t>
      </w:r>
      <w:proofErr w:type="spellStart"/>
      <w:r w:rsidRPr="00460059">
        <w:rPr>
          <w:rFonts w:ascii="Times New Roman" w:hAnsi="Times New Roman" w:cs="Times New Roman"/>
          <w:sz w:val="24"/>
          <w:szCs w:val="24"/>
        </w:rPr>
        <w:t>Δρ</w:t>
      </w:r>
      <w:r w:rsidRPr="00460059">
        <w:rPr>
          <w:rFonts w:ascii="Times New Roman" w:hAnsi="Times New Roman" w:cs="Times New Roman"/>
          <w:sz w:val="24"/>
          <w:szCs w:val="24"/>
          <w:vertAlign w:val="subscript"/>
        </w:rPr>
        <w:t>k</w:t>
      </w:r>
      <w:proofErr w:type="spellEnd"/>
      <w:r w:rsidRPr="00460059">
        <w:rPr>
          <w:rFonts w:ascii="Times New Roman" w:hAnsi="Times New Roman" w:cs="Times New Roman"/>
          <w:sz w:val="24"/>
          <w:szCs w:val="24"/>
        </w:rPr>
        <w:t xml:space="preserve"> (k = 0, 1 and 2) of the [</w:t>
      </w:r>
      <w:r w:rsidRPr="00460059">
        <w:rPr>
          <w:rFonts w:ascii="Times New Roman" w:hAnsi="Times New Roman" w:cs="Times New Roman"/>
          <w:b/>
          <w:bCs/>
          <w:sz w:val="24"/>
          <w:szCs w:val="24"/>
        </w:rPr>
        <w:t>1</w:t>
      </w:r>
      <w:r w:rsidRPr="00460059">
        <w:rPr>
          <w:rFonts w:ascii="Times New Roman" w:hAnsi="Times New Roman" w:cs="Times New Roman"/>
          <w:sz w:val="24"/>
          <w:szCs w:val="24"/>
        </w:rPr>
        <w:t>]</w:t>
      </w:r>
      <w:r w:rsidRPr="00460059">
        <w:rPr>
          <w:rFonts w:ascii="Times New Roman" w:hAnsi="Times New Roman" w:cs="Times New Roman"/>
          <w:sz w:val="24"/>
          <w:szCs w:val="24"/>
          <w:vertAlign w:val="superscript"/>
        </w:rPr>
        <w:t>…</w:t>
      </w:r>
      <w:r w:rsidRPr="00460059">
        <w:rPr>
          <w:rFonts w:ascii="Times New Roman" w:hAnsi="Times New Roman" w:cs="Times New Roman"/>
          <w:sz w:val="24"/>
          <w:szCs w:val="24"/>
        </w:rPr>
        <w:t>[</w:t>
      </w:r>
      <w:r w:rsidRPr="00460059">
        <w:rPr>
          <w:rFonts w:ascii="Times New Roman" w:hAnsi="Times New Roman" w:cs="Times New Roman"/>
          <w:b/>
          <w:bCs/>
          <w:sz w:val="24"/>
          <w:szCs w:val="24"/>
        </w:rPr>
        <w:t>CH</w:t>
      </w:r>
      <w:r w:rsidRPr="00460059">
        <w:rPr>
          <w:rFonts w:ascii="Times New Roman" w:hAnsi="Times New Roman" w:cs="Times New Roman"/>
          <w:b/>
          <w:bCs/>
          <w:sz w:val="24"/>
          <w:szCs w:val="24"/>
          <w:vertAlign w:val="subscript"/>
        </w:rPr>
        <w:t>2</w:t>
      </w:r>
      <w:r w:rsidRPr="00460059">
        <w:rPr>
          <w:rFonts w:ascii="Times New Roman" w:hAnsi="Times New Roman" w:cs="Times New Roman"/>
          <w:b/>
          <w:bCs/>
          <w:sz w:val="24"/>
          <w:szCs w:val="24"/>
        </w:rPr>
        <w:t>S</w:t>
      </w:r>
      <w:r w:rsidRPr="00460059">
        <w:rPr>
          <w:rFonts w:ascii="Times New Roman" w:hAnsi="Times New Roman" w:cs="Times New Roman"/>
          <w:sz w:val="24"/>
          <w:szCs w:val="24"/>
        </w:rPr>
        <w:t xml:space="preserve">] interaction. The charge flux is red → blue. Aside each </w:t>
      </w:r>
      <w:proofErr w:type="spellStart"/>
      <w:r w:rsidRPr="00460059">
        <w:rPr>
          <w:rFonts w:ascii="Times New Roman" w:hAnsi="Times New Roman" w:cs="Times New Roman"/>
          <w:sz w:val="24"/>
          <w:szCs w:val="24"/>
        </w:rPr>
        <w:t>Δρ</w:t>
      </w:r>
      <w:r w:rsidRPr="00460059">
        <w:rPr>
          <w:rFonts w:ascii="Times New Roman" w:hAnsi="Times New Roman" w:cs="Times New Roman"/>
          <w:sz w:val="24"/>
          <w:szCs w:val="24"/>
          <w:vertAlign w:val="subscript"/>
        </w:rPr>
        <w:t>k</w:t>
      </w:r>
      <w:proofErr w:type="spellEnd"/>
      <w:r w:rsidRPr="00460059">
        <w:rPr>
          <w:rFonts w:ascii="Times New Roman" w:hAnsi="Times New Roman" w:cs="Times New Roman"/>
          <w:sz w:val="24"/>
          <w:szCs w:val="24"/>
        </w:rPr>
        <w:t xml:space="preserve"> map, the corresponding Charge Displacement function is shown. Black dots indicate the position on the axis of the atomic nuclei. A yellow vertical band indicates the boundary between the fragments.</w:t>
      </w:r>
    </w:p>
    <w:p w14:paraId="2D919E93" w14:textId="77777777" w:rsidR="00F97529" w:rsidRPr="00460059" w:rsidRDefault="00F97529" w:rsidP="00B46701">
      <w:pPr>
        <w:pStyle w:val="Corpotesto"/>
        <w:spacing w:after="0" w:line="360" w:lineRule="auto"/>
        <w:jc w:val="both"/>
        <w:rPr>
          <w:rFonts w:ascii="Times New Roman" w:hAnsi="Times New Roman" w:cs="Times New Roman"/>
          <w:sz w:val="24"/>
          <w:szCs w:val="24"/>
        </w:rPr>
      </w:pPr>
    </w:p>
    <w:p w14:paraId="6EF609A7" w14:textId="32BE2880" w:rsidR="00F56B50" w:rsidRPr="00460059" w:rsidRDefault="000B36C4" w:rsidP="000B36C4">
      <w:pPr>
        <w:pStyle w:val="RSCB02ArticleText"/>
        <w:spacing w:line="360" w:lineRule="auto"/>
        <w:rPr>
          <w:rFonts w:ascii="Times New Roman" w:hAnsi="Times New Roman"/>
          <w:bCs/>
          <w:sz w:val="24"/>
          <w:szCs w:val="24"/>
        </w:rPr>
      </w:pPr>
      <w:r w:rsidRPr="00460059">
        <w:rPr>
          <w:rFonts w:ascii="Times New Roman" w:hAnsi="Times New Roman"/>
          <w:sz w:val="24"/>
          <w:szCs w:val="24"/>
        </w:rPr>
        <w:t xml:space="preserve">In the case of </w:t>
      </w: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S</w:t>
      </w:r>
      <w:r w:rsidRPr="00460059">
        <w:rPr>
          <w:rFonts w:ascii="Times New Roman" w:hAnsi="Times New Roman"/>
          <w:bCs/>
          <w:sz w:val="24"/>
          <w:szCs w:val="24"/>
        </w:rPr>
        <w:t xml:space="preserve">, the </w:t>
      </w:r>
      <w:r w:rsidR="0016141B" w:rsidRPr="00460059">
        <w:rPr>
          <w:rFonts w:ascii="Times New Roman" w:hAnsi="Times New Roman"/>
          <w:bCs/>
          <w:sz w:val="24"/>
          <w:szCs w:val="24"/>
        </w:rPr>
        <w:t xml:space="preserve">application of </w:t>
      </w:r>
      <w:r w:rsidRPr="00460059">
        <w:rPr>
          <w:rFonts w:ascii="Times New Roman" w:hAnsi="Times New Roman"/>
          <w:bCs/>
          <w:sz w:val="24"/>
          <w:szCs w:val="24"/>
        </w:rPr>
        <w:t xml:space="preserve">NOCV analysis </w:t>
      </w:r>
      <w:r w:rsidR="0016141B" w:rsidRPr="00460059">
        <w:rPr>
          <w:rFonts w:ascii="Times New Roman" w:hAnsi="Times New Roman"/>
          <w:bCs/>
          <w:sz w:val="24"/>
          <w:szCs w:val="24"/>
        </w:rPr>
        <w:t>leads to the isolation of</w:t>
      </w:r>
      <w:r w:rsidRPr="00460059">
        <w:rPr>
          <w:rFonts w:ascii="Times New Roman" w:hAnsi="Times New Roman"/>
          <w:bCs/>
          <w:sz w:val="24"/>
          <w:szCs w:val="24"/>
        </w:rPr>
        <w:t xml:space="preserve"> the mai</w:t>
      </w:r>
      <w:r w:rsidR="00F56B50" w:rsidRPr="00460059">
        <w:rPr>
          <w:rFonts w:ascii="Times New Roman" w:hAnsi="Times New Roman"/>
          <w:bCs/>
          <w:sz w:val="24"/>
          <w:szCs w:val="24"/>
        </w:rPr>
        <w:t>n components of the interaction (</w:t>
      </w:r>
      <w:r w:rsidR="00F56B50" w:rsidRPr="00460059">
        <w:rPr>
          <w:rFonts w:ascii="Times New Roman" w:hAnsi="Times New Roman"/>
          <w:bCs/>
          <w:sz w:val="24"/>
          <w:szCs w:val="24"/>
        </w:rPr>
        <w:fldChar w:fldCharType="begin"/>
      </w:r>
      <w:r w:rsidR="00F56B50" w:rsidRPr="00460059">
        <w:rPr>
          <w:rFonts w:ascii="Times New Roman" w:hAnsi="Times New Roman"/>
          <w:bCs/>
          <w:sz w:val="24"/>
          <w:szCs w:val="24"/>
        </w:rPr>
        <w:instrText xml:space="preserve"> REF _Ref45269060 \h  \* MERGEFORMAT </w:instrText>
      </w:r>
      <w:r w:rsidR="00F56B50" w:rsidRPr="00460059">
        <w:rPr>
          <w:rFonts w:ascii="Times New Roman" w:hAnsi="Times New Roman"/>
          <w:bCs/>
          <w:sz w:val="24"/>
          <w:szCs w:val="24"/>
        </w:rPr>
      </w:r>
      <w:r w:rsidR="00F56B50" w:rsidRPr="00460059">
        <w:rPr>
          <w:rFonts w:ascii="Times New Roman" w:hAnsi="Times New Roman"/>
          <w:bCs/>
          <w:sz w:val="24"/>
          <w:szCs w:val="24"/>
        </w:rPr>
        <w:fldChar w:fldCharType="separate"/>
      </w:r>
      <w:r w:rsidR="003C5B77" w:rsidRPr="00460059">
        <w:rPr>
          <w:rFonts w:ascii="Times New Roman" w:hAnsi="Times New Roman"/>
          <w:bCs/>
          <w:sz w:val="24"/>
          <w:szCs w:val="24"/>
        </w:rPr>
        <w:t>Figure 1</w:t>
      </w:r>
      <w:r w:rsidR="00F56B50" w:rsidRPr="00460059">
        <w:rPr>
          <w:rFonts w:ascii="Times New Roman" w:hAnsi="Times New Roman"/>
          <w:bCs/>
          <w:sz w:val="24"/>
          <w:szCs w:val="24"/>
        </w:rPr>
        <w:fldChar w:fldCharType="end"/>
      </w:r>
      <w:r w:rsidR="00F56B50" w:rsidRPr="00460059">
        <w:rPr>
          <w:rFonts w:ascii="Times New Roman" w:hAnsi="Times New Roman"/>
          <w:bCs/>
          <w:sz w:val="24"/>
          <w:szCs w:val="24"/>
        </w:rPr>
        <w:t>)</w:t>
      </w:r>
      <w:r w:rsidR="001408BE" w:rsidRPr="00460059">
        <w:rPr>
          <w:rFonts w:ascii="Times New Roman" w:hAnsi="Times New Roman"/>
          <w:bCs/>
          <w:sz w:val="24"/>
          <w:szCs w:val="24"/>
        </w:rPr>
        <w:t>, as described below.</w:t>
      </w:r>
    </w:p>
    <w:p w14:paraId="5C32B115" w14:textId="56A4E12F" w:rsidR="000B36C4" w:rsidRPr="00460059" w:rsidRDefault="00F56B50" w:rsidP="000B36C4">
      <w:pPr>
        <w:pStyle w:val="RSCB02ArticleText"/>
        <w:spacing w:line="360" w:lineRule="auto"/>
        <w:rPr>
          <w:rFonts w:ascii="Times New Roman" w:hAnsi="Times New Roman"/>
          <w:bCs/>
          <w:sz w:val="24"/>
          <w:szCs w:val="24"/>
        </w:rPr>
      </w:pPr>
      <w:r w:rsidRPr="00460059">
        <w:rPr>
          <w:rFonts w:ascii="Times New Roman" w:hAnsi="Times New Roman"/>
          <w:bCs/>
          <w:sz w:val="24"/>
          <w:szCs w:val="24"/>
        </w:rPr>
        <w:t>-</w:t>
      </w:r>
      <w:r w:rsidR="000B36C4" w:rsidRPr="00460059">
        <w:rPr>
          <w:rFonts w:ascii="Times New Roman" w:hAnsi="Times New Roman"/>
          <w:bCs/>
          <w:sz w:val="24"/>
          <w:szCs w:val="24"/>
        </w:rPr>
        <w:t xml:space="preserve"> </w:t>
      </w:r>
      <w:r w:rsidRPr="00460059">
        <w:rPr>
          <w:rFonts w:ascii="Times New Roman" w:hAnsi="Times New Roman"/>
          <w:bCs/>
          <w:sz w:val="24"/>
          <w:szCs w:val="24"/>
        </w:rPr>
        <w:t>Δρ</w:t>
      </w:r>
      <w:r w:rsidRPr="00460059">
        <w:rPr>
          <w:rFonts w:ascii="Times New Roman" w:hAnsi="Times New Roman"/>
          <w:bCs/>
          <w:sz w:val="24"/>
          <w:szCs w:val="24"/>
          <w:vertAlign w:val="subscript"/>
        </w:rPr>
        <w:t>0</w:t>
      </w:r>
      <w:r w:rsidRPr="00460059">
        <w:rPr>
          <w:rFonts w:ascii="Times New Roman" w:hAnsi="Times New Roman"/>
          <w:bCs/>
          <w:sz w:val="24"/>
          <w:szCs w:val="24"/>
        </w:rPr>
        <w:t xml:space="preserve"> contains only the regions involved with the </w:t>
      </w:r>
      <w:r w:rsidR="00850D53">
        <w:rPr>
          <w:rFonts w:ascii="Times New Roman" w:hAnsi="Times New Roman"/>
          <w:bCs/>
          <w:sz w:val="24"/>
          <w:szCs w:val="24"/>
        </w:rPr>
        <w:t>Cd</w:t>
      </w:r>
      <w:r w:rsidR="00E17505" w:rsidRPr="00460059">
        <w:rPr>
          <w:rFonts w:ascii="Times New Roman" w:hAnsi="Times New Roman"/>
          <w:bCs/>
          <w:sz w:val="24"/>
          <w:szCs w:val="24"/>
          <w:vertAlign w:val="superscript"/>
        </w:rPr>
        <w:t>...</w:t>
      </w:r>
      <w:r w:rsidR="00850D53">
        <w:rPr>
          <w:rFonts w:ascii="Times New Roman" w:hAnsi="Times New Roman"/>
          <w:bCs/>
          <w:sz w:val="24"/>
          <w:szCs w:val="24"/>
        </w:rPr>
        <w:t>S</w:t>
      </w:r>
      <w:r w:rsidRPr="00460059">
        <w:rPr>
          <w:rFonts w:ascii="Times New Roman" w:hAnsi="Times New Roman"/>
          <w:bCs/>
          <w:sz w:val="24"/>
          <w:szCs w:val="24"/>
        </w:rPr>
        <w:t xml:space="preserve"> interaction, with </w:t>
      </w:r>
      <w:r w:rsidR="00065AE0" w:rsidRPr="00460059">
        <w:rPr>
          <w:rFonts w:ascii="Times New Roman" w:hAnsi="Times New Roman"/>
          <w:bCs/>
          <w:sz w:val="24"/>
          <w:szCs w:val="24"/>
        </w:rPr>
        <w:t>electron depletion</w:t>
      </w:r>
      <w:r w:rsidRPr="00460059">
        <w:rPr>
          <w:rFonts w:ascii="Times New Roman" w:hAnsi="Times New Roman"/>
          <w:bCs/>
          <w:sz w:val="24"/>
          <w:szCs w:val="24"/>
        </w:rPr>
        <w:t xml:space="preserve"> around the </w:t>
      </w:r>
      <w:r w:rsidR="0015561D" w:rsidRPr="00460059">
        <w:rPr>
          <w:rFonts w:ascii="Times New Roman" w:hAnsi="Times New Roman"/>
          <w:bCs/>
          <w:sz w:val="24"/>
          <w:szCs w:val="24"/>
        </w:rPr>
        <w:t>sulfur</w:t>
      </w:r>
      <w:r w:rsidR="00065AE0" w:rsidRPr="00460059">
        <w:rPr>
          <w:rFonts w:ascii="Times New Roman" w:hAnsi="Times New Roman"/>
          <w:bCs/>
          <w:sz w:val="24"/>
          <w:szCs w:val="24"/>
        </w:rPr>
        <w:t xml:space="preserve"> atom and</w:t>
      </w:r>
      <w:r w:rsidRPr="00460059">
        <w:rPr>
          <w:rFonts w:ascii="Times New Roman" w:hAnsi="Times New Roman"/>
          <w:bCs/>
          <w:sz w:val="24"/>
          <w:szCs w:val="24"/>
        </w:rPr>
        <w:t xml:space="preserve"> accumulation </w:t>
      </w:r>
      <w:r w:rsidR="00065AE0" w:rsidRPr="00460059">
        <w:rPr>
          <w:rFonts w:ascii="Times New Roman" w:hAnsi="Times New Roman"/>
          <w:bCs/>
          <w:sz w:val="24"/>
          <w:szCs w:val="24"/>
        </w:rPr>
        <w:t xml:space="preserve">located on both the </w:t>
      </w:r>
      <w:proofErr w:type="spellStart"/>
      <w:r w:rsidR="00065AE0" w:rsidRPr="00460059">
        <w:rPr>
          <w:rFonts w:ascii="Times New Roman" w:hAnsi="Times New Roman"/>
          <w:bCs/>
          <w:sz w:val="24"/>
          <w:szCs w:val="24"/>
        </w:rPr>
        <w:t>interfragment</w:t>
      </w:r>
      <w:proofErr w:type="spellEnd"/>
      <w:r w:rsidR="00065AE0" w:rsidRPr="00460059">
        <w:rPr>
          <w:rFonts w:ascii="Times New Roman" w:hAnsi="Times New Roman"/>
          <w:bCs/>
          <w:sz w:val="24"/>
          <w:szCs w:val="24"/>
        </w:rPr>
        <w:t xml:space="preserve"> space</w:t>
      </w:r>
      <w:r w:rsidRPr="00460059">
        <w:rPr>
          <w:rFonts w:ascii="Times New Roman" w:hAnsi="Times New Roman"/>
          <w:bCs/>
          <w:sz w:val="24"/>
          <w:szCs w:val="24"/>
        </w:rPr>
        <w:t xml:space="preserve"> and coordinated</w:t>
      </w:r>
      <w:r w:rsidR="00065AE0" w:rsidRPr="00460059">
        <w:rPr>
          <w:rFonts w:ascii="Times New Roman" w:hAnsi="Times New Roman"/>
          <w:bCs/>
          <w:sz w:val="24"/>
          <w:szCs w:val="24"/>
        </w:rPr>
        <w:t xml:space="preserve"> thioureas</w:t>
      </w:r>
      <w:r w:rsidRPr="00460059">
        <w:rPr>
          <w:rFonts w:ascii="Times New Roman" w:hAnsi="Times New Roman"/>
          <w:bCs/>
          <w:sz w:val="24"/>
          <w:szCs w:val="24"/>
        </w:rPr>
        <w:t xml:space="preserve">. The </w:t>
      </w:r>
      <w:r w:rsidR="0015561D" w:rsidRPr="00460059">
        <w:rPr>
          <w:rFonts w:ascii="Times New Roman" w:hAnsi="Times New Roman"/>
          <w:bCs/>
          <w:sz w:val="24"/>
          <w:szCs w:val="24"/>
        </w:rPr>
        <w:t>sulfur</w:t>
      </w:r>
      <w:r w:rsidRPr="00460059">
        <w:rPr>
          <w:rFonts w:ascii="Times New Roman" w:hAnsi="Times New Roman"/>
          <w:bCs/>
          <w:sz w:val="24"/>
          <w:szCs w:val="24"/>
        </w:rPr>
        <w:t xml:space="preserve"> </w:t>
      </w:r>
      <w:r w:rsidR="00065AE0" w:rsidRPr="00460059">
        <w:rPr>
          <w:rFonts w:ascii="Times New Roman" w:hAnsi="Times New Roman"/>
          <w:bCs/>
          <w:sz w:val="24"/>
          <w:szCs w:val="24"/>
        </w:rPr>
        <w:t xml:space="preserve">atom </w:t>
      </w:r>
      <w:r w:rsidRPr="00460059">
        <w:rPr>
          <w:rFonts w:ascii="Times New Roman" w:hAnsi="Times New Roman"/>
          <w:bCs/>
          <w:sz w:val="24"/>
          <w:szCs w:val="24"/>
        </w:rPr>
        <w:t>is donating electron density to the metal and at the same time the electrons of the cadmium-th</w:t>
      </w:r>
      <w:r w:rsidR="004D7C34">
        <w:rPr>
          <w:rFonts w:ascii="Times New Roman" w:hAnsi="Times New Roman"/>
          <w:bCs/>
          <w:sz w:val="24"/>
          <w:szCs w:val="24"/>
        </w:rPr>
        <w:t>i</w:t>
      </w:r>
      <w:r w:rsidRPr="00460059">
        <w:rPr>
          <w:rFonts w:ascii="Times New Roman" w:hAnsi="Times New Roman"/>
          <w:bCs/>
          <w:sz w:val="24"/>
          <w:szCs w:val="24"/>
        </w:rPr>
        <w:t>ourea bonds are rep</w:t>
      </w:r>
      <w:r w:rsidR="00116C75" w:rsidRPr="00460059">
        <w:rPr>
          <w:rFonts w:ascii="Times New Roman" w:hAnsi="Times New Roman"/>
          <w:bCs/>
          <w:sz w:val="24"/>
          <w:szCs w:val="24"/>
        </w:rPr>
        <w:t>elled by the presence of the LB</w:t>
      </w:r>
      <w:r w:rsidR="00A362AE" w:rsidRPr="00460059">
        <w:rPr>
          <w:rFonts w:ascii="Times New Roman" w:hAnsi="Times New Roman"/>
          <w:bCs/>
          <w:sz w:val="24"/>
          <w:szCs w:val="24"/>
        </w:rPr>
        <w:t xml:space="preserve">. This term </w:t>
      </w:r>
      <w:r w:rsidR="000168E1" w:rsidRPr="00460059">
        <w:rPr>
          <w:rFonts w:ascii="Times New Roman" w:hAnsi="Times New Roman"/>
          <w:bCs/>
          <w:sz w:val="24"/>
          <w:szCs w:val="24"/>
        </w:rPr>
        <w:t xml:space="preserve">is the orbital </w:t>
      </w:r>
      <w:r w:rsidR="00A4624C" w:rsidRPr="00460059">
        <w:rPr>
          <w:rFonts w:ascii="Times New Roman" w:hAnsi="Times New Roman"/>
          <w:bCs/>
          <w:sz w:val="24"/>
          <w:szCs w:val="24"/>
        </w:rPr>
        <w:t>equivalent</w:t>
      </w:r>
      <w:r w:rsidR="00074A0E" w:rsidRPr="00460059">
        <w:rPr>
          <w:rFonts w:ascii="Times New Roman" w:hAnsi="Times New Roman"/>
          <w:bCs/>
          <w:sz w:val="24"/>
          <w:szCs w:val="24"/>
        </w:rPr>
        <w:t xml:space="preserve"> of the </w:t>
      </w:r>
      <w:r w:rsidR="000168E1" w:rsidRPr="00460059">
        <w:rPr>
          <w:rFonts w:ascii="Times New Roman" w:hAnsi="Times New Roman"/>
          <w:bCs/>
          <w:sz w:val="24"/>
          <w:szCs w:val="24"/>
        </w:rPr>
        <w:t>“spodium bond”</w:t>
      </w:r>
      <w:r w:rsidR="00074A0E" w:rsidRPr="00460059">
        <w:rPr>
          <w:rFonts w:ascii="Times New Roman" w:hAnsi="Times New Roman"/>
          <w:bCs/>
          <w:sz w:val="24"/>
          <w:szCs w:val="24"/>
        </w:rPr>
        <w:t xml:space="preserve"> and</w:t>
      </w:r>
      <w:r w:rsidR="0000037E" w:rsidRPr="00460059">
        <w:rPr>
          <w:rFonts w:ascii="Times New Roman" w:hAnsi="Times New Roman"/>
          <w:bCs/>
          <w:sz w:val="24"/>
          <w:szCs w:val="24"/>
        </w:rPr>
        <w:t xml:space="preserve"> accounts for -7.2 kcal/mol</w:t>
      </w:r>
      <w:r w:rsidR="001408BE" w:rsidRPr="00460059">
        <w:rPr>
          <w:rFonts w:ascii="Times New Roman" w:hAnsi="Times New Roman"/>
          <w:bCs/>
          <w:sz w:val="24"/>
          <w:szCs w:val="24"/>
        </w:rPr>
        <w:t>.</w:t>
      </w:r>
      <w:r w:rsidR="00524EFB">
        <w:rPr>
          <w:rFonts w:ascii="Times New Roman" w:hAnsi="Times New Roman"/>
          <w:bCs/>
          <w:sz w:val="24"/>
          <w:szCs w:val="24"/>
        </w:rPr>
        <w:t xml:space="preserve"> </w:t>
      </w:r>
      <w:r w:rsidR="008C339D">
        <w:rPr>
          <w:rFonts w:ascii="Times New Roman" w:hAnsi="Times New Roman"/>
          <w:bCs/>
          <w:sz w:val="24"/>
          <w:szCs w:val="24"/>
        </w:rPr>
        <w:t>I</w:t>
      </w:r>
      <w:r w:rsidR="00524EFB">
        <w:rPr>
          <w:rFonts w:ascii="Times New Roman" w:hAnsi="Times New Roman"/>
          <w:bCs/>
          <w:sz w:val="24"/>
          <w:szCs w:val="24"/>
        </w:rPr>
        <w:t xml:space="preserve">t contains both </w:t>
      </w:r>
      <w:proofErr w:type="spellStart"/>
      <w:r w:rsidR="00524EFB">
        <w:rPr>
          <w:rFonts w:ascii="Times New Roman" w:hAnsi="Times New Roman"/>
          <w:bCs/>
          <w:sz w:val="24"/>
          <w:szCs w:val="24"/>
        </w:rPr>
        <w:t>interfragment</w:t>
      </w:r>
      <w:proofErr w:type="spellEnd"/>
      <w:r w:rsidR="00524EFB">
        <w:rPr>
          <w:rFonts w:ascii="Times New Roman" w:hAnsi="Times New Roman"/>
          <w:bCs/>
          <w:sz w:val="24"/>
          <w:szCs w:val="24"/>
        </w:rPr>
        <w:t xml:space="preserve"> charge transfer and </w:t>
      </w:r>
      <w:proofErr w:type="spellStart"/>
      <w:r w:rsidR="00524EFB">
        <w:rPr>
          <w:rFonts w:ascii="Times New Roman" w:hAnsi="Times New Roman"/>
          <w:bCs/>
          <w:sz w:val="24"/>
          <w:szCs w:val="24"/>
        </w:rPr>
        <w:t>intrafragment</w:t>
      </w:r>
      <w:proofErr w:type="spellEnd"/>
      <w:r w:rsidR="00524EFB">
        <w:rPr>
          <w:rFonts w:ascii="Times New Roman" w:hAnsi="Times New Roman"/>
          <w:bCs/>
          <w:sz w:val="24"/>
          <w:szCs w:val="24"/>
        </w:rPr>
        <w:t xml:space="preserve"> polarization.</w:t>
      </w:r>
    </w:p>
    <w:p w14:paraId="0257195D" w14:textId="4E933449" w:rsidR="00F56B50" w:rsidRPr="00460059" w:rsidRDefault="00F56B50" w:rsidP="000B36C4">
      <w:pPr>
        <w:pStyle w:val="RSCB02ArticleText"/>
        <w:spacing w:line="360" w:lineRule="auto"/>
        <w:rPr>
          <w:rFonts w:ascii="Times New Roman" w:hAnsi="Times New Roman"/>
          <w:bCs/>
          <w:sz w:val="24"/>
          <w:szCs w:val="24"/>
        </w:rPr>
      </w:pPr>
      <w:r w:rsidRPr="00460059">
        <w:rPr>
          <w:rFonts w:ascii="Times New Roman" w:hAnsi="Times New Roman"/>
          <w:bCs/>
          <w:sz w:val="24"/>
          <w:szCs w:val="24"/>
        </w:rPr>
        <w:t>- Δρ</w:t>
      </w:r>
      <w:r w:rsidRPr="00460059">
        <w:rPr>
          <w:rFonts w:ascii="Times New Roman" w:hAnsi="Times New Roman"/>
          <w:bCs/>
          <w:sz w:val="24"/>
          <w:szCs w:val="24"/>
          <w:vertAlign w:val="subscript"/>
        </w:rPr>
        <w:t>1</w:t>
      </w:r>
      <w:r w:rsidRPr="00460059">
        <w:rPr>
          <w:rFonts w:ascii="Times New Roman" w:hAnsi="Times New Roman"/>
          <w:bCs/>
          <w:sz w:val="24"/>
          <w:szCs w:val="24"/>
        </w:rPr>
        <w:t xml:space="preserve"> describes a large polarization of the double bond of CH</w:t>
      </w:r>
      <w:r w:rsidRPr="00460059">
        <w:rPr>
          <w:rFonts w:ascii="Times New Roman" w:hAnsi="Times New Roman"/>
          <w:bCs/>
          <w:sz w:val="24"/>
          <w:szCs w:val="24"/>
          <w:vertAlign w:val="subscript"/>
        </w:rPr>
        <w:t>2</w:t>
      </w:r>
      <w:r w:rsidRPr="00460059">
        <w:rPr>
          <w:rFonts w:ascii="Times New Roman" w:hAnsi="Times New Roman"/>
          <w:bCs/>
          <w:sz w:val="24"/>
          <w:szCs w:val="24"/>
        </w:rPr>
        <w:t>S upon the formation of the adduct</w:t>
      </w:r>
      <w:r w:rsidR="001408BE" w:rsidRPr="00460059">
        <w:rPr>
          <w:rFonts w:ascii="Times New Roman" w:hAnsi="Times New Roman"/>
          <w:bCs/>
          <w:sz w:val="24"/>
          <w:szCs w:val="24"/>
        </w:rPr>
        <w:t>, where</w:t>
      </w:r>
      <w:r w:rsidRPr="00460059">
        <w:rPr>
          <w:rFonts w:ascii="Times New Roman" w:hAnsi="Times New Roman"/>
          <w:bCs/>
          <w:sz w:val="24"/>
          <w:szCs w:val="24"/>
        </w:rPr>
        <w:t xml:space="preserve"> the electron density move</w:t>
      </w:r>
      <w:r w:rsidR="001408BE" w:rsidRPr="00460059">
        <w:rPr>
          <w:rFonts w:ascii="Times New Roman" w:hAnsi="Times New Roman"/>
          <w:bCs/>
          <w:sz w:val="24"/>
          <w:szCs w:val="24"/>
        </w:rPr>
        <w:t>s</w:t>
      </w:r>
      <w:r w:rsidRPr="00460059">
        <w:rPr>
          <w:rFonts w:ascii="Times New Roman" w:hAnsi="Times New Roman"/>
          <w:bCs/>
          <w:sz w:val="24"/>
          <w:szCs w:val="24"/>
        </w:rPr>
        <w:t xml:space="preserve"> from C (depletion) to S (accumulation)</w:t>
      </w:r>
      <w:r w:rsidR="00116C75" w:rsidRPr="00460059">
        <w:rPr>
          <w:rFonts w:ascii="Times New Roman" w:hAnsi="Times New Roman"/>
          <w:bCs/>
          <w:sz w:val="24"/>
          <w:szCs w:val="24"/>
        </w:rPr>
        <w:t xml:space="preserve">. Smaller details can be </w:t>
      </w:r>
      <w:r w:rsidR="00116C75" w:rsidRPr="00460059">
        <w:rPr>
          <w:rFonts w:ascii="Times New Roman" w:hAnsi="Times New Roman"/>
          <w:bCs/>
          <w:sz w:val="24"/>
          <w:szCs w:val="24"/>
        </w:rPr>
        <w:lastRenderedPageBreak/>
        <w:t xml:space="preserve">highlighted: the accumulation regions on the </w:t>
      </w:r>
      <w:r w:rsidR="0015561D" w:rsidRPr="00460059">
        <w:rPr>
          <w:rFonts w:ascii="Times New Roman" w:hAnsi="Times New Roman"/>
          <w:bCs/>
          <w:sz w:val="24"/>
          <w:szCs w:val="24"/>
        </w:rPr>
        <w:t>sulfur</w:t>
      </w:r>
      <w:r w:rsidR="00116C75" w:rsidRPr="00460059">
        <w:rPr>
          <w:rFonts w:ascii="Times New Roman" w:hAnsi="Times New Roman"/>
          <w:bCs/>
          <w:sz w:val="24"/>
          <w:szCs w:val="24"/>
        </w:rPr>
        <w:t xml:space="preserve"> </w:t>
      </w:r>
      <w:r w:rsidR="001408BE" w:rsidRPr="00460059">
        <w:rPr>
          <w:rFonts w:ascii="Times New Roman" w:hAnsi="Times New Roman"/>
          <w:bCs/>
          <w:sz w:val="24"/>
          <w:szCs w:val="24"/>
        </w:rPr>
        <w:t xml:space="preserve">atom </w:t>
      </w:r>
      <w:r w:rsidR="00116C75" w:rsidRPr="00460059">
        <w:rPr>
          <w:rFonts w:ascii="Times New Roman" w:hAnsi="Times New Roman"/>
          <w:bCs/>
          <w:sz w:val="24"/>
          <w:szCs w:val="24"/>
        </w:rPr>
        <w:t>of the LB ha</w:t>
      </w:r>
      <w:r w:rsidR="00C46960" w:rsidRPr="00460059">
        <w:rPr>
          <w:rFonts w:ascii="Times New Roman" w:hAnsi="Times New Roman"/>
          <w:bCs/>
          <w:sz w:val="24"/>
          <w:szCs w:val="24"/>
        </w:rPr>
        <w:t>ve</w:t>
      </w:r>
      <w:r w:rsidR="00116C75" w:rsidRPr="00460059">
        <w:rPr>
          <w:rFonts w:ascii="Times New Roman" w:hAnsi="Times New Roman"/>
          <w:bCs/>
          <w:sz w:val="24"/>
          <w:szCs w:val="24"/>
        </w:rPr>
        <w:t xml:space="preserve"> a noticeable pointed shape toward the </w:t>
      </w:r>
      <w:r w:rsidR="0015561D" w:rsidRPr="00460059">
        <w:rPr>
          <w:rFonts w:ascii="Times New Roman" w:hAnsi="Times New Roman"/>
          <w:bCs/>
          <w:sz w:val="24"/>
          <w:szCs w:val="24"/>
        </w:rPr>
        <w:t>sulfur</w:t>
      </w:r>
      <w:r w:rsidR="00116C75" w:rsidRPr="00460059">
        <w:rPr>
          <w:rFonts w:ascii="Times New Roman" w:hAnsi="Times New Roman"/>
          <w:bCs/>
          <w:sz w:val="24"/>
          <w:szCs w:val="24"/>
        </w:rPr>
        <w:t xml:space="preserve"> </w:t>
      </w:r>
      <w:r w:rsidR="001408BE" w:rsidRPr="00460059">
        <w:rPr>
          <w:rFonts w:ascii="Times New Roman" w:hAnsi="Times New Roman"/>
          <w:bCs/>
          <w:sz w:val="24"/>
          <w:szCs w:val="24"/>
        </w:rPr>
        <w:t xml:space="preserve">atoms </w:t>
      </w:r>
      <w:r w:rsidR="00116C75" w:rsidRPr="00460059">
        <w:rPr>
          <w:rFonts w:ascii="Times New Roman" w:hAnsi="Times New Roman"/>
          <w:bCs/>
          <w:sz w:val="24"/>
          <w:szCs w:val="24"/>
        </w:rPr>
        <w:t>of the coordinated thiourea, whereas on the latter small depletion regions are present. This pattern indicates a weak S-S interaction</w:t>
      </w:r>
      <w:r w:rsidR="00A4624C" w:rsidRPr="00460059">
        <w:rPr>
          <w:rFonts w:ascii="Times New Roman" w:hAnsi="Times New Roman"/>
          <w:bCs/>
          <w:sz w:val="24"/>
          <w:szCs w:val="24"/>
        </w:rPr>
        <w:t xml:space="preserve"> (ChB)</w:t>
      </w:r>
      <w:r w:rsidR="000E5F17" w:rsidRPr="00460059">
        <w:rPr>
          <w:rFonts w:ascii="Times New Roman" w:hAnsi="Times New Roman"/>
          <w:bCs/>
          <w:sz w:val="24"/>
          <w:szCs w:val="24"/>
        </w:rPr>
        <w:t>. Δρ</w:t>
      </w:r>
      <w:r w:rsidR="00A4624C" w:rsidRPr="00460059">
        <w:rPr>
          <w:rFonts w:ascii="Times New Roman" w:hAnsi="Times New Roman"/>
          <w:bCs/>
          <w:sz w:val="24"/>
          <w:szCs w:val="24"/>
          <w:vertAlign w:val="subscript"/>
        </w:rPr>
        <w:t>1</w:t>
      </w:r>
      <w:r w:rsidR="000E5F17" w:rsidRPr="00460059">
        <w:rPr>
          <w:rFonts w:ascii="Times New Roman" w:hAnsi="Times New Roman"/>
          <w:bCs/>
          <w:sz w:val="24"/>
          <w:szCs w:val="24"/>
        </w:rPr>
        <w:t xml:space="preserve"> accounts for -0.9 kcal/mol</w:t>
      </w:r>
      <w:r w:rsidR="001408BE" w:rsidRPr="00460059">
        <w:rPr>
          <w:rFonts w:ascii="Times New Roman" w:hAnsi="Times New Roman"/>
          <w:bCs/>
          <w:sz w:val="24"/>
          <w:szCs w:val="24"/>
        </w:rPr>
        <w:t>.</w:t>
      </w:r>
    </w:p>
    <w:p w14:paraId="4F23C551" w14:textId="7BF40902" w:rsidR="00116C75" w:rsidRPr="00460059" w:rsidRDefault="00116C75" w:rsidP="000B36C4">
      <w:pPr>
        <w:pStyle w:val="RSCB02ArticleText"/>
        <w:spacing w:line="360" w:lineRule="auto"/>
        <w:rPr>
          <w:rFonts w:ascii="Times New Roman" w:hAnsi="Times New Roman"/>
          <w:bCs/>
          <w:sz w:val="24"/>
          <w:szCs w:val="24"/>
        </w:rPr>
      </w:pPr>
      <w:r w:rsidRPr="00460059">
        <w:rPr>
          <w:rFonts w:ascii="Times New Roman" w:hAnsi="Times New Roman"/>
          <w:bCs/>
          <w:sz w:val="24"/>
          <w:szCs w:val="24"/>
        </w:rPr>
        <w:t>- Δρ</w:t>
      </w:r>
      <w:r w:rsidRPr="00460059">
        <w:rPr>
          <w:rFonts w:ascii="Times New Roman" w:hAnsi="Times New Roman"/>
          <w:bCs/>
          <w:sz w:val="24"/>
          <w:szCs w:val="24"/>
          <w:vertAlign w:val="subscript"/>
        </w:rPr>
        <w:t>2</w:t>
      </w:r>
      <w:r w:rsidRPr="00460059">
        <w:rPr>
          <w:rFonts w:ascii="Times New Roman" w:hAnsi="Times New Roman"/>
          <w:bCs/>
          <w:sz w:val="24"/>
          <w:szCs w:val="24"/>
        </w:rPr>
        <w:t xml:space="preserve"> contains only t</w:t>
      </w:r>
      <w:r w:rsidR="00B57166" w:rsidRPr="00460059">
        <w:rPr>
          <w:rFonts w:ascii="Times New Roman" w:hAnsi="Times New Roman"/>
          <w:bCs/>
          <w:sz w:val="24"/>
          <w:szCs w:val="24"/>
        </w:rPr>
        <w:t>he regions involved with the Cl</w:t>
      </w:r>
      <w:r w:rsidR="00B57166" w:rsidRPr="00460059">
        <w:rPr>
          <w:rFonts w:ascii="Times New Roman" w:hAnsi="Times New Roman"/>
          <w:bCs/>
          <w:sz w:val="24"/>
          <w:szCs w:val="24"/>
          <w:vertAlign w:val="superscript"/>
        </w:rPr>
        <w:t>…</w:t>
      </w:r>
      <w:r w:rsidRPr="00460059">
        <w:rPr>
          <w:rFonts w:ascii="Times New Roman" w:hAnsi="Times New Roman"/>
          <w:bCs/>
          <w:sz w:val="24"/>
          <w:szCs w:val="24"/>
        </w:rPr>
        <w:t>H interaction, with the typical pattern of a HB: depletion on chloride, accumulation between the latter and hydrogen and polar</w:t>
      </w:r>
      <w:r w:rsidR="00D64037" w:rsidRPr="00460059">
        <w:rPr>
          <w:rFonts w:ascii="Times New Roman" w:hAnsi="Times New Roman"/>
          <w:bCs/>
          <w:sz w:val="24"/>
          <w:szCs w:val="24"/>
        </w:rPr>
        <w:t>ization pattern on H-C bond. Noteworthy, the charge flux is on the opposite direction with respect to Δρ</w:t>
      </w:r>
      <w:r w:rsidR="00D64037" w:rsidRPr="00460059">
        <w:rPr>
          <w:rFonts w:ascii="Times New Roman" w:hAnsi="Times New Roman"/>
          <w:bCs/>
          <w:sz w:val="24"/>
          <w:szCs w:val="24"/>
          <w:vertAlign w:val="subscript"/>
        </w:rPr>
        <w:t>0</w:t>
      </w:r>
      <w:r w:rsidR="000E5F17" w:rsidRPr="00460059">
        <w:rPr>
          <w:rFonts w:ascii="Times New Roman" w:hAnsi="Times New Roman"/>
          <w:bCs/>
          <w:sz w:val="24"/>
          <w:szCs w:val="24"/>
        </w:rPr>
        <w:t>.</w:t>
      </w:r>
      <w:r w:rsidR="000E5F17" w:rsidRPr="00460059">
        <w:rPr>
          <w:rFonts w:ascii="Times New Roman" w:hAnsi="Times New Roman"/>
          <w:bCs/>
          <w:sz w:val="24"/>
          <w:szCs w:val="24"/>
          <w:vertAlign w:val="subscript"/>
        </w:rPr>
        <w:t xml:space="preserve"> </w:t>
      </w:r>
      <w:r w:rsidR="000E5F17" w:rsidRPr="00460059">
        <w:rPr>
          <w:rFonts w:ascii="Times New Roman" w:hAnsi="Times New Roman"/>
          <w:bCs/>
          <w:sz w:val="24"/>
          <w:szCs w:val="24"/>
        </w:rPr>
        <w:t>Δρ</w:t>
      </w:r>
      <w:r w:rsidR="000E5F17" w:rsidRPr="00460059">
        <w:rPr>
          <w:rFonts w:ascii="Times New Roman" w:hAnsi="Times New Roman"/>
          <w:bCs/>
          <w:sz w:val="24"/>
          <w:szCs w:val="24"/>
          <w:vertAlign w:val="subscript"/>
        </w:rPr>
        <w:t>2</w:t>
      </w:r>
      <w:r w:rsidR="000E5F17" w:rsidRPr="00460059">
        <w:rPr>
          <w:rFonts w:ascii="Times New Roman" w:hAnsi="Times New Roman"/>
          <w:bCs/>
          <w:sz w:val="24"/>
          <w:szCs w:val="24"/>
        </w:rPr>
        <w:t xml:space="preserve"> accounts for -1.7 kcal/mol</w:t>
      </w:r>
      <w:r w:rsidR="00D64037" w:rsidRPr="00460059">
        <w:rPr>
          <w:rFonts w:ascii="Times New Roman" w:hAnsi="Times New Roman"/>
          <w:bCs/>
          <w:sz w:val="24"/>
          <w:szCs w:val="24"/>
        </w:rPr>
        <w:t>;</w:t>
      </w:r>
    </w:p>
    <w:p w14:paraId="3EE6DDE5" w14:textId="07D09140" w:rsidR="00D64037" w:rsidRPr="00460059" w:rsidRDefault="00D64037" w:rsidP="000B36C4">
      <w:pPr>
        <w:pStyle w:val="RSCB02ArticleText"/>
        <w:spacing w:line="360" w:lineRule="auto"/>
        <w:rPr>
          <w:rFonts w:ascii="Times New Roman" w:hAnsi="Times New Roman"/>
          <w:bCs/>
          <w:sz w:val="24"/>
          <w:szCs w:val="24"/>
        </w:rPr>
      </w:pPr>
      <w:r w:rsidRPr="00460059">
        <w:rPr>
          <w:rFonts w:ascii="Times New Roman" w:hAnsi="Times New Roman"/>
          <w:bCs/>
          <w:sz w:val="24"/>
          <w:szCs w:val="24"/>
        </w:rPr>
        <w:t xml:space="preserve">- </w:t>
      </w:r>
      <w:proofErr w:type="spellStart"/>
      <w:r w:rsidRPr="00460059">
        <w:rPr>
          <w:rFonts w:ascii="Times New Roman" w:hAnsi="Times New Roman"/>
          <w:bCs/>
          <w:sz w:val="24"/>
          <w:szCs w:val="24"/>
        </w:rPr>
        <w:t>Δρ</w:t>
      </w:r>
      <w:r w:rsidRPr="00460059">
        <w:rPr>
          <w:rFonts w:ascii="Times New Roman" w:hAnsi="Times New Roman"/>
          <w:bCs/>
          <w:sz w:val="24"/>
          <w:szCs w:val="24"/>
          <w:vertAlign w:val="subscript"/>
        </w:rPr>
        <w:t>k</w:t>
      </w:r>
      <w:proofErr w:type="spellEnd"/>
      <w:r w:rsidRPr="00460059">
        <w:rPr>
          <w:rFonts w:ascii="Times New Roman" w:hAnsi="Times New Roman"/>
          <w:bCs/>
          <w:sz w:val="24"/>
          <w:szCs w:val="24"/>
        </w:rPr>
        <w:t>, with k &gt; 2, contains only diffuse polarization regions that cannot be related to any specific and relevant bond components (Supporting Information).</w:t>
      </w:r>
      <w:r w:rsidR="000E5F17" w:rsidRPr="00460059">
        <w:rPr>
          <w:rFonts w:ascii="Times New Roman" w:hAnsi="Times New Roman"/>
          <w:bCs/>
          <w:sz w:val="24"/>
          <w:szCs w:val="24"/>
        </w:rPr>
        <w:t xml:space="preserve"> </w:t>
      </w:r>
      <w:r w:rsidR="00306C73" w:rsidRPr="00460059">
        <w:rPr>
          <w:rFonts w:ascii="Times New Roman" w:hAnsi="Times New Roman"/>
          <w:bCs/>
          <w:sz w:val="24"/>
          <w:szCs w:val="24"/>
        </w:rPr>
        <w:t xml:space="preserve">The sum of all these contributions accounts for the remaining </w:t>
      </w:r>
      <w:r w:rsidR="000F05EE" w:rsidRPr="00460059">
        <w:rPr>
          <w:rFonts w:ascii="Times New Roman" w:hAnsi="Times New Roman"/>
          <w:bCs/>
          <w:sz w:val="24"/>
          <w:szCs w:val="24"/>
        </w:rPr>
        <w:t xml:space="preserve">-2.0 kcal/mol, with each contribution being smaller than </w:t>
      </w:r>
      <w:r w:rsidR="001B48CC" w:rsidRPr="00460059">
        <w:rPr>
          <w:rFonts w:ascii="Times New Roman" w:hAnsi="Times New Roman"/>
          <w:bCs/>
          <w:sz w:val="24"/>
          <w:szCs w:val="24"/>
        </w:rPr>
        <w:t>0.5 kcal/mol</w:t>
      </w:r>
      <w:r w:rsidR="000F05EE" w:rsidRPr="00460059">
        <w:rPr>
          <w:rFonts w:ascii="Times New Roman" w:hAnsi="Times New Roman"/>
          <w:bCs/>
          <w:sz w:val="24"/>
          <w:szCs w:val="24"/>
        </w:rPr>
        <w:t>.</w:t>
      </w:r>
    </w:p>
    <w:p w14:paraId="6760E704" w14:textId="77777777" w:rsidR="00594E5D" w:rsidRPr="00460059" w:rsidRDefault="00594E5D" w:rsidP="000B36C4">
      <w:pPr>
        <w:pStyle w:val="RSCB02ArticleText"/>
        <w:spacing w:line="360" w:lineRule="auto"/>
        <w:rPr>
          <w:rFonts w:ascii="Times New Roman" w:hAnsi="Times New Roman"/>
          <w:bCs/>
          <w:sz w:val="24"/>
          <w:szCs w:val="24"/>
        </w:rPr>
      </w:pPr>
    </w:p>
    <w:p w14:paraId="164AF4B8" w14:textId="75972911" w:rsidR="00234834" w:rsidRPr="00460059" w:rsidRDefault="008643DB" w:rsidP="00CE49A1">
      <w:pPr>
        <w:pStyle w:val="Corpotesto"/>
        <w:spacing w:after="0" w:line="360" w:lineRule="auto"/>
        <w:jc w:val="both"/>
        <w:rPr>
          <w:rFonts w:ascii="Times New Roman" w:eastAsia="Calibri" w:hAnsi="Times New Roman" w:cs="Times New Roman"/>
          <w:bCs/>
          <w:w w:val="108"/>
          <w:sz w:val="24"/>
          <w:szCs w:val="24"/>
          <w:lang w:val="en-GB"/>
        </w:rPr>
      </w:pPr>
      <w:proofErr w:type="spellStart"/>
      <w:r w:rsidRPr="00460059">
        <w:rPr>
          <w:rFonts w:ascii="Times New Roman" w:eastAsia="Calibri" w:hAnsi="Times New Roman" w:cs="Times New Roman"/>
          <w:bCs/>
          <w:w w:val="108"/>
          <w:sz w:val="24"/>
          <w:szCs w:val="24"/>
          <w:lang w:val="en-GB"/>
        </w:rPr>
        <w:t>Δρ</w:t>
      </w:r>
      <w:r w:rsidRPr="00460059">
        <w:rPr>
          <w:rFonts w:ascii="Times New Roman" w:eastAsia="Calibri" w:hAnsi="Times New Roman" w:cs="Times New Roman"/>
          <w:bCs/>
          <w:w w:val="108"/>
          <w:sz w:val="24"/>
          <w:szCs w:val="24"/>
          <w:vertAlign w:val="subscript"/>
          <w:lang w:val="en-GB"/>
        </w:rPr>
        <w:t>k</w:t>
      </w:r>
      <w:proofErr w:type="spellEnd"/>
      <w:r w:rsidRPr="00460059">
        <w:rPr>
          <w:rFonts w:ascii="Times New Roman" w:eastAsia="Calibri" w:hAnsi="Times New Roman" w:cs="Times New Roman"/>
          <w:bCs/>
          <w:w w:val="108"/>
          <w:sz w:val="24"/>
          <w:szCs w:val="24"/>
          <w:lang w:val="en-GB"/>
        </w:rPr>
        <w:t xml:space="preserve"> can be separately integrated</w:t>
      </w:r>
      <w:r w:rsidR="00666DD9" w:rsidRPr="00460059">
        <w:rPr>
          <w:rFonts w:ascii="Times New Roman" w:eastAsia="Calibri" w:hAnsi="Times New Roman" w:cs="Times New Roman"/>
          <w:bCs/>
          <w:w w:val="108"/>
          <w:sz w:val="24"/>
          <w:szCs w:val="24"/>
          <w:lang w:val="en-GB"/>
        </w:rPr>
        <w:t xml:space="preserve"> by the Charge Displacement analysis (CD)</w:t>
      </w:r>
      <w:r w:rsidRPr="00460059">
        <w:rPr>
          <w:rFonts w:ascii="Times New Roman" w:eastAsia="Calibri" w:hAnsi="Times New Roman" w:cs="Times New Roman"/>
          <w:bCs/>
          <w:w w:val="108"/>
          <w:sz w:val="24"/>
          <w:szCs w:val="24"/>
          <w:lang w:val="en-GB"/>
        </w:rPr>
        <w:t xml:space="preserve"> to have quantitative information about the electron density involved in each single contribution (</w:t>
      </w:r>
      <w:proofErr w:type="spellStart"/>
      <w:r w:rsidRPr="00460059">
        <w:rPr>
          <w:rFonts w:ascii="Times New Roman" w:eastAsia="Calibri" w:hAnsi="Times New Roman" w:cs="Times New Roman"/>
          <w:bCs/>
          <w:w w:val="108"/>
          <w:sz w:val="24"/>
          <w:szCs w:val="24"/>
          <w:lang w:val="en-GB"/>
        </w:rPr>
        <w:t>Δq</w:t>
      </w:r>
      <w:proofErr w:type="spellEnd"/>
      <w:r w:rsidRPr="00460059">
        <w:rPr>
          <w:rFonts w:ascii="Times New Roman" w:eastAsia="Calibri" w:hAnsi="Times New Roman" w:cs="Times New Roman"/>
          <w:bCs/>
          <w:w w:val="108"/>
          <w:sz w:val="24"/>
          <w:szCs w:val="24"/>
          <w:lang w:val="en-GB"/>
        </w:rPr>
        <w:t>, in millielectrons, me). Each interaction has been integrated along its axis (Cd-S for Δρ</w:t>
      </w:r>
      <w:r w:rsidRPr="00460059">
        <w:rPr>
          <w:rFonts w:ascii="Times New Roman" w:eastAsia="Calibri" w:hAnsi="Times New Roman" w:cs="Times New Roman"/>
          <w:bCs/>
          <w:w w:val="108"/>
          <w:sz w:val="24"/>
          <w:szCs w:val="24"/>
          <w:vertAlign w:val="subscript"/>
          <w:lang w:val="en-GB"/>
        </w:rPr>
        <w:t>0</w:t>
      </w:r>
      <w:r w:rsidRPr="00460059">
        <w:rPr>
          <w:rFonts w:ascii="Times New Roman" w:eastAsia="Calibri" w:hAnsi="Times New Roman" w:cs="Times New Roman"/>
          <w:bCs/>
          <w:w w:val="108"/>
          <w:sz w:val="24"/>
          <w:szCs w:val="24"/>
          <w:lang w:val="en-GB"/>
        </w:rPr>
        <w:t>, the bisector of the S</w:t>
      </w:r>
      <w:r w:rsidR="00594E5D"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S</w:t>
      </w:r>
      <w:r w:rsidR="00594E5D"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S angle for Δρ</w:t>
      </w:r>
      <w:r w:rsidRPr="00460059">
        <w:rPr>
          <w:rFonts w:ascii="Times New Roman" w:eastAsia="Calibri" w:hAnsi="Times New Roman" w:cs="Times New Roman"/>
          <w:bCs/>
          <w:w w:val="108"/>
          <w:sz w:val="24"/>
          <w:szCs w:val="24"/>
          <w:vertAlign w:val="subscript"/>
          <w:lang w:val="en-GB"/>
        </w:rPr>
        <w:t>1</w:t>
      </w:r>
      <w:r w:rsidRPr="00460059">
        <w:rPr>
          <w:rFonts w:ascii="Times New Roman" w:eastAsia="Calibri" w:hAnsi="Times New Roman" w:cs="Times New Roman"/>
          <w:bCs/>
          <w:w w:val="108"/>
          <w:sz w:val="24"/>
          <w:szCs w:val="24"/>
          <w:lang w:val="en-GB"/>
        </w:rPr>
        <w:t xml:space="preserve"> and Cl-H for Δρ</w:t>
      </w:r>
      <w:r w:rsidRPr="00460059">
        <w:rPr>
          <w:rFonts w:ascii="Times New Roman" w:eastAsia="Calibri" w:hAnsi="Times New Roman" w:cs="Times New Roman"/>
          <w:bCs/>
          <w:w w:val="108"/>
          <w:sz w:val="24"/>
          <w:szCs w:val="24"/>
          <w:vertAlign w:val="subscript"/>
          <w:lang w:val="en-GB"/>
        </w:rPr>
        <w:t>2</w:t>
      </w:r>
      <w:r w:rsidRPr="00460059">
        <w:rPr>
          <w:rFonts w:ascii="Times New Roman" w:eastAsia="Calibri" w:hAnsi="Times New Roman" w:cs="Times New Roman"/>
          <w:bCs/>
          <w:w w:val="108"/>
          <w:sz w:val="24"/>
          <w:szCs w:val="24"/>
          <w:lang w:val="en-GB"/>
        </w:rPr>
        <w:t>) to give 3 separate CD functions. CD</w:t>
      </w:r>
      <w:r w:rsidRPr="00460059">
        <w:rPr>
          <w:rFonts w:ascii="Times New Roman" w:eastAsia="Calibri" w:hAnsi="Times New Roman" w:cs="Times New Roman"/>
          <w:bCs/>
          <w:w w:val="108"/>
          <w:sz w:val="24"/>
          <w:szCs w:val="24"/>
          <w:vertAlign w:val="subscript"/>
          <w:lang w:val="en-GB"/>
        </w:rPr>
        <w:t>0</w:t>
      </w:r>
      <w:r w:rsidRPr="00460059">
        <w:rPr>
          <w:rFonts w:ascii="Times New Roman" w:eastAsia="Calibri" w:hAnsi="Times New Roman" w:cs="Times New Roman"/>
          <w:bCs/>
          <w:w w:val="108"/>
          <w:sz w:val="24"/>
          <w:szCs w:val="24"/>
          <w:lang w:val="en-GB"/>
        </w:rPr>
        <w:t xml:space="preserve"> is found to be positive at any position, suggesting </w:t>
      </w:r>
      <w:r w:rsidR="00B57166" w:rsidRPr="00460059">
        <w:rPr>
          <w:rFonts w:ascii="Times New Roman" w:eastAsia="Calibri" w:hAnsi="Times New Roman" w:cs="Times New Roman"/>
          <w:bCs/>
          <w:w w:val="108"/>
          <w:sz w:val="24"/>
          <w:szCs w:val="24"/>
          <w:lang w:val="en-GB"/>
        </w:rPr>
        <w:t>a net</w:t>
      </w:r>
      <w:r w:rsidRPr="00460059">
        <w:rPr>
          <w:rFonts w:ascii="Times New Roman" w:eastAsia="Calibri" w:hAnsi="Times New Roman" w:cs="Times New Roman"/>
          <w:bCs/>
          <w:w w:val="108"/>
          <w:sz w:val="24"/>
          <w:szCs w:val="24"/>
          <w:lang w:val="en-GB"/>
        </w:rPr>
        <w:t xml:space="preserve"> </w:t>
      </w:r>
      <w:proofErr w:type="spellStart"/>
      <w:r w:rsidRPr="00460059">
        <w:rPr>
          <w:rFonts w:ascii="Times New Roman" w:eastAsia="Calibri" w:hAnsi="Times New Roman" w:cs="Times New Roman"/>
          <w:bCs/>
          <w:w w:val="108"/>
          <w:sz w:val="24"/>
          <w:szCs w:val="24"/>
          <w:lang w:val="en-GB"/>
        </w:rPr>
        <w:t>Cd←S</w:t>
      </w:r>
      <w:proofErr w:type="spellEnd"/>
      <w:r w:rsidRPr="00460059">
        <w:rPr>
          <w:rFonts w:ascii="Times New Roman" w:eastAsia="Calibri" w:hAnsi="Times New Roman" w:cs="Times New Roman"/>
          <w:bCs/>
          <w:w w:val="108"/>
          <w:sz w:val="24"/>
          <w:szCs w:val="24"/>
          <w:lang w:val="en-GB"/>
        </w:rPr>
        <w:t xml:space="preserve"> charge transfer </w:t>
      </w:r>
      <w:r w:rsidR="003C5B77" w:rsidRPr="00460059">
        <w:rPr>
          <w:rFonts w:ascii="Times New Roman" w:eastAsia="Calibri" w:hAnsi="Times New Roman" w:cs="Times New Roman"/>
          <w:bCs/>
          <w:w w:val="108"/>
          <w:sz w:val="24"/>
          <w:szCs w:val="24"/>
          <w:lang w:val="en-GB"/>
        </w:rPr>
        <w:t>(</w:t>
      </w:r>
      <w:r w:rsidR="003C5B77" w:rsidRPr="00460059">
        <w:rPr>
          <w:rFonts w:ascii="Times New Roman" w:eastAsia="Calibri" w:hAnsi="Times New Roman" w:cs="Times New Roman"/>
          <w:bCs/>
          <w:w w:val="108"/>
          <w:sz w:val="24"/>
          <w:szCs w:val="24"/>
          <w:lang w:val="en-GB"/>
        </w:rPr>
        <w:fldChar w:fldCharType="begin"/>
      </w:r>
      <w:r w:rsidR="003C5B77" w:rsidRPr="00460059">
        <w:rPr>
          <w:rFonts w:ascii="Times New Roman" w:eastAsia="Calibri" w:hAnsi="Times New Roman" w:cs="Times New Roman"/>
          <w:bCs/>
          <w:w w:val="108"/>
          <w:sz w:val="24"/>
          <w:szCs w:val="24"/>
          <w:lang w:val="en-GB"/>
        </w:rPr>
        <w:instrText xml:space="preserve"> REF _Ref45269060 \h  \* MERGEFORMAT </w:instrText>
      </w:r>
      <w:r w:rsidR="003C5B77" w:rsidRPr="00460059">
        <w:rPr>
          <w:rFonts w:ascii="Times New Roman" w:eastAsia="Calibri" w:hAnsi="Times New Roman" w:cs="Times New Roman"/>
          <w:bCs/>
          <w:w w:val="108"/>
          <w:sz w:val="24"/>
          <w:szCs w:val="24"/>
          <w:lang w:val="en-GB"/>
        </w:rPr>
      </w:r>
      <w:r w:rsidR="003C5B77" w:rsidRPr="00460059">
        <w:rPr>
          <w:rFonts w:ascii="Times New Roman" w:eastAsia="Calibri" w:hAnsi="Times New Roman" w:cs="Times New Roman"/>
          <w:bCs/>
          <w:w w:val="108"/>
          <w:sz w:val="24"/>
          <w:szCs w:val="24"/>
          <w:lang w:val="en-GB"/>
        </w:rPr>
        <w:fldChar w:fldCharType="separate"/>
      </w:r>
      <w:r w:rsidR="003C5B77" w:rsidRPr="00460059">
        <w:rPr>
          <w:rFonts w:ascii="Times New Roman" w:hAnsi="Times New Roman" w:cs="Times New Roman"/>
          <w:bCs/>
          <w:sz w:val="24"/>
          <w:szCs w:val="24"/>
        </w:rPr>
        <w:t>Figure 1</w:t>
      </w:r>
      <w:r w:rsidR="003C5B77" w:rsidRPr="00460059">
        <w:rPr>
          <w:rFonts w:ascii="Times New Roman" w:eastAsia="Calibri" w:hAnsi="Times New Roman" w:cs="Times New Roman"/>
          <w:bCs/>
          <w:w w:val="108"/>
          <w:sz w:val="24"/>
          <w:szCs w:val="24"/>
          <w:lang w:val="en-GB"/>
        </w:rPr>
        <w:fldChar w:fldCharType="end"/>
      </w:r>
      <w:r w:rsidR="003C5B77"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 xml:space="preserve">. The value of </w:t>
      </w:r>
      <w:proofErr w:type="spellStart"/>
      <w:r w:rsidRPr="00460059">
        <w:rPr>
          <w:rFonts w:ascii="Times New Roman" w:eastAsia="Calibri" w:hAnsi="Times New Roman" w:cs="Times New Roman"/>
          <w:bCs/>
          <w:w w:val="108"/>
          <w:sz w:val="24"/>
          <w:szCs w:val="24"/>
          <w:lang w:val="en-GB"/>
        </w:rPr>
        <w:t>Δq</w:t>
      </w:r>
      <w:proofErr w:type="spellEnd"/>
      <w:r w:rsidRPr="00460059">
        <w:rPr>
          <w:rFonts w:ascii="Times New Roman" w:eastAsia="Calibri" w:hAnsi="Times New Roman" w:cs="Times New Roman"/>
          <w:bCs/>
          <w:w w:val="108"/>
          <w:sz w:val="24"/>
          <w:szCs w:val="24"/>
          <w:lang w:val="en-GB"/>
        </w:rPr>
        <w:t xml:space="preserve"> at the isoboundary, CT</w:t>
      </w:r>
      <w:r w:rsidRPr="00460059">
        <w:rPr>
          <w:rFonts w:ascii="Times New Roman" w:eastAsia="Calibri" w:hAnsi="Times New Roman" w:cs="Times New Roman"/>
          <w:bCs/>
          <w:w w:val="108"/>
          <w:sz w:val="24"/>
          <w:szCs w:val="24"/>
          <w:vertAlign w:val="subscript"/>
          <w:lang w:val="en-GB"/>
        </w:rPr>
        <w:t>0</w:t>
      </w:r>
      <w:r w:rsidRPr="00460059">
        <w:rPr>
          <w:rFonts w:ascii="Times New Roman" w:eastAsia="Calibri" w:hAnsi="Times New Roman" w:cs="Times New Roman"/>
          <w:bCs/>
          <w:w w:val="108"/>
          <w:sz w:val="24"/>
          <w:szCs w:val="24"/>
          <w:lang w:val="en-GB"/>
        </w:rPr>
        <w:t xml:space="preserve"> (</w:t>
      </w:r>
      <w:proofErr w:type="spellStart"/>
      <w:r w:rsidRPr="00460059">
        <w:rPr>
          <w:rFonts w:ascii="Times New Roman" w:eastAsia="Calibri" w:hAnsi="Times New Roman" w:cs="Times New Roman"/>
          <w:bCs/>
          <w:w w:val="108"/>
          <w:sz w:val="24"/>
          <w:szCs w:val="24"/>
          <w:lang w:val="en-GB"/>
        </w:rPr>
        <w:t>CT</w:t>
      </w:r>
      <w:r w:rsidRPr="00460059">
        <w:rPr>
          <w:rFonts w:ascii="Times New Roman" w:eastAsia="Calibri" w:hAnsi="Times New Roman" w:cs="Times New Roman"/>
          <w:bCs/>
          <w:w w:val="108"/>
          <w:sz w:val="24"/>
          <w:szCs w:val="24"/>
          <w:vertAlign w:val="subscript"/>
          <w:lang w:val="en-GB"/>
        </w:rPr>
        <w:t>SpB</w:t>
      </w:r>
      <w:proofErr w:type="spellEnd"/>
      <w:r w:rsidRPr="00460059">
        <w:rPr>
          <w:rFonts w:ascii="Times New Roman" w:eastAsia="Calibri" w:hAnsi="Times New Roman" w:cs="Times New Roman"/>
          <w:bCs/>
          <w:w w:val="108"/>
          <w:sz w:val="24"/>
          <w:szCs w:val="24"/>
          <w:lang w:val="en-GB"/>
        </w:rPr>
        <w:t>) is 125 me</w:t>
      </w:r>
      <w:r w:rsidR="003C5B77" w:rsidRPr="00460059">
        <w:rPr>
          <w:rFonts w:ascii="Times New Roman" w:eastAsia="Calibri" w:hAnsi="Times New Roman" w:cs="Times New Roman"/>
          <w:bCs/>
          <w:w w:val="108"/>
          <w:sz w:val="24"/>
          <w:szCs w:val="24"/>
          <w:lang w:val="en-GB"/>
        </w:rPr>
        <w:t xml:space="preserve"> (</w:t>
      </w:r>
      <w:r w:rsidR="003C5B77" w:rsidRPr="00460059">
        <w:rPr>
          <w:rFonts w:ascii="Times New Roman" w:eastAsia="Calibri" w:hAnsi="Times New Roman" w:cs="Times New Roman"/>
          <w:bCs/>
          <w:w w:val="108"/>
          <w:sz w:val="24"/>
          <w:szCs w:val="24"/>
          <w:lang w:val="en-GB"/>
        </w:rPr>
        <w:fldChar w:fldCharType="begin"/>
      </w:r>
      <w:r w:rsidR="003C5B77" w:rsidRPr="00460059">
        <w:rPr>
          <w:rFonts w:ascii="Times New Roman" w:eastAsia="Calibri" w:hAnsi="Times New Roman" w:cs="Times New Roman"/>
          <w:bCs/>
          <w:w w:val="108"/>
          <w:sz w:val="24"/>
          <w:szCs w:val="24"/>
          <w:lang w:val="en-GB"/>
        </w:rPr>
        <w:instrText xml:space="preserve"> REF _Ref45286713 \h </w:instrText>
      </w:r>
      <w:r w:rsidR="00460059">
        <w:rPr>
          <w:rFonts w:ascii="Times New Roman" w:eastAsia="Calibri" w:hAnsi="Times New Roman" w:cs="Times New Roman"/>
          <w:bCs/>
          <w:w w:val="108"/>
          <w:sz w:val="24"/>
          <w:szCs w:val="24"/>
          <w:lang w:val="en-GB"/>
        </w:rPr>
        <w:instrText xml:space="preserve"> \* MERGEFORMAT </w:instrText>
      </w:r>
      <w:r w:rsidR="003C5B77" w:rsidRPr="00460059">
        <w:rPr>
          <w:rFonts w:ascii="Times New Roman" w:eastAsia="Calibri" w:hAnsi="Times New Roman" w:cs="Times New Roman"/>
          <w:bCs/>
          <w:w w:val="108"/>
          <w:sz w:val="24"/>
          <w:szCs w:val="24"/>
          <w:lang w:val="en-GB"/>
        </w:rPr>
      </w:r>
      <w:r w:rsidR="003C5B77" w:rsidRPr="00460059">
        <w:rPr>
          <w:rFonts w:ascii="Times New Roman" w:eastAsia="Calibri" w:hAnsi="Times New Roman" w:cs="Times New Roman"/>
          <w:bCs/>
          <w:w w:val="108"/>
          <w:sz w:val="24"/>
          <w:szCs w:val="24"/>
          <w:lang w:val="en-GB"/>
        </w:rPr>
        <w:fldChar w:fldCharType="separate"/>
      </w:r>
      <w:r w:rsidR="003C5B77" w:rsidRPr="00460059">
        <w:rPr>
          <w:rFonts w:ascii="Times New Roman" w:hAnsi="Times New Roman" w:cs="Times New Roman"/>
          <w:sz w:val="24"/>
          <w:szCs w:val="24"/>
        </w:rPr>
        <w:t xml:space="preserve">Table </w:t>
      </w:r>
      <w:r w:rsidR="003C5B77" w:rsidRPr="00460059">
        <w:rPr>
          <w:rFonts w:ascii="Times New Roman" w:hAnsi="Times New Roman" w:cs="Times New Roman"/>
          <w:noProof/>
          <w:sz w:val="24"/>
          <w:szCs w:val="24"/>
        </w:rPr>
        <w:t>2</w:t>
      </w:r>
      <w:r w:rsidR="003C5B77" w:rsidRPr="00460059">
        <w:rPr>
          <w:rFonts w:ascii="Times New Roman" w:eastAsia="Calibri" w:hAnsi="Times New Roman" w:cs="Times New Roman"/>
          <w:bCs/>
          <w:w w:val="108"/>
          <w:sz w:val="24"/>
          <w:szCs w:val="24"/>
          <w:lang w:val="en-GB"/>
        </w:rPr>
        <w:fldChar w:fldCharType="end"/>
      </w:r>
      <w:r w:rsidR="003C5B77"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 CD</w:t>
      </w:r>
      <w:r w:rsidRPr="00460059">
        <w:rPr>
          <w:rFonts w:ascii="Times New Roman" w:eastAsia="Calibri" w:hAnsi="Times New Roman" w:cs="Times New Roman"/>
          <w:bCs/>
          <w:w w:val="108"/>
          <w:sz w:val="24"/>
          <w:szCs w:val="24"/>
          <w:vertAlign w:val="subscript"/>
          <w:lang w:val="en-GB"/>
        </w:rPr>
        <w:t>1</w:t>
      </w:r>
      <w:r w:rsidRPr="00460059">
        <w:rPr>
          <w:rFonts w:ascii="Times New Roman" w:eastAsia="Calibri" w:hAnsi="Times New Roman" w:cs="Times New Roman"/>
          <w:bCs/>
          <w:w w:val="108"/>
          <w:sz w:val="24"/>
          <w:szCs w:val="24"/>
          <w:lang w:val="en-GB"/>
        </w:rPr>
        <w:t xml:space="preserve"> has a different behaviour as it is negative at first (charge transfer from </w:t>
      </w:r>
      <w:r w:rsidRPr="00460059">
        <w:rPr>
          <w:rFonts w:ascii="Times New Roman" w:eastAsia="Calibri" w:hAnsi="Times New Roman" w:cs="Times New Roman"/>
          <w:b/>
          <w:w w:val="108"/>
          <w:sz w:val="24"/>
          <w:szCs w:val="24"/>
          <w:lang w:val="en-GB"/>
        </w:rPr>
        <w:t xml:space="preserve">1 </w:t>
      </w:r>
      <w:r w:rsidRPr="00460059">
        <w:rPr>
          <w:rFonts w:ascii="Times New Roman" w:eastAsia="Calibri" w:hAnsi="Times New Roman" w:cs="Times New Roman"/>
          <w:bCs/>
          <w:w w:val="108"/>
          <w:sz w:val="24"/>
          <w:szCs w:val="24"/>
          <w:lang w:val="en-GB"/>
        </w:rPr>
        <w:t>to CH</w:t>
      </w:r>
      <w:r w:rsidRPr="00460059">
        <w:rPr>
          <w:rFonts w:ascii="Times New Roman" w:eastAsia="Calibri" w:hAnsi="Times New Roman" w:cs="Times New Roman"/>
          <w:bCs/>
          <w:w w:val="108"/>
          <w:sz w:val="24"/>
          <w:szCs w:val="24"/>
          <w:vertAlign w:val="subscript"/>
          <w:lang w:val="en-GB"/>
        </w:rPr>
        <w:t>2</w:t>
      </w:r>
      <w:r w:rsidRPr="00460059">
        <w:rPr>
          <w:rFonts w:ascii="Times New Roman" w:eastAsia="Calibri" w:hAnsi="Times New Roman" w:cs="Times New Roman"/>
          <w:bCs/>
          <w:w w:val="108"/>
          <w:sz w:val="24"/>
          <w:szCs w:val="24"/>
          <w:lang w:val="en-GB"/>
        </w:rPr>
        <w:t>S) and then it changes sign because of the double bond polarization. At the isoboundary position, CT</w:t>
      </w:r>
      <w:r w:rsidRPr="00460059">
        <w:rPr>
          <w:rFonts w:ascii="Times New Roman" w:eastAsia="Calibri" w:hAnsi="Times New Roman" w:cs="Times New Roman"/>
          <w:bCs/>
          <w:w w:val="108"/>
          <w:sz w:val="24"/>
          <w:szCs w:val="24"/>
          <w:vertAlign w:val="subscript"/>
          <w:lang w:val="en-GB"/>
        </w:rPr>
        <w:t>1</w:t>
      </w:r>
      <w:r w:rsidRPr="00460059">
        <w:rPr>
          <w:rFonts w:ascii="Times New Roman" w:eastAsia="Calibri" w:hAnsi="Times New Roman" w:cs="Times New Roman"/>
          <w:bCs/>
          <w:w w:val="108"/>
          <w:sz w:val="24"/>
          <w:szCs w:val="24"/>
          <w:lang w:val="en-GB"/>
        </w:rPr>
        <w:t xml:space="preserve"> (</w:t>
      </w:r>
      <w:proofErr w:type="spellStart"/>
      <w:r w:rsidRPr="00460059">
        <w:rPr>
          <w:rFonts w:ascii="Times New Roman" w:eastAsia="Calibri" w:hAnsi="Times New Roman" w:cs="Times New Roman"/>
          <w:bCs/>
          <w:w w:val="108"/>
          <w:sz w:val="24"/>
          <w:szCs w:val="24"/>
          <w:lang w:val="en-GB"/>
        </w:rPr>
        <w:t>CT</w:t>
      </w:r>
      <w:r w:rsidRPr="00460059">
        <w:rPr>
          <w:rFonts w:ascii="Times New Roman" w:eastAsia="Calibri" w:hAnsi="Times New Roman" w:cs="Times New Roman"/>
          <w:bCs/>
          <w:w w:val="108"/>
          <w:sz w:val="24"/>
          <w:szCs w:val="24"/>
          <w:vertAlign w:val="subscript"/>
          <w:lang w:val="en-GB"/>
        </w:rPr>
        <w:t>ChB</w:t>
      </w:r>
      <w:proofErr w:type="spellEnd"/>
      <w:r w:rsidRPr="00460059">
        <w:rPr>
          <w:rFonts w:ascii="Times New Roman" w:eastAsia="Calibri" w:hAnsi="Times New Roman" w:cs="Times New Roman"/>
          <w:bCs/>
          <w:w w:val="108"/>
          <w:sz w:val="24"/>
          <w:szCs w:val="24"/>
          <w:lang w:val="en-GB"/>
        </w:rPr>
        <w:t>) is equal to -11 me. The latter is the sum of the projections of each single S→S CT on the chosen axis. Considering that the S</w:t>
      </w:r>
      <w:r w:rsidR="00594E5D"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S</w:t>
      </w:r>
      <w:r w:rsidR="00594E5D" w:rsidRPr="00460059">
        <w:rPr>
          <w:rFonts w:ascii="Times New Roman" w:eastAsia="Calibri" w:hAnsi="Times New Roman" w:cs="Times New Roman"/>
          <w:bCs/>
          <w:w w:val="108"/>
          <w:sz w:val="24"/>
          <w:szCs w:val="24"/>
          <w:lang w:val="en-GB"/>
        </w:rPr>
        <w:t>–</w:t>
      </w:r>
      <w:r w:rsidRPr="00460059">
        <w:rPr>
          <w:rFonts w:ascii="Times New Roman" w:eastAsia="Calibri" w:hAnsi="Times New Roman" w:cs="Times New Roman"/>
          <w:bCs/>
          <w:w w:val="108"/>
          <w:sz w:val="24"/>
          <w:szCs w:val="24"/>
          <w:lang w:val="en-GB"/>
        </w:rPr>
        <w:t>S angle is 86.7°, each S→S charge transfer can be estimated as -7.6 me.</w:t>
      </w:r>
      <w:r w:rsidR="009144C2" w:rsidRPr="00460059">
        <w:rPr>
          <w:rFonts w:ascii="Times New Roman" w:eastAsia="Calibri" w:hAnsi="Times New Roman" w:cs="Times New Roman"/>
          <w:bCs/>
          <w:w w:val="108"/>
          <w:sz w:val="24"/>
          <w:szCs w:val="24"/>
          <w:lang w:val="en-GB"/>
        </w:rPr>
        <w:t xml:space="preserve"> The large polarization of the double bond interferes with this estimation, likely underestimating it.</w:t>
      </w:r>
      <w:r w:rsidRPr="00460059">
        <w:rPr>
          <w:rFonts w:ascii="Times New Roman" w:eastAsia="Calibri" w:hAnsi="Times New Roman" w:cs="Times New Roman"/>
          <w:bCs/>
          <w:w w:val="108"/>
          <w:sz w:val="24"/>
          <w:szCs w:val="24"/>
          <w:lang w:val="en-GB"/>
        </w:rPr>
        <w:t xml:space="preserve"> The CD relative to the HB is negative, as the direction of the flux is </w:t>
      </w:r>
      <w:proofErr w:type="spellStart"/>
      <w:r w:rsidRPr="00460059">
        <w:rPr>
          <w:rFonts w:ascii="Times New Roman" w:eastAsia="Calibri" w:hAnsi="Times New Roman" w:cs="Times New Roman"/>
          <w:bCs/>
          <w:w w:val="108"/>
          <w:sz w:val="24"/>
          <w:szCs w:val="24"/>
          <w:lang w:val="en-GB"/>
        </w:rPr>
        <w:t>Cl→H</w:t>
      </w:r>
      <w:proofErr w:type="spellEnd"/>
      <w:r w:rsidRPr="00460059">
        <w:rPr>
          <w:rFonts w:ascii="Times New Roman" w:eastAsia="Calibri" w:hAnsi="Times New Roman" w:cs="Times New Roman"/>
          <w:bCs/>
          <w:w w:val="108"/>
          <w:sz w:val="24"/>
          <w:szCs w:val="24"/>
          <w:lang w:val="en-GB"/>
        </w:rPr>
        <w:t>, but there is no change of sign, as also the polarization is toward the same direction. CT</w:t>
      </w:r>
      <w:r w:rsidRPr="00460059">
        <w:rPr>
          <w:rFonts w:ascii="Times New Roman" w:eastAsia="Calibri" w:hAnsi="Times New Roman" w:cs="Times New Roman"/>
          <w:bCs/>
          <w:w w:val="108"/>
          <w:sz w:val="24"/>
          <w:szCs w:val="24"/>
          <w:vertAlign w:val="subscript"/>
          <w:lang w:val="en-GB"/>
        </w:rPr>
        <w:t>2</w:t>
      </w:r>
      <w:r w:rsidRPr="00460059">
        <w:rPr>
          <w:rFonts w:ascii="Times New Roman" w:eastAsia="Calibri" w:hAnsi="Times New Roman" w:cs="Times New Roman"/>
          <w:bCs/>
          <w:w w:val="108"/>
          <w:sz w:val="24"/>
          <w:szCs w:val="24"/>
          <w:lang w:val="en-GB"/>
        </w:rPr>
        <w:t xml:space="preserve"> (CT</w:t>
      </w:r>
      <w:r w:rsidRPr="00460059">
        <w:rPr>
          <w:rFonts w:ascii="Times New Roman" w:eastAsia="Calibri" w:hAnsi="Times New Roman" w:cs="Times New Roman"/>
          <w:bCs/>
          <w:w w:val="108"/>
          <w:sz w:val="24"/>
          <w:szCs w:val="24"/>
          <w:vertAlign w:val="subscript"/>
          <w:lang w:val="en-GB"/>
        </w:rPr>
        <w:t>HB</w:t>
      </w:r>
      <w:r w:rsidRPr="00460059">
        <w:rPr>
          <w:rFonts w:ascii="Times New Roman" w:eastAsia="Calibri" w:hAnsi="Times New Roman" w:cs="Times New Roman"/>
          <w:bCs/>
          <w:w w:val="108"/>
          <w:sz w:val="24"/>
          <w:szCs w:val="24"/>
          <w:lang w:val="en-GB"/>
        </w:rPr>
        <w:t>) is -18 me.</w:t>
      </w:r>
    </w:p>
    <w:p w14:paraId="4C4C3675" w14:textId="77777777" w:rsidR="00546AC6" w:rsidRPr="00460059" w:rsidRDefault="00546AC6" w:rsidP="00CE49A1">
      <w:pPr>
        <w:pStyle w:val="Corpotesto"/>
        <w:spacing w:after="0" w:line="360" w:lineRule="auto"/>
        <w:jc w:val="both"/>
        <w:rPr>
          <w:rFonts w:ascii="Times New Roman" w:hAnsi="Times New Roman" w:cs="Times New Roman"/>
          <w:b/>
          <w:bCs/>
          <w:sz w:val="24"/>
          <w:szCs w:val="24"/>
          <w:lang w:val="en-GB"/>
        </w:rPr>
      </w:pPr>
    </w:p>
    <w:p w14:paraId="5D1EB8AC" w14:textId="56AB1B0A" w:rsidR="002B52FA" w:rsidRPr="00460059" w:rsidRDefault="002B52FA" w:rsidP="002B52FA">
      <w:pPr>
        <w:pStyle w:val="RSCI04CaptiontoFigureSchemeChart"/>
        <w:spacing w:line="360" w:lineRule="auto"/>
        <w:rPr>
          <w:rFonts w:ascii="Times New Roman" w:hAnsi="Times New Roman"/>
          <w:sz w:val="24"/>
          <w:szCs w:val="24"/>
        </w:rPr>
      </w:pPr>
      <w:bookmarkStart w:id="2" w:name="_Ref45286713"/>
      <w:r w:rsidRPr="00460059">
        <w:rPr>
          <w:rFonts w:ascii="Times New Roman" w:hAnsi="Times New Roman"/>
          <w:sz w:val="24"/>
          <w:szCs w:val="24"/>
        </w:rPr>
        <w:t xml:space="preserve">Table </w:t>
      </w:r>
      <w:r w:rsidRPr="00460059">
        <w:rPr>
          <w:rFonts w:ascii="Times New Roman" w:hAnsi="Times New Roman"/>
          <w:sz w:val="24"/>
          <w:szCs w:val="24"/>
        </w:rPr>
        <w:fldChar w:fldCharType="begin"/>
      </w:r>
      <w:r w:rsidRPr="00460059">
        <w:rPr>
          <w:rFonts w:ascii="Times New Roman" w:hAnsi="Times New Roman"/>
          <w:sz w:val="24"/>
          <w:szCs w:val="24"/>
        </w:rPr>
        <w:instrText xml:space="preserve"> SEQ Table \* ARABIC </w:instrText>
      </w:r>
      <w:r w:rsidRPr="00460059">
        <w:rPr>
          <w:rFonts w:ascii="Times New Roman" w:hAnsi="Times New Roman"/>
          <w:sz w:val="24"/>
          <w:szCs w:val="24"/>
        </w:rPr>
        <w:fldChar w:fldCharType="separate"/>
      </w:r>
      <w:r w:rsidR="00F51554" w:rsidRPr="00460059">
        <w:rPr>
          <w:rFonts w:ascii="Times New Roman" w:hAnsi="Times New Roman"/>
          <w:noProof/>
          <w:sz w:val="24"/>
          <w:szCs w:val="24"/>
        </w:rPr>
        <w:t>2</w:t>
      </w:r>
      <w:r w:rsidRPr="00460059">
        <w:rPr>
          <w:rFonts w:ascii="Times New Roman" w:hAnsi="Times New Roman"/>
          <w:noProof/>
          <w:sz w:val="24"/>
          <w:szCs w:val="24"/>
        </w:rPr>
        <w:fldChar w:fldCharType="end"/>
      </w:r>
      <w:bookmarkEnd w:id="2"/>
      <w:r w:rsidRPr="00460059">
        <w:rPr>
          <w:rFonts w:ascii="Times New Roman" w:hAnsi="Times New Roman"/>
          <w:sz w:val="24"/>
          <w:szCs w:val="24"/>
        </w:rPr>
        <w:t xml:space="preserve">. Orbital energies (in kcal/mol) and CT values (in me) relative to the different bond components for the adducts between complexes </w:t>
      </w:r>
      <w:r w:rsidRPr="00460059">
        <w:rPr>
          <w:rFonts w:ascii="Times New Roman" w:hAnsi="Times New Roman"/>
          <w:b/>
          <w:sz w:val="24"/>
          <w:szCs w:val="24"/>
        </w:rPr>
        <w:t>1</w:t>
      </w:r>
      <w:r w:rsidRPr="00460059">
        <w:rPr>
          <w:rFonts w:ascii="Times New Roman" w:hAnsi="Times New Roman"/>
          <w:sz w:val="24"/>
          <w:szCs w:val="24"/>
        </w:rPr>
        <w:t>-</w:t>
      </w:r>
      <w:r w:rsidRPr="00460059">
        <w:rPr>
          <w:rFonts w:ascii="Times New Roman" w:hAnsi="Times New Roman"/>
          <w:b/>
          <w:sz w:val="24"/>
          <w:szCs w:val="24"/>
        </w:rPr>
        <w:t>5</w:t>
      </w:r>
      <w:r w:rsidRPr="00460059">
        <w:rPr>
          <w:rFonts w:ascii="Times New Roman" w:hAnsi="Times New Roman"/>
          <w:sz w:val="24"/>
          <w:szCs w:val="24"/>
        </w:rPr>
        <w:t xml:space="preserve"> and CH</w:t>
      </w:r>
      <w:r w:rsidRPr="00460059">
        <w:rPr>
          <w:rFonts w:ascii="Times New Roman" w:hAnsi="Times New Roman"/>
          <w:sz w:val="24"/>
          <w:szCs w:val="24"/>
          <w:vertAlign w:val="subscript"/>
        </w:rPr>
        <w:t>3</w:t>
      </w:r>
      <w:r w:rsidRPr="00460059">
        <w:rPr>
          <w:rFonts w:ascii="Times New Roman" w:hAnsi="Times New Roman"/>
          <w:sz w:val="24"/>
          <w:szCs w:val="24"/>
        </w:rPr>
        <w:t>CN, CO, CH</w:t>
      </w:r>
      <w:r w:rsidRPr="00460059">
        <w:rPr>
          <w:rFonts w:ascii="Times New Roman" w:hAnsi="Times New Roman"/>
          <w:sz w:val="24"/>
          <w:szCs w:val="24"/>
          <w:vertAlign w:val="subscript"/>
        </w:rPr>
        <w:t>2</w:t>
      </w:r>
      <w:r w:rsidRPr="00460059">
        <w:rPr>
          <w:rFonts w:ascii="Times New Roman" w:hAnsi="Times New Roman"/>
          <w:sz w:val="24"/>
          <w:szCs w:val="24"/>
        </w:rPr>
        <w:t>O, CH</w:t>
      </w:r>
      <w:r w:rsidRPr="00460059">
        <w:rPr>
          <w:rFonts w:ascii="Times New Roman" w:hAnsi="Times New Roman"/>
          <w:sz w:val="24"/>
          <w:szCs w:val="24"/>
          <w:vertAlign w:val="subscript"/>
        </w:rPr>
        <w:t>2</w:t>
      </w:r>
      <w:r w:rsidRPr="00460059">
        <w:rPr>
          <w:rFonts w:ascii="Times New Roman" w:hAnsi="Times New Roman"/>
          <w:sz w:val="24"/>
          <w:szCs w:val="24"/>
        </w:rPr>
        <w:t>S.</w:t>
      </w:r>
    </w:p>
    <w:tbl>
      <w:tblPr>
        <w:tblW w:w="0" w:type="auto"/>
        <w:jc w:val="center"/>
        <w:tblLook w:val="04A0" w:firstRow="1" w:lastRow="0" w:firstColumn="1" w:lastColumn="0" w:noHBand="0" w:noVBand="1"/>
      </w:tblPr>
      <w:tblGrid>
        <w:gridCol w:w="1123"/>
        <w:gridCol w:w="716"/>
        <w:gridCol w:w="1421"/>
        <w:gridCol w:w="1314"/>
        <w:gridCol w:w="1456"/>
      </w:tblGrid>
      <w:tr w:rsidR="002B52FA" w:rsidRPr="00460059" w14:paraId="52433CDD" w14:textId="77777777" w:rsidTr="00F868D4">
        <w:trPr>
          <w:jc w:val="center"/>
        </w:trPr>
        <w:tc>
          <w:tcPr>
            <w:tcW w:w="0" w:type="auto"/>
            <w:tcBorders>
              <w:top w:val="single" w:sz="4" w:space="0" w:color="auto"/>
              <w:bottom w:val="single" w:sz="4" w:space="0" w:color="auto"/>
            </w:tcBorders>
            <w:shd w:val="clear" w:color="auto" w:fill="auto"/>
          </w:tcPr>
          <w:p w14:paraId="7E9F94D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lastRenderedPageBreak/>
              <w:t>Adduct</w:t>
            </w:r>
          </w:p>
        </w:tc>
        <w:tc>
          <w:tcPr>
            <w:tcW w:w="0" w:type="auto"/>
            <w:tcBorders>
              <w:top w:val="single" w:sz="4" w:space="0" w:color="auto"/>
              <w:bottom w:val="single" w:sz="4" w:space="0" w:color="auto"/>
            </w:tcBorders>
            <w:shd w:val="clear" w:color="auto" w:fill="auto"/>
          </w:tcPr>
          <w:p w14:paraId="4B1F088D" w14:textId="77777777" w:rsidR="002B52FA" w:rsidRPr="00460059" w:rsidRDefault="002B52FA" w:rsidP="002B52FA">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orb</w:t>
            </w:r>
            <w:proofErr w:type="spellEnd"/>
          </w:p>
        </w:tc>
        <w:tc>
          <w:tcPr>
            <w:tcW w:w="0" w:type="auto"/>
            <w:tcBorders>
              <w:top w:val="single" w:sz="4" w:space="0" w:color="auto"/>
              <w:bottom w:val="single" w:sz="4" w:space="0" w:color="auto"/>
            </w:tcBorders>
            <w:shd w:val="clear" w:color="auto" w:fill="auto"/>
          </w:tcPr>
          <w:p w14:paraId="0097E577" w14:textId="77777777" w:rsidR="002B52FA" w:rsidRPr="00460059" w:rsidRDefault="002B52FA" w:rsidP="002B52FA">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SpB</w:t>
            </w:r>
            <w:proofErr w:type="spellEnd"/>
            <w:r w:rsidRPr="00460059">
              <w:rPr>
                <w:rFonts w:ascii="Times New Roman" w:hAnsi="Times New Roman"/>
                <w:sz w:val="24"/>
                <w:szCs w:val="24"/>
                <w:vertAlign w:val="subscript"/>
              </w:rPr>
              <w:t xml:space="preserve"> </w:t>
            </w:r>
            <w:r w:rsidRPr="00460059">
              <w:rPr>
                <w:rFonts w:ascii="Times New Roman" w:hAnsi="Times New Roman"/>
                <w:sz w:val="24"/>
                <w:szCs w:val="24"/>
              </w:rPr>
              <w:t>(</w:t>
            </w:r>
            <w:proofErr w:type="spellStart"/>
            <w:r w:rsidRPr="00460059">
              <w:rPr>
                <w:rFonts w:ascii="Times New Roman" w:hAnsi="Times New Roman"/>
                <w:sz w:val="24"/>
                <w:szCs w:val="24"/>
              </w:rPr>
              <w:t>CT</w:t>
            </w:r>
            <w:r w:rsidRPr="00460059">
              <w:rPr>
                <w:rFonts w:ascii="Times New Roman" w:hAnsi="Times New Roman"/>
                <w:sz w:val="24"/>
                <w:szCs w:val="24"/>
                <w:vertAlign w:val="subscript"/>
              </w:rPr>
              <w:t>SpB</w:t>
            </w:r>
            <w:proofErr w:type="spellEnd"/>
            <w:r w:rsidRPr="00460059">
              <w:rPr>
                <w:rFonts w:ascii="Times New Roman" w:hAnsi="Times New Roman"/>
                <w:sz w:val="24"/>
                <w:szCs w:val="24"/>
              </w:rPr>
              <w:t>)</w:t>
            </w:r>
          </w:p>
        </w:tc>
        <w:tc>
          <w:tcPr>
            <w:tcW w:w="0" w:type="auto"/>
            <w:tcBorders>
              <w:top w:val="single" w:sz="4" w:space="0" w:color="auto"/>
              <w:bottom w:val="single" w:sz="4" w:space="0" w:color="auto"/>
            </w:tcBorders>
            <w:shd w:val="clear" w:color="auto" w:fill="auto"/>
          </w:tcPr>
          <w:p w14:paraId="5E4AAA58"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E</w:t>
            </w:r>
            <w:r w:rsidRPr="00460059">
              <w:rPr>
                <w:rFonts w:ascii="Times New Roman" w:hAnsi="Times New Roman"/>
                <w:sz w:val="24"/>
                <w:szCs w:val="24"/>
                <w:vertAlign w:val="subscript"/>
              </w:rPr>
              <w:t xml:space="preserve">HB </w:t>
            </w:r>
            <w:r w:rsidRPr="00460059">
              <w:rPr>
                <w:rFonts w:ascii="Times New Roman" w:hAnsi="Times New Roman"/>
                <w:sz w:val="24"/>
                <w:szCs w:val="24"/>
              </w:rPr>
              <w:t>(CT</w:t>
            </w:r>
            <w:r w:rsidRPr="00460059">
              <w:rPr>
                <w:rFonts w:ascii="Times New Roman" w:hAnsi="Times New Roman"/>
                <w:sz w:val="24"/>
                <w:szCs w:val="24"/>
                <w:vertAlign w:val="subscript"/>
              </w:rPr>
              <w:t>HB</w:t>
            </w:r>
            <w:r w:rsidRPr="00460059">
              <w:rPr>
                <w:rFonts w:ascii="Times New Roman" w:hAnsi="Times New Roman"/>
                <w:sz w:val="24"/>
                <w:szCs w:val="24"/>
              </w:rPr>
              <w:t>)</w:t>
            </w:r>
          </w:p>
        </w:tc>
        <w:tc>
          <w:tcPr>
            <w:tcW w:w="0" w:type="auto"/>
            <w:tcBorders>
              <w:top w:val="single" w:sz="4" w:space="0" w:color="auto"/>
              <w:bottom w:val="single" w:sz="4" w:space="0" w:color="auto"/>
            </w:tcBorders>
            <w:shd w:val="clear" w:color="auto" w:fill="auto"/>
          </w:tcPr>
          <w:p w14:paraId="7175E0F0" w14:textId="77777777" w:rsidR="002B52FA" w:rsidRPr="00460059" w:rsidRDefault="002B52FA" w:rsidP="002B52FA">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ChB</w:t>
            </w:r>
            <w:proofErr w:type="spellEnd"/>
            <w:r w:rsidRPr="00460059">
              <w:rPr>
                <w:rFonts w:ascii="Times New Roman" w:hAnsi="Times New Roman"/>
                <w:sz w:val="24"/>
                <w:szCs w:val="24"/>
                <w:vertAlign w:val="subscript"/>
              </w:rPr>
              <w:t xml:space="preserve"> </w:t>
            </w:r>
            <w:r w:rsidRPr="00460059">
              <w:rPr>
                <w:rFonts w:ascii="Times New Roman" w:hAnsi="Times New Roman"/>
                <w:sz w:val="24"/>
                <w:szCs w:val="24"/>
              </w:rPr>
              <w:t>(</w:t>
            </w:r>
            <w:proofErr w:type="spellStart"/>
            <w:r w:rsidRPr="00460059">
              <w:rPr>
                <w:rFonts w:ascii="Times New Roman" w:hAnsi="Times New Roman"/>
                <w:sz w:val="24"/>
                <w:szCs w:val="24"/>
              </w:rPr>
              <w:t>CT</w:t>
            </w:r>
            <w:r w:rsidRPr="00460059">
              <w:rPr>
                <w:rFonts w:ascii="Times New Roman" w:hAnsi="Times New Roman"/>
                <w:sz w:val="24"/>
                <w:szCs w:val="24"/>
                <w:vertAlign w:val="subscript"/>
              </w:rPr>
              <w:t>ChB</w:t>
            </w:r>
            <w:proofErr w:type="spellEnd"/>
            <w:r w:rsidRPr="00460059">
              <w:rPr>
                <w:rFonts w:ascii="Times New Roman" w:hAnsi="Times New Roman"/>
                <w:sz w:val="24"/>
                <w:szCs w:val="24"/>
              </w:rPr>
              <w:t>)</w:t>
            </w:r>
          </w:p>
        </w:tc>
      </w:tr>
      <w:tr w:rsidR="002B52FA" w:rsidRPr="00460059" w14:paraId="18105D3E" w14:textId="77777777" w:rsidTr="00F868D4">
        <w:trPr>
          <w:jc w:val="center"/>
        </w:trPr>
        <w:tc>
          <w:tcPr>
            <w:tcW w:w="0" w:type="auto"/>
            <w:tcBorders>
              <w:top w:val="single" w:sz="4" w:space="0" w:color="auto"/>
            </w:tcBorders>
            <w:shd w:val="clear" w:color="auto" w:fill="auto"/>
          </w:tcPr>
          <w:p w14:paraId="7882D6DA"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tcBorders>
              <w:top w:val="single" w:sz="4" w:space="0" w:color="auto"/>
            </w:tcBorders>
            <w:shd w:val="clear" w:color="auto" w:fill="auto"/>
          </w:tcPr>
          <w:p w14:paraId="4E7970F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-6.2</w:t>
            </w:r>
          </w:p>
        </w:tc>
        <w:tc>
          <w:tcPr>
            <w:tcW w:w="0" w:type="auto"/>
            <w:tcBorders>
              <w:top w:val="single" w:sz="4" w:space="0" w:color="auto"/>
            </w:tcBorders>
            <w:shd w:val="clear" w:color="auto" w:fill="auto"/>
          </w:tcPr>
          <w:p w14:paraId="23EF92A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-2.5 (42)</w:t>
            </w:r>
          </w:p>
        </w:tc>
        <w:tc>
          <w:tcPr>
            <w:tcW w:w="0" w:type="auto"/>
            <w:tcBorders>
              <w:top w:val="single" w:sz="4" w:space="0" w:color="auto"/>
            </w:tcBorders>
            <w:shd w:val="clear" w:color="auto" w:fill="auto"/>
          </w:tcPr>
          <w:p w14:paraId="38DA62E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-1.4 (-17)</w:t>
            </w:r>
          </w:p>
        </w:tc>
        <w:tc>
          <w:tcPr>
            <w:tcW w:w="0" w:type="auto"/>
            <w:tcBorders>
              <w:top w:val="single" w:sz="4" w:space="0" w:color="auto"/>
            </w:tcBorders>
            <w:shd w:val="clear" w:color="auto" w:fill="auto"/>
          </w:tcPr>
          <w:p w14:paraId="2D119F13"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-0.3 (5)</w:t>
            </w:r>
          </w:p>
        </w:tc>
      </w:tr>
      <w:tr w:rsidR="002B52FA" w:rsidRPr="00460059" w14:paraId="414D754B" w14:textId="77777777" w:rsidTr="00F868D4">
        <w:trPr>
          <w:jc w:val="center"/>
        </w:trPr>
        <w:tc>
          <w:tcPr>
            <w:tcW w:w="0" w:type="auto"/>
            <w:shd w:val="clear" w:color="auto" w:fill="auto"/>
          </w:tcPr>
          <w:p w14:paraId="46D5D5FC"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1CO</w:t>
            </w:r>
          </w:p>
        </w:tc>
        <w:tc>
          <w:tcPr>
            <w:tcW w:w="0" w:type="auto"/>
            <w:shd w:val="clear" w:color="auto" w:fill="auto"/>
          </w:tcPr>
          <w:p w14:paraId="147F02CF"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-2.8</w:t>
            </w:r>
          </w:p>
        </w:tc>
        <w:tc>
          <w:tcPr>
            <w:tcW w:w="0" w:type="auto"/>
            <w:shd w:val="clear" w:color="auto" w:fill="auto"/>
          </w:tcPr>
          <w:p w14:paraId="679B8601"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-0.7 (15)</w:t>
            </w:r>
          </w:p>
        </w:tc>
        <w:tc>
          <w:tcPr>
            <w:tcW w:w="0" w:type="auto"/>
            <w:shd w:val="clear" w:color="auto" w:fill="auto"/>
          </w:tcPr>
          <w:p w14:paraId="5470C72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w:t>
            </w:r>
          </w:p>
        </w:tc>
        <w:tc>
          <w:tcPr>
            <w:tcW w:w="0" w:type="auto"/>
            <w:shd w:val="clear" w:color="auto" w:fill="auto"/>
          </w:tcPr>
          <w:p w14:paraId="05950780"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-0.3 (-2)</w:t>
            </w:r>
          </w:p>
        </w:tc>
      </w:tr>
      <w:tr w:rsidR="002B52FA" w:rsidRPr="00460059" w14:paraId="28CF1DCE" w14:textId="77777777" w:rsidTr="00F868D4">
        <w:trPr>
          <w:jc w:val="center"/>
        </w:trPr>
        <w:tc>
          <w:tcPr>
            <w:tcW w:w="0" w:type="auto"/>
            <w:shd w:val="clear" w:color="auto" w:fill="auto"/>
          </w:tcPr>
          <w:p w14:paraId="53999623"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4621990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-8.2</w:t>
            </w:r>
          </w:p>
        </w:tc>
        <w:tc>
          <w:tcPr>
            <w:tcW w:w="0" w:type="auto"/>
            <w:shd w:val="clear" w:color="auto" w:fill="auto"/>
          </w:tcPr>
          <w:p w14:paraId="11F872F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-4.5 (65)</w:t>
            </w:r>
          </w:p>
        </w:tc>
        <w:tc>
          <w:tcPr>
            <w:tcW w:w="0" w:type="auto"/>
            <w:shd w:val="clear" w:color="auto" w:fill="auto"/>
          </w:tcPr>
          <w:p w14:paraId="03603EC3"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-1.5 (-17)</w:t>
            </w:r>
          </w:p>
        </w:tc>
        <w:tc>
          <w:tcPr>
            <w:tcW w:w="0" w:type="auto"/>
            <w:shd w:val="clear" w:color="auto" w:fill="auto"/>
          </w:tcPr>
          <w:p w14:paraId="1E547311"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-0.5 (1)</w:t>
            </w:r>
          </w:p>
        </w:tc>
      </w:tr>
      <w:tr w:rsidR="002B52FA" w:rsidRPr="00460059" w14:paraId="76414E47" w14:textId="77777777" w:rsidTr="00F868D4">
        <w:trPr>
          <w:jc w:val="center"/>
        </w:trPr>
        <w:tc>
          <w:tcPr>
            <w:tcW w:w="0" w:type="auto"/>
            <w:shd w:val="clear" w:color="auto" w:fill="auto"/>
          </w:tcPr>
          <w:p w14:paraId="2CB73E61"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shd w:val="clear" w:color="auto" w:fill="auto"/>
          </w:tcPr>
          <w:p w14:paraId="0CE0E13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-11.8</w:t>
            </w:r>
          </w:p>
        </w:tc>
        <w:tc>
          <w:tcPr>
            <w:tcW w:w="0" w:type="auto"/>
            <w:shd w:val="clear" w:color="auto" w:fill="auto"/>
          </w:tcPr>
          <w:p w14:paraId="2A2CA385"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-7.2 (125)</w:t>
            </w:r>
          </w:p>
        </w:tc>
        <w:tc>
          <w:tcPr>
            <w:tcW w:w="0" w:type="auto"/>
            <w:shd w:val="clear" w:color="auto" w:fill="auto"/>
          </w:tcPr>
          <w:p w14:paraId="0D89E310"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-1.7 (-18)</w:t>
            </w:r>
          </w:p>
        </w:tc>
        <w:tc>
          <w:tcPr>
            <w:tcW w:w="0" w:type="auto"/>
            <w:shd w:val="clear" w:color="auto" w:fill="auto"/>
          </w:tcPr>
          <w:p w14:paraId="7DD883B2"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-0.9 (-11)</w:t>
            </w:r>
          </w:p>
        </w:tc>
      </w:tr>
      <w:tr w:rsidR="002B52FA" w:rsidRPr="00460059" w14:paraId="555EBB93" w14:textId="77777777" w:rsidTr="00F868D4">
        <w:trPr>
          <w:jc w:val="center"/>
        </w:trPr>
        <w:tc>
          <w:tcPr>
            <w:tcW w:w="0" w:type="auto"/>
            <w:shd w:val="clear" w:color="auto" w:fill="auto"/>
          </w:tcPr>
          <w:p w14:paraId="4264FB7E"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2CO</w:t>
            </w:r>
          </w:p>
        </w:tc>
        <w:tc>
          <w:tcPr>
            <w:tcW w:w="0" w:type="auto"/>
            <w:shd w:val="clear" w:color="auto" w:fill="auto"/>
          </w:tcPr>
          <w:p w14:paraId="3710FACC"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-2.4</w:t>
            </w:r>
          </w:p>
        </w:tc>
        <w:tc>
          <w:tcPr>
            <w:tcW w:w="0" w:type="auto"/>
            <w:shd w:val="clear" w:color="auto" w:fill="auto"/>
          </w:tcPr>
          <w:p w14:paraId="21723EC6"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-0.6 (18)</w:t>
            </w:r>
          </w:p>
        </w:tc>
        <w:tc>
          <w:tcPr>
            <w:tcW w:w="0" w:type="auto"/>
            <w:shd w:val="clear" w:color="auto" w:fill="auto"/>
          </w:tcPr>
          <w:p w14:paraId="36DF038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-1.0 (-16)</w:t>
            </w:r>
            <w:r w:rsidRPr="00460059">
              <w:rPr>
                <w:rFonts w:ascii="Times New Roman" w:hAnsi="Times New Roman"/>
                <w:sz w:val="24"/>
                <w:szCs w:val="24"/>
                <w:vertAlign w:val="superscript"/>
              </w:rPr>
              <w:t>a</w:t>
            </w:r>
          </w:p>
        </w:tc>
        <w:tc>
          <w:tcPr>
            <w:tcW w:w="0" w:type="auto"/>
            <w:shd w:val="clear" w:color="auto" w:fill="auto"/>
          </w:tcPr>
          <w:p w14:paraId="2497247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-0.5 (-6)</w:t>
            </w:r>
          </w:p>
        </w:tc>
      </w:tr>
      <w:tr w:rsidR="002B52FA" w:rsidRPr="00460059" w14:paraId="1CD1A5B6" w14:textId="77777777" w:rsidTr="00F868D4">
        <w:trPr>
          <w:jc w:val="center"/>
        </w:trPr>
        <w:tc>
          <w:tcPr>
            <w:tcW w:w="0" w:type="auto"/>
            <w:shd w:val="clear" w:color="auto" w:fill="auto"/>
          </w:tcPr>
          <w:p w14:paraId="2E4EE825"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shd w:val="clear" w:color="auto" w:fill="auto"/>
          </w:tcPr>
          <w:p w14:paraId="242CA2F1"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-3.8</w:t>
            </w:r>
          </w:p>
        </w:tc>
        <w:tc>
          <w:tcPr>
            <w:tcW w:w="0" w:type="auto"/>
            <w:shd w:val="clear" w:color="auto" w:fill="auto"/>
          </w:tcPr>
          <w:p w14:paraId="5F73C6AC"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-0.2 (1)</w:t>
            </w:r>
          </w:p>
        </w:tc>
        <w:tc>
          <w:tcPr>
            <w:tcW w:w="0" w:type="auto"/>
            <w:shd w:val="clear" w:color="auto" w:fill="auto"/>
          </w:tcPr>
          <w:p w14:paraId="7799AD7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-1.5 (-31)</w:t>
            </w:r>
          </w:p>
        </w:tc>
        <w:tc>
          <w:tcPr>
            <w:tcW w:w="0" w:type="auto"/>
            <w:shd w:val="clear" w:color="auto" w:fill="auto"/>
          </w:tcPr>
          <w:p w14:paraId="5DA1A206"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-0.6 (8)</w:t>
            </w:r>
          </w:p>
        </w:tc>
      </w:tr>
      <w:tr w:rsidR="002B52FA" w:rsidRPr="00460059" w14:paraId="4AAD3AD4" w14:textId="77777777" w:rsidTr="00F868D4">
        <w:trPr>
          <w:jc w:val="center"/>
        </w:trPr>
        <w:tc>
          <w:tcPr>
            <w:tcW w:w="0" w:type="auto"/>
            <w:shd w:val="clear" w:color="auto" w:fill="auto"/>
          </w:tcPr>
          <w:p w14:paraId="31CEEF51"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3CO</w:t>
            </w:r>
          </w:p>
        </w:tc>
        <w:tc>
          <w:tcPr>
            <w:tcW w:w="0" w:type="auto"/>
            <w:shd w:val="clear" w:color="auto" w:fill="auto"/>
          </w:tcPr>
          <w:p w14:paraId="6ABFB2B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-1.5</w:t>
            </w:r>
          </w:p>
        </w:tc>
        <w:tc>
          <w:tcPr>
            <w:tcW w:w="0" w:type="auto"/>
            <w:shd w:val="clear" w:color="auto" w:fill="auto"/>
          </w:tcPr>
          <w:p w14:paraId="57390554"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-0.3 (9)</w:t>
            </w:r>
          </w:p>
        </w:tc>
        <w:tc>
          <w:tcPr>
            <w:tcW w:w="0" w:type="auto"/>
            <w:shd w:val="clear" w:color="auto" w:fill="auto"/>
          </w:tcPr>
          <w:p w14:paraId="418E4D58"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w:t>
            </w:r>
          </w:p>
        </w:tc>
        <w:tc>
          <w:tcPr>
            <w:tcW w:w="0" w:type="auto"/>
            <w:shd w:val="clear" w:color="auto" w:fill="auto"/>
          </w:tcPr>
          <w:p w14:paraId="0B39FD0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-0.7 (-3)</w:t>
            </w:r>
          </w:p>
        </w:tc>
      </w:tr>
      <w:tr w:rsidR="002B52FA" w:rsidRPr="00460059" w14:paraId="2AA59683" w14:textId="77777777" w:rsidTr="00F868D4">
        <w:trPr>
          <w:jc w:val="center"/>
        </w:trPr>
        <w:tc>
          <w:tcPr>
            <w:tcW w:w="0" w:type="auto"/>
            <w:shd w:val="clear" w:color="auto" w:fill="auto"/>
          </w:tcPr>
          <w:p w14:paraId="72B6BAD1"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6729E20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-3.0</w:t>
            </w:r>
          </w:p>
        </w:tc>
        <w:tc>
          <w:tcPr>
            <w:tcW w:w="0" w:type="auto"/>
            <w:shd w:val="clear" w:color="auto" w:fill="auto"/>
          </w:tcPr>
          <w:p w14:paraId="4CD11B5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w:t>
            </w:r>
          </w:p>
        </w:tc>
        <w:tc>
          <w:tcPr>
            <w:tcW w:w="0" w:type="auto"/>
            <w:shd w:val="clear" w:color="auto" w:fill="auto"/>
          </w:tcPr>
          <w:p w14:paraId="0D1352B8"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-1.2 (-27)</w:t>
            </w:r>
          </w:p>
        </w:tc>
        <w:tc>
          <w:tcPr>
            <w:tcW w:w="0" w:type="auto"/>
            <w:shd w:val="clear" w:color="auto" w:fill="auto"/>
          </w:tcPr>
          <w:p w14:paraId="39591C75"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-0.7 (11)</w:t>
            </w:r>
          </w:p>
        </w:tc>
      </w:tr>
      <w:tr w:rsidR="002B52FA" w:rsidRPr="00460059" w14:paraId="4379A991" w14:textId="77777777" w:rsidTr="00F868D4">
        <w:trPr>
          <w:jc w:val="center"/>
        </w:trPr>
        <w:tc>
          <w:tcPr>
            <w:tcW w:w="0" w:type="auto"/>
            <w:shd w:val="clear" w:color="auto" w:fill="auto"/>
          </w:tcPr>
          <w:p w14:paraId="2D8BE98C"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shd w:val="clear" w:color="auto" w:fill="auto"/>
          </w:tcPr>
          <w:p w14:paraId="6B8B5E0C"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-3.6</w:t>
            </w:r>
          </w:p>
        </w:tc>
        <w:tc>
          <w:tcPr>
            <w:tcW w:w="0" w:type="auto"/>
            <w:shd w:val="clear" w:color="auto" w:fill="auto"/>
          </w:tcPr>
          <w:p w14:paraId="5CA3E96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w:t>
            </w:r>
          </w:p>
        </w:tc>
        <w:tc>
          <w:tcPr>
            <w:tcW w:w="0" w:type="auto"/>
            <w:shd w:val="clear" w:color="auto" w:fill="auto"/>
          </w:tcPr>
          <w:p w14:paraId="173E9FD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-1.2 (-12)</w:t>
            </w:r>
          </w:p>
        </w:tc>
        <w:tc>
          <w:tcPr>
            <w:tcW w:w="0" w:type="auto"/>
            <w:shd w:val="clear" w:color="auto" w:fill="auto"/>
          </w:tcPr>
          <w:p w14:paraId="5886B925" w14:textId="536AB1E0" w:rsidR="002B52FA" w:rsidRPr="00460059" w:rsidRDefault="002B52FA" w:rsidP="00B15B10">
            <w:pPr>
              <w:pStyle w:val="RSCT03TableBody"/>
              <w:spacing w:line="360" w:lineRule="auto"/>
              <w:rPr>
                <w:rFonts w:ascii="Times New Roman" w:hAnsi="Times New Roman"/>
                <w:sz w:val="24"/>
                <w:szCs w:val="24"/>
              </w:rPr>
            </w:pPr>
            <w:r w:rsidRPr="00460059">
              <w:rPr>
                <w:rFonts w:ascii="Times New Roman" w:hAnsi="Times New Roman"/>
                <w:sz w:val="24"/>
                <w:szCs w:val="24"/>
              </w:rPr>
              <w:t>-</w:t>
            </w:r>
            <w:r w:rsidR="00B15B10" w:rsidRPr="00460059">
              <w:rPr>
                <w:rFonts w:ascii="Times New Roman" w:hAnsi="Times New Roman"/>
                <w:sz w:val="24"/>
                <w:szCs w:val="24"/>
              </w:rPr>
              <w:t>1</w:t>
            </w:r>
            <w:r w:rsidRPr="00460059">
              <w:rPr>
                <w:rFonts w:ascii="Times New Roman" w:hAnsi="Times New Roman"/>
                <w:sz w:val="24"/>
                <w:szCs w:val="24"/>
              </w:rPr>
              <w:t>.</w:t>
            </w:r>
            <w:r w:rsidR="00B15B10" w:rsidRPr="00460059">
              <w:rPr>
                <w:rFonts w:ascii="Times New Roman" w:hAnsi="Times New Roman"/>
                <w:sz w:val="24"/>
                <w:szCs w:val="24"/>
              </w:rPr>
              <w:t>2</w:t>
            </w:r>
            <w:r w:rsidRPr="00460059">
              <w:rPr>
                <w:rFonts w:ascii="Times New Roman" w:hAnsi="Times New Roman"/>
                <w:sz w:val="24"/>
                <w:szCs w:val="24"/>
              </w:rPr>
              <w:t xml:space="preserve"> (-1)</w:t>
            </w:r>
          </w:p>
        </w:tc>
      </w:tr>
      <w:tr w:rsidR="002B52FA" w:rsidRPr="00460059" w14:paraId="2BFEB8CA" w14:textId="77777777" w:rsidTr="00F868D4">
        <w:trPr>
          <w:jc w:val="center"/>
        </w:trPr>
        <w:tc>
          <w:tcPr>
            <w:tcW w:w="0" w:type="auto"/>
            <w:shd w:val="clear" w:color="auto" w:fill="auto"/>
          </w:tcPr>
          <w:p w14:paraId="2D6AF372"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4CH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7B0A3919"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-4.5</w:t>
            </w:r>
          </w:p>
        </w:tc>
        <w:tc>
          <w:tcPr>
            <w:tcW w:w="0" w:type="auto"/>
            <w:shd w:val="clear" w:color="auto" w:fill="auto"/>
          </w:tcPr>
          <w:p w14:paraId="523D685F"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-1.9 (31)</w:t>
            </w:r>
          </w:p>
        </w:tc>
        <w:tc>
          <w:tcPr>
            <w:tcW w:w="0" w:type="auto"/>
            <w:shd w:val="clear" w:color="auto" w:fill="auto"/>
          </w:tcPr>
          <w:p w14:paraId="18D9DAC2"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-1.2 (-14)</w:t>
            </w:r>
          </w:p>
        </w:tc>
        <w:tc>
          <w:tcPr>
            <w:tcW w:w="0" w:type="auto"/>
            <w:shd w:val="clear" w:color="auto" w:fill="auto"/>
          </w:tcPr>
          <w:p w14:paraId="78A9FA92"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w:t>
            </w:r>
          </w:p>
        </w:tc>
      </w:tr>
      <w:tr w:rsidR="002B52FA" w:rsidRPr="00460059" w14:paraId="4CF0B7A3" w14:textId="77777777" w:rsidTr="00F868D4">
        <w:trPr>
          <w:jc w:val="center"/>
        </w:trPr>
        <w:tc>
          <w:tcPr>
            <w:tcW w:w="0" w:type="auto"/>
            <w:shd w:val="clear" w:color="auto" w:fill="auto"/>
          </w:tcPr>
          <w:p w14:paraId="6603D9B3"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shd w:val="clear" w:color="auto" w:fill="auto"/>
          </w:tcPr>
          <w:p w14:paraId="3CC38A55"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-4.8</w:t>
            </w:r>
          </w:p>
        </w:tc>
        <w:tc>
          <w:tcPr>
            <w:tcW w:w="0" w:type="auto"/>
            <w:shd w:val="clear" w:color="auto" w:fill="auto"/>
          </w:tcPr>
          <w:p w14:paraId="349EC4B5"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-1.2 (18)</w:t>
            </w:r>
          </w:p>
        </w:tc>
        <w:tc>
          <w:tcPr>
            <w:tcW w:w="0" w:type="auto"/>
            <w:shd w:val="clear" w:color="auto" w:fill="auto"/>
          </w:tcPr>
          <w:p w14:paraId="49ED27D3"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-1.8 (-24)</w:t>
            </w:r>
          </w:p>
        </w:tc>
        <w:tc>
          <w:tcPr>
            <w:tcW w:w="0" w:type="auto"/>
            <w:shd w:val="clear" w:color="auto" w:fill="auto"/>
          </w:tcPr>
          <w:p w14:paraId="2A1D9BDA"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-0.2 (5)</w:t>
            </w:r>
          </w:p>
        </w:tc>
      </w:tr>
      <w:tr w:rsidR="002B52FA" w:rsidRPr="00460059" w14:paraId="78939295" w14:textId="77777777" w:rsidTr="00F868D4">
        <w:trPr>
          <w:jc w:val="center"/>
        </w:trPr>
        <w:tc>
          <w:tcPr>
            <w:tcW w:w="0" w:type="auto"/>
            <w:shd w:val="clear" w:color="auto" w:fill="auto"/>
          </w:tcPr>
          <w:p w14:paraId="49C1BFF5"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5CO</w:t>
            </w:r>
          </w:p>
        </w:tc>
        <w:tc>
          <w:tcPr>
            <w:tcW w:w="0" w:type="auto"/>
            <w:shd w:val="clear" w:color="auto" w:fill="auto"/>
          </w:tcPr>
          <w:p w14:paraId="28EDE861"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-2.1</w:t>
            </w:r>
          </w:p>
        </w:tc>
        <w:tc>
          <w:tcPr>
            <w:tcW w:w="0" w:type="auto"/>
            <w:shd w:val="clear" w:color="auto" w:fill="auto"/>
          </w:tcPr>
          <w:p w14:paraId="49F8AAED"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-0.5 (16)</w:t>
            </w:r>
          </w:p>
        </w:tc>
        <w:tc>
          <w:tcPr>
            <w:tcW w:w="0" w:type="auto"/>
            <w:shd w:val="clear" w:color="auto" w:fill="auto"/>
          </w:tcPr>
          <w:p w14:paraId="63C23032" w14:textId="77777777" w:rsidR="002B52FA" w:rsidRPr="00460059" w:rsidRDefault="002B52FA" w:rsidP="002B52FA">
            <w:pPr>
              <w:pStyle w:val="RSCT03TableBody"/>
              <w:spacing w:line="360" w:lineRule="auto"/>
              <w:rPr>
                <w:rFonts w:ascii="Times New Roman" w:hAnsi="Times New Roman"/>
                <w:sz w:val="24"/>
                <w:szCs w:val="24"/>
                <w:vertAlign w:val="superscript"/>
              </w:rPr>
            </w:pPr>
            <w:r w:rsidRPr="00460059">
              <w:rPr>
                <w:rFonts w:ascii="Times New Roman" w:hAnsi="Times New Roman"/>
                <w:sz w:val="24"/>
                <w:szCs w:val="24"/>
              </w:rPr>
              <w:t>-0.1 (-2)</w:t>
            </w:r>
            <w:r w:rsidRPr="00460059">
              <w:rPr>
                <w:rFonts w:ascii="Times New Roman" w:hAnsi="Times New Roman"/>
                <w:sz w:val="24"/>
                <w:szCs w:val="24"/>
                <w:vertAlign w:val="superscript"/>
              </w:rPr>
              <w:t>a</w:t>
            </w:r>
          </w:p>
        </w:tc>
        <w:tc>
          <w:tcPr>
            <w:tcW w:w="0" w:type="auto"/>
            <w:shd w:val="clear" w:color="auto" w:fill="auto"/>
          </w:tcPr>
          <w:p w14:paraId="2BBFCFCC"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-0.2 (-3)</w:t>
            </w:r>
          </w:p>
        </w:tc>
      </w:tr>
      <w:tr w:rsidR="002B52FA" w:rsidRPr="00460059" w14:paraId="4DE2FBDC" w14:textId="77777777" w:rsidTr="00F868D4">
        <w:trPr>
          <w:jc w:val="center"/>
        </w:trPr>
        <w:tc>
          <w:tcPr>
            <w:tcW w:w="0" w:type="auto"/>
            <w:shd w:val="clear" w:color="auto" w:fill="auto"/>
          </w:tcPr>
          <w:p w14:paraId="506B574A"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410080C8"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-4.6</w:t>
            </w:r>
          </w:p>
        </w:tc>
        <w:tc>
          <w:tcPr>
            <w:tcW w:w="0" w:type="auto"/>
            <w:shd w:val="clear" w:color="auto" w:fill="auto"/>
          </w:tcPr>
          <w:p w14:paraId="4B595CC3"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-1.9 (27)</w:t>
            </w:r>
          </w:p>
        </w:tc>
        <w:tc>
          <w:tcPr>
            <w:tcW w:w="0" w:type="auto"/>
            <w:shd w:val="clear" w:color="auto" w:fill="auto"/>
          </w:tcPr>
          <w:p w14:paraId="3E487217"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-1.4 (-15)</w:t>
            </w:r>
          </w:p>
        </w:tc>
        <w:tc>
          <w:tcPr>
            <w:tcW w:w="0" w:type="auto"/>
            <w:shd w:val="clear" w:color="auto" w:fill="auto"/>
          </w:tcPr>
          <w:p w14:paraId="7C4DC09B"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-0.2 (1)</w:t>
            </w:r>
          </w:p>
        </w:tc>
      </w:tr>
      <w:tr w:rsidR="002B52FA" w:rsidRPr="00460059" w14:paraId="2C787478" w14:textId="77777777" w:rsidTr="00F868D4">
        <w:trPr>
          <w:jc w:val="center"/>
        </w:trPr>
        <w:tc>
          <w:tcPr>
            <w:tcW w:w="0" w:type="auto"/>
            <w:tcBorders>
              <w:bottom w:val="single" w:sz="4" w:space="0" w:color="auto"/>
            </w:tcBorders>
            <w:shd w:val="clear" w:color="auto" w:fill="auto"/>
          </w:tcPr>
          <w:p w14:paraId="17E50303" w14:textId="77777777" w:rsidR="002B52FA" w:rsidRPr="00460059" w:rsidRDefault="002B52FA" w:rsidP="002B52FA">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tcBorders>
              <w:bottom w:val="single" w:sz="4" w:space="0" w:color="auto"/>
            </w:tcBorders>
            <w:shd w:val="clear" w:color="auto" w:fill="auto"/>
          </w:tcPr>
          <w:p w14:paraId="47B146A2"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-6.1</w:t>
            </w:r>
          </w:p>
        </w:tc>
        <w:tc>
          <w:tcPr>
            <w:tcW w:w="0" w:type="auto"/>
            <w:tcBorders>
              <w:bottom w:val="single" w:sz="4" w:space="0" w:color="auto"/>
            </w:tcBorders>
            <w:shd w:val="clear" w:color="auto" w:fill="auto"/>
          </w:tcPr>
          <w:p w14:paraId="76EF85B2"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-2.8 (54)</w:t>
            </w:r>
          </w:p>
        </w:tc>
        <w:tc>
          <w:tcPr>
            <w:tcW w:w="0" w:type="auto"/>
            <w:tcBorders>
              <w:bottom w:val="single" w:sz="4" w:space="0" w:color="auto"/>
            </w:tcBorders>
            <w:shd w:val="clear" w:color="auto" w:fill="auto"/>
          </w:tcPr>
          <w:p w14:paraId="5DE8FD7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-1.7 (-19)</w:t>
            </w:r>
          </w:p>
        </w:tc>
        <w:tc>
          <w:tcPr>
            <w:tcW w:w="0" w:type="auto"/>
            <w:tcBorders>
              <w:bottom w:val="single" w:sz="4" w:space="0" w:color="auto"/>
            </w:tcBorders>
            <w:shd w:val="clear" w:color="auto" w:fill="auto"/>
          </w:tcPr>
          <w:p w14:paraId="4E51A01E" w14:textId="77777777" w:rsidR="002B52FA" w:rsidRPr="00460059" w:rsidRDefault="002B52FA" w:rsidP="002B52FA">
            <w:pPr>
              <w:pStyle w:val="RSCT03TableBody"/>
              <w:spacing w:line="360" w:lineRule="auto"/>
              <w:rPr>
                <w:rFonts w:ascii="Times New Roman" w:hAnsi="Times New Roman"/>
                <w:sz w:val="24"/>
                <w:szCs w:val="24"/>
              </w:rPr>
            </w:pPr>
            <w:r w:rsidRPr="00460059">
              <w:rPr>
                <w:rFonts w:ascii="Times New Roman" w:hAnsi="Times New Roman"/>
                <w:sz w:val="24"/>
                <w:szCs w:val="24"/>
              </w:rPr>
              <w:t>-0.4 (-3)</w:t>
            </w:r>
          </w:p>
        </w:tc>
      </w:tr>
    </w:tbl>
    <w:p w14:paraId="2418E3B5" w14:textId="77777777" w:rsidR="002B52FA" w:rsidRPr="00460059" w:rsidRDefault="002B52FA" w:rsidP="002B52FA">
      <w:pPr>
        <w:pStyle w:val="RSCT05TableFootnotewithoutbottombar"/>
        <w:spacing w:line="360" w:lineRule="auto"/>
        <w:rPr>
          <w:rFonts w:ascii="Times New Roman" w:hAnsi="Times New Roman"/>
          <w:sz w:val="24"/>
          <w:szCs w:val="24"/>
        </w:rPr>
      </w:pPr>
      <w:r w:rsidRPr="00460059">
        <w:rPr>
          <w:rFonts w:ascii="Times New Roman" w:hAnsi="Times New Roman"/>
          <w:sz w:val="24"/>
          <w:szCs w:val="24"/>
          <w:vertAlign w:val="superscript"/>
        </w:rPr>
        <w:t>a</w:t>
      </w:r>
      <w:r w:rsidRPr="00460059">
        <w:rPr>
          <w:rFonts w:ascii="Times New Roman" w:hAnsi="Times New Roman"/>
          <w:sz w:val="24"/>
          <w:szCs w:val="24"/>
        </w:rPr>
        <w:t xml:space="preserve"> Halogen → CO transfer</w:t>
      </w:r>
    </w:p>
    <w:p w14:paraId="688C62F2" w14:textId="77777777" w:rsidR="00523E28" w:rsidRPr="00460059" w:rsidRDefault="00523E28" w:rsidP="00F12596">
      <w:pPr>
        <w:pStyle w:val="RSCB02ArticleText"/>
        <w:spacing w:line="360" w:lineRule="auto"/>
        <w:rPr>
          <w:rFonts w:ascii="Times New Roman" w:hAnsi="Times New Roman"/>
          <w:sz w:val="24"/>
          <w:szCs w:val="24"/>
        </w:rPr>
      </w:pPr>
    </w:p>
    <w:p w14:paraId="32639889" w14:textId="430F7068" w:rsidR="00F12596" w:rsidRPr="00460059" w:rsidRDefault="00594E5D" w:rsidP="00F12596">
      <w:pPr>
        <w:pStyle w:val="RSCB02ArticleText"/>
        <w:spacing w:line="360" w:lineRule="auto"/>
        <w:rPr>
          <w:rFonts w:ascii="Times New Roman" w:hAnsi="Times New Roman"/>
          <w:sz w:val="24"/>
          <w:szCs w:val="24"/>
        </w:rPr>
      </w:pPr>
      <w:r w:rsidRPr="00460059">
        <w:rPr>
          <w:rFonts w:ascii="Times New Roman" w:hAnsi="Times New Roman"/>
          <w:b/>
          <w:sz w:val="24"/>
          <w:szCs w:val="24"/>
        </w:rPr>
        <w:t>Model systems: o</w:t>
      </w:r>
      <w:r w:rsidR="00B57166" w:rsidRPr="00460059">
        <w:rPr>
          <w:rFonts w:ascii="Times New Roman" w:hAnsi="Times New Roman"/>
          <w:b/>
          <w:sz w:val="24"/>
          <w:szCs w:val="24"/>
        </w:rPr>
        <w:t>ther [(thiourea)</w:t>
      </w:r>
      <w:r w:rsidR="00B57166" w:rsidRPr="00460059">
        <w:rPr>
          <w:rFonts w:ascii="Times New Roman" w:hAnsi="Times New Roman"/>
          <w:b/>
          <w:sz w:val="24"/>
          <w:szCs w:val="24"/>
          <w:vertAlign w:val="subscript"/>
        </w:rPr>
        <w:t>2</w:t>
      </w:r>
      <w:r w:rsidR="00B57166" w:rsidRPr="00460059">
        <w:rPr>
          <w:rFonts w:ascii="Times New Roman" w:hAnsi="Times New Roman"/>
          <w:b/>
          <w:sz w:val="24"/>
          <w:szCs w:val="24"/>
        </w:rPr>
        <w:t>MX</w:t>
      </w:r>
      <w:r w:rsidR="00B57166" w:rsidRPr="00460059">
        <w:rPr>
          <w:rFonts w:ascii="Times New Roman" w:hAnsi="Times New Roman"/>
          <w:b/>
          <w:sz w:val="24"/>
          <w:szCs w:val="24"/>
          <w:vertAlign w:val="subscript"/>
        </w:rPr>
        <w:t>2</w:t>
      </w:r>
      <w:r w:rsidR="00B57166" w:rsidRPr="00460059">
        <w:rPr>
          <w:rFonts w:ascii="Times New Roman" w:hAnsi="Times New Roman"/>
          <w:b/>
          <w:sz w:val="24"/>
          <w:szCs w:val="24"/>
        </w:rPr>
        <w:t>].</w:t>
      </w:r>
      <w:r w:rsidR="00B57166" w:rsidRPr="00460059">
        <w:rPr>
          <w:rFonts w:ascii="Times New Roman" w:hAnsi="Times New Roman"/>
          <w:sz w:val="24"/>
          <w:szCs w:val="24"/>
        </w:rPr>
        <w:t xml:space="preserve"> </w:t>
      </w:r>
      <w:r w:rsidR="000D255F" w:rsidRPr="00460059">
        <w:rPr>
          <w:rFonts w:ascii="Times New Roman" w:hAnsi="Times New Roman"/>
          <w:sz w:val="24"/>
          <w:szCs w:val="24"/>
        </w:rPr>
        <w:t xml:space="preserve">In analogy to </w:t>
      </w:r>
      <w:r w:rsidR="000D255F" w:rsidRPr="00460059">
        <w:rPr>
          <w:rFonts w:ascii="Times New Roman" w:hAnsi="Times New Roman"/>
          <w:b/>
          <w:sz w:val="24"/>
          <w:szCs w:val="24"/>
        </w:rPr>
        <w:t>1CH</w:t>
      </w:r>
      <w:r w:rsidR="000D255F" w:rsidRPr="00460059">
        <w:rPr>
          <w:rFonts w:ascii="Times New Roman" w:hAnsi="Times New Roman"/>
          <w:b/>
          <w:sz w:val="24"/>
          <w:szCs w:val="24"/>
          <w:vertAlign w:val="subscript"/>
        </w:rPr>
        <w:t>2</w:t>
      </w:r>
      <w:r w:rsidR="000D255F" w:rsidRPr="00460059">
        <w:rPr>
          <w:rFonts w:ascii="Times New Roman" w:hAnsi="Times New Roman"/>
          <w:b/>
          <w:sz w:val="24"/>
          <w:szCs w:val="24"/>
        </w:rPr>
        <w:t>S</w:t>
      </w:r>
      <w:r w:rsidR="000D255F" w:rsidRPr="00460059">
        <w:rPr>
          <w:rFonts w:ascii="Times New Roman" w:hAnsi="Times New Roman"/>
          <w:sz w:val="24"/>
          <w:szCs w:val="24"/>
        </w:rPr>
        <w:t>, also</w:t>
      </w:r>
      <w:r w:rsidR="00F12596" w:rsidRPr="00460059">
        <w:rPr>
          <w:rFonts w:ascii="Times New Roman" w:hAnsi="Times New Roman"/>
          <w:sz w:val="24"/>
          <w:szCs w:val="24"/>
        </w:rPr>
        <w:t xml:space="preserve"> the other Cd model </w:t>
      </w:r>
      <w:r w:rsidR="000D255F" w:rsidRPr="00460059">
        <w:rPr>
          <w:rFonts w:ascii="Times New Roman" w:hAnsi="Times New Roman"/>
          <w:sz w:val="24"/>
          <w:szCs w:val="24"/>
        </w:rPr>
        <w:t xml:space="preserve">adducts </w:t>
      </w:r>
      <w:r w:rsidR="00F97828" w:rsidRPr="00460059">
        <w:rPr>
          <w:rFonts w:ascii="Times New Roman" w:hAnsi="Times New Roman"/>
          <w:sz w:val="24"/>
          <w:szCs w:val="24"/>
        </w:rPr>
        <w:t xml:space="preserve">are held together by more than one interaction. </w:t>
      </w:r>
      <w:r w:rsidR="00F12596" w:rsidRPr="00460059">
        <w:rPr>
          <w:rFonts w:ascii="Times New Roman" w:hAnsi="Times New Roman"/>
          <w:sz w:val="24"/>
          <w:szCs w:val="24"/>
        </w:rPr>
        <w:t xml:space="preserve">EDA data show that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orb</w:t>
      </w:r>
      <w:proofErr w:type="spellEnd"/>
      <w:r w:rsidR="00F12596" w:rsidRPr="00460059">
        <w:rPr>
          <w:rFonts w:ascii="Times New Roman" w:hAnsi="Times New Roman"/>
          <w:sz w:val="24"/>
          <w:szCs w:val="24"/>
        </w:rPr>
        <w:t xml:space="preserve"> varies significantly as a function of the Lewis base and this is reflected also in its composition in the NOCV analysis. For example, replacing CH</w:t>
      </w:r>
      <w:r w:rsidR="00F12596" w:rsidRPr="00460059">
        <w:rPr>
          <w:rFonts w:ascii="Times New Roman" w:hAnsi="Times New Roman"/>
          <w:sz w:val="24"/>
          <w:szCs w:val="24"/>
          <w:vertAlign w:val="subscript"/>
        </w:rPr>
        <w:t>2</w:t>
      </w:r>
      <w:r w:rsidR="00F12596" w:rsidRPr="00460059">
        <w:rPr>
          <w:rFonts w:ascii="Times New Roman" w:hAnsi="Times New Roman"/>
          <w:sz w:val="24"/>
          <w:szCs w:val="24"/>
        </w:rPr>
        <w:t xml:space="preserve">S with CO in </w:t>
      </w:r>
      <w:r w:rsidR="00F12596" w:rsidRPr="00460059">
        <w:rPr>
          <w:rFonts w:ascii="Times New Roman" w:hAnsi="Times New Roman"/>
          <w:b/>
          <w:sz w:val="24"/>
          <w:szCs w:val="24"/>
        </w:rPr>
        <w:t>1</w:t>
      </w:r>
      <w:r w:rsidR="00F12596" w:rsidRPr="00460059">
        <w:rPr>
          <w:rFonts w:ascii="Times New Roman" w:hAnsi="Times New Roman"/>
          <w:sz w:val="24"/>
          <w:szCs w:val="24"/>
        </w:rPr>
        <w:t xml:space="preserve"> lowers the total interaction energy by over 6 kcal/mol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int</w:t>
      </w:r>
      <w:proofErr w:type="spellEnd"/>
      <w:r w:rsidR="00F12596" w:rsidRPr="00460059">
        <w:rPr>
          <w:rFonts w:ascii="Times New Roman" w:hAnsi="Times New Roman"/>
          <w:sz w:val="24"/>
          <w:szCs w:val="24"/>
        </w:rPr>
        <w:t xml:space="preserve"> = -4.4 kcal/mol), with an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orb</w:t>
      </w:r>
      <w:proofErr w:type="spellEnd"/>
      <w:r w:rsidR="00F12596" w:rsidRPr="00460059">
        <w:rPr>
          <w:rFonts w:ascii="Times New Roman" w:hAnsi="Times New Roman"/>
          <w:sz w:val="24"/>
          <w:szCs w:val="24"/>
        </w:rPr>
        <w:t xml:space="preserve"> of only -2.8 kcal/mol. This clearly corresponds to the lack of HB but, more importantly, to a much weaker </w:t>
      </w:r>
      <w:proofErr w:type="spellStart"/>
      <w:r w:rsidR="00F12596" w:rsidRPr="00460059">
        <w:rPr>
          <w:rFonts w:ascii="Times New Roman" w:hAnsi="Times New Roman"/>
          <w:sz w:val="24"/>
          <w:szCs w:val="24"/>
        </w:rPr>
        <w:t>SpB</w:t>
      </w:r>
      <w:proofErr w:type="spellEnd"/>
      <w:r w:rsidR="00F12596" w:rsidRPr="00460059">
        <w:rPr>
          <w:rFonts w:ascii="Times New Roman" w:hAnsi="Times New Roman"/>
          <w:sz w:val="24"/>
          <w:szCs w:val="24"/>
        </w:rPr>
        <w:t xml:space="preserve"> contribution (</w:t>
      </w:r>
      <w:r w:rsidR="00DD71E3" w:rsidRPr="00460059">
        <w:rPr>
          <w:rFonts w:ascii="Times New Roman" w:hAnsi="Times New Roman"/>
          <w:sz w:val="24"/>
          <w:szCs w:val="24"/>
        </w:rPr>
        <w:fldChar w:fldCharType="begin"/>
      </w:r>
      <w:r w:rsidR="00DD71E3" w:rsidRPr="00460059">
        <w:rPr>
          <w:rFonts w:ascii="Times New Roman" w:hAnsi="Times New Roman"/>
          <w:sz w:val="24"/>
          <w:szCs w:val="24"/>
        </w:rPr>
        <w:instrText xml:space="preserve"> REF _Ref45286713 \h </w:instrText>
      </w:r>
      <w:r w:rsidR="00460059">
        <w:rPr>
          <w:rFonts w:ascii="Times New Roman" w:hAnsi="Times New Roman"/>
          <w:sz w:val="24"/>
          <w:szCs w:val="24"/>
        </w:rPr>
        <w:instrText xml:space="preserve"> \* MERGEFORMAT </w:instrText>
      </w:r>
      <w:r w:rsidR="00DD71E3" w:rsidRPr="00460059">
        <w:rPr>
          <w:rFonts w:ascii="Times New Roman" w:hAnsi="Times New Roman"/>
          <w:sz w:val="24"/>
          <w:szCs w:val="24"/>
        </w:rPr>
      </w:r>
      <w:r w:rsidR="00DD71E3" w:rsidRPr="00460059">
        <w:rPr>
          <w:rFonts w:ascii="Times New Roman" w:hAnsi="Times New Roman"/>
          <w:sz w:val="24"/>
          <w:szCs w:val="24"/>
        </w:rPr>
        <w:fldChar w:fldCharType="separate"/>
      </w:r>
      <w:r w:rsidR="00DD71E3" w:rsidRPr="00460059">
        <w:rPr>
          <w:rFonts w:ascii="Times New Roman" w:hAnsi="Times New Roman"/>
          <w:sz w:val="24"/>
          <w:szCs w:val="24"/>
        </w:rPr>
        <w:t xml:space="preserve">Table </w:t>
      </w:r>
      <w:r w:rsidR="00DD71E3" w:rsidRPr="00460059">
        <w:rPr>
          <w:rFonts w:ascii="Times New Roman" w:hAnsi="Times New Roman"/>
          <w:noProof/>
          <w:sz w:val="24"/>
          <w:szCs w:val="24"/>
        </w:rPr>
        <w:t>2</w:t>
      </w:r>
      <w:r w:rsidR="00DD71E3" w:rsidRPr="00460059">
        <w:rPr>
          <w:rFonts w:ascii="Times New Roman" w:hAnsi="Times New Roman"/>
          <w:sz w:val="24"/>
          <w:szCs w:val="24"/>
        </w:rPr>
        <w:fldChar w:fldCharType="end"/>
      </w:r>
      <w:r w:rsidR="00F12596" w:rsidRPr="00460059">
        <w:rPr>
          <w:rFonts w:ascii="Times New Roman" w:hAnsi="Times New Roman"/>
          <w:sz w:val="24"/>
          <w:szCs w:val="24"/>
        </w:rPr>
        <w:t xml:space="preserve">). Obviously, the two things are not mutually independent, as the presence of an interaction can make the others stronger. The other donors investigated in combination with </w:t>
      </w:r>
      <w:r w:rsidR="00F12596" w:rsidRPr="00460059">
        <w:rPr>
          <w:rFonts w:ascii="Times New Roman" w:hAnsi="Times New Roman"/>
          <w:b/>
          <w:sz w:val="24"/>
          <w:szCs w:val="24"/>
        </w:rPr>
        <w:t>1</w:t>
      </w:r>
      <w:r w:rsidR="00F12596" w:rsidRPr="00460059">
        <w:rPr>
          <w:rFonts w:ascii="Times New Roman" w:hAnsi="Times New Roman"/>
          <w:sz w:val="24"/>
          <w:szCs w:val="24"/>
        </w:rPr>
        <w:t xml:space="preserve"> fall in between these two extremes, in the order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SpB</w:t>
      </w:r>
      <w:proofErr w:type="spellEnd"/>
      <w:r w:rsidR="00F12596" w:rsidRPr="00460059">
        <w:rPr>
          <w:rFonts w:ascii="Times New Roman" w:hAnsi="Times New Roman"/>
          <w:sz w:val="24"/>
          <w:szCs w:val="24"/>
        </w:rPr>
        <w:t xml:space="preserve"> CH</w:t>
      </w:r>
      <w:r w:rsidR="00F12596" w:rsidRPr="00460059">
        <w:rPr>
          <w:rFonts w:ascii="Times New Roman" w:hAnsi="Times New Roman"/>
          <w:sz w:val="24"/>
          <w:szCs w:val="24"/>
          <w:vertAlign w:val="subscript"/>
        </w:rPr>
        <w:t>2</w:t>
      </w:r>
      <w:r w:rsidR="00F12596" w:rsidRPr="00460059">
        <w:rPr>
          <w:rFonts w:ascii="Times New Roman" w:hAnsi="Times New Roman"/>
          <w:sz w:val="24"/>
          <w:szCs w:val="24"/>
        </w:rPr>
        <w:t>S &gt; CH</w:t>
      </w:r>
      <w:r w:rsidR="00F12596" w:rsidRPr="00460059">
        <w:rPr>
          <w:rFonts w:ascii="Times New Roman" w:hAnsi="Times New Roman"/>
          <w:sz w:val="24"/>
          <w:szCs w:val="24"/>
          <w:vertAlign w:val="subscript"/>
        </w:rPr>
        <w:t>2</w:t>
      </w:r>
      <w:r w:rsidR="00F12596" w:rsidRPr="00460059">
        <w:rPr>
          <w:rFonts w:ascii="Times New Roman" w:hAnsi="Times New Roman"/>
          <w:sz w:val="24"/>
          <w:szCs w:val="24"/>
        </w:rPr>
        <w:t>O &gt; CH</w:t>
      </w:r>
      <w:r w:rsidR="00F12596" w:rsidRPr="00460059">
        <w:rPr>
          <w:rFonts w:ascii="Times New Roman" w:hAnsi="Times New Roman"/>
          <w:sz w:val="24"/>
          <w:szCs w:val="24"/>
          <w:vertAlign w:val="subscript"/>
        </w:rPr>
        <w:t>3</w:t>
      </w:r>
      <w:r w:rsidR="00F12596" w:rsidRPr="00460059">
        <w:rPr>
          <w:rFonts w:ascii="Times New Roman" w:hAnsi="Times New Roman"/>
          <w:sz w:val="24"/>
          <w:szCs w:val="24"/>
        </w:rPr>
        <w:t xml:space="preserve">CN &gt; CO, with a clear correlation between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int</w:t>
      </w:r>
      <w:proofErr w:type="spellEnd"/>
      <w:r w:rsidR="00F12596" w:rsidRPr="00460059">
        <w:rPr>
          <w:rFonts w:ascii="Times New Roman" w:hAnsi="Times New Roman"/>
          <w:sz w:val="24"/>
          <w:szCs w:val="24"/>
        </w:rPr>
        <w:t>,</w:t>
      </w:r>
      <w:r w:rsidR="00F12596" w:rsidRPr="00460059">
        <w:rPr>
          <w:rFonts w:ascii="Times New Roman" w:hAnsi="Times New Roman"/>
          <w:sz w:val="24"/>
          <w:szCs w:val="24"/>
          <w:vertAlign w:val="subscript"/>
        </w:rPr>
        <w:t xml:space="preserve">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orb</w:t>
      </w:r>
      <w:proofErr w:type="spellEnd"/>
      <w:r w:rsidR="00F12596" w:rsidRPr="00460059">
        <w:rPr>
          <w:rFonts w:ascii="Times New Roman" w:hAnsi="Times New Roman"/>
          <w:sz w:val="24"/>
          <w:szCs w:val="24"/>
        </w:rPr>
        <w:t xml:space="preserve"> and </w:t>
      </w:r>
      <w:proofErr w:type="spellStart"/>
      <w:r w:rsidR="00F12596" w:rsidRPr="00460059">
        <w:rPr>
          <w:rFonts w:ascii="Times New Roman" w:hAnsi="Times New Roman"/>
          <w:sz w:val="24"/>
          <w:szCs w:val="24"/>
        </w:rPr>
        <w:t>E</w:t>
      </w:r>
      <w:r w:rsidR="00F12596" w:rsidRPr="00460059">
        <w:rPr>
          <w:rFonts w:ascii="Times New Roman" w:hAnsi="Times New Roman"/>
          <w:sz w:val="24"/>
          <w:szCs w:val="24"/>
          <w:vertAlign w:val="subscript"/>
        </w:rPr>
        <w:t>SpB</w:t>
      </w:r>
      <w:proofErr w:type="spellEnd"/>
      <w:r w:rsidR="00F12596" w:rsidRPr="00460059">
        <w:rPr>
          <w:rFonts w:ascii="Times New Roman" w:hAnsi="Times New Roman"/>
          <w:sz w:val="24"/>
          <w:szCs w:val="24"/>
        </w:rPr>
        <w:t>.</w:t>
      </w:r>
    </w:p>
    <w:p w14:paraId="31DF8C92" w14:textId="3D2028BB" w:rsidR="00F12596" w:rsidRPr="00460059" w:rsidRDefault="00F12596" w:rsidP="00F12596">
      <w:pPr>
        <w:pStyle w:val="RSCB02ArticleText"/>
        <w:spacing w:line="360" w:lineRule="auto"/>
        <w:rPr>
          <w:rFonts w:ascii="Times New Roman" w:hAnsi="Times New Roman"/>
          <w:sz w:val="24"/>
          <w:szCs w:val="24"/>
        </w:rPr>
      </w:pPr>
      <w:r w:rsidRPr="00460059">
        <w:rPr>
          <w:rFonts w:ascii="Times New Roman" w:hAnsi="Times New Roman"/>
          <w:sz w:val="24"/>
          <w:szCs w:val="24"/>
        </w:rPr>
        <w:t>Interestingly enough, when chlorides are replaced by iodides in the CO adduct (</w:t>
      </w:r>
      <w:r w:rsidRPr="00460059">
        <w:rPr>
          <w:rFonts w:ascii="Times New Roman" w:hAnsi="Times New Roman"/>
          <w:b/>
          <w:bCs/>
          <w:sz w:val="24"/>
          <w:szCs w:val="24"/>
        </w:rPr>
        <w:t>2CO</w:t>
      </w:r>
      <w:r w:rsidRPr="00460059">
        <w:rPr>
          <w:rFonts w:ascii="Times New Roman" w:hAnsi="Times New Roman"/>
          <w:sz w:val="24"/>
          <w:szCs w:val="24"/>
        </w:rPr>
        <w:t xml:space="preserve">), a small I→CO contribution emerges, similar to what happens with coordinated triple bonds (see </w:t>
      </w:r>
      <w:r w:rsidR="00D46AF1" w:rsidRPr="00460059">
        <w:rPr>
          <w:rFonts w:ascii="Times New Roman" w:hAnsi="Times New Roman"/>
          <w:sz w:val="24"/>
          <w:szCs w:val="24"/>
        </w:rPr>
        <w:t>Supporting Information</w:t>
      </w:r>
      <w:r w:rsidRPr="00460059">
        <w:rPr>
          <w:rFonts w:ascii="Times New Roman" w:hAnsi="Times New Roman"/>
          <w:sz w:val="24"/>
          <w:szCs w:val="24"/>
        </w:rPr>
        <w:t>).</w:t>
      </w:r>
      <w:r w:rsidR="00632296" w:rsidRPr="00460059">
        <w:rPr>
          <w:rFonts w:ascii="Times New Roman" w:hAnsi="Times New Roman"/>
          <w:sz w:val="24"/>
          <w:szCs w:val="24"/>
        </w:rPr>
        <w:fldChar w:fldCharType="begin" w:fldLock="1"/>
      </w:r>
      <w:r w:rsidR="00D15D67">
        <w:rPr>
          <w:rFonts w:ascii="Times New Roman" w:hAnsi="Times New Roman"/>
          <w:sz w:val="24"/>
          <w:szCs w:val="24"/>
        </w:rPr>
        <w:instrText>ADDIN CSL_CITATION {"citationItems":[{"id":"ITEM-1","itemData":{"DOI":"10.1021/acs.inorgchem.8b02088","ISSN":"1520510X","abstract":"We recently reported a density functional theory (DFT) analysis of the Nb(V)–C bond in various NbCl5(L) complexes, discovering that the carbon ligand L receives electronic density from the metal (classical back-donation) and from the chlorides in the cis position (direct interligand interaction). Here we report the synthesis and the structural characterization of two new coordination compounds of niobium pentahalides, i.e., NbX5(CNXyl) (X = Cl, Br; Xyl = 2,6-C6H3Me2), and the corresponding DFT analyses of the Nb(V)–C bond using the Natural Orbitals for Chemical Valence-Charge Displacement (NOCV-CD) approach, confirming the presence of a cis-halide → isocyanide direct interligand interaction. To verify whether the latter is limited to Nb complexes or not, we performed a NOCV-CD analysis on a series of several organometallic complexes based on Ti(IV), Nb(V), Ta(V), Rh(III), Pd(II), and Au(III), all of which bear one halide ligand and m-xylyl-isocyanide in a mutual cis position, revealing that the cis-halide...","author":[{"dropping-particle":"","family":"Bartalucci","given":"Niccolò","non-dropping-particle":"","parse-names":false,"suffix":""},{"dropping-particle":"","family":"Belpassi","given":"Leonardo","non-dropping-particle":"","parse-names":false,"suffix":""},{"dropping-particle":"","family":"Marchetti","given":"Fabio","non-dropping-particle":"","parse-names":false,"suffix":""},{"dropping-particle":"","family":"Pampaloni","given":"Guido","non-dropping-particle":"","parse-names":false,"suffix":""},{"dropping-particle":"","family":"Zacchini","given":"Stefano","non-dropping-particle":"","parse-names":false,"suffix":""},{"dropping-particle":"","family":"Ciancaleoni","given":"Gianluca","non-dropping-particle":"","parse-names":false,"suffix":""}],"container-title":"Inorganic Chemistry","id":"ITEM-1","issue":"23","issued":{"date-parts":[["2018","12","3"]]},"page":"14554-14563","publisher":"American Chemical Society","title":"Ubiquity of cis-Halide → Isocyanide Direct Interligand Interaction in Organometallic Complexes","type":"article-newspaper","volume":"57"},"uris":["http://www.mendeley.com/documents/?uuid=92369975-7bab-3ea5-acf1-3dd0e28f9324"]},{"id":"ITEM-2","itemData":{"DOI":"10.1021/acs.inorgchem.7b01635","ISSN":"1520510X","abstract":"In the last years, some N-heterocyclic carbene (NHC) complexes of high-valent d0 transition-metal halides have been structurally characterized, showing a significant short distance between the carbene carbon and the cis-halide ligands (Clax). Some authors attributed this arrangement to a halide → Ccarbene unusual “back-donation”, whereas, according to others, the M–carbene bond is purely σ. More, in general, the ability of d0 metal centers to provide back-donation to suitable ligands is still debated, and detailed bond analyses for this class of systems are missing in the literature. In this contribution, we analyze in detail the NbV–L bond within neutral, cationic, and anionic derivatives of NbCl5, with L = NHC, CO, CNH, and CN–. In [NbVCl6–x(NHC)x]x−1 complexes, with NHC being either a model carbene (1,3-dimethylimidazol-2-ylidene, IMe) or a realistic one [1,3-bis(2,6-diisopropylphenyl)imidazol-2-ylidene, IPr], we demonstrate that the metal center is really capable of back-donation to the carbene ligand by a charge flux that involves the chloride in the trans position and, directly, the metal. In this case, a direct interaction between Clax and Ccarbene can be excluded, while if different π-acceptor ligands, such as CO or CNH, are used (instead of NHC), the direct Clax → L interligand interaction becomes predominant.","author":[{"dropping-particle":"","family":"Ciancaleoni","given":"Gianluca","non-dropping-particle":"","parse-names":false,"suffix":""},{"dropping-particle":"","family":"Belpassi","given":"Leonardo","non-dropping-particle":"","parse-names":false,"suffix":""},{"dropping-particle":"","family":"Marchetti","given":"Fabio","non-dropping-particle":"","parse-names":false,"suffix":""}],"container-title":"Inorganic Chemistry","id":"ITEM-2","issue":"18","issued":{"date-parts":[["2017"]]},"page":"11266-11274","publisher":"American Chemical Society","title":"Back-Donation in High-Valent d0 Metal Complexes: Does It Exist? the Case of NbV","type":"article-journal","volume":"56"},"uris":["http://www.mendeley.com/documents/?uuid=034e2730-8bb5-30f7-9943-cc17e6f86171"]}],"mendeley":{"formattedCitation":"&lt;sup&gt;35,36&lt;/sup&gt;","plainTextFormattedCitation":"35,36","previouslyFormattedCitation":"&lt;sup&gt;35,36&lt;/sup&gt;"},"properties":{"noteIndex":0},"schema":"https://github.com/citation-style-language/schema/raw/master/csl-citation.json"}</w:instrText>
      </w:r>
      <w:r w:rsidR="00632296" w:rsidRPr="00460059">
        <w:rPr>
          <w:rFonts w:ascii="Times New Roman" w:hAnsi="Times New Roman"/>
          <w:sz w:val="24"/>
          <w:szCs w:val="24"/>
        </w:rPr>
        <w:fldChar w:fldCharType="separate"/>
      </w:r>
      <w:r w:rsidR="00F97619" w:rsidRPr="00F97619">
        <w:rPr>
          <w:rFonts w:ascii="Times New Roman" w:hAnsi="Times New Roman"/>
          <w:noProof/>
          <w:sz w:val="24"/>
          <w:szCs w:val="24"/>
          <w:vertAlign w:val="superscript"/>
        </w:rPr>
        <w:t>35,36</w:t>
      </w:r>
      <w:r w:rsidR="00632296" w:rsidRPr="00460059">
        <w:rPr>
          <w:rFonts w:ascii="Times New Roman" w:hAnsi="Times New Roman"/>
          <w:sz w:val="24"/>
          <w:szCs w:val="24"/>
        </w:rPr>
        <w:fldChar w:fldCharType="end"/>
      </w:r>
      <w:r w:rsidRPr="00460059">
        <w:rPr>
          <w:rFonts w:ascii="Times New Roman" w:hAnsi="Times New Roman"/>
          <w:sz w:val="24"/>
          <w:szCs w:val="24"/>
        </w:rPr>
        <w:t xml:space="preserve"> This contribution is larger, in energy, than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xml:space="preserve"> and S-S CT (</w:t>
      </w:r>
      <w:r w:rsidRPr="00460059">
        <w:rPr>
          <w:rFonts w:ascii="Times New Roman" w:hAnsi="Times New Roman"/>
          <w:sz w:val="24"/>
          <w:szCs w:val="24"/>
        </w:rPr>
        <w:fldChar w:fldCharType="begin"/>
      </w:r>
      <w:r w:rsidRPr="00460059">
        <w:rPr>
          <w:rFonts w:ascii="Times New Roman" w:hAnsi="Times New Roman"/>
          <w:sz w:val="24"/>
          <w:szCs w:val="24"/>
        </w:rPr>
        <w:instrText xml:space="preserve"> REF _Ref45286713 \h  \* MERGEFORMAT </w:instrText>
      </w:r>
      <w:r w:rsidRPr="00460059">
        <w:rPr>
          <w:rFonts w:ascii="Times New Roman" w:hAnsi="Times New Roman"/>
          <w:sz w:val="24"/>
          <w:szCs w:val="24"/>
        </w:rPr>
      </w:r>
      <w:r w:rsidRPr="00460059">
        <w:rPr>
          <w:rFonts w:ascii="Times New Roman" w:hAnsi="Times New Roman"/>
          <w:sz w:val="24"/>
          <w:szCs w:val="24"/>
        </w:rPr>
        <w:fldChar w:fldCharType="separate"/>
      </w:r>
      <w:r w:rsidR="008A243D" w:rsidRPr="00460059">
        <w:rPr>
          <w:rFonts w:ascii="Times New Roman" w:hAnsi="Times New Roman"/>
          <w:sz w:val="24"/>
          <w:szCs w:val="24"/>
        </w:rPr>
        <w:t xml:space="preserve">Table </w:t>
      </w:r>
      <w:r w:rsidR="008A243D" w:rsidRPr="00460059">
        <w:rPr>
          <w:rFonts w:ascii="Times New Roman" w:hAnsi="Times New Roman"/>
          <w:noProof/>
          <w:sz w:val="24"/>
          <w:szCs w:val="24"/>
        </w:rPr>
        <w:t>2</w:t>
      </w:r>
      <w:r w:rsidRPr="00460059">
        <w:rPr>
          <w:rFonts w:ascii="Times New Roman" w:hAnsi="Times New Roman"/>
          <w:sz w:val="24"/>
          <w:szCs w:val="24"/>
        </w:rPr>
        <w:fldChar w:fldCharType="end"/>
      </w:r>
      <w:r w:rsidRPr="00460059">
        <w:rPr>
          <w:rFonts w:ascii="Times New Roman" w:hAnsi="Times New Roman"/>
          <w:sz w:val="24"/>
          <w:szCs w:val="24"/>
        </w:rPr>
        <w:t xml:space="preserve">). </w:t>
      </w:r>
    </w:p>
    <w:p w14:paraId="7B294AA9" w14:textId="425817FA" w:rsidR="00C60615" w:rsidRPr="00460059" w:rsidRDefault="000D255F" w:rsidP="00F12596">
      <w:pPr>
        <w:pStyle w:val="RSCB02ArticleText"/>
        <w:spacing w:line="360" w:lineRule="auto"/>
        <w:rPr>
          <w:rFonts w:ascii="Times New Roman" w:hAnsi="Times New Roman"/>
          <w:sz w:val="24"/>
          <w:szCs w:val="24"/>
        </w:rPr>
      </w:pPr>
      <w:r w:rsidRPr="00460059">
        <w:rPr>
          <w:rFonts w:ascii="Times New Roman" w:hAnsi="Times New Roman"/>
          <w:sz w:val="24"/>
          <w:szCs w:val="24"/>
        </w:rPr>
        <w:lastRenderedPageBreak/>
        <w:t>When</w:t>
      </w:r>
      <w:r w:rsidR="00063450" w:rsidRPr="00460059">
        <w:rPr>
          <w:rFonts w:ascii="Times New Roman" w:hAnsi="Times New Roman"/>
          <w:sz w:val="24"/>
          <w:szCs w:val="24"/>
        </w:rPr>
        <w:t xml:space="preserve"> </w:t>
      </w:r>
      <w:r w:rsidR="00F12596" w:rsidRPr="00460059">
        <w:rPr>
          <w:rFonts w:ascii="Times New Roman" w:hAnsi="Times New Roman"/>
          <w:sz w:val="24"/>
          <w:szCs w:val="24"/>
        </w:rPr>
        <w:t>stronger Lewis base</w:t>
      </w:r>
      <w:r w:rsidRPr="00460059">
        <w:rPr>
          <w:rFonts w:ascii="Times New Roman" w:hAnsi="Times New Roman"/>
          <w:sz w:val="24"/>
          <w:szCs w:val="24"/>
        </w:rPr>
        <w:t>s such</w:t>
      </w:r>
      <w:r w:rsidR="00063450" w:rsidRPr="00460059">
        <w:rPr>
          <w:rFonts w:ascii="Times New Roman" w:hAnsi="Times New Roman"/>
          <w:sz w:val="24"/>
          <w:szCs w:val="24"/>
        </w:rPr>
        <w:t xml:space="preserve"> </w:t>
      </w:r>
      <w:r w:rsidR="0085717C" w:rsidRPr="00460059">
        <w:rPr>
          <w:rFonts w:ascii="Times New Roman" w:hAnsi="Times New Roman"/>
          <w:sz w:val="24"/>
          <w:szCs w:val="24"/>
        </w:rPr>
        <w:t xml:space="preserve">as </w:t>
      </w:r>
      <w:r w:rsidR="00063450" w:rsidRPr="00460059">
        <w:rPr>
          <w:rFonts w:ascii="Times New Roman" w:hAnsi="Times New Roman"/>
          <w:sz w:val="24"/>
          <w:szCs w:val="24"/>
        </w:rPr>
        <w:t>ammonia</w:t>
      </w:r>
      <w:r w:rsidRPr="00460059">
        <w:rPr>
          <w:rFonts w:ascii="Times New Roman" w:hAnsi="Times New Roman"/>
          <w:sz w:val="24"/>
          <w:szCs w:val="24"/>
        </w:rPr>
        <w:t xml:space="preserve"> are used</w:t>
      </w:r>
      <w:r w:rsidR="00F12596" w:rsidRPr="00460059">
        <w:rPr>
          <w:rFonts w:ascii="Times New Roman" w:hAnsi="Times New Roman"/>
          <w:sz w:val="24"/>
          <w:szCs w:val="24"/>
        </w:rPr>
        <w:t xml:space="preserve">, </w:t>
      </w:r>
      <w:r w:rsidR="009B3284" w:rsidRPr="00460059">
        <w:rPr>
          <w:rFonts w:ascii="Times New Roman" w:hAnsi="Times New Roman"/>
          <w:sz w:val="24"/>
          <w:szCs w:val="24"/>
        </w:rPr>
        <w:t>the</w:t>
      </w:r>
      <w:r w:rsidR="00F12596" w:rsidRPr="00460059">
        <w:rPr>
          <w:rFonts w:ascii="Times New Roman" w:hAnsi="Times New Roman"/>
          <w:sz w:val="24"/>
          <w:szCs w:val="24"/>
        </w:rPr>
        <w:t xml:space="preserve"> </w:t>
      </w:r>
      <w:r w:rsidR="00DB1D20" w:rsidRPr="00460059">
        <w:rPr>
          <w:rFonts w:ascii="Times New Roman" w:hAnsi="Times New Roman"/>
          <w:sz w:val="24"/>
          <w:szCs w:val="24"/>
        </w:rPr>
        <w:t xml:space="preserve">interaction </w:t>
      </w:r>
      <w:r w:rsidR="009B3284" w:rsidRPr="00460059">
        <w:rPr>
          <w:rFonts w:ascii="Times New Roman" w:hAnsi="Times New Roman"/>
          <w:sz w:val="24"/>
          <w:szCs w:val="24"/>
        </w:rPr>
        <w:t xml:space="preserve">becomes </w:t>
      </w:r>
      <w:r w:rsidR="00DB1D20" w:rsidRPr="00460059">
        <w:rPr>
          <w:rFonts w:ascii="Times New Roman" w:hAnsi="Times New Roman"/>
          <w:sz w:val="24"/>
          <w:szCs w:val="24"/>
        </w:rPr>
        <w:t xml:space="preserve">stronger and the distance shorter </w:t>
      </w:r>
      <w:r w:rsidR="00063450" w:rsidRPr="00460059">
        <w:rPr>
          <w:rFonts w:ascii="Times New Roman" w:hAnsi="Times New Roman"/>
          <w:sz w:val="24"/>
          <w:szCs w:val="24"/>
        </w:rPr>
        <w:t>(</w:t>
      </w:r>
      <w:r w:rsidR="00802A99" w:rsidRPr="00460059">
        <w:rPr>
          <w:rFonts w:ascii="Times New Roman" w:hAnsi="Times New Roman"/>
          <w:sz w:val="24"/>
          <w:szCs w:val="24"/>
        </w:rPr>
        <w:t xml:space="preserve">length </w:t>
      </w:r>
      <w:r w:rsidR="00063450" w:rsidRPr="00460059">
        <w:rPr>
          <w:rFonts w:ascii="Times New Roman" w:hAnsi="Times New Roman"/>
          <w:sz w:val="24"/>
          <w:szCs w:val="24"/>
        </w:rPr>
        <w:t>2.4 Å) and</w:t>
      </w:r>
      <w:r w:rsidR="00F12596" w:rsidRPr="00460059">
        <w:rPr>
          <w:rFonts w:ascii="Times New Roman" w:hAnsi="Times New Roman"/>
          <w:sz w:val="24"/>
          <w:szCs w:val="24"/>
        </w:rPr>
        <w:t xml:space="preserve"> </w:t>
      </w:r>
      <w:r w:rsidR="00C60615" w:rsidRPr="00460059">
        <w:rPr>
          <w:rFonts w:ascii="Times New Roman" w:hAnsi="Times New Roman"/>
          <w:sz w:val="24"/>
          <w:szCs w:val="24"/>
        </w:rPr>
        <w:t xml:space="preserve">the Cd-N bond </w:t>
      </w:r>
      <w:r w:rsidR="00063450" w:rsidRPr="00460059">
        <w:rPr>
          <w:rFonts w:ascii="Times New Roman" w:hAnsi="Times New Roman"/>
          <w:sz w:val="24"/>
          <w:szCs w:val="24"/>
        </w:rPr>
        <w:t>possesses more than one component</w:t>
      </w:r>
      <w:r w:rsidR="0093779A" w:rsidRPr="00460059">
        <w:rPr>
          <w:rFonts w:ascii="Times New Roman" w:hAnsi="Times New Roman"/>
          <w:sz w:val="24"/>
          <w:szCs w:val="24"/>
        </w:rPr>
        <w:t>, as expected</w:t>
      </w:r>
      <w:r w:rsidR="00E62265" w:rsidRPr="00460059">
        <w:rPr>
          <w:rFonts w:ascii="Times New Roman" w:hAnsi="Times New Roman"/>
          <w:sz w:val="24"/>
          <w:szCs w:val="24"/>
        </w:rPr>
        <w:t xml:space="preserve"> from the Dewar</w:t>
      </w:r>
      <w:r w:rsidR="00C336AB" w:rsidRPr="00460059">
        <w:rPr>
          <w:rFonts w:ascii="Times New Roman" w:hAnsi="Times New Roman"/>
          <w:sz w:val="24"/>
          <w:szCs w:val="24"/>
        </w:rPr>
        <w:t>-</w:t>
      </w:r>
      <w:proofErr w:type="spellStart"/>
      <w:r w:rsidR="00E62265" w:rsidRPr="00460059">
        <w:rPr>
          <w:rFonts w:ascii="Times New Roman" w:hAnsi="Times New Roman"/>
          <w:sz w:val="24"/>
          <w:szCs w:val="24"/>
        </w:rPr>
        <w:t>Chatt</w:t>
      </w:r>
      <w:proofErr w:type="spellEnd"/>
      <w:r w:rsidR="00C336AB" w:rsidRPr="00460059">
        <w:rPr>
          <w:rFonts w:ascii="Times New Roman" w:hAnsi="Times New Roman"/>
          <w:sz w:val="24"/>
          <w:szCs w:val="24"/>
        </w:rPr>
        <w:t>-</w:t>
      </w:r>
      <w:r w:rsidR="00E62265" w:rsidRPr="00460059">
        <w:rPr>
          <w:rFonts w:ascii="Times New Roman" w:hAnsi="Times New Roman"/>
          <w:sz w:val="24"/>
          <w:szCs w:val="24"/>
        </w:rPr>
        <w:t>Duncanson model</w:t>
      </w:r>
      <w:r w:rsidR="00063450" w:rsidRPr="00460059">
        <w:rPr>
          <w:rFonts w:ascii="Times New Roman" w:hAnsi="Times New Roman"/>
          <w:sz w:val="24"/>
          <w:szCs w:val="24"/>
        </w:rPr>
        <w:t>.</w:t>
      </w:r>
      <w:r w:rsidR="008475E1" w:rsidRPr="00460059">
        <w:rPr>
          <w:rFonts w:ascii="Times New Roman" w:hAnsi="Times New Roman"/>
          <w:sz w:val="24"/>
          <w:szCs w:val="24"/>
        </w:rPr>
        <w:t xml:space="preserve"> In fact, </w:t>
      </w:r>
      <w:r w:rsidR="00B247B4" w:rsidRPr="00460059">
        <w:rPr>
          <w:rFonts w:ascii="Times New Roman" w:hAnsi="Times New Roman"/>
          <w:sz w:val="24"/>
          <w:szCs w:val="24"/>
        </w:rPr>
        <w:t xml:space="preserve">applying the NOCV-CD analysis on </w:t>
      </w:r>
      <w:r w:rsidR="00B247B4" w:rsidRPr="00460059">
        <w:rPr>
          <w:rFonts w:ascii="Times New Roman" w:hAnsi="Times New Roman"/>
          <w:b/>
          <w:bCs/>
          <w:sz w:val="24"/>
          <w:szCs w:val="24"/>
        </w:rPr>
        <w:t>1NH</w:t>
      </w:r>
      <w:r w:rsidR="00B247B4" w:rsidRPr="00460059">
        <w:rPr>
          <w:rFonts w:ascii="Times New Roman" w:hAnsi="Times New Roman"/>
          <w:b/>
          <w:bCs/>
          <w:sz w:val="24"/>
          <w:szCs w:val="24"/>
          <w:vertAlign w:val="subscript"/>
        </w:rPr>
        <w:t>3</w:t>
      </w:r>
      <w:r w:rsidR="005227B2" w:rsidRPr="00460059">
        <w:rPr>
          <w:rFonts w:ascii="Times New Roman" w:hAnsi="Times New Roman"/>
          <w:sz w:val="24"/>
          <w:szCs w:val="24"/>
        </w:rPr>
        <w:t xml:space="preserve"> Δρ</w:t>
      </w:r>
      <w:r w:rsidR="005227B2" w:rsidRPr="00460059">
        <w:rPr>
          <w:rFonts w:ascii="Times New Roman" w:hAnsi="Times New Roman"/>
          <w:sz w:val="24"/>
          <w:szCs w:val="24"/>
          <w:vertAlign w:val="subscript"/>
        </w:rPr>
        <w:t>0</w:t>
      </w:r>
      <w:r w:rsidR="005227B2" w:rsidRPr="00460059">
        <w:rPr>
          <w:rFonts w:ascii="Times New Roman" w:hAnsi="Times New Roman"/>
          <w:sz w:val="24"/>
          <w:szCs w:val="24"/>
        </w:rPr>
        <w:t xml:space="preserve"> describes the</w:t>
      </w:r>
      <w:r w:rsidR="00353F42" w:rsidRPr="00460059">
        <w:rPr>
          <w:rFonts w:ascii="Times New Roman" w:hAnsi="Times New Roman"/>
          <w:sz w:val="24"/>
          <w:szCs w:val="24"/>
        </w:rPr>
        <w:t xml:space="preserve"> </w:t>
      </w:r>
      <w:proofErr w:type="spellStart"/>
      <w:r w:rsidR="00353F42" w:rsidRPr="00460059">
        <w:rPr>
          <w:rFonts w:ascii="Times New Roman" w:hAnsi="Times New Roman"/>
          <w:sz w:val="24"/>
          <w:szCs w:val="24"/>
        </w:rPr>
        <w:t>N</w:t>
      </w:r>
      <w:r w:rsidR="001D7C21" w:rsidRPr="00460059">
        <w:rPr>
          <w:rFonts w:ascii="Times New Roman" w:hAnsi="Times New Roman"/>
          <w:sz w:val="24"/>
          <w:szCs w:val="24"/>
        </w:rPr>
        <w:t>→</w:t>
      </w:r>
      <w:r w:rsidR="00353F42" w:rsidRPr="00460059">
        <w:rPr>
          <w:rFonts w:ascii="Times New Roman" w:hAnsi="Times New Roman"/>
          <w:sz w:val="24"/>
          <w:szCs w:val="24"/>
        </w:rPr>
        <w:t>Cd</w:t>
      </w:r>
      <w:proofErr w:type="spellEnd"/>
      <w:r w:rsidR="005227B2" w:rsidRPr="00460059">
        <w:rPr>
          <w:rFonts w:ascii="Times New Roman" w:hAnsi="Times New Roman"/>
          <w:sz w:val="24"/>
          <w:szCs w:val="24"/>
        </w:rPr>
        <w:t xml:space="preserve"> σ donation</w:t>
      </w:r>
      <w:r w:rsidR="00AF554D" w:rsidRPr="00460059">
        <w:rPr>
          <w:rFonts w:ascii="Times New Roman" w:hAnsi="Times New Roman"/>
          <w:sz w:val="24"/>
          <w:szCs w:val="24"/>
        </w:rPr>
        <w:t xml:space="preserve"> (</w:t>
      </w:r>
      <w:r w:rsidR="00B5589F" w:rsidRPr="00460059">
        <w:rPr>
          <w:rFonts w:ascii="Times New Roman" w:hAnsi="Times New Roman"/>
          <w:sz w:val="24"/>
          <w:szCs w:val="24"/>
        </w:rPr>
        <w:t>CT</w:t>
      </w:r>
      <w:r w:rsidR="00AF554D" w:rsidRPr="00460059">
        <w:rPr>
          <w:rFonts w:ascii="Times New Roman" w:hAnsi="Times New Roman"/>
          <w:sz w:val="24"/>
          <w:szCs w:val="24"/>
          <w:vertAlign w:val="subscript"/>
        </w:rPr>
        <w:t>0</w:t>
      </w:r>
      <w:r w:rsidR="00AF554D" w:rsidRPr="00460059">
        <w:rPr>
          <w:rFonts w:ascii="Times New Roman" w:hAnsi="Times New Roman"/>
          <w:sz w:val="24"/>
          <w:szCs w:val="24"/>
        </w:rPr>
        <w:t xml:space="preserve"> = 157 me, E</w:t>
      </w:r>
      <w:r w:rsidR="00AF554D" w:rsidRPr="00460059">
        <w:rPr>
          <w:rFonts w:ascii="Times New Roman" w:hAnsi="Times New Roman"/>
          <w:sz w:val="24"/>
          <w:szCs w:val="24"/>
          <w:vertAlign w:val="subscript"/>
        </w:rPr>
        <w:t>0</w:t>
      </w:r>
      <w:r w:rsidR="00AF554D" w:rsidRPr="00460059">
        <w:rPr>
          <w:rFonts w:ascii="Times New Roman" w:hAnsi="Times New Roman"/>
          <w:sz w:val="24"/>
          <w:szCs w:val="24"/>
        </w:rPr>
        <w:t xml:space="preserve"> = -13.5 kcal/mol)</w:t>
      </w:r>
      <w:r w:rsidR="00353F42" w:rsidRPr="00460059">
        <w:rPr>
          <w:rFonts w:ascii="Times New Roman" w:hAnsi="Times New Roman"/>
          <w:sz w:val="24"/>
          <w:szCs w:val="24"/>
        </w:rPr>
        <w:t>, Δρ</w:t>
      </w:r>
      <w:r w:rsidR="00353F42" w:rsidRPr="00460059">
        <w:rPr>
          <w:rFonts w:ascii="Times New Roman" w:hAnsi="Times New Roman"/>
          <w:sz w:val="24"/>
          <w:szCs w:val="24"/>
          <w:vertAlign w:val="subscript"/>
        </w:rPr>
        <w:t>1</w:t>
      </w:r>
      <w:r w:rsidR="00353F42" w:rsidRPr="00460059">
        <w:rPr>
          <w:rFonts w:ascii="Times New Roman" w:hAnsi="Times New Roman"/>
          <w:sz w:val="24"/>
          <w:szCs w:val="24"/>
        </w:rPr>
        <w:t xml:space="preserve"> and Δρ</w:t>
      </w:r>
      <w:r w:rsidR="00353F42" w:rsidRPr="00460059">
        <w:rPr>
          <w:rFonts w:ascii="Times New Roman" w:hAnsi="Times New Roman"/>
          <w:sz w:val="24"/>
          <w:szCs w:val="24"/>
          <w:vertAlign w:val="subscript"/>
        </w:rPr>
        <w:t>2</w:t>
      </w:r>
      <w:r w:rsidR="00353F42" w:rsidRPr="00460059">
        <w:rPr>
          <w:rFonts w:ascii="Times New Roman" w:hAnsi="Times New Roman"/>
          <w:sz w:val="24"/>
          <w:szCs w:val="24"/>
        </w:rPr>
        <w:t xml:space="preserve"> two </w:t>
      </w:r>
      <w:r w:rsidR="00FA1994" w:rsidRPr="00460059">
        <w:rPr>
          <w:rFonts w:ascii="Times New Roman" w:hAnsi="Times New Roman"/>
          <w:sz w:val="24"/>
          <w:szCs w:val="24"/>
        </w:rPr>
        <w:t xml:space="preserve">different </w:t>
      </w:r>
      <w:proofErr w:type="spellStart"/>
      <w:r w:rsidR="00FA1994" w:rsidRPr="00460059">
        <w:rPr>
          <w:rFonts w:ascii="Times New Roman" w:hAnsi="Times New Roman"/>
          <w:sz w:val="24"/>
          <w:szCs w:val="24"/>
        </w:rPr>
        <w:t>Cd→N</w:t>
      </w:r>
      <w:proofErr w:type="spellEnd"/>
      <w:r w:rsidR="00FA1994" w:rsidRPr="00460059">
        <w:rPr>
          <w:rFonts w:ascii="Times New Roman" w:hAnsi="Times New Roman"/>
          <w:sz w:val="24"/>
          <w:szCs w:val="24"/>
        </w:rPr>
        <w:t xml:space="preserve"> small yet noticeable π back-donation components (</w:t>
      </w:r>
      <w:r w:rsidR="00B5589F" w:rsidRPr="00460059">
        <w:rPr>
          <w:rFonts w:ascii="Times New Roman" w:hAnsi="Times New Roman"/>
          <w:sz w:val="24"/>
          <w:szCs w:val="24"/>
        </w:rPr>
        <w:t>CT</w:t>
      </w:r>
      <w:r w:rsidR="00B5589F" w:rsidRPr="00460059">
        <w:rPr>
          <w:rFonts w:ascii="Times New Roman" w:hAnsi="Times New Roman"/>
          <w:sz w:val="24"/>
          <w:szCs w:val="24"/>
          <w:vertAlign w:val="subscript"/>
        </w:rPr>
        <w:t>1</w:t>
      </w:r>
      <w:r w:rsidR="00B5589F" w:rsidRPr="00460059">
        <w:rPr>
          <w:rFonts w:ascii="Times New Roman" w:hAnsi="Times New Roman"/>
          <w:sz w:val="24"/>
          <w:szCs w:val="24"/>
        </w:rPr>
        <w:t xml:space="preserve"> = -5 me, CT</w:t>
      </w:r>
      <w:r w:rsidR="00B5589F" w:rsidRPr="00460059">
        <w:rPr>
          <w:rFonts w:ascii="Times New Roman" w:hAnsi="Times New Roman"/>
          <w:sz w:val="24"/>
          <w:szCs w:val="24"/>
          <w:vertAlign w:val="subscript"/>
        </w:rPr>
        <w:t>2</w:t>
      </w:r>
      <w:r w:rsidR="00B5589F" w:rsidRPr="00460059">
        <w:rPr>
          <w:rFonts w:ascii="Times New Roman" w:hAnsi="Times New Roman"/>
          <w:sz w:val="24"/>
          <w:szCs w:val="24"/>
        </w:rPr>
        <w:t xml:space="preserve"> = -11 me, E</w:t>
      </w:r>
      <w:r w:rsidR="00B5589F" w:rsidRPr="00460059">
        <w:rPr>
          <w:rFonts w:ascii="Times New Roman" w:hAnsi="Times New Roman"/>
          <w:sz w:val="24"/>
          <w:szCs w:val="24"/>
          <w:vertAlign w:val="subscript"/>
        </w:rPr>
        <w:t>1</w:t>
      </w:r>
      <w:r w:rsidR="00B5589F" w:rsidRPr="00460059">
        <w:rPr>
          <w:rFonts w:ascii="Times New Roman" w:hAnsi="Times New Roman"/>
          <w:sz w:val="24"/>
          <w:szCs w:val="24"/>
        </w:rPr>
        <w:t xml:space="preserve"> = E</w:t>
      </w:r>
      <w:r w:rsidR="00B5589F" w:rsidRPr="00460059">
        <w:rPr>
          <w:rFonts w:ascii="Times New Roman" w:hAnsi="Times New Roman"/>
          <w:sz w:val="24"/>
          <w:szCs w:val="24"/>
          <w:vertAlign w:val="subscript"/>
        </w:rPr>
        <w:t>2</w:t>
      </w:r>
      <w:r w:rsidR="00B5589F" w:rsidRPr="00460059">
        <w:rPr>
          <w:rFonts w:ascii="Times New Roman" w:hAnsi="Times New Roman"/>
          <w:sz w:val="24"/>
          <w:szCs w:val="24"/>
        </w:rPr>
        <w:t xml:space="preserve"> = -0.6 kcal/mol,</w:t>
      </w:r>
      <w:r w:rsidR="00AF554D" w:rsidRPr="00460059">
        <w:rPr>
          <w:rFonts w:ascii="Times New Roman" w:hAnsi="Times New Roman"/>
          <w:sz w:val="24"/>
          <w:szCs w:val="24"/>
        </w:rPr>
        <w:t xml:space="preserve"> </w:t>
      </w:r>
      <w:r w:rsidR="00FA1994" w:rsidRPr="00460059">
        <w:rPr>
          <w:rFonts w:ascii="Times New Roman" w:hAnsi="Times New Roman"/>
          <w:sz w:val="24"/>
          <w:szCs w:val="24"/>
        </w:rPr>
        <w:fldChar w:fldCharType="begin"/>
      </w:r>
      <w:r w:rsidR="00FA1994" w:rsidRPr="00460059">
        <w:rPr>
          <w:rFonts w:ascii="Times New Roman" w:hAnsi="Times New Roman"/>
          <w:sz w:val="24"/>
          <w:szCs w:val="24"/>
        </w:rPr>
        <w:instrText xml:space="preserve"> REF _Ref54880500 \h </w:instrText>
      </w:r>
      <w:r w:rsidR="00460059">
        <w:rPr>
          <w:rFonts w:ascii="Times New Roman" w:hAnsi="Times New Roman"/>
          <w:sz w:val="24"/>
          <w:szCs w:val="24"/>
        </w:rPr>
        <w:instrText xml:space="preserve"> \* MERGEFORMAT </w:instrText>
      </w:r>
      <w:r w:rsidR="00FA1994" w:rsidRPr="00460059">
        <w:rPr>
          <w:rFonts w:ascii="Times New Roman" w:hAnsi="Times New Roman"/>
          <w:sz w:val="24"/>
          <w:szCs w:val="24"/>
        </w:rPr>
      </w:r>
      <w:r w:rsidR="00FA1994" w:rsidRPr="00460059">
        <w:rPr>
          <w:rFonts w:ascii="Times New Roman" w:hAnsi="Times New Roman"/>
          <w:sz w:val="24"/>
          <w:szCs w:val="24"/>
        </w:rPr>
        <w:fldChar w:fldCharType="separate"/>
      </w:r>
      <w:r w:rsidR="00FA1994" w:rsidRPr="00460059">
        <w:rPr>
          <w:rFonts w:ascii="Times New Roman" w:hAnsi="Times New Roman"/>
          <w:sz w:val="24"/>
          <w:szCs w:val="24"/>
        </w:rPr>
        <w:t>Figure 2</w:t>
      </w:r>
      <w:r w:rsidR="00FA1994" w:rsidRPr="00460059">
        <w:rPr>
          <w:rFonts w:ascii="Times New Roman" w:hAnsi="Times New Roman"/>
          <w:sz w:val="24"/>
          <w:szCs w:val="24"/>
        </w:rPr>
        <w:fldChar w:fldCharType="end"/>
      </w:r>
      <w:r w:rsidR="00FA1994" w:rsidRPr="00460059">
        <w:rPr>
          <w:rFonts w:ascii="Times New Roman" w:hAnsi="Times New Roman"/>
          <w:sz w:val="24"/>
          <w:szCs w:val="24"/>
        </w:rPr>
        <w:t>)</w:t>
      </w:r>
      <w:r w:rsidR="00B5589F" w:rsidRPr="00460059">
        <w:rPr>
          <w:rFonts w:ascii="Times New Roman" w:hAnsi="Times New Roman"/>
          <w:sz w:val="24"/>
          <w:szCs w:val="24"/>
        </w:rPr>
        <w:t>.</w:t>
      </w:r>
    </w:p>
    <w:p w14:paraId="01498638" w14:textId="513765C7" w:rsidR="000D2971" w:rsidRPr="00460059" w:rsidRDefault="000D2971" w:rsidP="00F12596">
      <w:pPr>
        <w:pStyle w:val="RSCB02ArticleText"/>
        <w:spacing w:line="360" w:lineRule="auto"/>
        <w:rPr>
          <w:rFonts w:ascii="Times New Roman" w:hAnsi="Times New Roman"/>
          <w:sz w:val="24"/>
          <w:szCs w:val="24"/>
        </w:rPr>
      </w:pPr>
    </w:p>
    <w:p w14:paraId="554859D6" w14:textId="5A70FBA7" w:rsidR="004D4D1B" w:rsidRPr="00460059" w:rsidRDefault="00D52A3B" w:rsidP="003E2356">
      <w:pPr>
        <w:pStyle w:val="RSCB02ArticleText"/>
        <w:spacing w:line="360" w:lineRule="auto"/>
        <w:jc w:val="center"/>
        <w:rPr>
          <w:rFonts w:ascii="Times New Roman" w:hAnsi="Times New Roman"/>
          <w:sz w:val="24"/>
          <w:szCs w:val="24"/>
        </w:rPr>
      </w:pPr>
      <w:r w:rsidRPr="00460059">
        <w:rPr>
          <w:rFonts w:ascii="Times New Roman" w:hAnsi="Times New Roman"/>
          <w:noProof/>
          <w:sz w:val="24"/>
          <w:szCs w:val="24"/>
          <w:lang w:val="en-US"/>
        </w:rPr>
        <w:drawing>
          <wp:inline distT="0" distB="0" distL="0" distR="0" wp14:anchorId="18CBAE50" wp14:editId="3B730EC2">
            <wp:extent cx="2952000" cy="4042800"/>
            <wp:effectExtent l="0" t="0" r="127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52000" cy="4042800"/>
                    </a:xfrm>
                    <a:prstGeom prst="rect">
                      <a:avLst/>
                    </a:prstGeom>
                    <a:noFill/>
                    <a:ln>
                      <a:noFill/>
                    </a:ln>
                  </pic:spPr>
                </pic:pic>
              </a:graphicData>
            </a:graphic>
          </wp:inline>
        </w:drawing>
      </w:r>
    </w:p>
    <w:p w14:paraId="77C785DA" w14:textId="394C2838" w:rsidR="003E2356" w:rsidRPr="00460059" w:rsidRDefault="003E2356" w:rsidP="003E2356">
      <w:pPr>
        <w:pStyle w:val="RSCB02ArticleText"/>
        <w:spacing w:line="360" w:lineRule="auto"/>
        <w:rPr>
          <w:rFonts w:ascii="Times New Roman" w:hAnsi="Times New Roman"/>
          <w:sz w:val="24"/>
          <w:szCs w:val="24"/>
        </w:rPr>
      </w:pPr>
      <w:bookmarkStart w:id="3" w:name="_Ref54880500"/>
      <w:r w:rsidRPr="00460059">
        <w:rPr>
          <w:rFonts w:ascii="Times New Roman" w:hAnsi="Times New Roman"/>
          <w:sz w:val="24"/>
          <w:szCs w:val="24"/>
        </w:rPr>
        <w:t xml:space="preserve">Figure </w:t>
      </w:r>
      <w:r w:rsidRPr="00460059">
        <w:rPr>
          <w:rFonts w:ascii="Times New Roman" w:hAnsi="Times New Roman"/>
          <w:sz w:val="24"/>
          <w:szCs w:val="24"/>
        </w:rPr>
        <w:fldChar w:fldCharType="begin"/>
      </w:r>
      <w:r w:rsidRPr="00460059">
        <w:rPr>
          <w:rFonts w:ascii="Times New Roman" w:hAnsi="Times New Roman"/>
          <w:sz w:val="24"/>
          <w:szCs w:val="24"/>
        </w:rPr>
        <w:instrText xml:space="preserve"> SEQ Figure \* ARABIC </w:instrText>
      </w:r>
      <w:r w:rsidRPr="00460059">
        <w:rPr>
          <w:rFonts w:ascii="Times New Roman" w:hAnsi="Times New Roman"/>
          <w:sz w:val="24"/>
          <w:szCs w:val="24"/>
        </w:rPr>
        <w:fldChar w:fldCharType="separate"/>
      </w:r>
      <w:r w:rsidR="00096663" w:rsidRPr="00460059">
        <w:rPr>
          <w:rFonts w:ascii="Times New Roman" w:hAnsi="Times New Roman"/>
          <w:noProof/>
          <w:sz w:val="24"/>
          <w:szCs w:val="24"/>
        </w:rPr>
        <w:t>2</w:t>
      </w:r>
      <w:r w:rsidRPr="00460059">
        <w:rPr>
          <w:rFonts w:ascii="Times New Roman" w:hAnsi="Times New Roman"/>
          <w:sz w:val="24"/>
          <w:szCs w:val="24"/>
        </w:rPr>
        <w:fldChar w:fldCharType="end"/>
      </w:r>
      <w:bookmarkEnd w:id="3"/>
      <w:r w:rsidRPr="00460059">
        <w:rPr>
          <w:rFonts w:ascii="Times New Roman" w:hAnsi="Times New Roman"/>
          <w:sz w:val="24"/>
          <w:szCs w:val="24"/>
        </w:rPr>
        <w:t xml:space="preserve">. </w:t>
      </w:r>
      <w:r w:rsidR="008F5EEB" w:rsidRPr="00460059">
        <w:rPr>
          <w:rFonts w:ascii="Times New Roman" w:hAnsi="Times New Roman"/>
          <w:sz w:val="24"/>
          <w:szCs w:val="24"/>
        </w:rPr>
        <w:t xml:space="preserve">Isodensity surfaces (isodensity value </w:t>
      </w:r>
      <w:r w:rsidR="000576C1" w:rsidRPr="00460059">
        <w:rPr>
          <w:rFonts w:ascii="Times New Roman" w:hAnsi="Times New Roman"/>
          <w:sz w:val="24"/>
          <w:szCs w:val="24"/>
        </w:rPr>
        <w:t>2</w:t>
      </w:r>
      <w:r w:rsidR="008F5EEB" w:rsidRPr="00460059">
        <w:rPr>
          <w:rFonts w:ascii="Times New Roman" w:hAnsi="Times New Roman"/>
          <w:sz w:val="24"/>
          <w:szCs w:val="24"/>
        </w:rPr>
        <w:t xml:space="preserve"> me a.u.</w:t>
      </w:r>
      <w:r w:rsidR="008F5EEB" w:rsidRPr="00460059">
        <w:rPr>
          <w:rFonts w:ascii="Times New Roman" w:hAnsi="Times New Roman"/>
          <w:sz w:val="24"/>
          <w:szCs w:val="24"/>
          <w:vertAlign w:val="superscript"/>
        </w:rPr>
        <w:t>-3</w:t>
      </w:r>
      <w:r w:rsidR="008F5EEB" w:rsidRPr="00460059">
        <w:rPr>
          <w:rFonts w:ascii="Times New Roman" w:hAnsi="Times New Roman"/>
          <w:sz w:val="24"/>
          <w:szCs w:val="24"/>
        </w:rPr>
        <w:t xml:space="preserve"> for Δρ</w:t>
      </w:r>
      <w:r w:rsidR="000576C1" w:rsidRPr="00460059">
        <w:rPr>
          <w:rFonts w:ascii="Times New Roman" w:hAnsi="Times New Roman"/>
          <w:sz w:val="24"/>
          <w:szCs w:val="24"/>
          <w:vertAlign w:val="subscript"/>
        </w:rPr>
        <w:t>0</w:t>
      </w:r>
      <w:r w:rsidR="008F5EEB" w:rsidRPr="00460059">
        <w:rPr>
          <w:rFonts w:ascii="Times New Roman" w:hAnsi="Times New Roman"/>
          <w:sz w:val="24"/>
          <w:szCs w:val="24"/>
        </w:rPr>
        <w:t>, 0.</w:t>
      </w:r>
      <w:r w:rsidR="000576C1" w:rsidRPr="00460059">
        <w:rPr>
          <w:rFonts w:ascii="Times New Roman" w:hAnsi="Times New Roman"/>
          <w:sz w:val="24"/>
          <w:szCs w:val="24"/>
        </w:rPr>
        <w:t>5</w:t>
      </w:r>
      <w:r w:rsidR="008F5EEB" w:rsidRPr="00460059">
        <w:rPr>
          <w:rFonts w:ascii="Times New Roman" w:hAnsi="Times New Roman"/>
          <w:sz w:val="24"/>
          <w:szCs w:val="24"/>
        </w:rPr>
        <w:t xml:space="preserve"> me a.u.</w:t>
      </w:r>
      <w:r w:rsidR="008F5EEB" w:rsidRPr="00460059">
        <w:rPr>
          <w:rFonts w:ascii="Times New Roman" w:hAnsi="Times New Roman"/>
          <w:sz w:val="24"/>
          <w:szCs w:val="24"/>
          <w:vertAlign w:val="superscript"/>
        </w:rPr>
        <w:t>-3</w:t>
      </w:r>
      <w:r w:rsidR="000576C1" w:rsidRPr="00460059">
        <w:rPr>
          <w:rFonts w:ascii="Times New Roman" w:hAnsi="Times New Roman"/>
          <w:sz w:val="24"/>
          <w:szCs w:val="24"/>
          <w:vertAlign w:val="superscript"/>
        </w:rPr>
        <w:t xml:space="preserve"> </w:t>
      </w:r>
      <w:r w:rsidR="000576C1" w:rsidRPr="00460059">
        <w:rPr>
          <w:rFonts w:ascii="Times New Roman" w:hAnsi="Times New Roman"/>
          <w:sz w:val="24"/>
          <w:szCs w:val="24"/>
        </w:rPr>
        <w:t>for Δρ</w:t>
      </w:r>
      <w:r w:rsidR="000576C1" w:rsidRPr="00460059">
        <w:rPr>
          <w:rFonts w:ascii="Times New Roman" w:hAnsi="Times New Roman"/>
          <w:sz w:val="24"/>
          <w:szCs w:val="24"/>
          <w:vertAlign w:val="subscript"/>
        </w:rPr>
        <w:t xml:space="preserve">1 </w:t>
      </w:r>
      <w:r w:rsidR="000576C1" w:rsidRPr="00460059">
        <w:rPr>
          <w:rFonts w:ascii="Times New Roman" w:hAnsi="Times New Roman"/>
          <w:sz w:val="24"/>
          <w:szCs w:val="24"/>
        </w:rPr>
        <w:t>and Δρ</w:t>
      </w:r>
      <w:r w:rsidR="000576C1" w:rsidRPr="00460059">
        <w:rPr>
          <w:rFonts w:ascii="Times New Roman" w:hAnsi="Times New Roman"/>
          <w:sz w:val="24"/>
          <w:szCs w:val="24"/>
          <w:vertAlign w:val="subscript"/>
        </w:rPr>
        <w:t>2</w:t>
      </w:r>
      <w:r w:rsidR="008F5EEB" w:rsidRPr="00460059">
        <w:rPr>
          <w:rFonts w:ascii="Times New Roman" w:hAnsi="Times New Roman"/>
          <w:sz w:val="24"/>
          <w:szCs w:val="24"/>
        </w:rPr>
        <w:t xml:space="preserve">) for the deformation maps relative to </w:t>
      </w:r>
      <w:proofErr w:type="spellStart"/>
      <w:r w:rsidR="008F5EEB" w:rsidRPr="00460059">
        <w:rPr>
          <w:rFonts w:ascii="Times New Roman" w:hAnsi="Times New Roman"/>
          <w:sz w:val="24"/>
          <w:szCs w:val="24"/>
        </w:rPr>
        <w:t>Δρ</w:t>
      </w:r>
      <w:r w:rsidR="008F5EEB" w:rsidRPr="00460059">
        <w:rPr>
          <w:rFonts w:ascii="Times New Roman" w:hAnsi="Times New Roman"/>
          <w:sz w:val="24"/>
          <w:szCs w:val="24"/>
          <w:vertAlign w:val="subscript"/>
        </w:rPr>
        <w:t>k</w:t>
      </w:r>
      <w:proofErr w:type="spellEnd"/>
      <w:r w:rsidR="008F5EEB" w:rsidRPr="00460059">
        <w:rPr>
          <w:rFonts w:ascii="Times New Roman" w:hAnsi="Times New Roman"/>
          <w:sz w:val="24"/>
          <w:szCs w:val="24"/>
        </w:rPr>
        <w:t xml:space="preserve"> (k = 1 and 2) of the </w:t>
      </w:r>
      <w:r w:rsidR="008F5EEB" w:rsidRPr="00460059">
        <w:rPr>
          <w:rFonts w:ascii="Times New Roman" w:hAnsi="Times New Roman"/>
          <w:b/>
          <w:sz w:val="24"/>
          <w:szCs w:val="24"/>
        </w:rPr>
        <w:t>1NH</w:t>
      </w:r>
      <w:r w:rsidR="008F5EEB" w:rsidRPr="00460059">
        <w:rPr>
          <w:rFonts w:ascii="Times New Roman" w:hAnsi="Times New Roman"/>
          <w:b/>
          <w:sz w:val="24"/>
          <w:szCs w:val="24"/>
          <w:vertAlign w:val="subscript"/>
        </w:rPr>
        <w:t>3</w:t>
      </w:r>
      <w:r w:rsidR="008F5EEB" w:rsidRPr="00460059">
        <w:rPr>
          <w:rFonts w:ascii="Times New Roman" w:hAnsi="Times New Roman"/>
          <w:sz w:val="24"/>
          <w:szCs w:val="24"/>
        </w:rPr>
        <w:t xml:space="preserve"> adduct. The charge flux is red → blue. </w:t>
      </w:r>
      <w:r w:rsidR="00C16F46" w:rsidRPr="00460059">
        <w:rPr>
          <w:rFonts w:ascii="Times New Roman" w:hAnsi="Times New Roman"/>
          <w:sz w:val="24"/>
          <w:szCs w:val="24"/>
        </w:rPr>
        <w:t xml:space="preserve">Below each </w:t>
      </w:r>
      <w:proofErr w:type="spellStart"/>
      <w:r w:rsidR="00C16F46" w:rsidRPr="00460059">
        <w:rPr>
          <w:rFonts w:ascii="Times New Roman" w:hAnsi="Times New Roman"/>
          <w:sz w:val="24"/>
          <w:szCs w:val="24"/>
        </w:rPr>
        <w:t>Δρ</w:t>
      </w:r>
      <w:r w:rsidR="00C16F46" w:rsidRPr="00460059">
        <w:rPr>
          <w:rFonts w:ascii="Times New Roman" w:hAnsi="Times New Roman"/>
          <w:sz w:val="24"/>
          <w:szCs w:val="24"/>
          <w:vertAlign w:val="subscript"/>
        </w:rPr>
        <w:t>k</w:t>
      </w:r>
      <w:proofErr w:type="spellEnd"/>
      <w:r w:rsidR="00C16F46" w:rsidRPr="00460059">
        <w:rPr>
          <w:rFonts w:ascii="Times New Roman" w:hAnsi="Times New Roman"/>
          <w:sz w:val="24"/>
          <w:szCs w:val="24"/>
        </w:rPr>
        <w:t xml:space="preserve"> map, the corresponding Charge Displacement function is shown. Black dots indicate the position on the axis of the atomic nuclei. A yellow vertical band indicates the boundary between the fragments.</w:t>
      </w:r>
    </w:p>
    <w:p w14:paraId="527E0E60" w14:textId="1E06BA1B" w:rsidR="003E2356" w:rsidRPr="00460059" w:rsidRDefault="003E2356" w:rsidP="003E2356">
      <w:pPr>
        <w:pStyle w:val="RSCB02ArticleText"/>
        <w:spacing w:line="360" w:lineRule="auto"/>
        <w:rPr>
          <w:rFonts w:ascii="Times New Roman" w:hAnsi="Times New Roman"/>
          <w:sz w:val="24"/>
          <w:szCs w:val="24"/>
        </w:rPr>
      </w:pPr>
    </w:p>
    <w:p w14:paraId="2E619C09" w14:textId="39F9B0A3" w:rsidR="00E35BC4" w:rsidRPr="00460059" w:rsidRDefault="00CA0215" w:rsidP="009B1D1A">
      <w:pPr>
        <w:pStyle w:val="RSCB02ArticleText"/>
        <w:spacing w:line="360" w:lineRule="auto"/>
        <w:rPr>
          <w:rFonts w:ascii="Times New Roman" w:hAnsi="Times New Roman"/>
          <w:sz w:val="24"/>
          <w:szCs w:val="24"/>
        </w:rPr>
      </w:pPr>
      <w:r w:rsidRPr="00460059">
        <w:rPr>
          <w:rFonts w:ascii="Times New Roman" w:hAnsi="Times New Roman"/>
          <w:sz w:val="24"/>
          <w:szCs w:val="24"/>
        </w:rPr>
        <w:t xml:space="preserve">The </w:t>
      </w:r>
      <w:r w:rsidR="00BB67EE" w:rsidRPr="00460059">
        <w:rPr>
          <w:rFonts w:ascii="Times New Roman" w:hAnsi="Times New Roman"/>
          <w:sz w:val="24"/>
          <w:szCs w:val="24"/>
        </w:rPr>
        <w:t xml:space="preserve">total </w:t>
      </w:r>
      <w:r w:rsidRPr="00460059">
        <w:rPr>
          <w:rFonts w:ascii="Times New Roman" w:hAnsi="Times New Roman"/>
          <w:sz w:val="24"/>
          <w:szCs w:val="24"/>
        </w:rPr>
        <w:t xml:space="preserve">EDA results </w:t>
      </w:r>
      <w:r w:rsidR="001D7C21" w:rsidRPr="00460059">
        <w:rPr>
          <w:rFonts w:ascii="Times New Roman" w:hAnsi="Times New Roman"/>
          <w:sz w:val="24"/>
          <w:szCs w:val="24"/>
        </w:rPr>
        <w:t xml:space="preserve">(performed with ADF) </w:t>
      </w:r>
      <w:r w:rsidRPr="00460059">
        <w:rPr>
          <w:rFonts w:ascii="Times New Roman" w:hAnsi="Times New Roman"/>
          <w:sz w:val="24"/>
          <w:szCs w:val="24"/>
        </w:rPr>
        <w:t xml:space="preserve">about the Cd-N interaction </w:t>
      </w:r>
      <w:r w:rsidR="00473236" w:rsidRPr="00460059">
        <w:rPr>
          <w:rFonts w:ascii="Times New Roman" w:hAnsi="Times New Roman"/>
          <w:sz w:val="24"/>
          <w:szCs w:val="24"/>
        </w:rPr>
        <w:t>show that</w:t>
      </w:r>
      <w:r w:rsidRPr="00460059">
        <w:rPr>
          <w:rFonts w:ascii="Times New Roman" w:hAnsi="Times New Roman"/>
          <w:sz w:val="24"/>
          <w:szCs w:val="24"/>
        </w:rPr>
        <w:t xml:space="preserve"> </w:t>
      </w:r>
      <w:proofErr w:type="spellStart"/>
      <w:r w:rsidR="004971B0" w:rsidRPr="00460059">
        <w:rPr>
          <w:rFonts w:ascii="Times New Roman" w:hAnsi="Times New Roman"/>
          <w:sz w:val="24"/>
          <w:szCs w:val="24"/>
        </w:rPr>
        <w:t>E</w:t>
      </w:r>
      <w:r w:rsidR="004971B0" w:rsidRPr="00460059">
        <w:rPr>
          <w:rFonts w:ascii="Times New Roman" w:hAnsi="Times New Roman"/>
          <w:sz w:val="24"/>
          <w:szCs w:val="24"/>
          <w:vertAlign w:val="subscript"/>
        </w:rPr>
        <w:t>int</w:t>
      </w:r>
      <w:proofErr w:type="spellEnd"/>
      <w:r w:rsidR="004971B0" w:rsidRPr="00460059">
        <w:rPr>
          <w:rFonts w:ascii="Times New Roman" w:hAnsi="Times New Roman"/>
          <w:sz w:val="24"/>
          <w:szCs w:val="24"/>
        </w:rPr>
        <w:t xml:space="preserve">, </w:t>
      </w:r>
      <w:proofErr w:type="spellStart"/>
      <w:r w:rsidR="004971B0" w:rsidRPr="00460059">
        <w:rPr>
          <w:rFonts w:ascii="Times New Roman" w:hAnsi="Times New Roman"/>
          <w:sz w:val="24"/>
          <w:szCs w:val="24"/>
        </w:rPr>
        <w:t>E</w:t>
      </w:r>
      <w:r w:rsidR="004971B0" w:rsidRPr="00460059">
        <w:rPr>
          <w:rFonts w:ascii="Times New Roman" w:hAnsi="Times New Roman"/>
          <w:sz w:val="24"/>
          <w:szCs w:val="24"/>
          <w:vertAlign w:val="subscript"/>
        </w:rPr>
        <w:t>orb</w:t>
      </w:r>
      <w:proofErr w:type="spellEnd"/>
      <w:r w:rsidR="004971B0" w:rsidRPr="00460059">
        <w:rPr>
          <w:rFonts w:ascii="Times New Roman" w:hAnsi="Times New Roman"/>
          <w:sz w:val="24"/>
          <w:szCs w:val="24"/>
        </w:rPr>
        <w:t xml:space="preserve">, </w:t>
      </w:r>
      <w:proofErr w:type="spellStart"/>
      <w:r w:rsidR="004971B0" w:rsidRPr="00460059">
        <w:rPr>
          <w:rFonts w:ascii="Times New Roman" w:hAnsi="Times New Roman"/>
          <w:sz w:val="24"/>
          <w:szCs w:val="24"/>
        </w:rPr>
        <w:t>E</w:t>
      </w:r>
      <w:r w:rsidR="00327F20" w:rsidRPr="00460059">
        <w:rPr>
          <w:rFonts w:ascii="Times New Roman" w:hAnsi="Times New Roman"/>
          <w:sz w:val="24"/>
          <w:szCs w:val="24"/>
          <w:vertAlign w:val="subscript"/>
        </w:rPr>
        <w:t>elst</w:t>
      </w:r>
      <w:proofErr w:type="spellEnd"/>
      <w:r w:rsidR="00327F20" w:rsidRPr="00460059">
        <w:rPr>
          <w:rFonts w:ascii="Times New Roman" w:hAnsi="Times New Roman"/>
          <w:sz w:val="24"/>
          <w:szCs w:val="24"/>
        </w:rPr>
        <w:t xml:space="preserve">, </w:t>
      </w:r>
      <w:proofErr w:type="spellStart"/>
      <w:r w:rsidR="00327F20" w:rsidRPr="00460059">
        <w:rPr>
          <w:rFonts w:ascii="Times New Roman" w:hAnsi="Times New Roman"/>
          <w:sz w:val="24"/>
          <w:szCs w:val="24"/>
        </w:rPr>
        <w:t>E</w:t>
      </w:r>
      <w:r w:rsidR="00327F20" w:rsidRPr="00460059">
        <w:rPr>
          <w:rFonts w:ascii="Times New Roman" w:hAnsi="Times New Roman"/>
          <w:sz w:val="24"/>
          <w:szCs w:val="24"/>
          <w:vertAlign w:val="subscript"/>
        </w:rPr>
        <w:t>Pauli</w:t>
      </w:r>
      <w:proofErr w:type="spellEnd"/>
      <w:r w:rsidR="00327F20" w:rsidRPr="00460059">
        <w:rPr>
          <w:rFonts w:ascii="Times New Roman" w:hAnsi="Times New Roman"/>
          <w:sz w:val="24"/>
          <w:szCs w:val="24"/>
        </w:rPr>
        <w:t xml:space="preserve"> a</w:t>
      </w:r>
      <w:r w:rsidR="004971B0" w:rsidRPr="00460059">
        <w:rPr>
          <w:rFonts w:ascii="Times New Roman" w:hAnsi="Times New Roman"/>
          <w:sz w:val="24"/>
          <w:szCs w:val="24"/>
        </w:rPr>
        <w:t xml:space="preserve">nd </w:t>
      </w:r>
      <w:proofErr w:type="spellStart"/>
      <w:r w:rsidR="004971B0" w:rsidRPr="00460059">
        <w:rPr>
          <w:rFonts w:ascii="Times New Roman" w:hAnsi="Times New Roman"/>
          <w:sz w:val="24"/>
          <w:szCs w:val="24"/>
        </w:rPr>
        <w:t>E</w:t>
      </w:r>
      <w:r w:rsidR="004971B0" w:rsidRPr="00460059">
        <w:rPr>
          <w:rFonts w:ascii="Times New Roman" w:hAnsi="Times New Roman"/>
          <w:sz w:val="24"/>
          <w:szCs w:val="24"/>
          <w:vertAlign w:val="subscript"/>
        </w:rPr>
        <w:t>disp</w:t>
      </w:r>
      <w:proofErr w:type="spellEnd"/>
      <w:r w:rsidR="004971B0" w:rsidRPr="00460059">
        <w:rPr>
          <w:rFonts w:ascii="Times New Roman" w:hAnsi="Times New Roman"/>
          <w:sz w:val="24"/>
          <w:szCs w:val="24"/>
        </w:rPr>
        <w:t xml:space="preserve"> </w:t>
      </w:r>
      <w:r w:rsidR="00473236" w:rsidRPr="00460059">
        <w:rPr>
          <w:rFonts w:ascii="Times New Roman" w:hAnsi="Times New Roman"/>
          <w:sz w:val="24"/>
          <w:szCs w:val="24"/>
        </w:rPr>
        <w:t xml:space="preserve">amount to </w:t>
      </w:r>
      <w:r w:rsidR="004971B0" w:rsidRPr="00460059">
        <w:rPr>
          <w:rFonts w:ascii="Times New Roman" w:hAnsi="Times New Roman"/>
          <w:sz w:val="24"/>
          <w:szCs w:val="24"/>
        </w:rPr>
        <w:t>-</w:t>
      </w:r>
      <w:r w:rsidR="00327F20" w:rsidRPr="00460059">
        <w:rPr>
          <w:rFonts w:ascii="Times New Roman" w:hAnsi="Times New Roman"/>
          <w:sz w:val="24"/>
          <w:szCs w:val="24"/>
        </w:rPr>
        <w:t>16.3</w:t>
      </w:r>
      <w:r w:rsidR="004971B0" w:rsidRPr="00460059">
        <w:rPr>
          <w:rFonts w:ascii="Times New Roman" w:hAnsi="Times New Roman"/>
          <w:sz w:val="24"/>
          <w:szCs w:val="24"/>
        </w:rPr>
        <w:t>, -1</w:t>
      </w:r>
      <w:r w:rsidR="00327F20" w:rsidRPr="00460059">
        <w:rPr>
          <w:rFonts w:ascii="Times New Roman" w:hAnsi="Times New Roman"/>
          <w:sz w:val="24"/>
          <w:szCs w:val="24"/>
        </w:rPr>
        <w:t>8</w:t>
      </w:r>
      <w:r w:rsidR="004971B0" w:rsidRPr="00460059">
        <w:rPr>
          <w:rFonts w:ascii="Times New Roman" w:hAnsi="Times New Roman"/>
          <w:sz w:val="24"/>
          <w:szCs w:val="24"/>
        </w:rPr>
        <w:t>.</w:t>
      </w:r>
      <w:r w:rsidR="00327F20" w:rsidRPr="00460059">
        <w:rPr>
          <w:rFonts w:ascii="Times New Roman" w:hAnsi="Times New Roman"/>
          <w:sz w:val="24"/>
          <w:szCs w:val="24"/>
        </w:rPr>
        <w:t>2</w:t>
      </w:r>
      <w:r w:rsidR="004971B0" w:rsidRPr="00460059">
        <w:rPr>
          <w:rFonts w:ascii="Times New Roman" w:hAnsi="Times New Roman"/>
          <w:sz w:val="24"/>
          <w:szCs w:val="24"/>
        </w:rPr>
        <w:t xml:space="preserve">, </w:t>
      </w:r>
      <w:r w:rsidR="00327F20" w:rsidRPr="00460059">
        <w:rPr>
          <w:rFonts w:ascii="Times New Roman" w:hAnsi="Times New Roman"/>
          <w:sz w:val="24"/>
          <w:szCs w:val="24"/>
        </w:rPr>
        <w:t>-52.3, 59.0</w:t>
      </w:r>
      <w:r w:rsidR="00313E64" w:rsidRPr="00460059">
        <w:rPr>
          <w:rFonts w:ascii="Times New Roman" w:hAnsi="Times New Roman"/>
          <w:sz w:val="24"/>
          <w:szCs w:val="24"/>
        </w:rPr>
        <w:t xml:space="preserve"> and </w:t>
      </w:r>
      <w:r w:rsidR="00327F20" w:rsidRPr="00460059">
        <w:rPr>
          <w:rFonts w:ascii="Times New Roman" w:hAnsi="Times New Roman"/>
          <w:sz w:val="24"/>
          <w:szCs w:val="24"/>
        </w:rPr>
        <w:t xml:space="preserve">–4.9 </w:t>
      </w:r>
      <w:r w:rsidR="00313E64" w:rsidRPr="00460059">
        <w:rPr>
          <w:rFonts w:ascii="Times New Roman" w:hAnsi="Times New Roman"/>
          <w:sz w:val="24"/>
          <w:szCs w:val="24"/>
        </w:rPr>
        <w:t>kcal/mol, respectively</w:t>
      </w:r>
      <w:r w:rsidR="00FE0E48" w:rsidRPr="00460059">
        <w:rPr>
          <w:rFonts w:ascii="Times New Roman" w:hAnsi="Times New Roman"/>
          <w:sz w:val="24"/>
          <w:szCs w:val="24"/>
        </w:rPr>
        <w:t xml:space="preserve">. </w:t>
      </w:r>
      <w:r w:rsidR="009E3F72" w:rsidRPr="00460059">
        <w:rPr>
          <w:rFonts w:ascii="Times New Roman" w:hAnsi="Times New Roman"/>
          <w:sz w:val="24"/>
          <w:szCs w:val="24"/>
        </w:rPr>
        <w:t xml:space="preserve">The strength </w:t>
      </w:r>
      <w:r w:rsidR="009E3F72" w:rsidRPr="00460059">
        <w:rPr>
          <w:rFonts w:ascii="Times New Roman" w:hAnsi="Times New Roman"/>
          <w:sz w:val="24"/>
          <w:szCs w:val="24"/>
        </w:rPr>
        <w:lastRenderedPageBreak/>
        <w:t xml:space="preserve">of the interaction is about double </w:t>
      </w:r>
      <w:r w:rsidR="00BB6310" w:rsidRPr="00460059">
        <w:rPr>
          <w:rFonts w:ascii="Times New Roman" w:hAnsi="Times New Roman"/>
          <w:sz w:val="24"/>
          <w:szCs w:val="24"/>
        </w:rPr>
        <w:t xml:space="preserve">than </w:t>
      </w:r>
      <w:r w:rsidR="00473236" w:rsidRPr="00460059">
        <w:rPr>
          <w:rFonts w:ascii="Times New Roman" w:hAnsi="Times New Roman"/>
          <w:sz w:val="24"/>
          <w:szCs w:val="24"/>
        </w:rPr>
        <w:t>that</w:t>
      </w:r>
      <w:r w:rsidR="00BB6310" w:rsidRPr="00460059">
        <w:rPr>
          <w:rFonts w:ascii="Times New Roman" w:hAnsi="Times New Roman"/>
          <w:sz w:val="24"/>
          <w:szCs w:val="24"/>
        </w:rPr>
        <w:t xml:space="preserve"> of </w:t>
      </w:r>
      <w:r w:rsidR="00BB6310" w:rsidRPr="00460059">
        <w:rPr>
          <w:rFonts w:ascii="Times New Roman" w:hAnsi="Times New Roman"/>
          <w:b/>
          <w:bCs/>
          <w:sz w:val="24"/>
          <w:szCs w:val="24"/>
        </w:rPr>
        <w:t>1CH</w:t>
      </w:r>
      <w:r w:rsidR="00BB6310" w:rsidRPr="00460059">
        <w:rPr>
          <w:rFonts w:ascii="Times New Roman" w:hAnsi="Times New Roman"/>
          <w:b/>
          <w:bCs/>
          <w:sz w:val="24"/>
          <w:szCs w:val="24"/>
          <w:vertAlign w:val="subscript"/>
        </w:rPr>
        <w:t>2</w:t>
      </w:r>
      <w:r w:rsidR="00BB6310" w:rsidRPr="00460059">
        <w:rPr>
          <w:rFonts w:ascii="Times New Roman" w:hAnsi="Times New Roman"/>
          <w:b/>
          <w:bCs/>
          <w:sz w:val="24"/>
          <w:szCs w:val="24"/>
        </w:rPr>
        <w:t>S</w:t>
      </w:r>
      <w:r w:rsidR="00BB6310" w:rsidRPr="00460059">
        <w:rPr>
          <w:rFonts w:ascii="Times New Roman" w:hAnsi="Times New Roman"/>
          <w:sz w:val="24"/>
          <w:szCs w:val="24"/>
        </w:rPr>
        <w:t xml:space="preserve">, but </w:t>
      </w:r>
      <w:r w:rsidR="009E3F72" w:rsidRPr="00460059">
        <w:rPr>
          <w:rFonts w:ascii="Times New Roman" w:hAnsi="Times New Roman"/>
          <w:sz w:val="24"/>
          <w:szCs w:val="24"/>
        </w:rPr>
        <w:t xml:space="preserve">the </w:t>
      </w:r>
      <w:r w:rsidR="00B5589F" w:rsidRPr="00460059">
        <w:rPr>
          <w:rFonts w:ascii="Times New Roman" w:hAnsi="Times New Roman"/>
          <w:sz w:val="24"/>
          <w:szCs w:val="24"/>
        </w:rPr>
        <w:t xml:space="preserve">ratio between </w:t>
      </w:r>
      <w:proofErr w:type="spellStart"/>
      <w:r w:rsidR="009E3F72" w:rsidRPr="00460059">
        <w:rPr>
          <w:rFonts w:ascii="Times New Roman" w:hAnsi="Times New Roman"/>
          <w:sz w:val="24"/>
          <w:szCs w:val="24"/>
        </w:rPr>
        <w:t>E</w:t>
      </w:r>
      <w:r w:rsidR="008C7562" w:rsidRPr="00460059">
        <w:rPr>
          <w:rFonts w:ascii="Times New Roman" w:hAnsi="Times New Roman"/>
          <w:sz w:val="24"/>
          <w:szCs w:val="24"/>
          <w:vertAlign w:val="subscript"/>
        </w:rPr>
        <w:t>orb</w:t>
      </w:r>
      <w:proofErr w:type="spellEnd"/>
      <w:r w:rsidR="00B5589F" w:rsidRPr="00460059">
        <w:rPr>
          <w:rFonts w:ascii="Times New Roman" w:hAnsi="Times New Roman"/>
          <w:sz w:val="24"/>
          <w:szCs w:val="24"/>
        </w:rPr>
        <w:t xml:space="preserve"> and the sum of all the attractive terms is</w:t>
      </w:r>
      <w:r w:rsidR="00473236" w:rsidRPr="00460059">
        <w:rPr>
          <w:rFonts w:ascii="Times New Roman" w:hAnsi="Times New Roman"/>
          <w:sz w:val="24"/>
          <w:szCs w:val="24"/>
        </w:rPr>
        <w:t xml:space="preserve"> very similar:</w:t>
      </w:r>
      <w:r w:rsidR="00B5589F" w:rsidRPr="00460059">
        <w:rPr>
          <w:rFonts w:ascii="Times New Roman" w:hAnsi="Times New Roman"/>
          <w:sz w:val="24"/>
          <w:szCs w:val="24"/>
        </w:rPr>
        <w:t xml:space="preserve"> </w:t>
      </w:r>
      <w:r w:rsidR="00327F20" w:rsidRPr="00460059">
        <w:rPr>
          <w:rFonts w:ascii="Times New Roman" w:hAnsi="Times New Roman"/>
          <w:sz w:val="24"/>
          <w:szCs w:val="24"/>
        </w:rPr>
        <w:t>24</w:t>
      </w:r>
      <w:r w:rsidR="00B5589F" w:rsidRPr="00460059">
        <w:rPr>
          <w:rFonts w:ascii="Times New Roman" w:hAnsi="Times New Roman"/>
          <w:sz w:val="24"/>
          <w:szCs w:val="24"/>
        </w:rPr>
        <w:t>%</w:t>
      </w:r>
      <w:r w:rsidR="00F53128" w:rsidRPr="00460059">
        <w:rPr>
          <w:rFonts w:ascii="Times New Roman" w:hAnsi="Times New Roman"/>
          <w:sz w:val="24"/>
          <w:szCs w:val="24"/>
        </w:rPr>
        <w:t xml:space="preserve"> </w:t>
      </w:r>
      <w:r w:rsidR="00473236" w:rsidRPr="00460059">
        <w:rPr>
          <w:rFonts w:ascii="Times New Roman" w:hAnsi="Times New Roman"/>
          <w:sz w:val="24"/>
          <w:szCs w:val="24"/>
        </w:rPr>
        <w:t xml:space="preserve">for </w:t>
      </w:r>
      <w:r w:rsidR="00473236" w:rsidRPr="00460059">
        <w:rPr>
          <w:rFonts w:ascii="Times New Roman" w:hAnsi="Times New Roman"/>
          <w:b/>
          <w:sz w:val="24"/>
          <w:szCs w:val="24"/>
        </w:rPr>
        <w:t>1NH</w:t>
      </w:r>
      <w:r w:rsidR="00473236" w:rsidRPr="00460059">
        <w:rPr>
          <w:rFonts w:ascii="Times New Roman" w:hAnsi="Times New Roman"/>
          <w:b/>
          <w:sz w:val="24"/>
          <w:szCs w:val="24"/>
          <w:vertAlign w:val="subscript"/>
        </w:rPr>
        <w:t>3</w:t>
      </w:r>
      <w:r w:rsidR="00473236" w:rsidRPr="00460059">
        <w:rPr>
          <w:rFonts w:ascii="Times New Roman" w:hAnsi="Times New Roman"/>
          <w:sz w:val="24"/>
          <w:szCs w:val="24"/>
        </w:rPr>
        <w:t xml:space="preserve"> </w:t>
      </w:r>
      <w:r w:rsidR="00473236" w:rsidRPr="00460059">
        <w:rPr>
          <w:rFonts w:ascii="Times New Roman" w:hAnsi="Times New Roman"/>
          <w:i/>
          <w:sz w:val="24"/>
          <w:szCs w:val="24"/>
        </w:rPr>
        <w:t>versus</w:t>
      </w:r>
      <w:r w:rsidR="00F53128" w:rsidRPr="00460059">
        <w:rPr>
          <w:rFonts w:ascii="Times New Roman" w:hAnsi="Times New Roman"/>
          <w:i/>
          <w:sz w:val="24"/>
          <w:szCs w:val="24"/>
        </w:rPr>
        <w:t xml:space="preserve"> </w:t>
      </w:r>
      <w:r w:rsidR="00327F20" w:rsidRPr="00460059">
        <w:rPr>
          <w:rFonts w:ascii="Times New Roman" w:hAnsi="Times New Roman"/>
          <w:sz w:val="24"/>
          <w:szCs w:val="24"/>
        </w:rPr>
        <w:t>26</w:t>
      </w:r>
      <w:r w:rsidR="00F53128" w:rsidRPr="00460059">
        <w:rPr>
          <w:rFonts w:ascii="Times New Roman" w:hAnsi="Times New Roman"/>
          <w:sz w:val="24"/>
          <w:szCs w:val="24"/>
        </w:rPr>
        <w:t xml:space="preserve">% for </w:t>
      </w:r>
      <w:r w:rsidR="00F53128" w:rsidRPr="00460059">
        <w:rPr>
          <w:rFonts w:ascii="Times New Roman" w:hAnsi="Times New Roman"/>
          <w:b/>
          <w:bCs/>
          <w:sz w:val="24"/>
          <w:szCs w:val="24"/>
        </w:rPr>
        <w:t>1CH</w:t>
      </w:r>
      <w:r w:rsidR="00F53128" w:rsidRPr="00460059">
        <w:rPr>
          <w:rFonts w:ascii="Times New Roman" w:hAnsi="Times New Roman"/>
          <w:b/>
          <w:bCs/>
          <w:sz w:val="24"/>
          <w:szCs w:val="24"/>
          <w:vertAlign w:val="subscript"/>
        </w:rPr>
        <w:t>2</w:t>
      </w:r>
      <w:r w:rsidR="00F53128" w:rsidRPr="00460059">
        <w:rPr>
          <w:rFonts w:ascii="Times New Roman" w:hAnsi="Times New Roman"/>
          <w:b/>
          <w:bCs/>
          <w:sz w:val="24"/>
          <w:szCs w:val="24"/>
        </w:rPr>
        <w:t>S</w:t>
      </w:r>
      <w:r w:rsidR="00F53128" w:rsidRPr="00460059">
        <w:rPr>
          <w:rFonts w:ascii="Times New Roman" w:hAnsi="Times New Roman"/>
          <w:sz w:val="24"/>
          <w:szCs w:val="24"/>
        </w:rPr>
        <w:t>.</w:t>
      </w:r>
      <w:r w:rsidR="00E35BC4" w:rsidRPr="00460059">
        <w:rPr>
          <w:rFonts w:ascii="Times New Roman" w:hAnsi="Times New Roman"/>
          <w:sz w:val="24"/>
          <w:szCs w:val="24"/>
        </w:rPr>
        <w:t xml:space="preserve"> </w:t>
      </w:r>
    </w:p>
    <w:p w14:paraId="2C6F6223" w14:textId="545C905C" w:rsidR="00F4612E" w:rsidRPr="00460059" w:rsidRDefault="00F4612E" w:rsidP="009B1D1A">
      <w:pPr>
        <w:pStyle w:val="RSCB02ArticleText"/>
        <w:spacing w:line="360" w:lineRule="auto"/>
        <w:rPr>
          <w:rFonts w:ascii="Times New Roman" w:hAnsi="Times New Roman"/>
          <w:sz w:val="24"/>
          <w:szCs w:val="24"/>
        </w:rPr>
      </w:pPr>
      <w:r w:rsidRPr="00460059">
        <w:rPr>
          <w:rFonts w:ascii="Times New Roman" w:hAnsi="Times New Roman"/>
          <w:sz w:val="24"/>
          <w:szCs w:val="24"/>
        </w:rPr>
        <w:t>Therefore, it seems that the main differences between a coordinative and spodium bond, beside the distance and the interaction energy</w:t>
      </w:r>
      <w:r w:rsidR="005902A3">
        <w:rPr>
          <w:rFonts w:ascii="Times New Roman" w:hAnsi="Times New Roman"/>
          <w:sz w:val="24"/>
          <w:szCs w:val="24"/>
        </w:rPr>
        <w:t xml:space="preserve"> (for which it is not easy to </w:t>
      </w:r>
      <w:r w:rsidR="00EE5FB2">
        <w:rPr>
          <w:rFonts w:ascii="Times New Roman" w:hAnsi="Times New Roman"/>
          <w:sz w:val="24"/>
          <w:szCs w:val="24"/>
        </w:rPr>
        <w:t>set a boundary value)</w:t>
      </w:r>
      <w:r w:rsidRPr="00460059">
        <w:rPr>
          <w:rFonts w:ascii="Times New Roman" w:hAnsi="Times New Roman"/>
          <w:sz w:val="24"/>
          <w:szCs w:val="24"/>
        </w:rPr>
        <w:t>, is not in their energy composition, as the relative weight</w:t>
      </w:r>
      <w:r w:rsidR="00F25A63">
        <w:rPr>
          <w:rFonts w:ascii="Times New Roman" w:hAnsi="Times New Roman"/>
          <w:sz w:val="24"/>
          <w:szCs w:val="24"/>
        </w:rPr>
        <w:t>s</w:t>
      </w:r>
      <w:r w:rsidRPr="00460059">
        <w:rPr>
          <w:rFonts w:ascii="Times New Roman" w:hAnsi="Times New Roman"/>
          <w:sz w:val="24"/>
          <w:szCs w:val="24"/>
        </w:rPr>
        <w:t xml:space="preserve"> of the EDA terms </w:t>
      </w:r>
      <w:r w:rsidR="00F25A63">
        <w:rPr>
          <w:rFonts w:ascii="Times New Roman" w:hAnsi="Times New Roman"/>
          <w:sz w:val="24"/>
          <w:szCs w:val="24"/>
        </w:rPr>
        <w:t>are</w:t>
      </w:r>
      <w:r w:rsidRPr="00460059">
        <w:rPr>
          <w:rFonts w:ascii="Times New Roman" w:hAnsi="Times New Roman"/>
          <w:sz w:val="24"/>
          <w:szCs w:val="24"/>
        </w:rPr>
        <w:t xml:space="preserve"> similar, but in the case of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any back-donation component already decayed</w:t>
      </w:r>
      <w:r w:rsidR="00827E6B">
        <w:rPr>
          <w:rFonts w:ascii="Times New Roman" w:hAnsi="Times New Roman"/>
          <w:sz w:val="24"/>
          <w:szCs w:val="24"/>
        </w:rPr>
        <w:t xml:space="preserve"> and only the donation remains active.</w:t>
      </w:r>
      <w:r w:rsidR="00D15D67">
        <w:rPr>
          <w:rFonts w:ascii="Times New Roman" w:hAnsi="Times New Roman"/>
          <w:sz w:val="24"/>
          <w:szCs w:val="24"/>
        </w:rPr>
        <w:fldChar w:fldCharType="begin" w:fldLock="1"/>
      </w:r>
      <w:r w:rsidR="00A32FE9">
        <w:rPr>
          <w:rFonts w:ascii="Times New Roman" w:hAnsi="Times New Roman"/>
          <w:sz w:val="24"/>
          <w:szCs w:val="24"/>
        </w:rPr>
        <w:instrText>ADDIN CSL_CITATION {"citationItems":[{"id":"ITEM-1","itemData":{"DOI":"10.1002/anie.201305505","ISSN":"14337851","abstract":"A charge-displacement analysis of gold-ethyne complexes shows the existence of a quantitative relationship between measurable properties and the chemical bond constituents in the Dewar-Chatt-Duncanson model. Through suitable experiments, these constituents may be disentangled and crucial insight into the nature of coordination bonds may thus be gained.","author":[{"dropping-particle":"","family":"Bistoni","given":"Giovanni","non-dropping-particle":"","parse-names":false,"suffix":""},{"dropping-particle":"","family":"Belpassi","given":"Leonardo","non-dropping-particle":"","parse-names":false,"suffix":""},{"dropping-particle":"","family":"Tarantelli","given":"Francesco","non-dropping-particle":"","parse-names":false,"suffix":""}],"container-title":"Angewandte Chemie - International Edition","id":"ITEM-1","issue":"44","issued":{"date-parts":[["2013","10","25"]]},"page":"11599-11602","publisher":"John Wiley &amp; Sons, Ltd","title":"Disentanglement of donation and back-donation effects on experimental observables: A case study of gold-ethyne complexes","type":"article-journal","volume":"52"},"uris":["http://www.mendeley.com/documents/?uuid=e66dda8c-6aec-3537-bdb6-7107c876e9c5"]}],"mendeley":{"formattedCitation":"&lt;sup&gt;37&lt;/sup&gt;","plainTextFormattedCitation":"37","previouslyFormattedCitation":"&lt;sup&gt;37&lt;/sup&gt;"},"properties":{"noteIndex":0},"schema":"https://github.com/citation-style-language/schema/raw/master/csl-citation.json"}</w:instrText>
      </w:r>
      <w:r w:rsidR="00D15D67">
        <w:rPr>
          <w:rFonts w:ascii="Times New Roman" w:hAnsi="Times New Roman"/>
          <w:sz w:val="24"/>
          <w:szCs w:val="24"/>
        </w:rPr>
        <w:fldChar w:fldCharType="separate"/>
      </w:r>
      <w:r w:rsidR="00D15D67" w:rsidRPr="00D15D67">
        <w:rPr>
          <w:rFonts w:ascii="Times New Roman" w:hAnsi="Times New Roman"/>
          <w:noProof/>
          <w:sz w:val="24"/>
          <w:szCs w:val="24"/>
          <w:vertAlign w:val="superscript"/>
        </w:rPr>
        <w:t>37</w:t>
      </w:r>
      <w:r w:rsidR="00D15D67">
        <w:rPr>
          <w:rFonts w:ascii="Times New Roman" w:hAnsi="Times New Roman"/>
          <w:sz w:val="24"/>
          <w:szCs w:val="24"/>
        </w:rPr>
        <w:fldChar w:fldCharType="end"/>
      </w:r>
    </w:p>
    <w:p w14:paraId="236B6FF6" w14:textId="2E3F1D06" w:rsidR="00423F6B" w:rsidRPr="00460059" w:rsidRDefault="00F12596" w:rsidP="001321B6">
      <w:pPr>
        <w:pStyle w:val="RSCB02ArticleText"/>
        <w:spacing w:line="360" w:lineRule="auto"/>
        <w:rPr>
          <w:rFonts w:ascii="Times New Roman" w:hAnsi="Times New Roman"/>
          <w:sz w:val="24"/>
          <w:szCs w:val="24"/>
        </w:rPr>
      </w:pPr>
      <w:r w:rsidRPr="00460059">
        <w:rPr>
          <w:rFonts w:ascii="Times New Roman" w:hAnsi="Times New Roman"/>
          <w:sz w:val="24"/>
          <w:szCs w:val="24"/>
        </w:rPr>
        <w:t xml:space="preserve">Passing from Cd to Zn, </w:t>
      </w:r>
      <w:r w:rsidR="00F868D4" w:rsidRPr="00460059">
        <w:rPr>
          <w:rFonts w:ascii="Times New Roman" w:hAnsi="Times New Roman"/>
          <w:sz w:val="24"/>
          <w:szCs w:val="24"/>
        </w:rPr>
        <w:t xml:space="preserve">the values of </w:t>
      </w:r>
      <w:proofErr w:type="spellStart"/>
      <w:r w:rsidR="00F868D4" w:rsidRPr="00460059">
        <w:rPr>
          <w:rFonts w:ascii="Times New Roman" w:hAnsi="Times New Roman"/>
          <w:sz w:val="24"/>
          <w:szCs w:val="24"/>
        </w:rPr>
        <w:t>E</w:t>
      </w:r>
      <w:r w:rsidR="00F868D4" w:rsidRPr="00460059">
        <w:rPr>
          <w:rFonts w:ascii="Times New Roman" w:hAnsi="Times New Roman"/>
          <w:sz w:val="24"/>
          <w:szCs w:val="24"/>
          <w:vertAlign w:val="subscript"/>
        </w:rPr>
        <w:t>int</w:t>
      </w:r>
      <w:proofErr w:type="spellEnd"/>
      <w:r w:rsidR="00F868D4" w:rsidRPr="00460059">
        <w:rPr>
          <w:rFonts w:ascii="Times New Roman" w:hAnsi="Times New Roman"/>
          <w:sz w:val="24"/>
          <w:szCs w:val="24"/>
        </w:rPr>
        <w:t xml:space="preserve"> </w:t>
      </w:r>
      <w:r w:rsidR="008E7D0D" w:rsidRPr="00460059">
        <w:rPr>
          <w:rFonts w:ascii="Times New Roman" w:hAnsi="Times New Roman"/>
          <w:sz w:val="24"/>
          <w:szCs w:val="24"/>
        </w:rPr>
        <w:t>drop considerably</w:t>
      </w:r>
      <w:r w:rsidR="00F868D4" w:rsidRPr="00460059">
        <w:rPr>
          <w:rFonts w:ascii="Times New Roman" w:hAnsi="Times New Roman"/>
          <w:sz w:val="24"/>
          <w:szCs w:val="24"/>
        </w:rPr>
        <w:t xml:space="preserve"> (</w:t>
      </w:r>
      <w:r w:rsidR="00F868D4" w:rsidRPr="00460059">
        <w:rPr>
          <w:rFonts w:ascii="Times New Roman" w:hAnsi="Times New Roman"/>
          <w:sz w:val="24"/>
          <w:szCs w:val="24"/>
        </w:rPr>
        <w:fldChar w:fldCharType="begin"/>
      </w:r>
      <w:r w:rsidR="00F868D4" w:rsidRPr="00460059">
        <w:rPr>
          <w:rFonts w:ascii="Times New Roman" w:hAnsi="Times New Roman"/>
          <w:sz w:val="24"/>
          <w:szCs w:val="24"/>
        </w:rPr>
        <w:instrText xml:space="preserve"> REF _Ref54923460 \h </w:instrText>
      </w:r>
      <w:r w:rsidR="00460059">
        <w:rPr>
          <w:rFonts w:ascii="Times New Roman" w:hAnsi="Times New Roman"/>
          <w:sz w:val="24"/>
          <w:szCs w:val="24"/>
        </w:rPr>
        <w:instrText xml:space="preserve"> \* MERGEFORMAT </w:instrText>
      </w:r>
      <w:r w:rsidR="00F868D4" w:rsidRPr="00460059">
        <w:rPr>
          <w:rFonts w:ascii="Times New Roman" w:hAnsi="Times New Roman"/>
          <w:sz w:val="24"/>
          <w:szCs w:val="24"/>
        </w:rPr>
      </w:r>
      <w:r w:rsidR="00F868D4" w:rsidRPr="00460059">
        <w:rPr>
          <w:rFonts w:ascii="Times New Roman" w:hAnsi="Times New Roman"/>
          <w:sz w:val="24"/>
          <w:szCs w:val="24"/>
        </w:rPr>
        <w:fldChar w:fldCharType="separate"/>
      </w:r>
      <w:r w:rsidR="00F868D4" w:rsidRPr="00460059">
        <w:rPr>
          <w:rFonts w:ascii="Times New Roman" w:hAnsi="Times New Roman"/>
          <w:sz w:val="24"/>
          <w:szCs w:val="24"/>
        </w:rPr>
        <w:t>Table 3</w:t>
      </w:r>
      <w:r w:rsidR="00F868D4" w:rsidRPr="00460059">
        <w:rPr>
          <w:rFonts w:ascii="Times New Roman" w:hAnsi="Times New Roman"/>
          <w:sz w:val="24"/>
          <w:szCs w:val="24"/>
        </w:rPr>
        <w:fldChar w:fldCharType="end"/>
      </w:r>
      <w:r w:rsidR="00F868D4" w:rsidRPr="00460059">
        <w:rPr>
          <w:rFonts w:ascii="Times New Roman" w:hAnsi="Times New Roman"/>
          <w:sz w:val="24"/>
          <w:szCs w:val="24"/>
        </w:rPr>
        <w:t xml:space="preserve">) and </w:t>
      </w:r>
      <w:r w:rsidRPr="00460059">
        <w:rPr>
          <w:rFonts w:ascii="Times New Roman" w:hAnsi="Times New Roman"/>
          <w:sz w:val="24"/>
          <w:szCs w:val="24"/>
        </w:rPr>
        <w:t xml:space="preserve">the orbital contribution of the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xml:space="preserve"> becomes almost negligible in the whole series, both in terms of energy (</w:t>
      </w:r>
      <w:r w:rsidR="00F51554" w:rsidRPr="00460059">
        <w:rPr>
          <w:rFonts w:ascii="Times New Roman" w:hAnsi="Times New Roman"/>
          <w:sz w:val="24"/>
          <w:szCs w:val="24"/>
        </w:rPr>
        <w:t>maximum</w:t>
      </w:r>
      <w:r w:rsidRPr="00460059">
        <w:rPr>
          <w:rFonts w:ascii="Times New Roman" w:hAnsi="Times New Roman"/>
          <w:sz w:val="24"/>
          <w:szCs w:val="24"/>
        </w:rPr>
        <w:t xml:space="preserve"> -0.</w:t>
      </w:r>
      <w:r w:rsidR="00F51554" w:rsidRPr="00460059">
        <w:rPr>
          <w:rFonts w:ascii="Times New Roman" w:hAnsi="Times New Roman"/>
          <w:sz w:val="24"/>
          <w:szCs w:val="24"/>
        </w:rPr>
        <w:t>3</w:t>
      </w:r>
      <w:r w:rsidRPr="00460059">
        <w:rPr>
          <w:rFonts w:ascii="Times New Roman" w:hAnsi="Times New Roman"/>
          <w:sz w:val="24"/>
          <w:szCs w:val="24"/>
        </w:rPr>
        <w:t xml:space="preserve"> kcal/mol</w:t>
      </w:r>
      <w:r w:rsidR="00F868D4" w:rsidRPr="00460059">
        <w:rPr>
          <w:rFonts w:ascii="Times New Roman" w:hAnsi="Times New Roman"/>
          <w:sz w:val="24"/>
          <w:szCs w:val="24"/>
        </w:rPr>
        <w:t xml:space="preserve">, </w:t>
      </w:r>
      <w:r w:rsidR="00F868D4" w:rsidRPr="00460059">
        <w:rPr>
          <w:rFonts w:ascii="Times New Roman" w:hAnsi="Times New Roman"/>
          <w:sz w:val="24"/>
          <w:szCs w:val="24"/>
        </w:rPr>
        <w:fldChar w:fldCharType="begin"/>
      </w:r>
      <w:r w:rsidR="00F868D4" w:rsidRPr="00460059">
        <w:rPr>
          <w:rFonts w:ascii="Times New Roman" w:hAnsi="Times New Roman"/>
          <w:sz w:val="24"/>
          <w:szCs w:val="24"/>
        </w:rPr>
        <w:instrText xml:space="preserve"> REF _Ref45286713 \h </w:instrText>
      </w:r>
      <w:r w:rsidR="00460059">
        <w:rPr>
          <w:rFonts w:ascii="Times New Roman" w:hAnsi="Times New Roman"/>
          <w:sz w:val="24"/>
          <w:szCs w:val="24"/>
        </w:rPr>
        <w:instrText xml:space="preserve"> \* MERGEFORMAT </w:instrText>
      </w:r>
      <w:r w:rsidR="00F868D4" w:rsidRPr="00460059">
        <w:rPr>
          <w:rFonts w:ascii="Times New Roman" w:hAnsi="Times New Roman"/>
          <w:sz w:val="24"/>
          <w:szCs w:val="24"/>
        </w:rPr>
      </w:r>
      <w:r w:rsidR="00F868D4" w:rsidRPr="00460059">
        <w:rPr>
          <w:rFonts w:ascii="Times New Roman" w:hAnsi="Times New Roman"/>
          <w:sz w:val="24"/>
          <w:szCs w:val="24"/>
        </w:rPr>
        <w:fldChar w:fldCharType="separate"/>
      </w:r>
      <w:r w:rsidR="00F868D4" w:rsidRPr="00460059">
        <w:rPr>
          <w:rFonts w:ascii="Times New Roman" w:hAnsi="Times New Roman"/>
          <w:sz w:val="24"/>
          <w:szCs w:val="24"/>
        </w:rPr>
        <w:t xml:space="preserve">Table </w:t>
      </w:r>
      <w:r w:rsidR="00F868D4" w:rsidRPr="00460059">
        <w:rPr>
          <w:rFonts w:ascii="Times New Roman" w:hAnsi="Times New Roman"/>
          <w:noProof/>
          <w:sz w:val="24"/>
          <w:szCs w:val="24"/>
        </w:rPr>
        <w:t>2</w:t>
      </w:r>
      <w:r w:rsidR="00F868D4" w:rsidRPr="00460059">
        <w:rPr>
          <w:rFonts w:ascii="Times New Roman" w:hAnsi="Times New Roman"/>
          <w:sz w:val="24"/>
          <w:szCs w:val="24"/>
        </w:rPr>
        <w:fldChar w:fldCharType="end"/>
      </w:r>
      <w:r w:rsidRPr="00460059">
        <w:rPr>
          <w:rFonts w:ascii="Times New Roman" w:hAnsi="Times New Roman"/>
          <w:sz w:val="24"/>
          <w:szCs w:val="24"/>
        </w:rPr>
        <w:t>) and electrons involved (</w:t>
      </w:r>
      <w:r w:rsidR="00F51554" w:rsidRPr="00460059">
        <w:rPr>
          <w:rFonts w:ascii="Times New Roman" w:hAnsi="Times New Roman"/>
          <w:sz w:val="24"/>
          <w:szCs w:val="24"/>
        </w:rPr>
        <w:t>0</w:t>
      </w:r>
      <w:r w:rsidRPr="00460059">
        <w:rPr>
          <w:rFonts w:ascii="Times New Roman" w:hAnsi="Times New Roman"/>
          <w:sz w:val="24"/>
          <w:szCs w:val="24"/>
        </w:rPr>
        <w:t xml:space="preserve">-9 me), reasonably owing to the lower polarizability of Zn. </w:t>
      </w:r>
      <w:r w:rsidR="00C64E95" w:rsidRPr="00460059">
        <w:rPr>
          <w:rFonts w:ascii="Times New Roman" w:hAnsi="Times New Roman"/>
          <w:sz w:val="24"/>
          <w:szCs w:val="24"/>
        </w:rPr>
        <w:t>From the orbital point of view, t</w:t>
      </w:r>
      <w:r w:rsidR="00423F6B" w:rsidRPr="00460059">
        <w:rPr>
          <w:rFonts w:ascii="Times New Roman" w:hAnsi="Times New Roman"/>
          <w:sz w:val="24"/>
          <w:szCs w:val="24"/>
        </w:rPr>
        <w:t xml:space="preserve">he </w:t>
      </w:r>
      <w:r w:rsidR="00FD5BD6" w:rsidRPr="00460059">
        <w:rPr>
          <w:rFonts w:ascii="Times New Roman" w:hAnsi="Times New Roman"/>
          <w:sz w:val="24"/>
          <w:szCs w:val="24"/>
        </w:rPr>
        <w:t xml:space="preserve">zinc </w:t>
      </w:r>
      <w:r w:rsidR="00423F6B" w:rsidRPr="00460059">
        <w:rPr>
          <w:rFonts w:ascii="Times New Roman" w:hAnsi="Times New Roman"/>
          <w:sz w:val="24"/>
          <w:szCs w:val="24"/>
        </w:rPr>
        <w:t xml:space="preserve">adducts are essentially held together by HB, </w:t>
      </w:r>
      <w:r w:rsidR="00C64E95" w:rsidRPr="00460059">
        <w:rPr>
          <w:rFonts w:ascii="Times New Roman" w:hAnsi="Times New Roman"/>
          <w:sz w:val="24"/>
          <w:szCs w:val="24"/>
        </w:rPr>
        <w:t xml:space="preserve">with </w:t>
      </w:r>
      <w:r w:rsidR="00F51554" w:rsidRPr="00460059">
        <w:rPr>
          <w:rFonts w:ascii="Times New Roman" w:hAnsi="Times New Roman"/>
          <w:sz w:val="24"/>
          <w:szCs w:val="24"/>
        </w:rPr>
        <w:t>a small contribution from ChB (</w:t>
      </w:r>
      <w:r w:rsidR="001C4DF6" w:rsidRPr="00460059">
        <w:rPr>
          <w:rFonts w:ascii="Times New Roman" w:hAnsi="Times New Roman"/>
          <w:sz w:val="24"/>
          <w:szCs w:val="24"/>
        </w:rPr>
        <w:fldChar w:fldCharType="begin"/>
      </w:r>
      <w:r w:rsidR="001C4DF6" w:rsidRPr="00460059">
        <w:rPr>
          <w:rFonts w:ascii="Times New Roman" w:hAnsi="Times New Roman"/>
          <w:sz w:val="24"/>
          <w:szCs w:val="24"/>
        </w:rPr>
        <w:instrText xml:space="preserve"> REF _Ref55017918 \h  \* MERGEFORMAT </w:instrText>
      </w:r>
      <w:r w:rsidR="001C4DF6" w:rsidRPr="00460059">
        <w:rPr>
          <w:rFonts w:ascii="Times New Roman" w:hAnsi="Times New Roman"/>
          <w:sz w:val="24"/>
          <w:szCs w:val="24"/>
        </w:rPr>
      </w:r>
      <w:r w:rsidR="001C4DF6" w:rsidRPr="00460059">
        <w:rPr>
          <w:rFonts w:ascii="Times New Roman" w:hAnsi="Times New Roman"/>
          <w:sz w:val="24"/>
          <w:szCs w:val="24"/>
        </w:rPr>
        <w:fldChar w:fldCharType="separate"/>
      </w:r>
      <w:r w:rsidR="001C4DF6" w:rsidRPr="00460059">
        <w:rPr>
          <w:rFonts w:ascii="Times New Roman" w:hAnsi="Times New Roman"/>
          <w:sz w:val="24"/>
          <w:szCs w:val="24"/>
        </w:rPr>
        <w:t>Figure 3</w:t>
      </w:r>
      <w:r w:rsidR="001C4DF6" w:rsidRPr="00460059">
        <w:rPr>
          <w:rFonts w:ascii="Times New Roman" w:hAnsi="Times New Roman"/>
          <w:sz w:val="24"/>
          <w:szCs w:val="24"/>
        </w:rPr>
        <w:fldChar w:fldCharType="end"/>
      </w:r>
      <w:r w:rsidR="001C4DF6" w:rsidRPr="00460059">
        <w:rPr>
          <w:rFonts w:ascii="Times New Roman" w:hAnsi="Times New Roman"/>
          <w:sz w:val="24"/>
          <w:szCs w:val="24"/>
        </w:rPr>
        <w:t xml:space="preserve"> and </w:t>
      </w:r>
      <w:r w:rsidR="00F51554" w:rsidRPr="00460059">
        <w:rPr>
          <w:rFonts w:ascii="Times New Roman" w:hAnsi="Times New Roman"/>
          <w:sz w:val="24"/>
          <w:szCs w:val="24"/>
        </w:rPr>
        <w:fldChar w:fldCharType="begin"/>
      </w:r>
      <w:r w:rsidR="00F51554" w:rsidRPr="00460059">
        <w:rPr>
          <w:rFonts w:ascii="Times New Roman" w:hAnsi="Times New Roman"/>
          <w:sz w:val="24"/>
          <w:szCs w:val="24"/>
        </w:rPr>
        <w:instrText xml:space="preserve"> REF _Ref45286713 \h </w:instrText>
      </w:r>
      <w:r w:rsidR="00460059">
        <w:rPr>
          <w:rFonts w:ascii="Times New Roman" w:hAnsi="Times New Roman"/>
          <w:sz w:val="24"/>
          <w:szCs w:val="24"/>
        </w:rPr>
        <w:instrText xml:space="preserve"> \* MERGEFORMAT </w:instrText>
      </w:r>
      <w:r w:rsidR="00F51554" w:rsidRPr="00460059">
        <w:rPr>
          <w:rFonts w:ascii="Times New Roman" w:hAnsi="Times New Roman"/>
          <w:sz w:val="24"/>
          <w:szCs w:val="24"/>
        </w:rPr>
      </w:r>
      <w:r w:rsidR="00F51554" w:rsidRPr="00460059">
        <w:rPr>
          <w:rFonts w:ascii="Times New Roman" w:hAnsi="Times New Roman"/>
          <w:sz w:val="24"/>
          <w:szCs w:val="24"/>
        </w:rPr>
        <w:fldChar w:fldCharType="separate"/>
      </w:r>
      <w:r w:rsidR="00F51554" w:rsidRPr="00460059">
        <w:rPr>
          <w:rFonts w:ascii="Times New Roman" w:hAnsi="Times New Roman"/>
          <w:sz w:val="24"/>
          <w:szCs w:val="24"/>
        </w:rPr>
        <w:t xml:space="preserve">Table </w:t>
      </w:r>
      <w:r w:rsidR="00F51554" w:rsidRPr="00460059">
        <w:rPr>
          <w:rFonts w:ascii="Times New Roman" w:hAnsi="Times New Roman"/>
          <w:noProof/>
          <w:sz w:val="24"/>
          <w:szCs w:val="24"/>
        </w:rPr>
        <w:t>2</w:t>
      </w:r>
      <w:r w:rsidR="00F51554" w:rsidRPr="00460059">
        <w:rPr>
          <w:rFonts w:ascii="Times New Roman" w:hAnsi="Times New Roman"/>
          <w:sz w:val="24"/>
          <w:szCs w:val="24"/>
        </w:rPr>
        <w:fldChar w:fldCharType="end"/>
      </w:r>
      <w:r w:rsidR="00F51554" w:rsidRPr="00460059">
        <w:rPr>
          <w:rFonts w:ascii="Times New Roman" w:hAnsi="Times New Roman"/>
          <w:sz w:val="24"/>
          <w:szCs w:val="24"/>
        </w:rPr>
        <w:t>).</w:t>
      </w:r>
      <w:r w:rsidR="00F868D4" w:rsidRPr="00460059">
        <w:rPr>
          <w:rFonts w:ascii="Times New Roman" w:hAnsi="Times New Roman"/>
          <w:sz w:val="24"/>
          <w:szCs w:val="24"/>
        </w:rPr>
        <w:t xml:space="preserve"> </w:t>
      </w:r>
      <w:r w:rsidR="00E35BC4" w:rsidRPr="00460059">
        <w:rPr>
          <w:rFonts w:ascii="Times New Roman" w:hAnsi="Times New Roman"/>
          <w:sz w:val="24"/>
          <w:szCs w:val="24"/>
        </w:rPr>
        <w:t xml:space="preserve">For example, for the </w:t>
      </w:r>
      <w:r w:rsidR="00E35BC4" w:rsidRPr="00460059">
        <w:rPr>
          <w:rFonts w:ascii="Times New Roman" w:hAnsi="Times New Roman"/>
          <w:b/>
          <w:sz w:val="24"/>
          <w:szCs w:val="24"/>
        </w:rPr>
        <w:t>3CH</w:t>
      </w:r>
      <w:r w:rsidR="00E35BC4" w:rsidRPr="00460059">
        <w:rPr>
          <w:rFonts w:ascii="Times New Roman" w:hAnsi="Times New Roman"/>
          <w:b/>
          <w:sz w:val="24"/>
          <w:szCs w:val="24"/>
          <w:vertAlign w:val="subscript"/>
        </w:rPr>
        <w:t>2</w:t>
      </w:r>
      <w:r w:rsidR="00E35BC4" w:rsidRPr="00460059">
        <w:rPr>
          <w:rFonts w:ascii="Times New Roman" w:hAnsi="Times New Roman"/>
          <w:b/>
          <w:sz w:val="24"/>
          <w:szCs w:val="24"/>
        </w:rPr>
        <w:t>CS</w:t>
      </w:r>
      <w:r w:rsidR="00E35BC4" w:rsidRPr="00460059">
        <w:rPr>
          <w:rFonts w:ascii="Times New Roman" w:hAnsi="Times New Roman"/>
          <w:sz w:val="24"/>
          <w:szCs w:val="24"/>
        </w:rPr>
        <w:t xml:space="preserve"> adduct, the interaction energy is </w:t>
      </w:r>
      <w:r w:rsidR="001321B6" w:rsidRPr="00460059">
        <w:rPr>
          <w:rFonts w:ascii="Times New Roman" w:hAnsi="Times New Roman"/>
          <w:sz w:val="24"/>
          <w:szCs w:val="24"/>
        </w:rPr>
        <w:t>-</w:t>
      </w:r>
      <w:r w:rsidR="00E35BC4" w:rsidRPr="00460059">
        <w:rPr>
          <w:rFonts w:ascii="Times New Roman" w:hAnsi="Times New Roman"/>
          <w:sz w:val="24"/>
          <w:szCs w:val="24"/>
        </w:rPr>
        <w:t xml:space="preserve">6.9 kcal/mol, of which -3.6 is the orbital term and -2.5 kcal/mol is the steric </w:t>
      </w:r>
      <w:r w:rsidR="00F33092" w:rsidRPr="00460059">
        <w:rPr>
          <w:rFonts w:ascii="Times New Roman" w:hAnsi="Times New Roman"/>
          <w:sz w:val="24"/>
          <w:szCs w:val="24"/>
        </w:rPr>
        <w:t>one</w:t>
      </w:r>
      <w:r w:rsidR="00E35BC4" w:rsidRPr="00460059">
        <w:rPr>
          <w:rFonts w:ascii="Times New Roman" w:hAnsi="Times New Roman"/>
          <w:sz w:val="24"/>
          <w:szCs w:val="24"/>
        </w:rPr>
        <w:t>.</w:t>
      </w:r>
      <w:r w:rsidR="001321B6" w:rsidRPr="00460059">
        <w:rPr>
          <w:rFonts w:ascii="Times New Roman" w:hAnsi="Times New Roman"/>
          <w:sz w:val="24"/>
          <w:szCs w:val="24"/>
        </w:rPr>
        <w:t xml:space="preserve"> The orbital term is decomposed mainly in Δρ</w:t>
      </w:r>
      <w:r w:rsidR="001321B6" w:rsidRPr="00460059">
        <w:rPr>
          <w:rFonts w:ascii="Times New Roman" w:hAnsi="Times New Roman"/>
          <w:sz w:val="24"/>
          <w:szCs w:val="24"/>
          <w:vertAlign w:val="subscript"/>
        </w:rPr>
        <w:t>0</w:t>
      </w:r>
      <w:r w:rsidR="001321B6" w:rsidRPr="00460059">
        <w:rPr>
          <w:rFonts w:ascii="Times New Roman" w:hAnsi="Times New Roman"/>
          <w:sz w:val="24"/>
          <w:szCs w:val="24"/>
        </w:rPr>
        <w:t xml:space="preserve"> (ChB component, -1.2 kcal/mol, -1 me), Δρ</w:t>
      </w:r>
      <w:r w:rsidR="001321B6" w:rsidRPr="00460059">
        <w:rPr>
          <w:rFonts w:ascii="Times New Roman" w:hAnsi="Times New Roman"/>
          <w:sz w:val="24"/>
          <w:szCs w:val="24"/>
          <w:vertAlign w:val="subscript"/>
        </w:rPr>
        <w:t>1</w:t>
      </w:r>
      <w:r w:rsidR="001321B6" w:rsidRPr="00460059">
        <w:rPr>
          <w:rFonts w:ascii="Times New Roman" w:hAnsi="Times New Roman"/>
          <w:sz w:val="24"/>
          <w:szCs w:val="24"/>
        </w:rPr>
        <w:t xml:space="preserve"> (HB component, -1.2 kcal/mol, 12 me) and Δρ</w:t>
      </w:r>
      <w:r w:rsidR="001321B6" w:rsidRPr="00460059">
        <w:rPr>
          <w:rFonts w:ascii="Times New Roman" w:hAnsi="Times New Roman"/>
          <w:sz w:val="24"/>
          <w:szCs w:val="24"/>
          <w:vertAlign w:val="subscript"/>
        </w:rPr>
        <w:t>2</w:t>
      </w:r>
      <w:r w:rsidR="001321B6" w:rsidRPr="00460059">
        <w:rPr>
          <w:rFonts w:ascii="Times New Roman" w:hAnsi="Times New Roman"/>
          <w:sz w:val="24"/>
          <w:szCs w:val="24"/>
        </w:rPr>
        <w:t xml:space="preserve"> (double bo</w:t>
      </w:r>
      <w:r w:rsidR="008D1F77" w:rsidRPr="00460059">
        <w:rPr>
          <w:rFonts w:ascii="Times New Roman" w:hAnsi="Times New Roman"/>
          <w:sz w:val="24"/>
          <w:szCs w:val="24"/>
        </w:rPr>
        <w:t xml:space="preserve">nd polarization, -0.3 kcal/mol). All of the other contributions are energetically negligible and do not show any sign of orbital </w:t>
      </w:r>
      <w:proofErr w:type="spellStart"/>
      <w:r w:rsidR="008D1F77" w:rsidRPr="00460059">
        <w:rPr>
          <w:rFonts w:ascii="Times New Roman" w:hAnsi="Times New Roman"/>
          <w:sz w:val="24"/>
          <w:szCs w:val="24"/>
        </w:rPr>
        <w:t>SpB</w:t>
      </w:r>
      <w:proofErr w:type="spellEnd"/>
      <w:r w:rsidR="008D1F77" w:rsidRPr="00460059">
        <w:rPr>
          <w:rFonts w:ascii="Times New Roman" w:hAnsi="Times New Roman"/>
          <w:sz w:val="24"/>
          <w:szCs w:val="24"/>
        </w:rPr>
        <w:t>.</w:t>
      </w:r>
    </w:p>
    <w:p w14:paraId="782EA1BC" w14:textId="3FBC8D24" w:rsidR="008D1F77" w:rsidRPr="00460059" w:rsidRDefault="008D1F77" w:rsidP="008D1F77">
      <w:pPr>
        <w:pStyle w:val="RSCB02ArticleText"/>
        <w:spacing w:line="360" w:lineRule="auto"/>
        <w:rPr>
          <w:rFonts w:ascii="Times New Roman" w:hAnsi="Times New Roman"/>
          <w:sz w:val="24"/>
          <w:szCs w:val="24"/>
        </w:rPr>
      </w:pPr>
      <w:r w:rsidRPr="00460059">
        <w:rPr>
          <w:rFonts w:ascii="Times New Roman" w:hAnsi="Times New Roman"/>
          <w:sz w:val="24"/>
          <w:szCs w:val="24"/>
        </w:rPr>
        <w:t>Anyway, E</w:t>
      </w:r>
      <w:r w:rsidRPr="00460059">
        <w:rPr>
          <w:rFonts w:ascii="Times New Roman" w:hAnsi="Times New Roman"/>
          <w:sz w:val="24"/>
          <w:szCs w:val="24"/>
          <w:vertAlign w:val="subscript"/>
        </w:rPr>
        <w:t>st</w:t>
      </w:r>
      <w:r w:rsidRPr="00460059">
        <w:rPr>
          <w:rFonts w:ascii="Times New Roman" w:hAnsi="Times New Roman"/>
          <w:sz w:val="24"/>
          <w:szCs w:val="24"/>
        </w:rPr>
        <w:t xml:space="preserve"> </w:t>
      </w:r>
      <w:r w:rsidR="0073106F" w:rsidRPr="00460059">
        <w:rPr>
          <w:rFonts w:ascii="Times New Roman" w:hAnsi="Times New Roman"/>
          <w:sz w:val="24"/>
          <w:szCs w:val="24"/>
        </w:rPr>
        <w:t xml:space="preserve">values </w:t>
      </w:r>
      <w:r w:rsidRPr="00460059">
        <w:rPr>
          <w:rFonts w:ascii="Times New Roman" w:hAnsi="Times New Roman"/>
          <w:sz w:val="24"/>
          <w:szCs w:val="24"/>
        </w:rPr>
        <w:t xml:space="preserve">are </w:t>
      </w:r>
      <w:r w:rsidR="0073106F" w:rsidRPr="00460059">
        <w:rPr>
          <w:rFonts w:ascii="Times New Roman" w:hAnsi="Times New Roman"/>
          <w:sz w:val="24"/>
          <w:szCs w:val="24"/>
        </w:rPr>
        <w:t xml:space="preserve">slightly </w:t>
      </w:r>
      <w:r w:rsidRPr="00460059">
        <w:rPr>
          <w:rFonts w:ascii="Times New Roman" w:hAnsi="Times New Roman"/>
          <w:sz w:val="24"/>
          <w:szCs w:val="24"/>
        </w:rPr>
        <w:t xml:space="preserve">negative, indication that the electrostatic term is </w:t>
      </w:r>
      <w:r w:rsidR="00A6322C" w:rsidRPr="00460059">
        <w:rPr>
          <w:rFonts w:ascii="Times New Roman" w:hAnsi="Times New Roman"/>
          <w:sz w:val="24"/>
          <w:szCs w:val="24"/>
        </w:rPr>
        <w:t>comparable to the</w:t>
      </w:r>
      <w:r w:rsidRPr="00460059">
        <w:rPr>
          <w:rFonts w:ascii="Times New Roman" w:hAnsi="Times New Roman"/>
          <w:sz w:val="24"/>
          <w:szCs w:val="24"/>
        </w:rPr>
        <w:t xml:space="preserve"> Pauli repulsion</w:t>
      </w:r>
      <w:r w:rsidR="00A6322C" w:rsidRPr="00460059">
        <w:rPr>
          <w:rFonts w:ascii="Times New Roman" w:hAnsi="Times New Roman"/>
          <w:sz w:val="24"/>
          <w:szCs w:val="24"/>
        </w:rPr>
        <w:t xml:space="preserve"> term</w:t>
      </w:r>
      <w:r w:rsidRPr="00460059">
        <w:rPr>
          <w:rFonts w:ascii="Times New Roman" w:hAnsi="Times New Roman"/>
          <w:sz w:val="24"/>
          <w:szCs w:val="24"/>
        </w:rPr>
        <w:t xml:space="preserve">, confirming the importance of electrostatics: the ratio </w:t>
      </w:r>
      <w:proofErr w:type="spellStart"/>
      <w:r w:rsidRPr="00460059">
        <w:rPr>
          <w:rFonts w:ascii="Times New Roman" w:hAnsi="Times New Roman"/>
          <w:sz w:val="24"/>
          <w:szCs w:val="24"/>
        </w:rPr>
        <w:t>E</w:t>
      </w:r>
      <w:r w:rsidR="0015561D" w:rsidRPr="00460059">
        <w:rPr>
          <w:rFonts w:ascii="Times New Roman" w:hAnsi="Times New Roman"/>
          <w:sz w:val="24"/>
          <w:szCs w:val="24"/>
          <w:vertAlign w:val="subscript"/>
        </w:rPr>
        <w:t>orb</w:t>
      </w:r>
      <w:proofErr w:type="spellEnd"/>
      <w:r w:rsidRPr="00460059">
        <w:rPr>
          <w:rFonts w:ascii="Times New Roman" w:hAnsi="Times New Roman"/>
          <w:sz w:val="24"/>
          <w:szCs w:val="24"/>
        </w:rPr>
        <w:t>/</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int</w:t>
      </w:r>
      <w:proofErr w:type="spellEnd"/>
      <w:r w:rsidRPr="00460059">
        <w:rPr>
          <w:rFonts w:ascii="Times New Roman" w:hAnsi="Times New Roman"/>
          <w:sz w:val="24"/>
          <w:szCs w:val="24"/>
        </w:rPr>
        <w:t xml:space="preserve"> is always </w:t>
      </w:r>
      <w:r w:rsidR="0015561D" w:rsidRPr="00460059">
        <w:rPr>
          <w:rFonts w:ascii="Times New Roman" w:hAnsi="Times New Roman"/>
          <w:sz w:val="24"/>
          <w:szCs w:val="24"/>
        </w:rPr>
        <w:t>smaller</w:t>
      </w:r>
      <w:r w:rsidRPr="00460059">
        <w:rPr>
          <w:rFonts w:ascii="Times New Roman" w:hAnsi="Times New Roman"/>
          <w:sz w:val="24"/>
          <w:szCs w:val="24"/>
        </w:rPr>
        <w:t xml:space="preserve"> for zinc adducts than </w:t>
      </w:r>
      <w:r w:rsidR="0015561D" w:rsidRPr="00460059">
        <w:rPr>
          <w:rFonts w:ascii="Times New Roman" w:hAnsi="Times New Roman"/>
          <w:sz w:val="24"/>
          <w:szCs w:val="24"/>
        </w:rPr>
        <w:t xml:space="preserve">for </w:t>
      </w:r>
      <w:r w:rsidRPr="00460059">
        <w:rPr>
          <w:rFonts w:ascii="Times New Roman" w:hAnsi="Times New Roman"/>
          <w:sz w:val="24"/>
          <w:szCs w:val="24"/>
        </w:rPr>
        <w:t xml:space="preserve">the corresponding cadmium counterparts </w:t>
      </w:r>
      <w:r w:rsidR="009C4C58" w:rsidRPr="00460059">
        <w:rPr>
          <w:rFonts w:ascii="Times New Roman" w:hAnsi="Times New Roman"/>
          <w:sz w:val="24"/>
          <w:szCs w:val="24"/>
        </w:rPr>
        <w:t xml:space="preserve">(e.g. </w:t>
      </w:r>
      <w:r w:rsidRPr="00460059">
        <w:rPr>
          <w:rFonts w:ascii="Times New Roman" w:hAnsi="Times New Roman"/>
          <w:sz w:val="24"/>
          <w:szCs w:val="24"/>
        </w:rPr>
        <w:t>0.</w:t>
      </w:r>
      <w:r w:rsidR="0015561D" w:rsidRPr="00460059">
        <w:rPr>
          <w:rFonts w:ascii="Times New Roman" w:hAnsi="Times New Roman"/>
          <w:sz w:val="24"/>
          <w:szCs w:val="24"/>
        </w:rPr>
        <w:t>66</w:t>
      </w:r>
      <w:r w:rsidRPr="00460059">
        <w:rPr>
          <w:rFonts w:ascii="Times New Roman" w:hAnsi="Times New Roman"/>
          <w:sz w:val="24"/>
          <w:szCs w:val="24"/>
        </w:rPr>
        <w:t xml:space="preserve"> for </w:t>
      </w:r>
      <w:r w:rsidRPr="00460059">
        <w:rPr>
          <w:rFonts w:ascii="Times New Roman" w:hAnsi="Times New Roman"/>
          <w:b/>
          <w:sz w:val="24"/>
          <w:szCs w:val="24"/>
        </w:rPr>
        <w:t>1CH</w:t>
      </w:r>
      <w:r w:rsidRPr="00460059">
        <w:rPr>
          <w:rFonts w:ascii="Times New Roman" w:hAnsi="Times New Roman"/>
          <w:b/>
          <w:sz w:val="24"/>
          <w:szCs w:val="24"/>
          <w:vertAlign w:val="subscript"/>
        </w:rPr>
        <w:t>3</w:t>
      </w:r>
      <w:r w:rsidRPr="00460059">
        <w:rPr>
          <w:rFonts w:ascii="Times New Roman" w:hAnsi="Times New Roman"/>
          <w:b/>
          <w:sz w:val="24"/>
          <w:szCs w:val="24"/>
        </w:rPr>
        <w:t>CN</w:t>
      </w:r>
      <w:r w:rsidRPr="00460059">
        <w:rPr>
          <w:rFonts w:ascii="Times New Roman" w:hAnsi="Times New Roman"/>
          <w:sz w:val="24"/>
          <w:szCs w:val="24"/>
        </w:rPr>
        <w:t xml:space="preserve"> and 0.</w:t>
      </w:r>
      <w:r w:rsidR="0015561D" w:rsidRPr="00460059">
        <w:rPr>
          <w:rFonts w:ascii="Times New Roman" w:hAnsi="Times New Roman"/>
          <w:sz w:val="24"/>
          <w:szCs w:val="24"/>
        </w:rPr>
        <w:t>50</w:t>
      </w:r>
      <w:r w:rsidRPr="00460059">
        <w:rPr>
          <w:rFonts w:ascii="Times New Roman" w:hAnsi="Times New Roman"/>
          <w:sz w:val="24"/>
          <w:szCs w:val="24"/>
        </w:rPr>
        <w:t xml:space="preserve"> for </w:t>
      </w:r>
      <w:r w:rsidRPr="00460059">
        <w:rPr>
          <w:rFonts w:ascii="Times New Roman" w:hAnsi="Times New Roman"/>
          <w:b/>
          <w:sz w:val="24"/>
          <w:szCs w:val="24"/>
        </w:rPr>
        <w:t>3CH</w:t>
      </w:r>
      <w:r w:rsidRPr="00460059">
        <w:rPr>
          <w:rFonts w:ascii="Times New Roman" w:hAnsi="Times New Roman"/>
          <w:b/>
          <w:sz w:val="24"/>
          <w:szCs w:val="24"/>
          <w:vertAlign w:val="subscript"/>
        </w:rPr>
        <w:t>3</w:t>
      </w:r>
      <w:r w:rsidRPr="00460059">
        <w:rPr>
          <w:rFonts w:ascii="Times New Roman" w:hAnsi="Times New Roman"/>
          <w:b/>
          <w:sz w:val="24"/>
          <w:szCs w:val="24"/>
        </w:rPr>
        <w:t>CN</w:t>
      </w:r>
      <w:r w:rsidR="009C4C58" w:rsidRPr="006804AA">
        <w:rPr>
          <w:rFonts w:ascii="Times New Roman" w:hAnsi="Times New Roman"/>
          <w:sz w:val="24"/>
          <w:szCs w:val="24"/>
        </w:rPr>
        <w:t>)</w:t>
      </w:r>
      <w:r w:rsidR="007674ED" w:rsidRPr="00460059">
        <w:rPr>
          <w:rFonts w:ascii="Times New Roman" w:hAnsi="Times New Roman"/>
          <w:sz w:val="24"/>
          <w:szCs w:val="24"/>
        </w:rPr>
        <w:t>. This indicates that for zinc adducts the global interaction is less covalent than for cadmium adducts</w:t>
      </w:r>
      <w:r w:rsidR="00AF3EAA" w:rsidRPr="00460059">
        <w:rPr>
          <w:rFonts w:ascii="Times New Roman" w:hAnsi="Times New Roman"/>
          <w:sz w:val="24"/>
          <w:szCs w:val="24"/>
        </w:rPr>
        <w:t>, and</w:t>
      </w:r>
      <w:r w:rsidR="00435B4C" w:rsidRPr="00460059">
        <w:rPr>
          <w:rFonts w:ascii="Times New Roman" w:hAnsi="Times New Roman"/>
          <w:sz w:val="24"/>
          <w:szCs w:val="24"/>
        </w:rPr>
        <w:t xml:space="preserve"> </w:t>
      </w:r>
      <w:r w:rsidR="009C4C58" w:rsidRPr="00460059">
        <w:rPr>
          <w:rFonts w:ascii="Times New Roman" w:hAnsi="Times New Roman"/>
          <w:sz w:val="24"/>
          <w:szCs w:val="24"/>
        </w:rPr>
        <w:t>this</w:t>
      </w:r>
      <w:r w:rsidR="00435B4C" w:rsidRPr="00460059">
        <w:rPr>
          <w:rFonts w:ascii="Times New Roman" w:hAnsi="Times New Roman"/>
          <w:sz w:val="24"/>
          <w:szCs w:val="24"/>
        </w:rPr>
        <w:t xml:space="preserve"> is a first indication that</w:t>
      </w:r>
      <w:r w:rsidR="00AF3EAA" w:rsidRPr="00460059">
        <w:rPr>
          <w:rFonts w:ascii="Times New Roman" w:hAnsi="Times New Roman"/>
          <w:sz w:val="24"/>
          <w:szCs w:val="24"/>
        </w:rPr>
        <w:t xml:space="preserve"> the spatial proximity </w:t>
      </w:r>
      <w:r w:rsidR="00435B4C" w:rsidRPr="00460059">
        <w:rPr>
          <w:rFonts w:ascii="Times New Roman" w:hAnsi="Times New Roman"/>
          <w:sz w:val="24"/>
          <w:szCs w:val="24"/>
        </w:rPr>
        <w:t xml:space="preserve">is not enough to induce an orbital </w:t>
      </w:r>
      <w:proofErr w:type="spellStart"/>
      <w:r w:rsidR="00435B4C" w:rsidRPr="00460059">
        <w:rPr>
          <w:rFonts w:ascii="Times New Roman" w:hAnsi="Times New Roman"/>
          <w:sz w:val="24"/>
          <w:szCs w:val="24"/>
        </w:rPr>
        <w:t>SpB</w:t>
      </w:r>
      <w:proofErr w:type="spellEnd"/>
      <w:r w:rsidR="00435B4C" w:rsidRPr="00460059">
        <w:rPr>
          <w:rFonts w:ascii="Times New Roman" w:hAnsi="Times New Roman"/>
          <w:sz w:val="24"/>
          <w:szCs w:val="24"/>
        </w:rPr>
        <w:t>.</w:t>
      </w:r>
      <w:r w:rsidR="00265B2E" w:rsidRPr="00460059">
        <w:rPr>
          <w:rFonts w:ascii="Times New Roman" w:hAnsi="Times New Roman"/>
          <w:sz w:val="24"/>
          <w:szCs w:val="24"/>
        </w:rPr>
        <w:t xml:space="preserve"> </w:t>
      </w:r>
      <w:r w:rsidR="00265B2E" w:rsidRPr="00460059">
        <w:rPr>
          <w:rFonts w:ascii="Times New Roman" w:hAnsi="Times New Roman"/>
          <w:bCs/>
          <w:sz w:val="24"/>
          <w:szCs w:val="24"/>
        </w:rPr>
        <w:t xml:space="preserve">This does not exclude that there could be a </w:t>
      </w:r>
      <w:r w:rsidR="00CB55D3" w:rsidRPr="00460059">
        <w:rPr>
          <w:rFonts w:ascii="Times New Roman" w:hAnsi="Times New Roman"/>
          <w:bCs/>
          <w:sz w:val="24"/>
          <w:szCs w:val="24"/>
        </w:rPr>
        <w:t xml:space="preserve">contribution of the </w:t>
      </w:r>
      <w:r w:rsidR="002D7740" w:rsidRPr="00460059">
        <w:rPr>
          <w:rFonts w:ascii="Times New Roman" w:hAnsi="Times New Roman"/>
          <w:bCs/>
          <w:sz w:val="24"/>
          <w:szCs w:val="24"/>
        </w:rPr>
        <w:t>polarized metal</w:t>
      </w:r>
      <w:r w:rsidR="00CB55D3" w:rsidRPr="00460059">
        <w:rPr>
          <w:rFonts w:ascii="Times New Roman" w:hAnsi="Times New Roman"/>
          <w:bCs/>
          <w:sz w:val="24"/>
          <w:szCs w:val="24"/>
        </w:rPr>
        <w:t xml:space="preserve"> in the electrostatic term</w:t>
      </w:r>
      <w:r w:rsidR="00265B2E" w:rsidRPr="00460059">
        <w:rPr>
          <w:rFonts w:ascii="Times New Roman" w:hAnsi="Times New Roman"/>
          <w:bCs/>
          <w:sz w:val="24"/>
          <w:szCs w:val="24"/>
        </w:rPr>
        <w:t>.</w:t>
      </w:r>
    </w:p>
    <w:p w14:paraId="2F82DCE7" w14:textId="4A614ACE" w:rsidR="001C4DF6" w:rsidRPr="00460059" w:rsidRDefault="001C4DF6" w:rsidP="00A249CC">
      <w:pPr>
        <w:pStyle w:val="RSCB02ArticleText"/>
        <w:spacing w:line="360" w:lineRule="auto"/>
        <w:rPr>
          <w:rFonts w:ascii="Times New Roman" w:hAnsi="Times New Roman"/>
          <w:sz w:val="24"/>
          <w:szCs w:val="24"/>
        </w:rPr>
      </w:pPr>
    </w:p>
    <w:p w14:paraId="219EBFC3" w14:textId="7EA7F0B6" w:rsidR="001C4DF6" w:rsidRPr="00460059" w:rsidRDefault="00F72B3D" w:rsidP="001321B6">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pict w14:anchorId="0D584C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1H2CS" style="width:212.8pt;height:215.45pt;mso-width-percent:0;mso-height-percent:0;mso-width-percent:0;mso-height-percent:0">
            <v:imagedata r:id="rId11" o:title="fig1H2CS"/>
          </v:shape>
        </w:pict>
      </w:r>
    </w:p>
    <w:p w14:paraId="622F72D4" w14:textId="22241EBB" w:rsidR="001C4DF6" w:rsidRPr="00460059" w:rsidRDefault="001C4DF6" w:rsidP="001C4DF6">
      <w:pPr>
        <w:pStyle w:val="Didascalia"/>
        <w:spacing w:after="0" w:line="360" w:lineRule="auto"/>
        <w:jc w:val="both"/>
        <w:rPr>
          <w:rFonts w:ascii="Times New Roman" w:hAnsi="Times New Roman" w:cs="Times New Roman"/>
          <w:i w:val="0"/>
          <w:color w:val="auto"/>
          <w:sz w:val="24"/>
          <w:szCs w:val="24"/>
        </w:rPr>
      </w:pPr>
      <w:bookmarkStart w:id="4" w:name="_Ref55017918"/>
      <w:r w:rsidRPr="00460059">
        <w:rPr>
          <w:rFonts w:ascii="Times New Roman" w:hAnsi="Times New Roman" w:cs="Times New Roman"/>
          <w:i w:val="0"/>
          <w:color w:val="auto"/>
          <w:sz w:val="24"/>
          <w:szCs w:val="24"/>
        </w:rPr>
        <w:t xml:space="preserve">Figure </w:t>
      </w:r>
      <w:r w:rsidRPr="00460059">
        <w:rPr>
          <w:rFonts w:ascii="Times New Roman" w:hAnsi="Times New Roman" w:cs="Times New Roman"/>
          <w:i w:val="0"/>
          <w:color w:val="auto"/>
          <w:sz w:val="24"/>
          <w:szCs w:val="24"/>
        </w:rPr>
        <w:fldChar w:fldCharType="begin"/>
      </w:r>
      <w:r w:rsidRPr="00460059">
        <w:rPr>
          <w:rFonts w:ascii="Times New Roman" w:hAnsi="Times New Roman" w:cs="Times New Roman"/>
          <w:i w:val="0"/>
          <w:color w:val="auto"/>
          <w:sz w:val="24"/>
          <w:szCs w:val="24"/>
        </w:rPr>
        <w:instrText xml:space="preserve"> SEQ Figure \* ARABIC </w:instrText>
      </w:r>
      <w:r w:rsidRPr="00460059">
        <w:rPr>
          <w:rFonts w:ascii="Times New Roman" w:hAnsi="Times New Roman" w:cs="Times New Roman"/>
          <w:i w:val="0"/>
          <w:color w:val="auto"/>
          <w:sz w:val="24"/>
          <w:szCs w:val="24"/>
        </w:rPr>
        <w:fldChar w:fldCharType="separate"/>
      </w:r>
      <w:r w:rsidR="00096663" w:rsidRPr="00460059">
        <w:rPr>
          <w:rFonts w:ascii="Times New Roman" w:hAnsi="Times New Roman" w:cs="Times New Roman"/>
          <w:i w:val="0"/>
          <w:noProof/>
          <w:color w:val="auto"/>
          <w:sz w:val="24"/>
          <w:szCs w:val="24"/>
        </w:rPr>
        <w:t>3</w:t>
      </w:r>
      <w:r w:rsidRPr="00460059">
        <w:rPr>
          <w:rFonts w:ascii="Times New Roman" w:hAnsi="Times New Roman" w:cs="Times New Roman"/>
          <w:i w:val="0"/>
          <w:color w:val="auto"/>
          <w:sz w:val="24"/>
          <w:szCs w:val="24"/>
        </w:rPr>
        <w:fldChar w:fldCharType="end"/>
      </w:r>
      <w:bookmarkEnd w:id="4"/>
      <w:r w:rsidRPr="00460059">
        <w:rPr>
          <w:rFonts w:ascii="Times New Roman" w:hAnsi="Times New Roman" w:cs="Times New Roman"/>
          <w:i w:val="0"/>
          <w:color w:val="auto"/>
          <w:sz w:val="24"/>
          <w:szCs w:val="24"/>
        </w:rPr>
        <w:t xml:space="preserve">. Isodensity surfaces (isodensity </w:t>
      </w:r>
      <w:r w:rsidR="002E56E2" w:rsidRPr="00460059">
        <w:rPr>
          <w:rFonts w:ascii="Times New Roman" w:hAnsi="Times New Roman" w:cs="Times New Roman"/>
          <w:i w:val="0"/>
          <w:color w:val="auto"/>
          <w:sz w:val="24"/>
          <w:szCs w:val="24"/>
        </w:rPr>
        <w:t>0.</w:t>
      </w:r>
      <w:r w:rsidR="001321B6" w:rsidRPr="00460059">
        <w:rPr>
          <w:rFonts w:ascii="Times New Roman" w:hAnsi="Times New Roman" w:cs="Times New Roman"/>
          <w:i w:val="0"/>
          <w:color w:val="auto"/>
          <w:sz w:val="24"/>
          <w:szCs w:val="24"/>
        </w:rPr>
        <w:t>5</w:t>
      </w:r>
      <w:r w:rsidR="002E56E2" w:rsidRPr="00460059">
        <w:rPr>
          <w:rFonts w:ascii="Times New Roman" w:hAnsi="Times New Roman" w:cs="Times New Roman"/>
          <w:i w:val="0"/>
          <w:color w:val="auto"/>
          <w:sz w:val="24"/>
          <w:szCs w:val="24"/>
        </w:rPr>
        <w:t xml:space="preserve"> me a.u.</w:t>
      </w:r>
      <w:r w:rsidR="002E56E2" w:rsidRPr="00460059">
        <w:rPr>
          <w:rFonts w:ascii="Times New Roman" w:hAnsi="Times New Roman" w:cs="Times New Roman"/>
          <w:i w:val="0"/>
          <w:color w:val="auto"/>
          <w:sz w:val="24"/>
          <w:szCs w:val="24"/>
          <w:vertAlign w:val="superscript"/>
        </w:rPr>
        <w:t>-3</w:t>
      </w:r>
      <w:r w:rsidRPr="00460059">
        <w:rPr>
          <w:rFonts w:ascii="Times New Roman" w:hAnsi="Times New Roman" w:cs="Times New Roman"/>
          <w:i w:val="0"/>
          <w:color w:val="auto"/>
          <w:sz w:val="24"/>
          <w:szCs w:val="24"/>
        </w:rPr>
        <w:t xml:space="preserve">) for the deformation maps relative to </w:t>
      </w:r>
      <w:proofErr w:type="spellStart"/>
      <w:r w:rsidRPr="00460059">
        <w:rPr>
          <w:rFonts w:ascii="Times New Roman" w:hAnsi="Times New Roman" w:cs="Times New Roman"/>
          <w:i w:val="0"/>
          <w:color w:val="auto"/>
          <w:sz w:val="24"/>
          <w:szCs w:val="24"/>
        </w:rPr>
        <w:t>Δ</w:t>
      </w:r>
      <w:r w:rsidRPr="00460059">
        <w:rPr>
          <w:rFonts w:ascii="Times New Roman" w:hAnsi="Times New Roman" w:cs="Times New Roman"/>
          <w:color w:val="auto"/>
          <w:sz w:val="24"/>
          <w:szCs w:val="24"/>
        </w:rPr>
        <w:t>ρ</w:t>
      </w:r>
      <w:r w:rsidRPr="00460059">
        <w:rPr>
          <w:rFonts w:ascii="Times New Roman" w:hAnsi="Times New Roman" w:cs="Times New Roman"/>
          <w:i w:val="0"/>
          <w:color w:val="auto"/>
          <w:sz w:val="24"/>
          <w:szCs w:val="24"/>
          <w:vertAlign w:val="subscript"/>
        </w:rPr>
        <w:t>k</w:t>
      </w:r>
      <w:proofErr w:type="spellEnd"/>
      <w:r w:rsidRPr="00460059">
        <w:rPr>
          <w:rFonts w:ascii="Times New Roman" w:hAnsi="Times New Roman" w:cs="Times New Roman"/>
          <w:i w:val="0"/>
          <w:color w:val="auto"/>
          <w:sz w:val="24"/>
          <w:szCs w:val="24"/>
        </w:rPr>
        <w:t xml:space="preserve"> (k = 0-2) of the </w:t>
      </w:r>
      <w:r w:rsidRPr="00460059">
        <w:rPr>
          <w:rFonts w:ascii="Times New Roman" w:hAnsi="Times New Roman" w:cs="Times New Roman"/>
          <w:b/>
          <w:i w:val="0"/>
          <w:color w:val="auto"/>
          <w:sz w:val="24"/>
          <w:szCs w:val="24"/>
        </w:rPr>
        <w:t>3CH</w:t>
      </w:r>
      <w:r w:rsidRPr="00460059">
        <w:rPr>
          <w:rFonts w:ascii="Times New Roman" w:hAnsi="Times New Roman" w:cs="Times New Roman"/>
          <w:b/>
          <w:i w:val="0"/>
          <w:color w:val="auto"/>
          <w:sz w:val="24"/>
          <w:szCs w:val="24"/>
          <w:vertAlign w:val="subscript"/>
        </w:rPr>
        <w:t>2</w:t>
      </w:r>
      <w:r w:rsidRPr="00460059">
        <w:rPr>
          <w:rFonts w:ascii="Times New Roman" w:hAnsi="Times New Roman" w:cs="Times New Roman"/>
          <w:b/>
          <w:i w:val="0"/>
          <w:color w:val="auto"/>
          <w:sz w:val="24"/>
          <w:szCs w:val="24"/>
        </w:rPr>
        <w:t>CS</w:t>
      </w:r>
      <w:r w:rsidRPr="00460059">
        <w:rPr>
          <w:rFonts w:ascii="Times New Roman" w:hAnsi="Times New Roman" w:cs="Times New Roman"/>
          <w:i w:val="0"/>
          <w:color w:val="auto"/>
          <w:sz w:val="24"/>
          <w:szCs w:val="24"/>
        </w:rPr>
        <w:t xml:space="preserve"> adduct. The charge flux is red → blue. </w:t>
      </w:r>
    </w:p>
    <w:p w14:paraId="117FA638" w14:textId="1A470497" w:rsidR="001C4DF6" w:rsidRPr="00460059" w:rsidRDefault="001C4DF6" w:rsidP="00A249CC">
      <w:pPr>
        <w:pStyle w:val="RSCB02ArticleText"/>
        <w:spacing w:line="360" w:lineRule="auto"/>
        <w:rPr>
          <w:rFonts w:ascii="Times New Roman" w:hAnsi="Times New Roman"/>
          <w:sz w:val="24"/>
          <w:szCs w:val="24"/>
        </w:rPr>
      </w:pPr>
    </w:p>
    <w:p w14:paraId="43BDD84A" w14:textId="3F7F8614" w:rsidR="00E35BC4" w:rsidRPr="00460059" w:rsidRDefault="00E35BC4" w:rsidP="00E35BC4">
      <w:pPr>
        <w:pStyle w:val="RSCB02ArticleText"/>
        <w:spacing w:line="360" w:lineRule="auto"/>
        <w:rPr>
          <w:rFonts w:ascii="Times New Roman" w:hAnsi="Times New Roman"/>
          <w:sz w:val="24"/>
          <w:szCs w:val="24"/>
        </w:rPr>
      </w:pPr>
      <w:r w:rsidRPr="00460059">
        <w:rPr>
          <w:rFonts w:ascii="Times New Roman" w:hAnsi="Times New Roman"/>
          <w:sz w:val="24"/>
          <w:szCs w:val="24"/>
        </w:rPr>
        <w:t>Anyway</w:t>
      </w:r>
      <w:r w:rsidR="008E17C0" w:rsidRPr="00460059">
        <w:rPr>
          <w:rFonts w:ascii="Times New Roman" w:hAnsi="Times New Roman"/>
          <w:sz w:val="24"/>
          <w:szCs w:val="24"/>
        </w:rPr>
        <w:t>,</w:t>
      </w:r>
      <w:r w:rsidR="009C4C58" w:rsidRPr="00460059">
        <w:rPr>
          <w:rFonts w:ascii="Times New Roman" w:hAnsi="Times New Roman"/>
          <w:sz w:val="24"/>
          <w:szCs w:val="24"/>
        </w:rPr>
        <w:t xml:space="preserve"> this is notably affected by the nature of the halide:</w:t>
      </w:r>
      <w:r w:rsidRPr="00460059">
        <w:rPr>
          <w:rFonts w:ascii="Times New Roman" w:hAnsi="Times New Roman"/>
          <w:sz w:val="24"/>
          <w:szCs w:val="24"/>
        </w:rPr>
        <w:t xml:space="preserve"> if the chloride </w:t>
      </w:r>
      <w:r w:rsidRPr="00460059">
        <w:rPr>
          <w:rFonts w:ascii="Times New Roman" w:hAnsi="Times New Roman"/>
          <w:i/>
          <w:sz w:val="24"/>
          <w:szCs w:val="24"/>
        </w:rPr>
        <w:t>trans</w:t>
      </w:r>
      <w:r w:rsidRPr="00460059">
        <w:rPr>
          <w:rFonts w:ascii="Times New Roman" w:hAnsi="Times New Roman"/>
          <w:sz w:val="24"/>
          <w:szCs w:val="24"/>
        </w:rPr>
        <w:t xml:space="preserve"> to the LB is swapped with a fluoride, the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xml:space="preserve"> returns to be relevant for </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orb</w:t>
      </w:r>
      <w:proofErr w:type="spellEnd"/>
      <w:r w:rsidRPr="00460059">
        <w:rPr>
          <w:rFonts w:ascii="Times New Roman" w:hAnsi="Times New Roman"/>
          <w:sz w:val="24"/>
          <w:szCs w:val="24"/>
        </w:rPr>
        <w:t xml:space="preserve"> (-1.9 kcal/mol and 31 me for </w:t>
      </w:r>
      <w:r w:rsidRPr="00460059">
        <w:rPr>
          <w:rFonts w:ascii="Times New Roman" w:hAnsi="Times New Roman"/>
          <w:b/>
          <w:sz w:val="24"/>
          <w:szCs w:val="24"/>
        </w:rPr>
        <w:t>4H</w:t>
      </w:r>
      <w:r w:rsidRPr="00460059">
        <w:rPr>
          <w:rFonts w:ascii="Times New Roman" w:hAnsi="Times New Roman"/>
          <w:b/>
          <w:sz w:val="24"/>
          <w:szCs w:val="24"/>
          <w:vertAlign w:val="subscript"/>
        </w:rPr>
        <w:t>2</w:t>
      </w:r>
      <w:r w:rsidRPr="00460059">
        <w:rPr>
          <w:rFonts w:ascii="Times New Roman" w:hAnsi="Times New Roman"/>
          <w:b/>
          <w:sz w:val="24"/>
          <w:szCs w:val="24"/>
        </w:rPr>
        <w:t>CO</w:t>
      </w:r>
      <w:r w:rsidRPr="00460059">
        <w:rPr>
          <w:rFonts w:ascii="Times New Roman" w:hAnsi="Times New Roman"/>
          <w:sz w:val="24"/>
          <w:szCs w:val="24"/>
        </w:rPr>
        <w:t xml:space="preserve">). </w:t>
      </w:r>
    </w:p>
    <w:p w14:paraId="40B9DC90" w14:textId="464948DE" w:rsidR="0015561D" w:rsidRPr="00460059" w:rsidRDefault="0015561D" w:rsidP="0015561D">
      <w:pPr>
        <w:pStyle w:val="RSCB02ArticleText"/>
        <w:spacing w:line="360" w:lineRule="auto"/>
        <w:rPr>
          <w:rFonts w:ascii="Times New Roman" w:hAnsi="Times New Roman"/>
          <w:sz w:val="24"/>
          <w:szCs w:val="24"/>
        </w:rPr>
      </w:pPr>
      <w:r w:rsidRPr="00460059">
        <w:rPr>
          <w:rFonts w:ascii="Times New Roman" w:hAnsi="Times New Roman"/>
          <w:sz w:val="24"/>
          <w:szCs w:val="24"/>
        </w:rPr>
        <w:t xml:space="preserve">Hg complexes have an intermediate behaviour between that of Cd and Zn ones, first of all in terms of </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int</w:t>
      </w:r>
      <w:proofErr w:type="spellEnd"/>
      <w:r w:rsidRPr="00460059">
        <w:rPr>
          <w:rFonts w:ascii="Times New Roman" w:hAnsi="Times New Roman"/>
          <w:sz w:val="24"/>
          <w:szCs w:val="24"/>
        </w:rPr>
        <w:t xml:space="preserve">, but also in terms of orbital spodium bond contribution. For example, </w:t>
      </w:r>
      <w:r w:rsidRPr="00460059">
        <w:rPr>
          <w:rFonts w:ascii="Times New Roman" w:hAnsi="Times New Roman"/>
          <w:b/>
          <w:sz w:val="24"/>
          <w:szCs w:val="24"/>
        </w:rPr>
        <w:t>5CH</w:t>
      </w:r>
      <w:r w:rsidRPr="00460059">
        <w:rPr>
          <w:rFonts w:ascii="Times New Roman" w:hAnsi="Times New Roman"/>
          <w:b/>
          <w:sz w:val="24"/>
          <w:szCs w:val="24"/>
          <w:vertAlign w:val="subscript"/>
        </w:rPr>
        <w:t>2</w:t>
      </w:r>
      <w:r w:rsidRPr="00460059">
        <w:rPr>
          <w:rFonts w:ascii="Times New Roman" w:hAnsi="Times New Roman"/>
          <w:b/>
          <w:sz w:val="24"/>
          <w:szCs w:val="24"/>
        </w:rPr>
        <w:t xml:space="preserve">S </w:t>
      </w:r>
      <w:r w:rsidRPr="00460059">
        <w:rPr>
          <w:rFonts w:ascii="Times New Roman" w:hAnsi="Times New Roman"/>
          <w:sz w:val="24"/>
          <w:szCs w:val="24"/>
        </w:rPr>
        <w:t xml:space="preserve">shows an </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SpB</w:t>
      </w:r>
      <w:proofErr w:type="spellEnd"/>
      <w:r w:rsidRPr="00460059">
        <w:rPr>
          <w:rFonts w:ascii="Times New Roman" w:hAnsi="Times New Roman"/>
          <w:sz w:val="24"/>
          <w:szCs w:val="24"/>
        </w:rPr>
        <w:t xml:space="preserve"> of -2.8 kcal/mol, corresponding to a charge transfer of 54 me, 71 me lower than that of </w:t>
      </w: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 xml:space="preserve">S </w:t>
      </w:r>
      <w:r w:rsidRPr="00460059">
        <w:rPr>
          <w:rFonts w:ascii="Times New Roman" w:hAnsi="Times New Roman"/>
          <w:sz w:val="24"/>
          <w:szCs w:val="24"/>
        </w:rPr>
        <w:t>(</w:t>
      </w:r>
      <w:r w:rsidRPr="00460059">
        <w:rPr>
          <w:rFonts w:ascii="Times New Roman" w:hAnsi="Times New Roman"/>
          <w:sz w:val="24"/>
          <w:szCs w:val="24"/>
        </w:rPr>
        <w:fldChar w:fldCharType="begin"/>
      </w:r>
      <w:r w:rsidRPr="00460059">
        <w:rPr>
          <w:rFonts w:ascii="Times New Roman" w:hAnsi="Times New Roman"/>
          <w:sz w:val="24"/>
          <w:szCs w:val="24"/>
        </w:rPr>
        <w:instrText xml:space="preserve"> REF _Ref45286713 \h </w:instrText>
      </w:r>
      <w:r w:rsidR="00460059">
        <w:rPr>
          <w:rFonts w:ascii="Times New Roman" w:hAnsi="Times New Roman"/>
          <w:sz w:val="24"/>
          <w:szCs w:val="24"/>
        </w:rPr>
        <w:instrText xml:space="preserve"> \* MERGEFORMAT </w:instrText>
      </w:r>
      <w:r w:rsidRPr="00460059">
        <w:rPr>
          <w:rFonts w:ascii="Times New Roman" w:hAnsi="Times New Roman"/>
          <w:sz w:val="24"/>
          <w:szCs w:val="24"/>
        </w:rPr>
      </w:r>
      <w:r w:rsidRPr="00460059">
        <w:rPr>
          <w:rFonts w:ascii="Times New Roman" w:hAnsi="Times New Roman"/>
          <w:sz w:val="24"/>
          <w:szCs w:val="24"/>
        </w:rPr>
        <w:fldChar w:fldCharType="separate"/>
      </w:r>
      <w:r w:rsidRPr="00460059">
        <w:rPr>
          <w:rFonts w:ascii="Times New Roman" w:hAnsi="Times New Roman"/>
          <w:sz w:val="24"/>
          <w:szCs w:val="24"/>
        </w:rPr>
        <w:t xml:space="preserve">Table </w:t>
      </w:r>
      <w:r w:rsidRPr="00460059">
        <w:rPr>
          <w:rFonts w:ascii="Times New Roman" w:hAnsi="Times New Roman"/>
          <w:noProof/>
          <w:sz w:val="24"/>
          <w:szCs w:val="24"/>
        </w:rPr>
        <w:t>2</w:t>
      </w:r>
      <w:r w:rsidRPr="00460059">
        <w:rPr>
          <w:rFonts w:ascii="Times New Roman" w:hAnsi="Times New Roman"/>
          <w:sz w:val="24"/>
          <w:szCs w:val="24"/>
        </w:rPr>
        <w:fldChar w:fldCharType="end"/>
      </w:r>
      <w:r w:rsidRPr="00460059">
        <w:rPr>
          <w:rFonts w:ascii="Times New Roman" w:hAnsi="Times New Roman"/>
          <w:sz w:val="24"/>
          <w:szCs w:val="24"/>
        </w:rPr>
        <w:t xml:space="preserve">). This fits with the findings by Frontera </w:t>
      </w:r>
      <w:r w:rsidRPr="00460059">
        <w:rPr>
          <w:rFonts w:ascii="Times New Roman" w:hAnsi="Times New Roman"/>
          <w:i/>
          <w:sz w:val="24"/>
          <w:szCs w:val="24"/>
        </w:rPr>
        <w:t>et al.</w:t>
      </w:r>
      <w:r w:rsidRPr="00460059">
        <w:rPr>
          <w:rFonts w:ascii="Times New Roman" w:hAnsi="Times New Roman"/>
          <w:sz w:val="24"/>
          <w:szCs w:val="24"/>
        </w:rPr>
        <w:t>, which showed that van der Waals-corrected Cd</w:t>
      </w:r>
      <w:r w:rsidRPr="00460059">
        <w:rPr>
          <w:rStyle w:val="06CHeading"/>
          <w:b w:val="0"/>
          <w:bCs/>
          <w:sz w:val="24"/>
          <w:szCs w:val="24"/>
          <w:vertAlign w:val="superscript"/>
        </w:rPr>
        <w:t>...</w:t>
      </w:r>
      <w:r w:rsidRPr="00460059">
        <w:rPr>
          <w:rFonts w:ascii="Times New Roman" w:hAnsi="Times New Roman"/>
          <w:sz w:val="24"/>
          <w:szCs w:val="24"/>
        </w:rPr>
        <w:t>LB distances are generally shorter than Hg</w:t>
      </w:r>
      <w:r w:rsidRPr="00460059">
        <w:rPr>
          <w:rStyle w:val="06CHeading"/>
          <w:b w:val="0"/>
          <w:bCs/>
          <w:sz w:val="24"/>
          <w:szCs w:val="24"/>
          <w:vertAlign w:val="superscript"/>
        </w:rPr>
        <w:t>...</w:t>
      </w:r>
      <w:r w:rsidRPr="00460059">
        <w:rPr>
          <w:rFonts w:ascii="Times New Roman" w:hAnsi="Times New Roman"/>
          <w:sz w:val="24"/>
          <w:szCs w:val="24"/>
        </w:rPr>
        <w:t xml:space="preserve">LB ones and electrostatic potentials are more positive on Cd than on Hg. This is likely due to the combination of the smaller atomic radius of Hg and the steric congestion around the metal, which do not allow an efficient approach by the LB. This is even more evident for the other donors in the series, where the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xml:space="preserve"> is not the dominant term and has a similar or lower energy contribution than HB contributions.</w:t>
      </w:r>
    </w:p>
    <w:p w14:paraId="3BDBAE37" w14:textId="34454F8F" w:rsidR="00E35BC4" w:rsidRPr="00460059" w:rsidRDefault="00E35BC4" w:rsidP="00A249CC">
      <w:pPr>
        <w:pStyle w:val="RSCB02ArticleText"/>
        <w:spacing w:line="360" w:lineRule="auto"/>
        <w:rPr>
          <w:rFonts w:ascii="Times New Roman" w:hAnsi="Times New Roman"/>
          <w:sz w:val="24"/>
          <w:szCs w:val="24"/>
        </w:rPr>
      </w:pPr>
    </w:p>
    <w:p w14:paraId="49EBD355" w14:textId="663642F1" w:rsidR="00A64A66" w:rsidRPr="00460059" w:rsidRDefault="00F51554" w:rsidP="00F51554">
      <w:pPr>
        <w:pStyle w:val="RSCB02ArticleText"/>
        <w:spacing w:line="360" w:lineRule="auto"/>
        <w:rPr>
          <w:rFonts w:ascii="Times New Roman" w:hAnsi="Times New Roman"/>
          <w:sz w:val="24"/>
          <w:szCs w:val="24"/>
        </w:rPr>
      </w:pPr>
      <w:bookmarkStart w:id="5" w:name="_Ref54923460"/>
      <w:r w:rsidRPr="00460059">
        <w:rPr>
          <w:rFonts w:ascii="Times New Roman" w:hAnsi="Times New Roman"/>
          <w:sz w:val="24"/>
          <w:szCs w:val="24"/>
        </w:rPr>
        <w:t xml:space="preserve">Table </w:t>
      </w:r>
      <w:r w:rsidRPr="00460059">
        <w:rPr>
          <w:rFonts w:ascii="Times New Roman" w:hAnsi="Times New Roman"/>
          <w:sz w:val="24"/>
          <w:szCs w:val="24"/>
        </w:rPr>
        <w:fldChar w:fldCharType="begin"/>
      </w:r>
      <w:r w:rsidRPr="00460059">
        <w:rPr>
          <w:rFonts w:ascii="Times New Roman" w:hAnsi="Times New Roman"/>
          <w:sz w:val="24"/>
          <w:szCs w:val="24"/>
        </w:rPr>
        <w:instrText xml:space="preserve"> SEQ Table \* ARABIC </w:instrText>
      </w:r>
      <w:r w:rsidRPr="00460059">
        <w:rPr>
          <w:rFonts w:ascii="Times New Roman" w:hAnsi="Times New Roman"/>
          <w:sz w:val="24"/>
          <w:szCs w:val="24"/>
        </w:rPr>
        <w:fldChar w:fldCharType="separate"/>
      </w:r>
      <w:r w:rsidRPr="00460059">
        <w:rPr>
          <w:rFonts w:ascii="Times New Roman" w:hAnsi="Times New Roman"/>
          <w:sz w:val="24"/>
          <w:szCs w:val="24"/>
        </w:rPr>
        <w:t>3</w:t>
      </w:r>
      <w:r w:rsidRPr="00460059">
        <w:rPr>
          <w:rFonts w:ascii="Times New Roman" w:hAnsi="Times New Roman"/>
          <w:sz w:val="24"/>
          <w:szCs w:val="24"/>
        </w:rPr>
        <w:fldChar w:fldCharType="end"/>
      </w:r>
      <w:bookmarkEnd w:id="5"/>
      <w:r w:rsidRPr="00460059">
        <w:rPr>
          <w:rFonts w:ascii="Times New Roman" w:hAnsi="Times New Roman"/>
          <w:sz w:val="24"/>
          <w:szCs w:val="24"/>
        </w:rPr>
        <w:t xml:space="preserve">. EDA results (in kcal/mol) for the adducts between complexes </w:t>
      </w:r>
      <w:r w:rsidRPr="00460059">
        <w:rPr>
          <w:rFonts w:ascii="Times New Roman" w:hAnsi="Times New Roman"/>
          <w:b/>
          <w:sz w:val="24"/>
          <w:szCs w:val="24"/>
        </w:rPr>
        <w:t>1</w:t>
      </w:r>
      <w:r w:rsidRPr="00460059">
        <w:rPr>
          <w:rFonts w:ascii="Times New Roman" w:hAnsi="Times New Roman"/>
          <w:sz w:val="24"/>
          <w:szCs w:val="24"/>
        </w:rPr>
        <w:t>-</w:t>
      </w:r>
      <w:r w:rsidRPr="00460059">
        <w:rPr>
          <w:rFonts w:ascii="Times New Roman" w:hAnsi="Times New Roman"/>
          <w:b/>
          <w:sz w:val="24"/>
          <w:szCs w:val="24"/>
        </w:rPr>
        <w:t>5</w:t>
      </w:r>
      <w:r w:rsidRPr="00460059">
        <w:rPr>
          <w:rFonts w:ascii="Times New Roman" w:hAnsi="Times New Roman"/>
          <w:sz w:val="24"/>
          <w:szCs w:val="24"/>
        </w:rPr>
        <w:t xml:space="preserve"> and CH</w:t>
      </w:r>
      <w:r w:rsidRPr="00460059">
        <w:rPr>
          <w:rFonts w:ascii="Times New Roman" w:hAnsi="Times New Roman"/>
          <w:sz w:val="24"/>
          <w:szCs w:val="24"/>
          <w:vertAlign w:val="subscript"/>
        </w:rPr>
        <w:t>3</w:t>
      </w:r>
      <w:r w:rsidRPr="00460059">
        <w:rPr>
          <w:rFonts w:ascii="Times New Roman" w:hAnsi="Times New Roman"/>
          <w:sz w:val="24"/>
          <w:szCs w:val="24"/>
        </w:rPr>
        <w:t>CN, CO, CH</w:t>
      </w:r>
      <w:r w:rsidRPr="00460059">
        <w:rPr>
          <w:rFonts w:ascii="Times New Roman" w:hAnsi="Times New Roman"/>
          <w:sz w:val="24"/>
          <w:szCs w:val="24"/>
          <w:vertAlign w:val="subscript"/>
        </w:rPr>
        <w:t>2</w:t>
      </w:r>
      <w:r w:rsidRPr="00460059">
        <w:rPr>
          <w:rFonts w:ascii="Times New Roman" w:hAnsi="Times New Roman"/>
          <w:sz w:val="24"/>
          <w:szCs w:val="24"/>
        </w:rPr>
        <w:t>O, CH</w:t>
      </w:r>
      <w:r w:rsidRPr="00460059">
        <w:rPr>
          <w:rFonts w:ascii="Times New Roman" w:hAnsi="Times New Roman"/>
          <w:sz w:val="24"/>
          <w:szCs w:val="24"/>
          <w:vertAlign w:val="subscript"/>
        </w:rPr>
        <w:t>2</w:t>
      </w:r>
      <w:r w:rsidRPr="00460059">
        <w:rPr>
          <w:rFonts w:ascii="Times New Roman" w:hAnsi="Times New Roman"/>
          <w:sz w:val="24"/>
          <w:szCs w:val="24"/>
        </w:rPr>
        <w:t>S.</w:t>
      </w:r>
    </w:p>
    <w:tbl>
      <w:tblPr>
        <w:tblW w:w="0" w:type="auto"/>
        <w:jc w:val="center"/>
        <w:tblLook w:val="04A0" w:firstRow="1" w:lastRow="0" w:firstColumn="1" w:lastColumn="0" w:noHBand="0" w:noVBand="1"/>
      </w:tblPr>
      <w:tblGrid>
        <w:gridCol w:w="1123"/>
        <w:gridCol w:w="716"/>
        <w:gridCol w:w="716"/>
        <w:gridCol w:w="596"/>
        <w:gridCol w:w="630"/>
      </w:tblGrid>
      <w:tr w:rsidR="00A64A66" w:rsidRPr="00460059" w14:paraId="6C43CAFD" w14:textId="77777777" w:rsidTr="00F868D4">
        <w:trPr>
          <w:jc w:val="center"/>
        </w:trPr>
        <w:tc>
          <w:tcPr>
            <w:tcW w:w="0" w:type="auto"/>
            <w:tcBorders>
              <w:top w:val="single" w:sz="4" w:space="0" w:color="auto"/>
              <w:bottom w:val="single" w:sz="4" w:space="0" w:color="auto"/>
            </w:tcBorders>
            <w:shd w:val="clear" w:color="auto" w:fill="auto"/>
          </w:tcPr>
          <w:p w14:paraId="77174AFA" w14:textId="77777777" w:rsidR="00A64A66" w:rsidRPr="00460059" w:rsidRDefault="00A64A66" w:rsidP="00F868D4">
            <w:pPr>
              <w:pStyle w:val="RSCT03TableBody"/>
              <w:spacing w:line="360" w:lineRule="auto"/>
              <w:rPr>
                <w:rFonts w:ascii="Times New Roman" w:hAnsi="Times New Roman"/>
                <w:sz w:val="24"/>
                <w:szCs w:val="24"/>
              </w:rPr>
            </w:pPr>
            <w:r w:rsidRPr="00460059">
              <w:rPr>
                <w:rFonts w:ascii="Times New Roman" w:hAnsi="Times New Roman"/>
                <w:sz w:val="24"/>
                <w:szCs w:val="24"/>
              </w:rPr>
              <w:lastRenderedPageBreak/>
              <w:t>Adduct</w:t>
            </w:r>
          </w:p>
        </w:tc>
        <w:tc>
          <w:tcPr>
            <w:tcW w:w="0" w:type="auto"/>
            <w:tcBorders>
              <w:top w:val="single" w:sz="4" w:space="0" w:color="auto"/>
              <w:bottom w:val="single" w:sz="4" w:space="0" w:color="auto"/>
            </w:tcBorders>
            <w:shd w:val="clear" w:color="auto" w:fill="auto"/>
          </w:tcPr>
          <w:p w14:paraId="53A456A0" w14:textId="496521FB" w:rsidR="00A64A66" w:rsidRPr="00460059" w:rsidRDefault="00A64A66" w:rsidP="00F868D4">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int</w:t>
            </w:r>
            <w:proofErr w:type="spellEnd"/>
          </w:p>
        </w:tc>
        <w:tc>
          <w:tcPr>
            <w:tcW w:w="0" w:type="auto"/>
            <w:tcBorders>
              <w:top w:val="single" w:sz="4" w:space="0" w:color="auto"/>
              <w:bottom w:val="single" w:sz="4" w:space="0" w:color="auto"/>
            </w:tcBorders>
            <w:shd w:val="clear" w:color="auto" w:fill="auto"/>
          </w:tcPr>
          <w:p w14:paraId="629C1110" w14:textId="29A3CBE7" w:rsidR="00A64A66" w:rsidRPr="00460059" w:rsidRDefault="00A64A66" w:rsidP="00F868D4">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orb</w:t>
            </w:r>
            <w:proofErr w:type="spellEnd"/>
            <w:r w:rsidRPr="00460059">
              <w:rPr>
                <w:rFonts w:ascii="Times New Roman" w:hAnsi="Times New Roman"/>
                <w:sz w:val="24"/>
                <w:szCs w:val="24"/>
                <w:vertAlign w:val="subscript"/>
              </w:rPr>
              <w:t xml:space="preserve"> </w:t>
            </w:r>
          </w:p>
        </w:tc>
        <w:tc>
          <w:tcPr>
            <w:tcW w:w="0" w:type="auto"/>
            <w:tcBorders>
              <w:top w:val="single" w:sz="4" w:space="0" w:color="auto"/>
              <w:bottom w:val="single" w:sz="4" w:space="0" w:color="auto"/>
            </w:tcBorders>
            <w:shd w:val="clear" w:color="auto" w:fill="auto"/>
          </w:tcPr>
          <w:p w14:paraId="184783F5" w14:textId="13F3B8FC" w:rsidR="00A64A66" w:rsidRPr="00460059" w:rsidRDefault="00A64A66" w:rsidP="00F868D4">
            <w:pPr>
              <w:pStyle w:val="RSCT03TableBody"/>
              <w:spacing w:line="360" w:lineRule="auto"/>
              <w:rPr>
                <w:rFonts w:ascii="Times New Roman" w:hAnsi="Times New Roman"/>
                <w:sz w:val="24"/>
                <w:szCs w:val="24"/>
              </w:rPr>
            </w:pPr>
            <w:r w:rsidRPr="00460059">
              <w:rPr>
                <w:rFonts w:ascii="Times New Roman" w:hAnsi="Times New Roman"/>
                <w:sz w:val="24"/>
                <w:szCs w:val="24"/>
              </w:rPr>
              <w:t>E</w:t>
            </w:r>
            <w:r w:rsidRPr="00460059">
              <w:rPr>
                <w:rFonts w:ascii="Times New Roman" w:hAnsi="Times New Roman"/>
                <w:sz w:val="24"/>
                <w:szCs w:val="24"/>
                <w:vertAlign w:val="subscript"/>
              </w:rPr>
              <w:t xml:space="preserve">st </w:t>
            </w:r>
          </w:p>
        </w:tc>
        <w:tc>
          <w:tcPr>
            <w:tcW w:w="0" w:type="auto"/>
            <w:tcBorders>
              <w:top w:val="single" w:sz="4" w:space="0" w:color="auto"/>
              <w:bottom w:val="single" w:sz="4" w:space="0" w:color="auto"/>
            </w:tcBorders>
            <w:shd w:val="clear" w:color="auto" w:fill="auto"/>
          </w:tcPr>
          <w:p w14:paraId="0A9E0C20" w14:textId="7AC94C7E" w:rsidR="00A64A66" w:rsidRPr="00460059" w:rsidRDefault="00A64A66" w:rsidP="00F868D4">
            <w:pPr>
              <w:pStyle w:val="RSCT03TableBody"/>
              <w:spacing w:line="360" w:lineRule="auto"/>
              <w:rPr>
                <w:rFonts w:ascii="Times New Roman" w:hAnsi="Times New Roman"/>
                <w:sz w:val="24"/>
                <w:szCs w:val="24"/>
              </w:rPr>
            </w:pPr>
            <w:proofErr w:type="spellStart"/>
            <w:r w:rsidRPr="00460059">
              <w:rPr>
                <w:rFonts w:ascii="Times New Roman" w:hAnsi="Times New Roman"/>
                <w:sz w:val="24"/>
                <w:szCs w:val="24"/>
              </w:rPr>
              <w:t>E</w:t>
            </w:r>
            <w:r w:rsidRPr="00460059">
              <w:rPr>
                <w:rFonts w:ascii="Times New Roman" w:hAnsi="Times New Roman"/>
                <w:sz w:val="24"/>
                <w:szCs w:val="24"/>
                <w:vertAlign w:val="subscript"/>
              </w:rPr>
              <w:t>disp</w:t>
            </w:r>
            <w:proofErr w:type="spellEnd"/>
          </w:p>
        </w:tc>
      </w:tr>
      <w:tr w:rsidR="0014256E" w:rsidRPr="00460059" w14:paraId="187A61CE" w14:textId="77777777" w:rsidTr="00F868D4">
        <w:trPr>
          <w:jc w:val="center"/>
        </w:trPr>
        <w:tc>
          <w:tcPr>
            <w:tcW w:w="0" w:type="auto"/>
            <w:tcBorders>
              <w:top w:val="single" w:sz="4" w:space="0" w:color="auto"/>
            </w:tcBorders>
            <w:shd w:val="clear" w:color="auto" w:fill="auto"/>
          </w:tcPr>
          <w:p w14:paraId="7FCF41EB" w14:textId="77777777" w:rsidR="0014256E" w:rsidRPr="00460059" w:rsidRDefault="0014256E" w:rsidP="0014256E">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tcBorders>
              <w:top w:val="single" w:sz="4" w:space="0" w:color="auto"/>
            </w:tcBorders>
            <w:shd w:val="clear" w:color="auto" w:fill="auto"/>
          </w:tcPr>
          <w:p w14:paraId="4D20D7DF" w14:textId="74004801"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-9.4</w:t>
            </w:r>
          </w:p>
        </w:tc>
        <w:tc>
          <w:tcPr>
            <w:tcW w:w="0" w:type="auto"/>
            <w:tcBorders>
              <w:top w:val="single" w:sz="4" w:space="0" w:color="auto"/>
            </w:tcBorders>
            <w:shd w:val="clear" w:color="auto" w:fill="auto"/>
          </w:tcPr>
          <w:p w14:paraId="00065777" w14:textId="49D7316B"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-6.2</w:t>
            </w:r>
          </w:p>
        </w:tc>
        <w:tc>
          <w:tcPr>
            <w:tcW w:w="0" w:type="auto"/>
            <w:tcBorders>
              <w:top w:val="single" w:sz="4" w:space="0" w:color="auto"/>
            </w:tcBorders>
            <w:shd w:val="clear" w:color="auto" w:fill="auto"/>
          </w:tcPr>
          <w:p w14:paraId="0E560E5B" w14:textId="5F8FB4CE"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-2.2</w:t>
            </w:r>
          </w:p>
        </w:tc>
        <w:tc>
          <w:tcPr>
            <w:tcW w:w="0" w:type="auto"/>
            <w:tcBorders>
              <w:top w:val="single" w:sz="4" w:space="0" w:color="auto"/>
            </w:tcBorders>
            <w:shd w:val="clear" w:color="auto" w:fill="auto"/>
          </w:tcPr>
          <w:p w14:paraId="16716D4A" w14:textId="271821FF"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-0.9</w:t>
            </w:r>
          </w:p>
        </w:tc>
      </w:tr>
      <w:tr w:rsidR="0014256E" w:rsidRPr="00460059" w14:paraId="548EB4D8" w14:textId="77777777" w:rsidTr="00F868D4">
        <w:trPr>
          <w:jc w:val="center"/>
        </w:trPr>
        <w:tc>
          <w:tcPr>
            <w:tcW w:w="0" w:type="auto"/>
            <w:shd w:val="clear" w:color="auto" w:fill="auto"/>
          </w:tcPr>
          <w:p w14:paraId="2A06ECC7" w14:textId="77777777" w:rsidR="0014256E" w:rsidRPr="00460059" w:rsidRDefault="0014256E" w:rsidP="0014256E">
            <w:pPr>
              <w:pStyle w:val="RSCT03TableBody"/>
              <w:spacing w:line="360" w:lineRule="auto"/>
              <w:rPr>
                <w:rFonts w:ascii="Times New Roman" w:hAnsi="Times New Roman"/>
                <w:b/>
                <w:sz w:val="24"/>
                <w:szCs w:val="24"/>
              </w:rPr>
            </w:pPr>
            <w:r w:rsidRPr="00460059">
              <w:rPr>
                <w:rFonts w:ascii="Times New Roman" w:hAnsi="Times New Roman"/>
                <w:b/>
                <w:sz w:val="24"/>
                <w:szCs w:val="24"/>
              </w:rPr>
              <w:t>1CO</w:t>
            </w:r>
          </w:p>
        </w:tc>
        <w:tc>
          <w:tcPr>
            <w:tcW w:w="0" w:type="auto"/>
            <w:shd w:val="clear" w:color="auto" w:fill="auto"/>
          </w:tcPr>
          <w:p w14:paraId="66B666E0" w14:textId="63DD0156"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-4.4</w:t>
            </w:r>
          </w:p>
        </w:tc>
        <w:tc>
          <w:tcPr>
            <w:tcW w:w="0" w:type="auto"/>
            <w:shd w:val="clear" w:color="auto" w:fill="auto"/>
          </w:tcPr>
          <w:p w14:paraId="7E958C2B" w14:textId="308927F2"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-2.8</w:t>
            </w:r>
          </w:p>
        </w:tc>
        <w:tc>
          <w:tcPr>
            <w:tcW w:w="0" w:type="auto"/>
            <w:shd w:val="clear" w:color="auto" w:fill="auto"/>
          </w:tcPr>
          <w:p w14:paraId="4A2F43EF" w14:textId="18CE3161"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-1.2</w:t>
            </w:r>
          </w:p>
        </w:tc>
        <w:tc>
          <w:tcPr>
            <w:tcW w:w="0" w:type="auto"/>
            <w:shd w:val="clear" w:color="auto" w:fill="auto"/>
          </w:tcPr>
          <w:p w14:paraId="124DFA79" w14:textId="39490E23"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-0.4</w:t>
            </w:r>
          </w:p>
        </w:tc>
      </w:tr>
      <w:tr w:rsidR="0014256E" w:rsidRPr="00460059" w14:paraId="146CCA0A" w14:textId="77777777" w:rsidTr="00F868D4">
        <w:trPr>
          <w:jc w:val="center"/>
        </w:trPr>
        <w:tc>
          <w:tcPr>
            <w:tcW w:w="0" w:type="auto"/>
            <w:shd w:val="clear" w:color="auto" w:fill="auto"/>
          </w:tcPr>
          <w:p w14:paraId="01BCA7DA" w14:textId="77777777" w:rsidR="0014256E" w:rsidRPr="00460059" w:rsidRDefault="0014256E" w:rsidP="0014256E">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3D800075" w14:textId="42B01B86"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-9.0</w:t>
            </w:r>
          </w:p>
        </w:tc>
        <w:tc>
          <w:tcPr>
            <w:tcW w:w="0" w:type="auto"/>
            <w:shd w:val="clear" w:color="auto" w:fill="auto"/>
          </w:tcPr>
          <w:p w14:paraId="729E4D10" w14:textId="791CB01A"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-8.2</w:t>
            </w:r>
          </w:p>
        </w:tc>
        <w:tc>
          <w:tcPr>
            <w:tcW w:w="0" w:type="auto"/>
            <w:shd w:val="clear" w:color="auto" w:fill="auto"/>
          </w:tcPr>
          <w:p w14:paraId="3DFF575F" w14:textId="5C9CE023"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-0.1</w:t>
            </w:r>
          </w:p>
        </w:tc>
        <w:tc>
          <w:tcPr>
            <w:tcW w:w="0" w:type="auto"/>
            <w:shd w:val="clear" w:color="auto" w:fill="auto"/>
          </w:tcPr>
          <w:p w14:paraId="07C7BB65" w14:textId="094F80F3"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-0.7</w:t>
            </w:r>
          </w:p>
        </w:tc>
      </w:tr>
      <w:tr w:rsidR="0014256E" w:rsidRPr="00460059" w14:paraId="7E41037C" w14:textId="77777777" w:rsidTr="00F868D4">
        <w:trPr>
          <w:jc w:val="center"/>
        </w:trPr>
        <w:tc>
          <w:tcPr>
            <w:tcW w:w="0" w:type="auto"/>
            <w:shd w:val="clear" w:color="auto" w:fill="auto"/>
          </w:tcPr>
          <w:p w14:paraId="2C8FABE3" w14:textId="77777777" w:rsidR="0014256E" w:rsidRPr="00460059" w:rsidRDefault="0014256E" w:rsidP="0014256E">
            <w:pPr>
              <w:pStyle w:val="RSCT03TableBody"/>
              <w:spacing w:line="360" w:lineRule="auto"/>
              <w:rPr>
                <w:rFonts w:ascii="Times New Roman" w:hAnsi="Times New Roman"/>
                <w:b/>
                <w:sz w:val="24"/>
                <w:szCs w:val="24"/>
              </w:rPr>
            </w:pPr>
            <w:r w:rsidRPr="00460059">
              <w:rPr>
                <w:rFonts w:ascii="Times New Roman" w:hAnsi="Times New Roman"/>
                <w:b/>
                <w:sz w:val="24"/>
                <w:szCs w:val="24"/>
              </w:rPr>
              <w:t>1CH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shd w:val="clear" w:color="auto" w:fill="auto"/>
          </w:tcPr>
          <w:p w14:paraId="1EC1FD88" w14:textId="4A12A2C6"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-10.5</w:t>
            </w:r>
          </w:p>
        </w:tc>
        <w:tc>
          <w:tcPr>
            <w:tcW w:w="0" w:type="auto"/>
            <w:shd w:val="clear" w:color="auto" w:fill="auto"/>
          </w:tcPr>
          <w:p w14:paraId="13280A9F" w14:textId="47FB5E1F"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-11.8</w:t>
            </w:r>
          </w:p>
        </w:tc>
        <w:tc>
          <w:tcPr>
            <w:tcW w:w="0" w:type="auto"/>
            <w:shd w:val="clear" w:color="auto" w:fill="auto"/>
          </w:tcPr>
          <w:p w14:paraId="022C42CB" w14:textId="11569D16"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2.2</w:t>
            </w:r>
          </w:p>
        </w:tc>
        <w:tc>
          <w:tcPr>
            <w:tcW w:w="0" w:type="auto"/>
            <w:shd w:val="clear" w:color="auto" w:fill="auto"/>
          </w:tcPr>
          <w:p w14:paraId="770B0EBB" w14:textId="42D515F5" w:rsidR="0014256E" w:rsidRPr="00460059" w:rsidRDefault="0014256E" w:rsidP="0014256E">
            <w:pPr>
              <w:pStyle w:val="RSCT03TableBody"/>
              <w:spacing w:line="360" w:lineRule="auto"/>
              <w:rPr>
                <w:rFonts w:ascii="Times New Roman" w:hAnsi="Times New Roman"/>
                <w:sz w:val="24"/>
                <w:szCs w:val="24"/>
              </w:rPr>
            </w:pPr>
            <w:r w:rsidRPr="00460059">
              <w:rPr>
                <w:rFonts w:ascii="Times New Roman" w:hAnsi="Times New Roman"/>
                <w:sz w:val="24"/>
                <w:szCs w:val="24"/>
              </w:rPr>
              <w:t>-0.9</w:t>
            </w:r>
          </w:p>
        </w:tc>
      </w:tr>
      <w:tr w:rsidR="00AB34E0" w:rsidRPr="00460059" w14:paraId="6FC5DEBA" w14:textId="77777777" w:rsidTr="00F868D4">
        <w:trPr>
          <w:jc w:val="center"/>
        </w:trPr>
        <w:tc>
          <w:tcPr>
            <w:tcW w:w="0" w:type="auto"/>
            <w:shd w:val="clear" w:color="auto" w:fill="auto"/>
          </w:tcPr>
          <w:p w14:paraId="35ADD72A" w14:textId="7CA54B4E" w:rsidR="00AB34E0" w:rsidRPr="00460059" w:rsidRDefault="00AB34E0" w:rsidP="00AB34E0">
            <w:pPr>
              <w:pStyle w:val="RSCT03TableBody"/>
              <w:spacing w:line="360" w:lineRule="auto"/>
              <w:rPr>
                <w:rFonts w:ascii="Times New Roman" w:hAnsi="Times New Roman"/>
                <w:b/>
                <w:sz w:val="24"/>
                <w:szCs w:val="24"/>
                <w:vertAlign w:val="subscript"/>
              </w:rPr>
            </w:pPr>
            <w:r w:rsidRPr="00460059">
              <w:rPr>
                <w:rFonts w:ascii="Times New Roman" w:hAnsi="Times New Roman"/>
                <w:b/>
                <w:sz w:val="24"/>
                <w:szCs w:val="24"/>
              </w:rPr>
              <w:t>1NH</w:t>
            </w:r>
            <w:r w:rsidRPr="00460059">
              <w:rPr>
                <w:rFonts w:ascii="Times New Roman" w:hAnsi="Times New Roman"/>
                <w:b/>
                <w:sz w:val="24"/>
                <w:szCs w:val="24"/>
                <w:vertAlign w:val="subscript"/>
              </w:rPr>
              <w:t>3</w:t>
            </w:r>
          </w:p>
        </w:tc>
        <w:tc>
          <w:tcPr>
            <w:tcW w:w="0" w:type="auto"/>
            <w:shd w:val="clear" w:color="auto" w:fill="auto"/>
          </w:tcPr>
          <w:p w14:paraId="69243E99" w14:textId="031E433D"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-21.9</w:t>
            </w:r>
          </w:p>
        </w:tc>
        <w:tc>
          <w:tcPr>
            <w:tcW w:w="0" w:type="auto"/>
            <w:shd w:val="clear" w:color="auto" w:fill="auto"/>
          </w:tcPr>
          <w:p w14:paraId="2E825357" w14:textId="3B06233F"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-16.9</w:t>
            </w:r>
          </w:p>
        </w:tc>
        <w:tc>
          <w:tcPr>
            <w:tcW w:w="0" w:type="auto"/>
            <w:shd w:val="clear" w:color="auto" w:fill="auto"/>
          </w:tcPr>
          <w:p w14:paraId="58C40FB0" w14:textId="7583088B"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-4.3</w:t>
            </w:r>
          </w:p>
        </w:tc>
        <w:tc>
          <w:tcPr>
            <w:tcW w:w="0" w:type="auto"/>
            <w:shd w:val="clear" w:color="auto" w:fill="auto"/>
          </w:tcPr>
          <w:p w14:paraId="749AC008" w14:textId="3EEBB97A"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-0.7</w:t>
            </w:r>
          </w:p>
        </w:tc>
      </w:tr>
      <w:tr w:rsidR="00AB34E0" w:rsidRPr="00460059" w14:paraId="5EF6275A" w14:textId="77777777" w:rsidTr="00F868D4">
        <w:trPr>
          <w:jc w:val="center"/>
        </w:trPr>
        <w:tc>
          <w:tcPr>
            <w:tcW w:w="0" w:type="auto"/>
            <w:shd w:val="clear" w:color="auto" w:fill="auto"/>
          </w:tcPr>
          <w:p w14:paraId="1F2F9E04"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2CO</w:t>
            </w:r>
          </w:p>
        </w:tc>
        <w:tc>
          <w:tcPr>
            <w:tcW w:w="0" w:type="auto"/>
            <w:shd w:val="clear" w:color="auto" w:fill="auto"/>
          </w:tcPr>
          <w:p w14:paraId="00CDBD93" w14:textId="74375642"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-3.4</w:t>
            </w:r>
          </w:p>
        </w:tc>
        <w:tc>
          <w:tcPr>
            <w:tcW w:w="0" w:type="auto"/>
            <w:shd w:val="clear" w:color="auto" w:fill="auto"/>
          </w:tcPr>
          <w:p w14:paraId="6FEE53C4" w14:textId="09F5131F"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-2.4</w:t>
            </w:r>
          </w:p>
        </w:tc>
        <w:tc>
          <w:tcPr>
            <w:tcW w:w="0" w:type="auto"/>
            <w:shd w:val="clear" w:color="auto" w:fill="auto"/>
          </w:tcPr>
          <w:p w14:paraId="25107C38" w14:textId="19EB4A88"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-0.4</w:t>
            </w:r>
          </w:p>
        </w:tc>
        <w:tc>
          <w:tcPr>
            <w:tcW w:w="0" w:type="auto"/>
            <w:shd w:val="clear" w:color="auto" w:fill="auto"/>
          </w:tcPr>
          <w:p w14:paraId="047A32A9" w14:textId="7296F4B5"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-0.6</w:t>
            </w:r>
          </w:p>
        </w:tc>
      </w:tr>
      <w:tr w:rsidR="00AB34E0" w:rsidRPr="00460059" w14:paraId="0222AA69" w14:textId="77777777" w:rsidTr="00F868D4">
        <w:trPr>
          <w:jc w:val="center"/>
        </w:trPr>
        <w:tc>
          <w:tcPr>
            <w:tcW w:w="0" w:type="auto"/>
            <w:shd w:val="clear" w:color="auto" w:fill="auto"/>
          </w:tcPr>
          <w:p w14:paraId="24509D1C"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shd w:val="clear" w:color="auto" w:fill="auto"/>
          </w:tcPr>
          <w:p w14:paraId="43A806D9" w14:textId="2436B187"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-7.6</w:t>
            </w:r>
          </w:p>
        </w:tc>
        <w:tc>
          <w:tcPr>
            <w:tcW w:w="0" w:type="auto"/>
            <w:shd w:val="clear" w:color="auto" w:fill="auto"/>
          </w:tcPr>
          <w:p w14:paraId="201B9E35" w14:textId="61453F90"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-3.8</w:t>
            </w:r>
          </w:p>
        </w:tc>
        <w:tc>
          <w:tcPr>
            <w:tcW w:w="0" w:type="auto"/>
            <w:shd w:val="clear" w:color="auto" w:fill="auto"/>
          </w:tcPr>
          <w:p w14:paraId="5E9115E4" w14:textId="38A46801"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-2.8</w:t>
            </w:r>
          </w:p>
        </w:tc>
        <w:tc>
          <w:tcPr>
            <w:tcW w:w="0" w:type="auto"/>
            <w:shd w:val="clear" w:color="auto" w:fill="auto"/>
          </w:tcPr>
          <w:p w14:paraId="7F01C655" w14:textId="1636CF66"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-1.1</w:t>
            </w:r>
          </w:p>
        </w:tc>
      </w:tr>
      <w:tr w:rsidR="00AB34E0" w:rsidRPr="00460059" w14:paraId="61F1CE3B" w14:textId="77777777" w:rsidTr="00F868D4">
        <w:trPr>
          <w:jc w:val="center"/>
        </w:trPr>
        <w:tc>
          <w:tcPr>
            <w:tcW w:w="0" w:type="auto"/>
            <w:shd w:val="clear" w:color="auto" w:fill="auto"/>
          </w:tcPr>
          <w:p w14:paraId="06F0379E"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3CO</w:t>
            </w:r>
          </w:p>
        </w:tc>
        <w:tc>
          <w:tcPr>
            <w:tcW w:w="0" w:type="auto"/>
            <w:shd w:val="clear" w:color="auto" w:fill="auto"/>
          </w:tcPr>
          <w:p w14:paraId="48926817" w14:textId="4FBF3826"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-3.2</w:t>
            </w:r>
          </w:p>
        </w:tc>
        <w:tc>
          <w:tcPr>
            <w:tcW w:w="0" w:type="auto"/>
            <w:shd w:val="clear" w:color="auto" w:fill="auto"/>
          </w:tcPr>
          <w:p w14:paraId="33B013F6" w14:textId="75D9D734"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-1.5</w:t>
            </w:r>
          </w:p>
        </w:tc>
        <w:tc>
          <w:tcPr>
            <w:tcW w:w="0" w:type="auto"/>
            <w:shd w:val="clear" w:color="auto" w:fill="auto"/>
          </w:tcPr>
          <w:p w14:paraId="04FA9837" w14:textId="4121D815"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-1.2</w:t>
            </w:r>
          </w:p>
        </w:tc>
        <w:tc>
          <w:tcPr>
            <w:tcW w:w="0" w:type="auto"/>
            <w:shd w:val="clear" w:color="auto" w:fill="auto"/>
          </w:tcPr>
          <w:p w14:paraId="1CAE3346" w14:textId="4A6B7093"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-0.5</w:t>
            </w:r>
          </w:p>
        </w:tc>
      </w:tr>
      <w:tr w:rsidR="00AB34E0" w:rsidRPr="00460059" w14:paraId="538A2BEE" w14:textId="77777777" w:rsidTr="00F868D4">
        <w:trPr>
          <w:jc w:val="center"/>
        </w:trPr>
        <w:tc>
          <w:tcPr>
            <w:tcW w:w="0" w:type="auto"/>
            <w:shd w:val="clear" w:color="auto" w:fill="auto"/>
          </w:tcPr>
          <w:p w14:paraId="1481AA6B"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4D737D72" w14:textId="16CA942B"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-6.1</w:t>
            </w:r>
          </w:p>
        </w:tc>
        <w:tc>
          <w:tcPr>
            <w:tcW w:w="0" w:type="auto"/>
            <w:shd w:val="clear" w:color="auto" w:fill="auto"/>
          </w:tcPr>
          <w:p w14:paraId="62A06F8E" w14:textId="74A2E426"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-3.0</w:t>
            </w:r>
          </w:p>
        </w:tc>
        <w:tc>
          <w:tcPr>
            <w:tcW w:w="0" w:type="auto"/>
            <w:shd w:val="clear" w:color="auto" w:fill="auto"/>
          </w:tcPr>
          <w:p w14:paraId="3FE47F11" w14:textId="28177E4B"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-2.5</w:t>
            </w:r>
          </w:p>
        </w:tc>
        <w:tc>
          <w:tcPr>
            <w:tcW w:w="0" w:type="auto"/>
            <w:shd w:val="clear" w:color="auto" w:fill="auto"/>
          </w:tcPr>
          <w:p w14:paraId="3BEB78E8" w14:textId="2854B9B9"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-0.7</w:t>
            </w:r>
          </w:p>
        </w:tc>
      </w:tr>
      <w:tr w:rsidR="00AB34E0" w:rsidRPr="00460059" w14:paraId="12ACBC79" w14:textId="77777777" w:rsidTr="00F868D4">
        <w:trPr>
          <w:jc w:val="center"/>
        </w:trPr>
        <w:tc>
          <w:tcPr>
            <w:tcW w:w="0" w:type="auto"/>
            <w:shd w:val="clear" w:color="auto" w:fill="auto"/>
          </w:tcPr>
          <w:p w14:paraId="76C42685"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3CH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shd w:val="clear" w:color="auto" w:fill="auto"/>
          </w:tcPr>
          <w:p w14:paraId="5E06AD15" w14:textId="5565A3B4"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-6.9</w:t>
            </w:r>
          </w:p>
        </w:tc>
        <w:tc>
          <w:tcPr>
            <w:tcW w:w="0" w:type="auto"/>
            <w:shd w:val="clear" w:color="auto" w:fill="auto"/>
          </w:tcPr>
          <w:p w14:paraId="412AE6B4" w14:textId="374624C1"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-3.6</w:t>
            </w:r>
          </w:p>
        </w:tc>
        <w:tc>
          <w:tcPr>
            <w:tcW w:w="0" w:type="auto"/>
            <w:shd w:val="clear" w:color="auto" w:fill="auto"/>
          </w:tcPr>
          <w:p w14:paraId="25E16CB2" w14:textId="18FCDD54"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-2.5</w:t>
            </w:r>
          </w:p>
        </w:tc>
        <w:tc>
          <w:tcPr>
            <w:tcW w:w="0" w:type="auto"/>
            <w:shd w:val="clear" w:color="auto" w:fill="auto"/>
          </w:tcPr>
          <w:p w14:paraId="5413B251" w14:textId="37C3917E"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-0.8</w:t>
            </w:r>
          </w:p>
        </w:tc>
      </w:tr>
      <w:tr w:rsidR="00AB34E0" w:rsidRPr="00460059" w14:paraId="5B21737D" w14:textId="77777777" w:rsidTr="00F868D4">
        <w:trPr>
          <w:jc w:val="center"/>
        </w:trPr>
        <w:tc>
          <w:tcPr>
            <w:tcW w:w="0" w:type="auto"/>
            <w:shd w:val="clear" w:color="auto" w:fill="auto"/>
          </w:tcPr>
          <w:p w14:paraId="07C728C8"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4CH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7E742452" w14:textId="64B16E88"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-7.5</w:t>
            </w:r>
          </w:p>
        </w:tc>
        <w:tc>
          <w:tcPr>
            <w:tcW w:w="0" w:type="auto"/>
            <w:shd w:val="clear" w:color="auto" w:fill="auto"/>
          </w:tcPr>
          <w:p w14:paraId="48A24950" w14:textId="05EA367E"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-4.5</w:t>
            </w:r>
          </w:p>
        </w:tc>
        <w:tc>
          <w:tcPr>
            <w:tcW w:w="0" w:type="auto"/>
            <w:shd w:val="clear" w:color="auto" w:fill="auto"/>
          </w:tcPr>
          <w:p w14:paraId="14E34EB8" w14:textId="05394682"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-2.4</w:t>
            </w:r>
          </w:p>
        </w:tc>
        <w:tc>
          <w:tcPr>
            <w:tcW w:w="0" w:type="auto"/>
            <w:shd w:val="clear" w:color="auto" w:fill="auto"/>
          </w:tcPr>
          <w:p w14:paraId="6F4F9559" w14:textId="0152AEB0"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-0.6</w:t>
            </w:r>
          </w:p>
        </w:tc>
      </w:tr>
      <w:tr w:rsidR="00AB34E0" w:rsidRPr="00460059" w14:paraId="5B6F7EEE" w14:textId="77777777" w:rsidTr="00F868D4">
        <w:trPr>
          <w:jc w:val="center"/>
        </w:trPr>
        <w:tc>
          <w:tcPr>
            <w:tcW w:w="0" w:type="auto"/>
            <w:shd w:val="clear" w:color="auto" w:fill="auto"/>
          </w:tcPr>
          <w:p w14:paraId="2D585B80"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3</w:t>
            </w:r>
            <w:r w:rsidRPr="00460059">
              <w:rPr>
                <w:rFonts w:ascii="Times New Roman" w:hAnsi="Times New Roman"/>
                <w:b/>
                <w:sz w:val="24"/>
                <w:szCs w:val="24"/>
              </w:rPr>
              <w:t>CN</w:t>
            </w:r>
          </w:p>
        </w:tc>
        <w:tc>
          <w:tcPr>
            <w:tcW w:w="0" w:type="auto"/>
            <w:shd w:val="clear" w:color="auto" w:fill="auto"/>
          </w:tcPr>
          <w:p w14:paraId="31BB1637" w14:textId="5C045806"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-8.3</w:t>
            </w:r>
          </w:p>
        </w:tc>
        <w:tc>
          <w:tcPr>
            <w:tcW w:w="0" w:type="auto"/>
            <w:shd w:val="clear" w:color="auto" w:fill="auto"/>
          </w:tcPr>
          <w:p w14:paraId="71501837" w14:textId="2DB1BFF7"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-4.8</w:t>
            </w:r>
          </w:p>
        </w:tc>
        <w:tc>
          <w:tcPr>
            <w:tcW w:w="0" w:type="auto"/>
            <w:shd w:val="clear" w:color="auto" w:fill="auto"/>
          </w:tcPr>
          <w:p w14:paraId="28BDE6D3" w14:textId="171E273F"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-2.4</w:t>
            </w:r>
          </w:p>
        </w:tc>
        <w:tc>
          <w:tcPr>
            <w:tcW w:w="0" w:type="auto"/>
            <w:shd w:val="clear" w:color="auto" w:fill="auto"/>
          </w:tcPr>
          <w:p w14:paraId="184CF569" w14:textId="7AD45E6B"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-1.1</w:t>
            </w:r>
          </w:p>
        </w:tc>
      </w:tr>
      <w:tr w:rsidR="00AB34E0" w:rsidRPr="00460059" w14:paraId="30525504" w14:textId="77777777" w:rsidTr="00F868D4">
        <w:trPr>
          <w:jc w:val="center"/>
        </w:trPr>
        <w:tc>
          <w:tcPr>
            <w:tcW w:w="0" w:type="auto"/>
            <w:shd w:val="clear" w:color="auto" w:fill="auto"/>
          </w:tcPr>
          <w:p w14:paraId="5F655CBB"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5CO</w:t>
            </w:r>
          </w:p>
        </w:tc>
        <w:tc>
          <w:tcPr>
            <w:tcW w:w="0" w:type="auto"/>
            <w:shd w:val="clear" w:color="auto" w:fill="auto"/>
          </w:tcPr>
          <w:p w14:paraId="4EA35DD4" w14:textId="40373A76"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-3.6</w:t>
            </w:r>
          </w:p>
        </w:tc>
        <w:tc>
          <w:tcPr>
            <w:tcW w:w="0" w:type="auto"/>
            <w:shd w:val="clear" w:color="auto" w:fill="auto"/>
          </w:tcPr>
          <w:p w14:paraId="6C537D6E" w14:textId="21CAA9FE"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-2.1</w:t>
            </w:r>
          </w:p>
        </w:tc>
        <w:tc>
          <w:tcPr>
            <w:tcW w:w="0" w:type="auto"/>
            <w:shd w:val="clear" w:color="auto" w:fill="auto"/>
          </w:tcPr>
          <w:p w14:paraId="59FFE8FC" w14:textId="76E8490A" w:rsidR="00AB34E0" w:rsidRPr="00460059" w:rsidRDefault="00AB34E0" w:rsidP="00AB34E0">
            <w:pPr>
              <w:pStyle w:val="RSCT03TableBody"/>
              <w:spacing w:line="360" w:lineRule="auto"/>
              <w:rPr>
                <w:rFonts w:ascii="Times New Roman" w:hAnsi="Times New Roman"/>
                <w:sz w:val="24"/>
                <w:szCs w:val="24"/>
                <w:vertAlign w:val="superscript"/>
              </w:rPr>
            </w:pPr>
            <w:r w:rsidRPr="00460059">
              <w:rPr>
                <w:rFonts w:ascii="Times New Roman" w:hAnsi="Times New Roman"/>
                <w:sz w:val="24"/>
                <w:szCs w:val="24"/>
              </w:rPr>
              <w:t>-0.9</w:t>
            </w:r>
          </w:p>
        </w:tc>
        <w:tc>
          <w:tcPr>
            <w:tcW w:w="0" w:type="auto"/>
            <w:shd w:val="clear" w:color="auto" w:fill="auto"/>
          </w:tcPr>
          <w:p w14:paraId="4999E77C" w14:textId="484707AF"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-0.6</w:t>
            </w:r>
          </w:p>
        </w:tc>
      </w:tr>
      <w:tr w:rsidR="00AB34E0" w:rsidRPr="00460059" w14:paraId="23908C61" w14:textId="77777777" w:rsidTr="00F868D4">
        <w:trPr>
          <w:jc w:val="center"/>
        </w:trPr>
        <w:tc>
          <w:tcPr>
            <w:tcW w:w="0" w:type="auto"/>
            <w:shd w:val="clear" w:color="auto" w:fill="auto"/>
          </w:tcPr>
          <w:p w14:paraId="6194538B"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2</w:t>
            </w:r>
            <w:r w:rsidRPr="00460059">
              <w:rPr>
                <w:rFonts w:ascii="Times New Roman" w:hAnsi="Times New Roman"/>
                <w:b/>
                <w:sz w:val="24"/>
                <w:szCs w:val="24"/>
              </w:rPr>
              <w:t>O</w:t>
            </w:r>
          </w:p>
        </w:tc>
        <w:tc>
          <w:tcPr>
            <w:tcW w:w="0" w:type="auto"/>
            <w:shd w:val="clear" w:color="auto" w:fill="auto"/>
          </w:tcPr>
          <w:p w14:paraId="1255D437" w14:textId="67FE9293"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-6.9</w:t>
            </w:r>
          </w:p>
        </w:tc>
        <w:tc>
          <w:tcPr>
            <w:tcW w:w="0" w:type="auto"/>
            <w:shd w:val="clear" w:color="auto" w:fill="auto"/>
          </w:tcPr>
          <w:p w14:paraId="01BAF7DC" w14:textId="2C49EE9D"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-4.6</w:t>
            </w:r>
          </w:p>
        </w:tc>
        <w:tc>
          <w:tcPr>
            <w:tcW w:w="0" w:type="auto"/>
            <w:shd w:val="clear" w:color="auto" w:fill="auto"/>
          </w:tcPr>
          <w:p w14:paraId="7CC35709" w14:textId="2B53D561"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-1.6</w:t>
            </w:r>
          </w:p>
        </w:tc>
        <w:tc>
          <w:tcPr>
            <w:tcW w:w="0" w:type="auto"/>
            <w:shd w:val="clear" w:color="auto" w:fill="auto"/>
          </w:tcPr>
          <w:p w14:paraId="6CEEE33D" w14:textId="4A2DA3A2"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-0.7</w:t>
            </w:r>
          </w:p>
        </w:tc>
      </w:tr>
      <w:tr w:rsidR="00AB34E0" w:rsidRPr="00460059" w14:paraId="1D4788D3" w14:textId="77777777" w:rsidTr="00F868D4">
        <w:trPr>
          <w:jc w:val="center"/>
        </w:trPr>
        <w:tc>
          <w:tcPr>
            <w:tcW w:w="0" w:type="auto"/>
            <w:tcBorders>
              <w:bottom w:val="single" w:sz="4" w:space="0" w:color="auto"/>
            </w:tcBorders>
            <w:shd w:val="clear" w:color="auto" w:fill="auto"/>
          </w:tcPr>
          <w:p w14:paraId="7B662A65" w14:textId="77777777" w:rsidR="00AB34E0" w:rsidRPr="00460059" w:rsidRDefault="00AB34E0" w:rsidP="00AB34E0">
            <w:pPr>
              <w:pStyle w:val="RSCT03TableBody"/>
              <w:spacing w:line="360" w:lineRule="auto"/>
              <w:rPr>
                <w:rFonts w:ascii="Times New Roman" w:hAnsi="Times New Roman"/>
                <w:b/>
                <w:sz w:val="24"/>
                <w:szCs w:val="24"/>
              </w:rPr>
            </w:pPr>
            <w:r w:rsidRPr="00460059">
              <w:rPr>
                <w:rFonts w:ascii="Times New Roman" w:hAnsi="Times New Roman"/>
                <w:b/>
                <w:sz w:val="24"/>
                <w:szCs w:val="24"/>
              </w:rPr>
              <w:t>5CH</w:t>
            </w:r>
            <w:r w:rsidRPr="00460059">
              <w:rPr>
                <w:rFonts w:ascii="Times New Roman" w:hAnsi="Times New Roman"/>
                <w:b/>
                <w:sz w:val="24"/>
                <w:szCs w:val="24"/>
                <w:vertAlign w:val="subscript"/>
              </w:rPr>
              <w:t>2</w:t>
            </w:r>
            <w:r w:rsidRPr="00460059">
              <w:rPr>
                <w:rFonts w:ascii="Times New Roman" w:hAnsi="Times New Roman"/>
                <w:b/>
                <w:sz w:val="24"/>
                <w:szCs w:val="24"/>
              </w:rPr>
              <w:t>S</w:t>
            </w:r>
          </w:p>
        </w:tc>
        <w:tc>
          <w:tcPr>
            <w:tcW w:w="0" w:type="auto"/>
            <w:tcBorders>
              <w:bottom w:val="single" w:sz="4" w:space="0" w:color="auto"/>
            </w:tcBorders>
            <w:shd w:val="clear" w:color="auto" w:fill="auto"/>
          </w:tcPr>
          <w:p w14:paraId="197557A2" w14:textId="53EB5CEF"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-8.2</w:t>
            </w:r>
          </w:p>
        </w:tc>
        <w:tc>
          <w:tcPr>
            <w:tcW w:w="0" w:type="auto"/>
            <w:tcBorders>
              <w:bottom w:val="single" w:sz="4" w:space="0" w:color="auto"/>
            </w:tcBorders>
            <w:shd w:val="clear" w:color="auto" w:fill="auto"/>
          </w:tcPr>
          <w:p w14:paraId="45AFADE7" w14:textId="075929EC"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-6.1</w:t>
            </w:r>
          </w:p>
        </w:tc>
        <w:tc>
          <w:tcPr>
            <w:tcW w:w="0" w:type="auto"/>
            <w:tcBorders>
              <w:bottom w:val="single" w:sz="4" w:space="0" w:color="auto"/>
            </w:tcBorders>
            <w:shd w:val="clear" w:color="auto" w:fill="auto"/>
          </w:tcPr>
          <w:p w14:paraId="7FAF5EC4" w14:textId="02AA0832"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-1.2</w:t>
            </w:r>
          </w:p>
        </w:tc>
        <w:tc>
          <w:tcPr>
            <w:tcW w:w="0" w:type="auto"/>
            <w:tcBorders>
              <w:bottom w:val="single" w:sz="4" w:space="0" w:color="auto"/>
            </w:tcBorders>
            <w:shd w:val="clear" w:color="auto" w:fill="auto"/>
          </w:tcPr>
          <w:p w14:paraId="05D37BF8" w14:textId="50092840" w:rsidR="00AB34E0" w:rsidRPr="00460059" w:rsidRDefault="00AB34E0" w:rsidP="00AB34E0">
            <w:pPr>
              <w:pStyle w:val="RSCT03TableBody"/>
              <w:spacing w:line="360" w:lineRule="auto"/>
              <w:rPr>
                <w:rFonts w:ascii="Times New Roman" w:hAnsi="Times New Roman"/>
                <w:sz w:val="24"/>
                <w:szCs w:val="24"/>
              </w:rPr>
            </w:pPr>
            <w:r w:rsidRPr="00460059">
              <w:rPr>
                <w:rFonts w:ascii="Times New Roman" w:hAnsi="Times New Roman"/>
                <w:sz w:val="24"/>
                <w:szCs w:val="24"/>
              </w:rPr>
              <w:t>-0.9</w:t>
            </w:r>
          </w:p>
        </w:tc>
      </w:tr>
    </w:tbl>
    <w:p w14:paraId="435FB692" w14:textId="77777777" w:rsidR="00A64A66" w:rsidRPr="00460059" w:rsidRDefault="00A64A66" w:rsidP="00A249CC">
      <w:pPr>
        <w:pStyle w:val="RSCB02ArticleText"/>
        <w:spacing w:line="360" w:lineRule="auto"/>
        <w:rPr>
          <w:rFonts w:ascii="Times New Roman" w:hAnsi="Times New Roman"/>
          <w:sz w:val="24"/>
          <w:szCs w:val="24"/>
        </w:rPr>
      </w:pPr>
    </w:p>
    <w:p w14:paraId="0C1314FC" w14:textId="70C74472" w:rsidR="00043C8A" w:rsidRPr="00460059" w:rsidRDefault="00043C8A" w:rsidP="00043C8A">
      <w:pPr>
        <w:pStyle w:val="RSCB02ArticleText"/>
        <w:spacing w:line="360" w:lineRule="auto"/>
        <w:rPr>
          <w:rFonts w:ascii="Times New Roman" w:hAnsi="Times New Roman"/>
          <w:sz w:val="24"/>
          <w:szCs w:val="24"/>
        </w:rPr>
      </w:pPr>
      <w:r w:rsidRPr="00460059">
        <w:rPr>
          <w:rFonts w:ascii="Times New Roman" w:hAnsi="Times New Roman"/>
          <w:sz w:val="24"/>
          <w:szCs w:val="24"/>
        </w:rPr>
        <w:t>Also for mercury, E</w:t>
      </w:r>
      <w:r w:rsidRPr="00460059">
        <w:rPr>
          <w:rFonts w:ascii="Times New Roman" w:hAnsi="Times New Roman"/>
          <w:sz w:val="24"/>
          <w:szCs w:val="24"/>
          <w:vertAlign w:val="subscript"/>
        </w:rPr>
        <w:t>st</w:t>
      </w:r>
      <w:r w:rsidRPr="00460059">
        <w:rPr>
          <w:rFonts w:ascii="Times New Roman" w:hAnsi="Times New Roman"/>
          <w:sz w:val="24"/>
          <w:szCs w:val="24"/>
        </w:rPr>
        <w:t xml:space="preserve"> is </w:t>
      </w:r>
      <w:r w:rsidR="007D0A2E" w:rsidRPr="00460059">
        <w:rPr>
          <w:rFonts w:ascii="Times New Roman" w:hAnsi="Times New Roman"/>
          <w:sz w:val="24"/>
          <w:szCs w:val="24"/>
        </w:rPr>
        <w:t>slightly</w:t>
      </w:r>
      <w:r w:rsidRPr="00460059">
        <w:rPr>
          <w:rFonts w:ascii="Times New Roman" w:hAnsi="Times New Roman"/>
          <w:sz w:val="24"/>
          <w:szCs w:val="24"/>
        </w:rPr>
        <w:t xml:space="preserve"> negative and generally the ratio </w:t>
      </w:r>
      <w:proofErr w:type="spellStart"/>
      <w:r w:rsidRPr="00460059">
        <w:rPr>
          <w:rFonts w:ascii="Times New Roman" w:hAnsi="Times New Roman"/>
          <w:sz w:val="24"/>
          <w:szCs w:val="24"/>
        </w:rPr>
        <w:t>E</w:t>
      </w:r>
      <w:r w:rsidR="0015561D" w:rsidRPr="00460059">
        <w:rPr>
          <w:rFonts w:ascii="Times New Roman" w:hAnsi="Times New Roman"/>
          <w:sz w:val="24"/>
          <w:szCs w:val="24"/>
          <w:vertAlign w:val="subscript"/>
        </w:rPr>
        <w:t>orb</w:t>
      </w:r>
      <w:proofErr w:type="spellEnd"/>
      <w:r w:rsidRPr="00460059">
        <w:rPr>
          <w:rFonts w:ascii="Times New Roman" w:hAnsi="Times New Roman"/>
          <w:sz w:val="24"/>
          <w:szCs w:val="24"/>
        </w:rPr>
        <w:t>/</w:t>
      </w:r>
      <w:proofErr w:type="spellStart"/>
      <w:r w:rsidRPr="00460059">
        <w:rPr>
          <w:rFonts w:ascii="Times New Roman" w:hAnsi="Times New Roman"/>
          <w:sz w:val="24"/>
          <w:szCs w:val="24"/>
        </w:rPr>
        <w:t>E</w:t>
      </w:r>
      <w:r w:rsidRPr="00460059">
        <w:rPr>
          <w:rFonts w:ascii="Times New Roman" w:hAnsi="Times New Roman"/>
          <w:sz w:val="24"/>
          <w:szCs w:val="24"/>
          <w:vertAlign w:val="subscript"/>
        </w:rPr>
        <w:t>int</w:t>
      </w:r>
      <w:proofErr w:type="spellEnd"/>
      <w:r w:rsidRPr="00460059">
        <w:rPr>
          <w:rFonts w:ascii="Times New Roman" w:hAnsi="Times New Roman"/>
          <w:sz w:val="24"/>
          <w:szCs w:val="24"/>
        </w:rPr>
        <w:t xml:space="preserve"> is </w:t>
      </w:r>
      <w:r w:rsidR="0015561D" w:rsidRPr="00460059">
        <w:rPr>
          <w:rFonts w:ascii="Times New Roman" w:hAnsi="Times New Roman"/>
          <w:sz w:val="24"/>
          <w:szCs w:val="24"/>
        </w:rPr>
        <w:t>intermediate between</w:t>
      </w:r>
      <w:r w:rsidRPr="00460059">
        <w:rPr>
          <w:rFonts w:ascii="Times New Roman" w:hAnsi="Times New Roman"/>
          <w:sz w:val="24"/>
          <w:szCs w:val="24"/>
        </w:rPr>
        <w:t xml:space="preserve"> th</w:t>
      </w:r>
      <w:r w:rsidR="0015561D" w:rsidRPr="00460059">
        <w:rPr>
          <w:rFonts w:ascii="Times New Roman" w:hAnsi="Times New Roman"/>
          <w:sz w:val="24"/>
          <w:szCs w:val="24"/>
        </w:rPr>
        <w:t>ose</w:t>
      </w:r>
      <w:r w:rsidR="00097215" w:rsidRPr="00460059">
        <w:rPr>
          <w:rFonts w:ascii="Times New Roman" w:hAnsi="Times New Roman"/>
          <w:sz w:val="24"/>
          <w:szCs w:val="24"/>
        </w:rPr>
        <w:t xml:space="preserve"> of cadmium </w:t>
      </w:r>
      <w:r w:rsidR="0015561D" w:rsidRPr="00460059">
        <w:rPr>
          <w:rFonts w:ascii="Times New Roman" w:hAnsi="Times New Roman"/>
          <w:sz w:val="24"/>
          <w:szCs w:val="24"/>
        </w:rPr>
        <w:t>and zinc adduct</w:t>
      </w:r>
      <w:r w:rsidR="00097215" w:rsidRPr="00460059">
        <w:rPr>
          <w:rFonts w:ascii="Times New Roman" w:hAnsi="Times New Roman"/>
          <w:sz w:val="24"/>
          <w:szCs w:val="24"/>
        </w:rPr>
        <w:t>s</w:t>
      </w:r>
      <w:r w:rsidR="0015561D" w:rsidRPr="00460059">
        <w:rPr>
          <w:rFonts w:ascii="Times New Roman" w:hAnsi="Times New Roman"/>
          <w:sz w:val="24"/>
          <w:szCs w:val="24"/>
        </w:rPr>
        <w:t>.</w:t>
      </w:r>
    </w:p>
    <w:p w14:paraId="2799C832" w14:textId="0233D5BF" w:rsidR="0015561D" w:rsidRPr="00460059" w:rsidRDefault="0015561D" w:rsidP="00043C8A">
      <w:pPr>
        <w:pStyle w:val="RSCB02ArticleText"/>
        <w:spacing w:line="360" w:lineRule="auto"/>
        <w:rPr>
          <w:rFonts w:ascii="Times New Roman" w:hAnsi="Times New Roman"/>
          <w:sz w:val="24"/>
          <w:szCs w:val="24"/>
        </w:rPr>
      </w:pPr>
    </w:p>
    <w:p w14:paraId="562C4FD7" w14:textId="1D46EEA0" w:rsidR="00DD5C2B" w:rsidRPr="00460059" w:rsidRDefault="008E17C0" w:rsidP="00DD5C2B">
      <w:pPr>
        <w:pStyle w:val="Corpotesto"/>
        <w:spacing w:after="0" w:line="360" w:lineRule="auto"/>
        <w:jc w:val="both"/>
        <w:rPr>
          <w:rFonts w:ascii="Times New Roman" w:eastAsia="Calibri" w:hAnsi="Times New Roman" w:cs="Times New Roman"/>
          <w:w w:val="108"/>
          <w:sz w:val="24"/>
          <w:szCs w:val="24"/>
          <w:lang w:val="en-GB"/>
        </w:rPr>
      </w:pPr>
      <w:proofErr w:type="spellStart"/>
      <w:r w:rsidRPr="00460059">
        <w:rPr>
          <w:rFonts w:ascii="Times New Roman" w:hAnsi="Times New Roman" w:cs="Times New Roman"/>
          <w:b/>
          <w:sz w:val="24"/>
          <w:szCs w:val="24"/>
        </w:rPr>
        <w:t>Crystallographically</w:t>
      </w:r>
      <w:proofErr w:type="spellEnd"/>
      <w:r w:rsidRPr="00460059">
        <w:rPr>
          <w:rFonts w:ascii="Times New Roman" w:hAnsi="Times New Roman" w:cs="Times New Roman"/>
          <w:b/>
          <w:sz w:val="24"/>
          <w:szCs w:val="24"/>
        </w:rPr>
        <w:t xml:space="preserve"> characterized </w:t>
      </w:r>
      <w:r w:rsidR="00DD5C2B" w:rsidRPr="00460059">
        <w:rPr>
          <w:rFonts w:ascii="Times New Roman" w:hAnsi="Times New Roman" w:cs="Times New Roman"/>
          <w:b/>
          <w:sz w:val="24"/>
          <w:szCs w:val="24"/>
        </w:rPr>
        <w:t xml:space="preserve">systems. </w:t>
      </w:r>
      <w:r w:rsidR="00DD5C2B" w:rsidRPr="00460059">
        <w:rPr>
          <w:rFonts w:ascii="Times New Roman" w:eastAsia="Calibri" w:hAnsi="Times New Roman" w:cs="Times New Roman"/>
          <w:w w:val="108"/>
          <w:sz w:val="24"/>
          <w:szCs w:val="24"/>
          <w:lang w:val="en-GB"/>
        </w:rPr>
        <w:t xml:space="preserve">From our analysis on model systems, it clearly appears that the relative extent of the </w:t>
      </w:r>
      <w:proofErr w:type="spellStart"/>
      <w:r w:rsidR="00DD5C2B" w:rsidRPr="00460059">
        <w:rPr>
          <w:rFonts w:ascii="Times New Roman" w:eastAsia="Calibri" w:hAnsi="Times New Roman" w:cs="Times New Roman"/>
          <w:w w:val="108"/>
          <w:sz w:val="24"/>
          <w:szCs w:val="24"/>
          <w:lang w:val="en-GB"/>
        </w:rPr>
        <w:t>SpB</w:t>
      </w:r>
      <w:proofErr w:type="spellEnd"/>
      <w:r w:rsidR="00DD5C2B" w:rsidRPr="00460059">
        <w:rPr>
          <w:rFonts w:ascii="Times New Roman" w:eastAsia="Calibri" w:hAnsi="Times New Roman" w:cs="Times New Roman"/>
          <w:w w:val="108"/>
          <w:sz w:val="24"/>
          <w:szCs w:val="24"/>
          <w:lang w:val="en-GB"/>
        </w:rPr>
        <w:t xml:space="preserve"> orbital contribution strongly depends on the system investigated</w:t>
      </w:r>
      <w:r w:rsidR="005E4C39" w:rsidRPr="00460059">
        <w:rPr>
          <w:rFonts w:ascii="Times New Roman" w:eastAsia="Calibri" w:hAnsi="Times New Roman" w:cs="Times New Roman"/>
          <w:w w:val="108"/>
          <w:sz w:val="24"/>
          <w:szCs w:val="24"/>
          <w:lang w:val="en-GB"/>
        </w:rPr>
        <w:t>, starting from</w:t>
      </w:r>
      <w:r w:rsidR="00DD5C2B" w:rsidRPr="00460059">
        <w:rPr>
          <w:rFonts w:ascii="Times New Roman" w:eastAsia="Calibri" w:hAnsi="Times New Roman" w:cs="Times New Roman"/>
          <w:w w:val="108"/>
          <w:sz w:val="24"/>
          <w:szCs w:val="24"/>
          <w:lang w:val="en-GB"/>
        </w:rPr>
        <w:t xml:space="preserve"> the nature of the metal</w:t>
      </w:r>
      <w:r w:rsidR="005E4C39" w:rsidRPr="00460059">
        <w:rPr>
          <w:rFonts w:ascii="Times New Roman" w:eastAsia="Calibri" w:hAnsi="Times New Roman" w:cs="Times New Roman"/>
          <w:w w:val="108"/>
          <w:sz w:val="24"/>
          <w:szCs w:val="24"/>
          <w:lang w:val="en-GB"/>
        </w:rPr>
        <w:t xml:space="preserve"> and</w:t>
      </w:r>
      <w:r w:rsidR="00DD5C2B" w:rsidRPr="00460059">
        <w:rPr>
          <w:rFonts w:ascii="Times New Roman" w:eastAsia="Calibri" w:hAnsi="Times New Roman" w:cs="Times New Roman"/>
          <w:w w:val="108"/>
          <w:sz w:val="24"/>
          <w:szCs w:val="24"/>
          <w:lang w:val="en-GB"/>
        </w:rPr>
        <w:t xml:space="preserve"> its degree of polarization. Also, while generally larger </w:t>
      </w:r>
      <w:proofErr w:type="spellStart"/>
      <w:r w:rsidR="00DD5C2B" w:rsidRPr="00460059">
        <w:rPr>
          <w:rFonts w:ascii="Times New Roman" w:eastAsia="Calibri" w:hAnsi="Times New Roman" w:cs="Times New Roman"/>
          <w:w w:val="108"/>
          <w:sz w:val="24"/>
          <w:szCs w:val="24"/>
          <w:lang w:val="en-GB"/>
        </w:rPr>
        <w:t>SpB</w:t>
      </w:r>
      <w:proofErr w:type="spellEnd"/>
      <w:r w:rsidR="00DD5C2B" w:rsidRPr="00460059">
        <w:rPr>
          <w:rFonts w:ascii="Times New Roman" w:eastAsia="Calibri" w:hAnsi="Times New Roman" w:cs="Times New Roman"/>
          <w:w w:val="108"/>
          <w:sz w:val="24"/>
          <w:szCs w:val="24"/>
          <w:lang w:val="en-GB"/>
        </w:rPr>
        <w:t xml:space="preserve"> contributions lead to shorter M</w:t>
      </w:r>
      <w:r w:rsidR="00B2296C" w:rsidRPr="00460059">
        <w:rPr>
          <w:rFonts w:ascii="Times New Roman" w:eastAsia="Calibri" w:hAnsi="Times New Roman" w:cs="Times New Roman"/>
          <w:smallCaps/>
          <w:sz w:val="24"/>
          <w:szCs w:val="24"/>
          <w:vertAlign w:val="superscript"/>
          <w:lang w:val="en-GB"/>
        </w:rPr>
        <w:t>…</w:t>
      </w:r>
      <w:r w:rsidR="00DD5C2B" w:rsidRPr="00460059">
        <w:rPr>
          <w:rFonts w:ascii="Times New Roman" w:eastAsia="Calibri" w:hAnsi="Times New Roman" w:cs="Times New Roman"/>
          <w:w w:val="108"/>
          <w:sz w:val="24"/>
          <w:szCs w:val="24"/>
          <w:lang w:val="en-GB"/>
        </w:rPr>
        <w:t xml:space="preserve">LB distances, there is no obvious correlation between donor-acceptor distance and interaction energy in none of the compound series. This </w:t>
      </w:r>
      <w:r w:rsidR="005E4C39" w:rsidRPr="00460059">
        <w:rPr>
          <w:rFonts w:ascii="Times New Roman" w:eastAsia="Calibri" w:hAnsi="Times New Roman" w:cs="Times New Roman"/>
          <w:w w:val="108"/>
          <w:sz w:val="24"/>
          <w:szCs w:val="24"/>
          <w:lang w:val="en-GB"/>
        </w:rPr>
        <w:t>is mostly a consequence of the coexistence of multiple interactions</w:t>
      </w:r>
      <w:r w:rsidR="00DD5C2B" w:rsidRPr="00460059">
        <w:rPr>
          <w:rFonts w:ascii="Times New Roman" w:eastAsia="Calibri" w:hAnsi="Times New Roman" w:cs="Times New Roman"/>
          <w:w w:val="108"/>
          <w:sz w:val="24"/>
          <w:szCs w:val="24"/>
          <w:lang w:val="en-GB"/>
        </w:rPr>
        <w:t>,</w:t>
      </w:r>
      <w:r w:rsidR="005E4C39" w:rsidRPr="00460059">
        <w:rPr>
          <w:rFonts w:ascii="Times New Roman" w:eastAsia="Calibri" w:hAnsi="Times New Roman" w:cs="Times New Roman"/>
          <w:w w:val="108"/>
          <w:sz w:val="24"/>
          <w:szCs w:val="24"/>
          <w:lang w:val="en-GB"/>
        </w:rPr>
        <w:t xml:space="preserve"> which all contribute to</w:t>
      </w:r>
      <w:r w:rsidR="00DD5C2B" w:rsidRPr="00460059">
        <w:rPr>
          <w:rFonts w:ascii="Times New Roman" w:eastAsia="Calibri" w:hAnsi="Times New Roman" w:cs="Times New Roman"/>
          <w:w w:val="108"/>
          <w:sz w:val="24"/>
          <w:szCs w:val="24"/>
          <w:lang w:val="en-GB"/>
        </w:rPr>
        <w:t xml:space="preserve"> the final geometry.</w:t>
      </w:r>
      <w:r w:rsidR="00DD5C2B" w:rsidRPr="00460059">
        <w:rPr>
          <w:rFonts w:ascii="Times New Roman" w:eastAsia="Calibri" w:hAnsi="Times New Roman" w:cs="Times New Roman"/>
          <w:w w:val="108"/>
          <w:sz w:val="24"/>
          <w:szCs w:val="24"/>
          <w:lang w:val="en-GB"/>
        </w:rPr>
        <w:fldChar w:fldCharType="begin" w:fldLock="1"/>
      </w:r>
      <w:r w:rsidR="00D15D67">
        <w:rPr>
          <w:rFonts w:ascii="Times New Roman" w:eastAsia="Calibri" w:hAnsi="Times New Roman" w:cs="Times New Roman"/>
          <w:w w:val="108"/>
          <w:sz w:val="24"/>
          <w:szCs w:val="24"/>
          <w:lang w:val="en-GB"/>
        </w:rPr>
        <w:instrText>ADDIN CSL_CITATION {"citationItems":[{"id":"ITEM-1","itemData":{"DOI":"10.1002/jcc.26165","ISSN":"1096987X","PMID":"32011001","abstract":"As known, the electron density of covalently bound halogen atoms is anisotropically distributed, making them potentially able to establish many weak interactions, acting at the same time as halogen bond donors and hydrogen bond acceptors. Indeed, there are many examples in which the halogen and hydrogen bond coexist in the same structure and, if a correct bond analysis is required, their separation is mandatory. Here, the advantages and limitations of coupling the charge displacement analysis with natural orbital for chemical valence method (NOCV-CD) to separately analyze orthogonal weak interactions are shown, for both symmetric and asymmetric adducts. The methodology gives optimal results with intermolecular adducts but, in the presence of an organometallic complex, also intramolecular interactions can be correctly analyzed. Beyond the methodological aspects, it is shown that correctly separate and quantify the interactions can give interesting chemical insights about the systems.","author":[{"dropping-particle":"","family":"Ciancaleoni","given":"Gianluca","non-dropping-particle":"","parse-names":false,"suffix":""},{"dropping-particle":"","family":"Belpassi","given":"Leonardo","non-dropping-particle":"","parse-names":false,"suffix":""}],"container-title":"Journal of Computational Chemistry","id":"ITEM-1","issue":"12","issued":{"date-parts":[["2020","5","5"]]},"page":"1185-1193","publisher":"John Wiley and Sons Inc.","title":"Disentanglement of orthogonal hydrogen and halogen bonds via natural orbital for chemical valence: A charge displacement analysis","type":"article-journal","volume":"41"},"uris":["http://www.mendeley.com/documents/?uuid=6fdc7131-32c0-34a4-81b7-555f3d0321c3"]}],"mendeley":{"formattedCitation":"&lt;sup&gt;30&lt;/sup&gt;","plainTextFormattedCitation":"30","previouslyFormattedCitation":"&lt;sup&gt;30&lt;/sup&gt;"},"properties":{"noteIndex":0},"schema":"https://github.com/citation-style-language/schema/raw/master/csl-citation.json"}</w:instrText>
      </w:r>
      <w:r w:rsidR="00DD5C2B" w:rsidRPr="00460059">
        <w:rPr>
          <w:rFonts w:ascii="Times New Roman" w:eastAsia="Calibri" w:hAnsi="Times New Roman" w:cs="Times New Roman"/>
          <w:w w:val="108"/>
          <w:sz w:val="24"/>
          <w:szCs w:val="24"/>
          <w:lang w:val="en-GB"/>
        </w:rPr>
        <w:fldChar w:fldCharType="separate"/>
      </w:r>
      <w:r w:rsidR="00F97619" w:rsidRPr="00F97619">
        <w:rPr>
          <w:rFonts w:ascii="Times New Roman" w:eastAsia="Calibri" w:hAnsi="Times New Roman" w:cs="Times New Roman"/>
          <w:noProof/>
          <w:w w:val="108"/>
          <w:sz w:val="24"/>
          <w:szCs w:val="24"/>
          <w:vertAlign w:val="superscript"/>
          <w:lang w:val="en-GB"/>
        </w:rPr>
        <w:t>30</w:t>
      </w:r>
      <w:r w:rsidR="00DD5C2B" w:rsidRPr="00460059">
        <w:rPr>
          <w:rFonts w:ascii="Times New Roman" w:eastAsia="Calibri" w:hAnsi="Times New Roman" w:cs="Times New Roman"/>
          <w:w w:val="108"/>
          <w:sz w:val="24"/>
          <w:szCs w:val="24"/>
          <w:lang w:val="en-GB"/>
        </w:rPr>
        <w:fldChar w:fldCharType="end"/>
      </w:r>
    </w:p>
    <w:p w14:paraId="7CFFD4AD" w14:textId="1E691441" w:rsidR="00DD5C2B" w:rsidRPr="00460059" w:rsidRDefault="00DD5C2B" w:rsidP="00DD5C2B">
      <w:pPr>
        <w:pStyle w:val="Corpotesto"/>
        <w:spacing w:after="0" w:line="360" w:lineRule="auto"/>
        <w:jc w:val="both"/>
        <w:rPr>
          <w:rFonts w:ascii="Times New Roman" w:eastAsia="Calibri" w:hAnsi="Times New Roman" w:cs="Times New Roman"/>
          <w:w w:val="108"/>
          <w:sz w:val="24"/>
          <w:szCs w:val="24"/>
          <w:lang w:val="en-GB"/>
        </w:rPr>
      </w:pPr>
      <w:r w:rsidRPr="00460059">
        <w:rPr>
          <w:rFonts w:ascii="Times New Roman" w:eastAsia="Calibri" w:hAnsi="Times New Roman" w:cs="Times New Roman"/>
          <w:w w:val="108"/>
          <w:sz w:val="24"/>
          <w:szCs w:val="24"/>
          <w:lang w:val="en-GB"/>
        </w:rPr>
        <w:t>For this reason, it is of interest to extend NOCV-CD to experimentally characterised group 12 complexes showing short, but not coordinative X-M</w:t>
      </w:r>
      <w:r w:rsidRPr="00460059">
        <w:rPr>
          <w:rFonts w:ascii="Times New Roman" w:eastAsia="Calibri" w:hAnsi="Times New Roman" w:cs="Times New Roman"/>
          <w:w w:val="108"/>
          <w:sz w:val="24"/>
          <w:szCs w:val="24"/>
          <w:vertAlign w:val="superscript"/>
          <w:lang w:val="en-GB"/>
        </w:rPr>
        <w:t>…</w:t>
      </w:r>
      <w:r w:rsidRPr="00460059">
        <w:rPr>
          <w:rFonts w:ascii="Times New Roman" w:eastAsia="Calibri" w:hAnsi="Times New Roman" w:cs="Times New Roman"/>
          <w:w w:val="108"/>
          <w:sz w:val="24"/>
          <w:szCs w:val="24"/>
          <w:lang w:val="en-GB"/>
        </w:rPr>
        <w:t xml:space="preserve">LB arrangements. This allows to </w:t>
      </w:r>
      <w:r w:rsidR="005E4C39" w:rsidRPr="00460059">
        <w:rPr>
          <w:rFonts w:ascii="Times New Roman" w:eastAsia="Calibri" w:hAnsi="Times New Roman" w:cs="Times New Roman"/>
          <w:w w:val="108"/>
          <w:sz w:val="24"/>
          <w:szCs w:val="24"/>
          <w:lang w:val="en-GB"/>
        </w:rPr>
        <w:t xml:space="preserve">assess </w:t>
      </w:r>
      <w:r w:rsidRPr="00460059">
        <w:rPr>
          <w:rFonts w:ascii="Times New Roman" w:eastAsia="Calibri" w:hAnsi="Times New Roman" w:cs="Times New Roman"/>
          <w:w w:val="108"/>
          <w:sz w:val="24"/>
          <w:szCs w:val="24"/>
          <w:lang w:val="en-GB"/>
        </w:rPr>
        <w:t xml:space="preserve">whether they arise from a net </w:t>
      </w:r>
      <w:proofErr w:type="spellStart"/>
      <w:r w:rsidRPr="00460059">
        <w:rPr>
          <w:rFonts w:ascii="Times New Roman" w:eastAsia="Calibri" w:hAnsi="Times New Roman" w:cs="Times New Roman"/>
          <w:w w:val="108"/>
          <w:sz w:val="24"/>
          <w:szCs w:val="24"/>
          <w:lang w:val="en-GB"/>
        </w:rPr>
        <w:t>SpB</w:t>
      </w:r>
      <w:proofErr w:type="spellEnd"/>
      <w:r w:rsidRPr="00460059">
        <w:rPr>
          <w:rFonts w:ascii="Times New Roman" w:eastAsia="Calibri" w:hAnsi="Times New Roman" w:cs="Times New Roman"/>
          <w:w w:val="108"/>
          <w:sz w:val="24"/>
          <w:szCs w:val="24"/>
          <w:lang w:val="en-GB"/>
        </w:rPr>
        <w:t xml:space="preserve"> charge transfer and what is the role of the other intermolecular interactions in determining such</w:t>
      </w:r>
      <w:r w:rsidRPr="00460059">
        <w:rPr>
          <w:rFonts w:ascii="Times New Roman" w:hAnsi="Times New Roman" w:cs="Times New Roman"/>
        </w:rPr>
        <w:t xml:space="preserve"> </w:t>
      </w:r>
      <w:r w:rsidRPr="00460059">
        <w:rPr>
          <w:rFonts w:ascii="Times New Roman" w:eastAsia="Calibri" w:hAnsi="Times New Roman" w:cs="Times New Roman"/>
          <w:w w:val="108"/>
          <w:sz w:val="24"/>
          <w:szCs w:val="24"/>
          <w:lang w:val="en-GB"/>
        </w:rPr>
        <w:t>arrangements.</w:t>
      </w:r>
    </w:p>
    <w:p w14:paraId="4B43B0DF" w14:textId="4EC16E92" w:rsidR="00226607" w:rsidRPr="00460059" w:rsidRDefault="00226607" w:rsidP="00043C8A">
      <w:pPr>
        <w:pStyle w:val="RSCB02ArticleText"/>
        <w:spacing w:line="360" w:lineRule="auto"/>
        <w:rPr>
          <w:rFonts w:ascii="Times New Roman" w:hAnsi="Times New Roman"/>
          <w:b/>
          <w:sz w:val="24"/>
          <w:szCs w:val="24"/>
        </w:rPr>
      </w:pPr>
    </w:p>
    <w:p w14:paraId="385D758F" w14:textId="62814836" w:rsidR="00226607" w:rsidRPr="00460059" w:rsidRDefault="00904397" w:rsidP="00226607">
      <w:pPr>
        <w:pStyle w:val="RSCB02ArticleText"/>
        <w:spacing w:line="360" w:lineRule="auto"/>
        <w:jc w:val="center"/>
        <w:rPr>
          <w:rFonts w:ascii="Times New Roman" w:hAnsi="Times New Roman"/>
          <w:sz w:val="24"/>
          <w:szCs w:val="24"/>
        </w:rPr>
      </w:pPr>
      <w:r w:rsidRPr="00460059">
        <w:rPr>
          <w:rFonts w:ascii="Times New Roman" w:hAnsi="Times New Roman"/>
          <w:noProof/>
          <w:lang w:val="en-US"/>
        </w:rPr>
        <w:lastRenderedPageBreak/>
        <w:drawing>
          <wp:inline distT="0" distB="0" distL="0" distR="0" wp14:anchorId="33F5C34F" wp14:editId="3C8557AC">
            <wp:extent cx="6120765" cy="348678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765" cy="3486785"/>
                    </a:xfrm>
                    <a:prstGeom prst="rect">
                      <a:avLst/>
                    </a:prstGeom>
                    <a:noFill/>
                    <a:ln>
                      <a:noFill/>
                    </a:ln>
                  </pic:spPr>
                </pic:pic>
              </a:graphicData>
            </a:graphic>
          </wp:inline>
        </w:drawing>
      </w:r>
    </w:p>
    <w:p w14:paraId="753EBB56" w14:textId="78672F40" w:rsidR="00226607" w:rsidRPr="00460059" w:rsidRDefault="00226607" w:rsidP="00226607">
      <w:pPr>
        <w:pStyle w:val="RSCB02ArticleText"/>
        <w:spacing w:line="360" w:lineRule="auto"/>
        <w:rPr>
          <w:rFonts w:ascii="Times New Roman" w:hAnsi="Times New Roman"/>
          <w:sz w:val="24"/>
          <w:szCs w:val="24"/>
        </w:rPr>
      </w:pPr>
      <w:r w:rsidRPr="00460059">
        <w:rPr>
          <w:rFonts w:ascii="Times New Roman" w:hAnsi="Times New Roman"/>
          <w:sz w:val="24"/>
          <w:szCs w:val="24"/>
        </w:rPr>
        <w:t xml:space="preserve">Scheme </w:t>
      </w:r>
      <w:r w:rsidRPr="00460059">
        <w:rPr>
          <w:rFonts w:ascii="Times New Roman" w:hAnsi="Times New Roman"/>
          <w:sz w:val="24"/>
          <w:szCs w:val="24"/>
        </w:rPr>
        <w:fldChar w:fldCharType="begin"/>
      </w:r>
      <w:r w:rsidRPr="00460059">
        <w:rPr>
          <w:rFonts w:ascii="Times New Roman" w:hAnsi="Times New Roman"/>
          <w:sz w:val="24"/>
          <w:szCs w:val="24"/>
        </w:rPr>
        <w:instrText xml:space="preserve"> SEQ Scheme \* ARABIC </w:instrText>
      </w:r>
      <w:r w:rsidRPr="00460059">
        <w:rPr>
          <w:rFonts w:ascii="Times New Roman" w:hAnsi="Times New Roman"/>
          <w:sz w:val="24"/>
          <w:szCs w:val="24"/>
        </w:rPr>
        <w:fldChar w:fldCharType="separate"/>
      </w:r>
      <w:r w:rsidRPr="00460059">
        <w:rPr>
          <w:rFonts w:ascii="Times New Roman" w:hAnsi="Times New Roman"/>
          <w:sz w:val="24"/>
          <w:szCs w:val="24"/>
        </w:rPr>
        <w:t>2</w:t>
      </w:r>
      <w:r w:rsidRPr="00460059">
        <w:rPr>
          <w:rFonts w:ascii="Times New Roman" w:hAnsi="Times New Roman"/>
          <w:sz w:val="24"/>
          <w:szCs w:val="24"/>
        </w:rPr>
        <w:fldChar w:fldCharType="end"/>
      </w:r>
      <w:r w:rsidRPr="00460059">
        <w:rPr>
          <w:rFonts w:ascii="Times New Roman" w:hAnsi="Times New Roman"/>
          <w:sz w:val="24"/>
          <w:szCs w:val="24"/>
        </w:rPr>
        <w:t xml:space="preserve">. Experimentally characterised structures selected for NOCV-CD analysis with their respective CCDC code; dashed lines represent putative </w:t>
      </w:r>
      <w:proofErr w:type="spellStart"/>
      <w:r w:rsidRPr="00460059">
        <w:rPr>
          <w:rFonts w:ascii="Times New Roman" w:hAnsi="Times New Roman"/>
          <w:sz w:val="24"/>
          <w:szCs w:val="24"/>
        </w:rPr>
        <w:t>SpB</w:t>
      </w:r>
      <w:proofErr w:type="spellEnd"/>
      <w:r w:rsidRPr="00460059">
        <w:rPr>
          <w:rFonts w:ascii="Times New Roman" w:hAnsi="Times New Roman"/>
          <w:sz w:val="24"/>
          <w:szCs w:val="24"/>
        </w:rPr>
        <w:t xml:space="preserve"> interactions.</w:t>
      </w:r>
    </w:p>
    <w:p w14:paraId="1B636991" w14:textId="354A4985" w:rsidR="008D1F77" w:rsidRPr="00460059" w:rsidRDefault="008D1F77" w:rsidP="00F12596">
      <w:pPr>
        <w:pStyle w:val="RSCB02ArticleText"/>
        <w:spacing w:line="360" w:lineRule="auto"/>
        <w:rPr>
          <w:rFonts w:ascii="Times New Roman" w:hAnsi="Times New Roman"/>
          <w:sz w:val="24"/>
          <w:szCs w:val="24"/>
        </w:rPr>
      </w:pPr>
    </w:p>
    <w:p w14:paraId="12E48299" w14:textId="5FB73D1B" w:rsidR="0012665A" w:rsidRPr="00460059" w:rsidRDefault="0012665A" w:rsidP="0012665A">
      <w:pPr>
        <w:pStyle w:val="Corpotesto"/>
        <w:spacing w:after="0" w:line="360" w:lineRule="auto"/>
        <w:jc w:val="both"/>
        <w:rPr>
          <w:rFonts w:ascii="Times New Roman" w:eastAsia="Calibri" w:hAnsi="Times New Roman" w:cs="Times New Roman"/>
          <w:w w:val="108"/>
          <w:sz w:val="24"/>
          <w:szCs w:val="24"/>
          <w:lang w:val="en-GB"/>
        </w:rPr>
      </w:pPr>
      <w:r w:rsidRPr="00460059">
        <w:rPr>
          <w:rFonts w:ascii="Times New Roman" w:eastAsia="Calibri" w:hAnsi="Times New Roman" w:cs="Times New Roman"/>
          <w:w w:val="108"/>
          <w:sz w:val="24"/>
          <w:szCs w:val="24"/>
          <w:lang w:val="en-GB"/>
        </w:rPr>
        <w:t xml:space="preserve">By </w:t>
      </w:r>
      <w:proofErr w:type="spellStart"/>
      <w:r w:rsidRPr="00460059">
        <w:rPr>
          <w:rFonts w:ascii="Times New Roman" w:eastAsia="Calibri" w:hAnsi="Times New Roman" w:cs="Times New Roman"/>
          <w:w w:val="108"/>
          <w:sz w:val="24"/>
          <w:szCs w:val="24"/>
          <w:lang w:val="en-GB"/>
        </w:rPr>
        <w:t>analy</w:t>
      </w:r>
      <w:r w:rsidR="00BE0AF6">
        <w:rPr>
          <w:rFonts w:ascii="Times New Roman" w:eastAsia="Calibri" w:hAnsi="Times New Roman" w:cs="Times New Roman"/>
          <w:w w:val="108"/>
          <w:sz w:val="24"/>
          <w:szCs w:val="24"/>
          <w:lang w:val="en-GB"/>
        </w:rPr>
        <w:t>z</w:t>
      </w:r>
      <w:r w:rsidRPr="00460059">
        <w:rPr>
          <w:rFonts w:ascii="Times New Roman" w:eastAsia="Calibri" w:hAnsi="Times New Roman" w:cs="Times New Roman"/>
          <w:w w:val="108"/>
          <w:sz w:val="24"/>
          <w:szCs w:val="24"/>
          <w:lang w:val="en-GB"/>
        </w:rPr>
        <w:t>ing</w:t>
      </w:r>
      <w:proofErr w:type="spellEnd"/>
      <w:r w:rsidRPr="00460059">
        <w:rPr>
          <w:rFonts w:ascii="Times New Roman" w:eastAsia="Calibri" w:hAnsi="Times New Roman" w:cs="Times New Roman"/>
          <w:w w:val="108"/>
          <w:sz w:val="24"/>
          <w:szCs w:val="24"/>
          <w:lang w:val="en-GB"/>
        </w:rPr>
        <w:t xml:space="preserve"> the database of structures with reduced M</w:t>
      </w:r>
      <w:r w:rsidR="00166159" w:rsidRPr="00460059">
        <w:rPr>
          <w:rFonts w:ascii="Times New Roman" w:eastAsia="Calibri" w:hAnsi="Times New Roman" w:cs="Times New Roman"/>
          <w:bCs/>
          <w:smallCaps/>
          <w:sz w:val="24"/>
          <w:szCs w:val="24"/>
          <w:vertAlign w:val="superscript"/>
          <w:lang w:val="en-GB"/>
        </w:rPr>
        <w:t>...</w:t>
      </w:r>
      <w:r w:rsidRPr="00460059">
        <w:rPr>
          <w:rFonts w:ascii="Times New Roman" w:eastAsia="Calibri" w:hAnsi="Times New Roman" w:cs="Times New Roman"/>
          <w:w w:val="108"/>
          <w:sz w:val="24"/>
          <w:szCs w:val="24"/>
          <w:lang w:val="en-GB"/>
        </w:rPr>
        <w:t>LB distances compatible with SpB,</w:t>
      </w:r>
      <w:r w:rsidR="00166159" w:rsidRPr="00460059">
        <w:rPr>
          <w:rFonts w:ascii="Times New Roman" w:eastAsia="Calibri" w:hAnsi="Times New Roman" w:cs="Times New Roman"/>
          <w:w w:val="108"/>
          <w:sz w:val="24"/>
          <w:szCs w:val="24"/>
          <w:lang w:val="en-GB"/>
        </w:rPr>
        <w:fldChar w:fldCharType="begin" w:fldLock="1"/>
      </w:r>
      <w:r w:rsidR="00D15D67">
        <w:rPr>
          <w:rFonts w:ascii="Times New Roman" w:eastAsia="Calibri" w:hAnsi="Times New Roman" w:cs="Times New Roman"/>
          <w:w w:val="108"/>
          <w:sz w:val="24"/>
          <w:szCs w:val="24"/>
          <w:lang w:val="en-GB"/>
        </w:rPr>
        <w:instrText>ADDIN CSL_CITATION {"citationItems":[{"id":"ITEM-1","itemData":{"DOI":"10.1002/anie.202007814","ISSN":"1433-7851","abstract":"The term Spodium (Sp) bond is proposed to refer to a net attractive interaction between any element of group 12 and electron rich atoms (Lewis bases or anions). We argue how these noncovalent interactions are markedly different from coordination bonds (antibonding Sp–Ligand orbital involved). We provide evidence of the existence of this interaction by calculations at the RI‐MP2/aug‐cc‐pVTZ level of theory, atoms‐in‐molecules and natural bond orbital analyses and by examining solid state structures in the Cambridge Structure Database.","author":[{"dropping-particle":"","family":"Bauzá","given":"Antonio","non-dropping-particle":"","parse-names":false,"suffix":""},{"dropping-particle":"","family":"Alkorta","given":"Ibon","non-dropping-particle":"","parse-names":false,"suffix":""},{"dropping-particle":"","family":"Elguero","given":"José","non-dropping-particle":"","parse-names":false,"suffix":""},{"dropping-particle":"","family":"Mooibroek","given":"Tiddo J.","non-dropping-particle":"","parse-names":false,"suffix":""},{"dropping-particle":"","family":"Frontera","given":"Antonio","non-dropping-particle":"","parse-names":false,"suffix":""}],"container-title":"Angewandte Chemie International Edition","id":"ITEM-1","issued":{"date-parts":[["2020","6","15"]]},"page":"anie.202007814","publisher":"John Wiley &amp; Sons, Ltd","title":"Spodium bonds: noncovalent interactions involving group 12 of elements","type":"article-journal"},"uris":["http://www.mendeley.com/documents/?uuid=c4ba9c17-1826-35bc-ad78-161161235102"]}],"mendeley":{"formattedCitation":"&lt;sup&gt;20&lt;/sup&gt;","plainTextFormattedCitation":"20","previouslyFormattedCitation":"&lt;sup&gt;20&lt;/sup&gt;"},"properties":{"noteIndex":0},"schema":"https://github.com/citation-style-language/schema/raw/master/csl-citation.json"}</w:instrText>
      </w:r>
      <w:r w:rsidR="00166159" w:rsidRPr="00460059">
        <w:rPr>
          <w:rFonts w:ascii="Times New Roman" w:eastAsia="Calibri" w:hAnsi="Times New Roman" w:cs="Times New Roman"/>
          <w:w w:val="108"/>
          <w:sz w:val="24"/>
          <w:szCs w:val="24"/>
          <w:lang w:val="en-GB"/>
        </w:rPr>
        <w:fldChar w:fldCharType="separate"/>
      </w:r>
      <w:r w:rsidR="00F97619" w:rsidRPr="00F97619">
        <w:rPr>
          <w:rFonts w:ascii="Times New Roman" w:eastAsia="Calibri" w:hAnsi="Times New Roman" w:cs="Times New Roman"/>
          <w:noProof/>
          <w:w w:val="108"/>
          <w:sz w:val="24"/>
          <w:szCs w:val="24"/>
          <w:vertAlign w:val="superscript"/>
          <w:lang w:val="en-GB"/>
        </w:rPr>
        <w:t>20</w:t>
      </w:r>
      <w:r w:rsidR="00166159" w:rsidRPr="00460059">
        <w:rPr>
          <w:rFonts w:ascii="Times New Roman" w:eastAsia="Calibri" w:hAnsi="Times New Roman" w:cs="Times New Roman"/>
          <w:w w:val="108"/>
          <w:sz w:val="24"/>
          <w:szCs w:val="24"/>
          <w:lang w:val="en-GB"/>
        </w:rPr>
        <w:fldChar w:fldCharType="end"/>
      </w:r>
      <w:r w:rsidRPr="00460059">
        <w:rPr>
          <w:rFonts w:ascii="Times New Roman" w:eastAsia="Calibri" w:hAnsi="Times New Roman" w:cs="Times New Roman"/>
          <w:w w:val="108"/>
          <w:sz w:val="24"/>
          <w:szCs w:val="24"/>
          <w:lang w:val="en-GB"/>
        </w:rPr>
        <w:t xml:space="preserve"> we have selected exemplificative adducts for each metal containing different ligands, charges and donor types (Scheme 2). We deliberately chose fragments with a large span of interactions energies, ranging from very positive (OTOFOU) to very negative (DUKTAF) values of </w:t>
      </w:r>
      <w:proofErr w:type="spellStart"/>
      <w:r w:rsidRPr="00460059">
        <w:rPr>
          <w:rFonts w:ascii="Times New Roman" w:eastAsia="Calibri" w:hAnsi="Times New Roman" w:cs="Times New Roman"/>
          <w:w w:val="108"/>
          <w:sz w:val="24"/>
          <w:szCs w:val="24"/>
          <w:lang w:val="en-GB"/>
        </w:rPr>
        <w:t>E</w:t>
      </w:r>
      <w:r w:rsidRPr="00460059">
        <w:rPr>
          <w:rFonts w:ascii="Times New Roman" w:eastAsia="Calibri" w:hAnsi="Times New Roman" w:cs="Times New Roman"/>
          <w:w w:val="108"/>
          <w:sz w:val="24"/>
          <w:szCs w:val="24"/>
          <w:vertAlign w:val="subscript"/>
          <w:lang w:val="en-GB"/>
        </w:rPr>
        <w:t>int</w:t>
      </w:r>
      <w:proofErr w:type="spellEnd"/>
      <w:r w:rsidRPr="00460059">
        <w:rPr>
          <w:rFonts w:ascii="Times New Roman" w:eastAsia="Calibri" w:hAnsi="Times New Roman" w:cs="Times New Roman"/>
          <w:w w:val="108"/>
          <w:sz w:val="24"/>
          <w:szCs w:val="24"/>
          <w:lang w:val="en-GB"/>
        </w:rPr>
        <w:t xml:space="preserve">, to check how the latter impacts on </w:t>
      </w:r>
      <w:proofErr w:type="spellStart"/>
      <w:r w:rsidRPr="00460059">
        <w:rPr>
          <w:rFonts w:ascii="Times New Roman" w:eastAsia="Calibri" w:hAnsi="Times New Roman" w:cs="Times New Roman"/>
          <w:w w:val="108"/>
          <w:sz w:val="24"/>
          <w:szCs w:val="24"/>
          <w:lang w:val="en-GB"/>
        </w:rPr>
        <w:t>E</w:t>
      </w:r>
      <w:r w:rsidRPr="00460059">
        <w:rPr>
          <w:rFonts w:ascii="Times New Roman" w:eastAsia="Calibri" w:hAnsi="Times New Roman" w:cs="Times New Roman"/>
          <w:w w:val="108"/>
          <w:sz w:val="24"/>
          <w:szCs w:val="24"/>
          <w:vertAlign w:val="subscript"/>
          <w:lang w:val="en-GB"/>
        </w:rPr>
        <w:t>orb</w:t>
      </w:r>
      <w:proofErr w:type="spellEnd"/>
      <w:r w:rsidRPr="00460059">
        <w:rPr>
          <w:rFonts w:ascii="Times New Roman" w:eastAsia="Calibri" w:hAnsi="Times New Roman" w:cs="Times New Roman"/>
          <w:w w:val="108"/>
          <w:sz w:val="24"/>
          <w:szCs w:val="24"/>
          <w:lang w:val="en-GB"/>
        </w:rPr>
        <w:t xml:space="preserve"> and its decomposition into contributions.</w:t>
      </w:r>
    </w:p>
    <w:p w14:paraId="52CEB143" w14:textId="5775BF04" w:rsidR="002F77FE" w:rsidRPr="00460059" w:rsidRDefault="004E2CC5" w:rsidP="008D46D2">
      <w:pPr>
        <w:pStyle w:val="Corpotesto"/>
        <w:spacing w:after="0" w:line="360" w:lineRule="auto"/>
        <w:jc w:val="both"/>
        <w:rPr>
          <w:rFonts w:ascii="Times New Roman" w:eastAsia="Calibri" w:hAnsi="Times New Roman" w:cs="Times New Roman"/>
          <w:w w:val="108"/>
          <w:sz w:val="24"/>
          <w:szCs w:val="24"/>
          <w:lang w:val="en-GB"/>
        </w:rPr>
      </w:pPr>
      <w:r w:rsidRPr="00460059">
        <w:rPr>
          <w:rFonts w:ascii="Times New Roman" w:eastAsia="Calibri" w:hAnsi="Times New Roman" w:cs="Times New Roman"/>
          <w:w w:val="108"/>
          <w:sz w:val="24"/>
          <w:szCs w:val="24"/>
          <w:lang w:val="en-GB"/>
        </w:rPr>
        <w:t>EDA results (</w:t>
      </w:r>
      <w:r w:rsidR="00C35E35" w:rsidRPr="00460059">
        <w:rPr>
          <w:rFonts w:ascii="Times New Roman" w:eastAsia="Calibri" w:hAnsi="Times New Roman" w:cs="Times New Roman"/>
          <w:w w:val="108"/>
          <w:sz w:val="24"/>
          <w:szCs w:val="24"/>
          <w:lang w:val="en-GB"/>
        </w:rPr>
        <w:fldChar w:fldCharType="begin"/>
      </w:r>
      <w:r w:rsidR="00C35E35" w:rsidRPr="00460059">
        <w:rPr>
          <w:rFonts w:ascii="Times New Roman" w:eastAsia="Calibri" w:hAnsi="Times New Roman" w:cs="Times New Roman"/>
          <w:w w:val="108"/>
          <w:sz w:val="24"/>
          <w:szCs w:val="24"/>
          <w:lang w:val="en-GB"/>
        </w:rPr>
        <w:instrText xml:space="preserve"> REF _Ref47705715 \h </w:instrText>
      </w:r>
      <w:r w:rsidR="00460059">
        <w:rPr>
          <w:rFonts w:ascii="Times New Roman" w:eastAsia="Calibri" w:hAnsi="Times New Roman" w:cs="Times New Roman"/>
          <w:w w:val="108"/>
          <w:sz w:val="24"/>
          <w:szCs w:val="24"/>
          <w:lang w:val="en-GB"/>
        </w:rPr>
        <w:instrText xml:space="preserve"> \* MERGEFORMAT </w:instrText>
      </w:r>
      <w:r w:rsidR="00C35E35" w:rsidRPr="00460059">
        <w:rPr>
          <w:rFonts w:ascii="Times New Roman" w:eastAsia="Calibri" w:hAnsi="Times New Roman" w:cs="Times New Roman"/>
          <w:w w:val="108"/>
          <w:sz w:val="24"/>
          <w:szCs w:val="24"/>
          <w:lang w:val="en-GB"/>
        </w:rPr>
      </w:r>
      <w:r w:rsidR="00C35E35" w:rsidRPr="00460059">
        <w:rPr>
          <w:rFonts w:ascii="Times New Roman" w:eastAsia="Calibri" w:hAnsi="Times New Roman" w:cs="Times New Roman"/>
          <w:w w:val="108"/>
          <w:sz w:val="24"/>
          <w:szCs w:val="24"/>
          <w:lang w:val="en-GB"/>
        </w:rPr>
        <w:fldChar w:fldCharType="separate"/>
      </w:r>
      <w:r w:rsidR="00C35E35" w:rsidRPr="00460059">
        <w:rPr>
          <w:rFonts w:ascii="Times New Roman" w:eastAsia="Calibri" w:hAnsi="Times New Roman" w:cs="Times New Roman"/>
          <w:w w:val="108"/>
          <w:sz w:val="24"/>
          <w:szCs w:val="24"/>
          <w:lang w:val="en-GB"/>
        </w:rPr>
        <w:t>Table 4</w:t>
      </w:r>
      <w:r w:rsidR="00C35E35" w:rsidRPr="00460059">
        <w:rPr>
          <w:rFonts w:ascii="Times New Roman" w:eastAsia="Calibri" w:hAnsi="Times New Roman" w:cs="Times New Roman"/>
          <w:w w:val="108"/>
          <w:sz w:val="24"/>
          <w:szCs w:val="24"/>
          <w:lang w:val="en-GB"/>
        </w:rPr>
        <w:fldChar w:fldCharType="end"/>
      </w:r>
      <w:r w:rsidRPr="00460059">
        <w:rPr>
          <w:rFonts w:ascii="Times New Roman" w:eastAsia="Calibri" w:hAnsi="Times New Roman" w:cs="Times New Roman"/>
          <w:w w:val="108"/>
          <w:sz w:val="24"/>
          <w:szCs w:val="24"/>
          <w:lang w:val="en-GB"/>
        </w:rPr>
        <w:t xml:space="preserve">) </w:t>
      </w:r>
      <w:r w:rsidR="00D80399" w:rsidRPr="00460059">
        <w:rPr>
          <w:rFonts w:ascii="Times New Roman" w:eastAsia="Calibri" w:hAnsi="Times New Roman" w:cs="Times New Roman"/>
          <w:w w:val="108"/>
          <w:sz w:val="24"/>
          <w:szCs w:val="24"/>
          <w:lang w:val="en-GB"/>
        </w:rPr>
        <w:t xml:space="preserve">clearly </w:t>
      </w:r>
      <w:r w:rsidRPr="00460059">
        <w:rPr>
          <w:rFonts w:ascii="Times New Roman" w:eastAsia="Calibri" w:hAnsi="Times New Roman" w:cs="Times New Roman"/>
          <w:w w:val="108"/>
          <w:sz w:val="24"/>
          <w:szCs w:val="24"/>
          <w:lang w:val="en-GB"/>
        </w:rPr>
        <w:t xml:space="preserve">show that all the structures have a favourable orbital contribution to </w:t>
      </w:r>
      <w:proofErr w:type="spellStart"/>
      <w:r w:rsidRPr="00460059">
        <w:rPr>
          <w:rFonts w:ascii="Times New Roman" w:eastAsia="Calibri" w:hAnsi="Times New Roman" w:cs="Times New Roman"/>
          <w:w w:val="108"/>
          <w:sz w:val="24"/>
          <w:szCs w:val="24"/>
          <w:lang w:val="en-GB"/>
        </w:rPr>
        <w:t>E</w:t>
      </w:r>
      <w:r w:rsidRPr="00460059">
        <w:rPr>
          <w:rFonts w:ascii="Times New Roman" w:eastAsia="Calibri" w:hAnsi="Times New Roman" w:cs="Times New Roman"/>
          <w:w w:val="108"/>
          <w:sz w:val="24"/>
          <w:szCs w:val="24"/>
          <w:vertAlign w:val="subscript"/>
          <w:lang w:val="en-GB"/>
        </w:rPr>
        <w:t>int</w:t>
      </w:r>
      <w:proofErr w:type="spellEnd"/>
      <w:r w:rsidRPr="00460059">
        <w:rPr>
          <w:rFonts w:ascii="Times New Roman" w:eastAsia="Calibri" w:hAnsi="Times New Roman" w:cs="Times New Roman"/>
          <w:w w:val="108"/>
          <w:sz w:val="24"/>
          <w:szCs w:val="24"/>
          <w:lang w:val="en-GB"/>
        </w:rPr>
        <w:t xml:space="preserve"> (</w:t>
      </w:r>
      <w:proofErr w:type="spellStart"/>
      <w:r w:rsidRPr="00460059">
        <w:rPr>
          <w:rFonts w:ascii="Times New Roman" w:eastAsia="Calibri" w:hAnsi="Times New Roman" w:cs="Times New Roman"/>
          <w:w w:val="108"/>
          <w:sz w:val="24"/>
          <w:szCs w:val="24"/>
          <w:lang w:val="en-GB"/>
        </w:rPr>
        <w:t>E</w:t>
      </w:r>
      <w:r w:rsidRPr="00460059">
        <w:rPr>
          <w:rFonts w:ascii="Times New Roman" w:eastAsia="Calibri" w:hAnsi="Times New Roman" w:cs="Times New Roman"/>
          <w:w w:val="108"/>
          <w:sz w:val="24"/>
          <w:szCs w:val="24"/>
          <w:vertAlign w:val="subscript"/>
          <w:lang w:val="en-GB"/>
        </w:rPr>
        <w:t>orb</w:t>
      </w:r>
      <w:proofErr w:type="spellEnd"/>
      <w:r w:rsidRPr="00460059">
        <w:rPr>
          <w:rFonts w:ascii="Times New Roman" w:eastAsia="Calibri" w:hAnsi="Times New Roman" w:cs="Times New Roman"/>
          <w:w w:val="108"/>
          <w:sz w:val="24"/>
          <w:szCs w:val="24"/>
          <w:lang w:val="en-GB"/>
        </w:rPr>
        <w:t xml:space="preserve"> &lt;0), even when the two fragments would repel each other when taken out of the crystal lattice, as in OTOFOU, where two [CdCl</w:t>
      </w:r>
      <w:r w:rsidRPr="00460059">
        <w:rPr>
          <w:rFonts w:ascii="Times New Roman" w:eastAsia="Calibri" w:hAnsi="Times New Roman" w:cs="Times New Roman"/>
          <w:w w:val="108"/>
          <w:sz w:val="24"/>
          <w:szCs w:val="24"/>
          <w:vertAlign w:val="subscript"/>
          <w:lang w:val="en-GB"/>
        </w:rPr>
        <w:t>4</w:t>
      </w:r>
      <w:r w:rsidRPr="00460059">
        <w:rPr>
          <w:rFonts w:ascii="Times New Roman" w:eastAsia="Calibri" w:hAnsi="Times New Roman" w:cs="Times New Roman"/>
          <w:w w:val="108"/>
          <w:sz w:val="24"/>
          <w:szCs w:val="24"/>
          <w:lang w:val="en-GB"/>
        </w:rPr>
        <w:t>]</w:t>
      </w:r>
      <w:r w:rsidRPr="00460059">
        <w:rPr>
          <w:rFonts w:ascii="Times New Roman" w:eastAsia="Calibri" w:hAnsi="Times New Roman" w:cs="Times New Roman"/>
          <w:w w:val="108"/>
          <w:sz w:val="24"/>
          <w:szCs w:val="24"/>
          <w:vertAlign w:val="superscript"/>
          <w:lang w:val="en-GB"/>
        </w:rPr>
        <w:t>2-</w:t>
      </w:r>
      <w:r w:rsidRPr="00460059">
        <w:rPr>
          <w:rFonts w:ascii="Times New Roman" w:eastAsia="Calibri" w:hAnsi="Times New Roman" w:cs="Times New Roman"/>
          <w:w w:val="108"/>
          <w:sz w:val="24"/>
          <w:szCs w:val="24"/>
          <w:lang w:val="en-GB"/>
        </w:rPr>
        <w:t xml:space="preserve"> anions are close each other. </w:t>
      </w:r>
      <w:r w:rsidR="00FC09CA" w:rsidRPr="00460059">
        <w:rPr>
          <w:rFonts w:ascii="Times New Roman" w:eastAsia="Calibri" w:hAnsi="Times New Roman" w:cs="Times New Roman"/>
          <w:w w:val="108"/>
          <w:sz w:val="24"/>
          <w:szCs w:val="24"/>
          <w:lang w:val="en-GB"/>
        </w:rPr>
        <w:t>As only the orbital term is important in the NOCV-CD analysis, the intrinsic instability of the isolated adduct is not an issue</w:t>
      </w:r>
      <w:r w:rsidR="004337A3" w:rsidRPr="00460059">
        <w:rPr>
          <w:rFonts w:ascii="Times New Roman" w:eastAsia="Calibri" w:hAnsi="Times New Roman" w:cs="Times New Roman"/>
          <w:w w:val="108"/>
          <w:sz w:val="24"/>
          <w:szCs w:val="24"/>
          <w:lang w:val="en-GB"/>
        </w:rPr>
        <w:t>, here</w:t>
      </w:r>
      <w:r w:rsidR="00FC09CA" w:rsidRPr="00460059">
        <w:rPr>
          <w:rFonts w:ascii="Times New Roman" w:eastAsia="Calibri" w:hAnsi="Times New Roman" w:cs="Times New Roman"/>
          <w:w w:val="108"/>
          <w:sz w:val="24"/>
          <w:szCs w:val="24"/>
          <w:lang w:val="en-GB"/>
        </w:rPr>
        <w:t>. And, indeed, t</w:t>
      </w:r>
      <w:r w:rsidRPr="00460059">
        <w:rPr>
          <w:rFonts w:ascii="Times New Roman" w:eastAsia="Calibri" w:hAnsi="Times New Roman" w:cs="Times New Roman"/>
          <w:w w:val="108"/>
          <w:sz w:val="24"/>
          <w:szCs w:val="24"/>
          <w:lang w:val="en-GB"/>
        </w:rPr>
        <w:t xml:space="preserve">he decomposition of </w:t>
      </w:r>
      <w:proofErr w:type="spellStart"/>
      <w:r w:rsidRPr="00460059">
        <w:rPr>
          <w:rFonts w:ascii="Times New Roman" w:eastAsia="Calibri" w:hAnsi="Times New Roman" w:cs="Times New Roman"/>
          <w:w w:val="108"/>
          <w:sz w:val="24"/>
          <w:szCs w:val="24"/>
          <w:lang w:val="en-GB"/>
        </w:rPr>
        <w:t>E</w:t>
      </w:r>
      <w:r w:rsidRPr="00460059">
        <w:rPr>
          <w:rFonts w:ascii="Times New Roman" w:eastAsia="Calibri" w:hAnsi="Times New Roman" w:cs="Times New Roman"/>
          <w:w w:val="108"/>
          <w:sz w:val="24"/>
          <w:szCs w:val="24"/>
          <w:vertAlign w:val="subscript"/>
          <w:lang w:val="en-GB"/>
        </w:rPr>
        <w:t>orb</w:t>
      </w:r>
      <w:proofErr w:type="spellEnd"/>
      <w:r w:rsidRPr="00460059">
        <w:rPr>
          <w:rFonts w:ascii="Times New Roman" w:eastAsia="Calibri" w:hAnsi="Times New Roman" w:cs="Times New Roman"/>
          <w:w w:val="108"/>
          <w:sz w:val="24"/>
          <w:szCs w:val="24"/>
          <w:lang w:val="en-GB"/>
        </w:rPr>
        <w:t xml:space="preserve"> for such structures by NOCV (</w:t>
      </w:r>
      <w:r w:rsidR="00C35E35" w:rsidRPr="00460059">
        <w:rPr>
          <w:rFonts w:ascii="Times New Roman" w:eastAsia="Calibri" w:hAnsi="Times New Roman" w:cs="Times New Roman"/>
          <w:w w:val="108"/>
          <w:sz w:val="24"/>
          <w:szCs w:val="24"/>
          <w:lang w:val="en-GB"/>
        </w:rPr>
        <w:fldChar w:fldCharType="begin"/>
      </w:r>
      <w:r w:rsidR="00C35E35" w:rsidRPr="00460059">
        <w:rPr>
          <w:rFonts w:ascii="Times New Roman" w:eastAsia="Calibri" w:hAnsi="Times New Roman" w:cs="Times New Roman"/>
          <w:w w:val="108"/>
          <w:sz w:val="24"/>
          <w:szCs w:val="24"/>
          <w:lang w:val="en-GB"/>
        </w:rPr>
        <w:instrText xml:space="preserve"> REF _Ref47705715 \h </w:instrText>
      </w:r>
      <w:r w:rsidR="00460059">
        <w:rPr>
          <w:rFonts w:ascii="Times New Roman" w:eastAsia="Calibri" w:hAnsi="Times New Roman" w:cs="Times New Roman"/>
          <w:w w:val="108"/>
          <w:sz w:val="24"/>
          <w:szCs w:val="24"/>
          <w:lang w:val="en-GB"/>
        </w:rPr>
        <w:instrText xml:space="preserve"> \* MERGEFORMAT </w:instrText>
      </w:r>
      <w:r w:rsidR="00C35E35" w:rsidRPr="00460059">
        <w:rPr>
          <w:rFonts w:ascii="Times New Roman" w:eastAsia="Calibri" w:hAnsi="Times New Roman" w:cs="Times New Roman"/>
          <w:w w:val="108"/>
          <w:sz w:val="24"/>
          <w:szCs w:val="24"/>
          <w:lang w:val="en-GB"/>
        </w:rPr>
      </w:r>
      <w:r w:rsidR="00C35E35" w:rsidRPr="00460059">
        <w:rPr>
          <w:rFonts w:ascii="Times New Roman" w:eastAsia="Calibri" w:hAnsi="Times New Roman" w:cs="Times New Roman"/>
          <w:w w:val="108"/>
          <w:sz w:val="24"/>
          <w:szCs w:val="24"/>
          <w:lang w:val="en-GB"/>
        </w:rPr>
        <w:fldChar w:fldCharType="separate"/>
      </w:r>
      <w:r w:rsidR="00C35E35" w:rsidRPr="00460059">
        <w:rPr>
          <w:rFonts w:ascii="Times New Roman" w:eastAsia="Calibri" w:hAnsi="Times New Roman" w:cs="Times New Roman"/>
          <w:w w:val="108"/>
          <w:sz w:val="24"/>
          <w:szCs w:val="24"/>
          <w:lang w:val="en-GB"/>
        </w:rPr>
        <w:t>Table 4</w:t>
      </w:r>
      <w:r w:rsidR="00C35E35" w:rsidRPr="00460059">
        <w:rPr>
          <w:rFonts w:ascii="Times New Roman" w:eastAsia="Calibri" w:hAnsi="Times New Roman" w:cs="Times New Roman"/>
          <w:w w:val="108"/>
          <w:sz w:val="24"/>
          <w:szCs w:val="24"/>
          <w:lang w:val="en-GB"/>
        </w:rPr>
        <w:fldChar w:fldCharType="end"/>
      </w:r>
      <w:r w:rsidRPr="00460059">
        <w:rPr>
          <w:rFonts w:ascii="Times New Roman" w:eastAsia="Calibri" w:hAnsi="Times New Roman" w:cs="Times New Roman"/>
          <w:w w:val="108"/>
          <w:sz w:val="24"/>
          <w:szCs w:val="24"/>
          <w:lang w:val="en-GB"/>
        </w:rPr>
        <w:t>) offers interesting details about the impact of the different intermolecular interactions.</w:t>
      </w:r>
    </w:p>
    <w:p w14:paraId="7EB4D895" w14:textId="48A2C5ED" w:rsidR="00DD5C2B" w:rsidRPr="00460059" w:rsidRDefault="00DD5C2B" w:rsidP="00DD5C2B">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Starting with zinc systems, two different adducts can be isolated from the ASEZIJ lattice (-a and -b in </w:t>
      </w:r>
      <w:r w:rsidRPr="00460059">
        <w:rPr>
          <w:rFonts w:ascii="Times New Roman" w:hAnsi="Times New Roman" w:cs="Times New Roman"/>
          <w:bCs/>
          <w:sz w:val="24"/>
          <w:szCs w:val="24"/>
          <w:lang w:val="en-GB"/>
        </w:rPr>
        <w:fldChar w:fldCharType="begin"/>
      </w:r>
      <w:r w:rsidRPr="00460059">
        <w:rPr>
          <w:rFonts w:ascii="Times New Roman" w:hAnsi="Times New Roman" w:cs="Times New Roman"/>
          <w:bCs/>
          <w:sz w:val="24"/>
          <w:szCs w:val="24"/>
          <w:lang w:val="en-GB"/>
        </w:rPr>
        <w:instrText xml:space="preserve"> REF _Ref47705715 \h </w:instrText>
      </w:r>
      <w:r w:rsidR="00460059">
        <w:rPr>
          <w:rFonts w:ascii="Times New Roman" w:hAnsi="Times New Roman" w:cs="Times New Roman"/>
          <w:bCs/>
          <w:sz w:val="24"/>
          <w:szCs w:val="24"/>
          <w:lang w:val="en-GB"/>
        </w:rPr>
        <w:instrText xml:space="preserve"> \* MERGEFORMAT </w:instrText>
      </w:r>
      <w:r w:rsidRPr="00460059">
        <w:rPr>
          <w:rFonts w:ascii="Times New Roman" w:hAnsi="Times New Roman" w:cs="Times New Roman"/>
          <w:bCs/>
          <w:sz w:val="24"/>
          <w:szCs w:val="24"/>
          <w:lang w:val="en-GB"/>
        </w:rPr>
      </w:r>
      <w:r w:rsidRPr="00460059">
        <w:rPr>
          <w:rFonts w:ascii="Times New Roman" w:hAnsi="Times New Roman" w:cs="Times New Roman"/>
          <w:bCs/>
          <w:sz w:val="24"/>
          <w:szCs w:val="24"/>
          <w:lang w:val="en-GB"/>
        </w:rPr>
        <w:fldChar w:fldCharType="separate"/>
      </w:r>
      <w:r w:rsidRPr="00460059">
        <w:rPr>
          <w:rFonts w:ascii="Times New Roman" w:eastAsia="Calibri" w:hAnsi="Times New Roman" w:cs="Times New Roman"/>
          <w:w w:val="108"/>
          <w:sz w:val="24"/>
          <w:szCs w:val="24"/>
          <w:lang w:val="en-GB"/>
        </w:rPr>
        <w:t>Table 4</w:t>
      </w:r>
      <w:r w:rsidRPr="00460059">
        <w:rPr>
          <w:rFonts w:ascii="Times New Roman" w:hAnsi="Times New Roman" w:cs="Times New Roman"/>
          <w:bCs/>
          <w:sz w:val="24"/>
          <w:szCs w:val="24"/>
          <w:lang w:val="en-GB"/>
        </w:rPr>
        <w:fldChar w:fldCharType="end"/>
      </w:r>
      <w:r w:rsidRPr="00460059">
        <w:rPr>
          <w:rFonts w:ascii="Times New Roman" w:hAnsi="Times New Roman" w:cs="Times New Roman"/>
          <w:bCs/>
          <w:sz w:val="24"/>
          <w:szCs w:val="24"/>
          <w:lang w:val="en-GB"/>
        </w:rPr>
        <w:t xml:space="preserve">), the former of which has an </w:t>
      </w:r>
      <w:proofErr w:type="spellStart"/>
      <w:r w:rsidRPr="00460059">
        <w:rPr>
          <w:rFonts w:ascii="Times New Roman" w:hAnsi="Times New Roman" w:cs="Times New Roman"/>
          <w:bCs/>
          <w:sz w:val="24"/>
          <w:szCs w:val="24"/>
          <w:lang w:val="en-GB"/>
        </w:rPr>
        <w:t>E</w:t>
      </w:r>
      <w:r w:rsidRPr="00460059">
        <w:rPr>
          <w:rFonts w:ascii="Times New Roman" w:hAnsi="Times New Roman" w:cs="Times New Roman"/>
          <w:bCs/>
          <w:sz w:val="24"/>
          <w:szCs w:val="24"/>
          <w:vertAlign w:val="subscript"/>
          <w:lang w:val="en-GB"/>
        </w:rPr>
        <w:t>int</w:t>
      </w:r>
      <w:proofErr w:type="spellEnd"/>
      <w:r w:rsidRPr="00460059">
        <w:rPr>
          <w:rFonts w:ascii="Times New Roman" w:hAnsi="Times New Roman" w:cs="Times New Roman"/>
          <w:bCs/>
          <w:sz w:val="24"/>
          <w:szCs w:val="24"/>
          <w:lang w:val="en-GB"/>
        </w:rPr>
        <w:t xml:space="preserve"> much smaller than the latter. In both cases, the bromine atom, although it is spatially close to the zinc and laying </w:t>
      </w:r>
      <w:r w:rsidR="00AC11F5">
        <w:rPr>
          <w:rFonts w:ascii="Times New Roman" w:hAnsi="Times New Roman" w:cs="Times New Roman"/>
          <w:bCs/>
          <w:sz w:val="24"/>
          <w:szCs w:val="24"/>
          <w:lang w:val="en-GB"/>
        </w:rPr>
        <w:t>approximately</w:t>
      </w:r>
      <w:r w:rsidRPr="00460059">
        <w:rPr>
          <w:rFonts w:ascii="Times New Roman" w:hAnsi="Times New Roman" w:cs="Times New Roman"/>
          <w:bCs/>
          <w:sz w:val="24"/>
          <w:szCs w:val="24"/>
          <w:lang w:val="en-GB"/>
        </w:rPr>
        <w:t xml:space="preserve"> on the prolongation of the Br-Zn bond (Br-Zn</w:t>
      </w:r>
      <w:r w:rsidRPr="00460059">
        <w:rPr>
          <w:rFonts w:ascii="Times New Roman" w:hAnsi="Times New Roman" w:cs="Times New Roman"/>
          <w:bCs/>
          <w:sz w:val="24"/>
          <w:szCs w:val="24"/>
          <w:vertAlign w:val="superscript"/>
          <w:lang w:val="en-GB"/>
        </w:rPr>
        <w:t>...</w:t>
      </w:r>
      <w:r w:rsidRPr="00460059">
        <w:rPr>
          <w:rFonts w:ascii="Times New Roman" w:hAnsi="Times New Roman" w:cs="Times New Roman"/>
          <w:bCs/>
          <w:sz w:val="24"/>
          <w:szCs w:val="24"/>
          <w:lang w:val="en-GB"/>
        </w:rPr>
        <w:t xml:space="preserve">Br angles = 163.9 and 143.9°, respectively), does not show any </w:t>
      </w:r>
      <w:proofErr w:type="spellStart"/>
      <w:r w:rsidRPr="00460059">
        <w:rPr>
          <w:rFonts w:ascii="Times New Roman" w:hAnsi="Times New Roman" w:cs="Times New Roman"/>
          <w:bCs/>
          <w:sz w:val="24"/>
          <w:szCs w:val="24"/>
          <w:lang w:val="en-GB"/>
        </w:rPr>
        <w:t>SpB</w:t>
      </w:r>
      <w:proofErr w:type="spellEnd"/>
      <w:r w:rsidRPr="00460059">
        <w:rPr>
          <w:rFonts w:ascii="Times New Roman" w:hAnsi="Times New Roman" w:cs="Times New Roman"/>
          <w:bCs/>
          <w:sz w:val="24"/>
          <w:szCs w:val="24"/>
          <w:lang w:val="en-GB"/>
        </w:rPr>
        <w:t xml:space="preserve"> orbital contribution. The </w:t>
      </w:r>
      <w:r w:rsidRPr="00460059">
        <w:rPr>
          <w:rFonts w:ascii="Times New Roman" w:hAnsi="Times New Roman" w:cs="Times New Roman"/>
          <w:bCs/>
          <w:sz w:val="24"/>
          <w:szCs w:val="24"/>
          <w:lang w:val="en-GB"/>
        </w:rPr>
        <w:lastRenderedPageBreak/>
        <w:t>only orbital interaction is a halogen bond (XB) between the σ hole on the Br</w:t>
      </w:r>
      <w:r w:rsidRPr="00460059">
        <w:rPr>
          <w:rFonts w:ascii="Times New Roman" w:hAnsi="Times New Roman" w:cs="Times New Roman"/>
          <w:bCs/>
          <w:sz w:val="24"/>
          <w:szCs w:val="24"/>
          <w:vertAlign w:val="subscript"/>
          <w:lang w:val="en-GB"/>
        </w:rPr>
        <w:t>2</w:t>
      </w:r>
      <w:r w:rsidRPr="00460059">
        <w:rPr>
          <w:rFonts w:ascii="Times New Roman" w:hAnsi="Times New Roman" w:cs="Times New Roman"/>
          <w:bCs/>
          <w:sz w:val="24"/>
          <w:szCs w:val="24"/>
          <w:lang w:val="en-GB"/>
        </w:rPr>
        <w:t xml:space="preserve"> moiety and the lone pairs of the bromine atoms coordinated to the zinc. As before, it cannot be excluded that the presence of the metal could be important in the electrostatic term in determining the adduct geometry.</w:t>
      </w:r>
    </w:p>
    <w:p w14:paraId="0E7CA491" w14:textId="77777777" w:rsidR="00FC09CA" w:rsidRPr="00460059" w:rsidRDefault="00FC09CA" w:rsidP="008D46D2">
      <w:pPr>
        <w:pStyle w:val="Corpotesto"/>
        <w:spacing w:after="0" w:line="360" w:lineRule="auto"/>
        <w:jc w:val="both"/>
        <w:rPr>
          <w:rFonts w:ascii="Times New Roman" w:eastAsia="Calibri" w:hAnsi="Times New Roman" w:cs="Times New Roman"/>
          <w:w w:val="108"/>
          <w:sz w:val="24"/>
          <w:szCs w:val="24"/>
          <w:lang w:val="en-GB"/>
        </w:rPr>
      </w:pPr>
    </w:p>
    <w:p w14:paraId="7D3D47C9" w14:textId="403AD2D6" w:rsidR="00807781" w:rsidRPr="00460059" w:rsidRDefault="00807781" w:rsidP="00807781">
      <w:pPr>
        <w:pStyle w:val="Corpotesto"/>
        <w:spacing w:after="0" w:line="360" w:lineRule="auto"/>
        <w:jc w:val="both"/>
        <w:rPr>
          <w:rFonts w:ascii="Times New Roman" w:eastAsia="Calibri" w:hAnsi="Times New Roman" w:cs="Times New Roman"/>
          <w:w w:val="108"/>
          <w:sz w:val="24"/>
          <w:szCs w:val="24"/>
          <w:lang w:val="en-GB"/>
        </w:rPr>
      </w:pPr>
      <w:bookmarkStart w:id="6" w:name="_Ref47705715"/>
      <w:r w:rsidRPr="00460059">
        <w:rPr>
          <w:rFonts w:ascii="Times New Roman" w:eastAsia="Calibri" w:hAnsi="Times New Roman" w:cs="Times New Roman"/>
          <w:w w:val="108"/>
          <w:sz w:val="24"/>
          <w:szCs w:val="24"/>
          <w:lang w:val="en-GB"/>
        </w:rPr>
        <w:t xml:space="preserve">Table </w:t>
      </w:r>
      <w:r w:rsidRPr="00460059">
        <w:rPr>
          <w:rFonts w:ascii="Times New Roman" w:eastAsia="Calibri" w:hAnsi="Times New Roman" w:cs="Times New Roman"/>
          <w:w w:val="108"/>
          <w:sz w:val="24"/>
          <w:szCs w:val="24"/>
          <w:lang w:val="en-GB"/>
        </w:rPr>
        <w:fldChar w:fldCharType="begin"/>
      </w:r>
      <w:r w:rsidRPr="00460059">
        <w:rPr>
          <w:rFonts w:ascii="Times New Roman" w:eastAsia="Calibri" w:hAnsi="Times New Roman" w:cs="Times New Roman"/>
          <w:w w:val="108"/>
          <w:sz w:val="24"/>
          <w:szCs w:val="24"/>
          <w:lang w:val="en-GB"/>
        </w:rPr>
        <w:instrText xml:space="preserve"> SEQ Table \* ARABIC </w:instrText>
      </w:r>
      <w:r w:rsidRPr="00460059">
        <w:rPr>
          <w:rFonts w:ascii="Times New Roman" w:eastAsia="Calibri" w:hAnsi="Times New Roman" w:cs="Times New Roman"/>
          <w:w w:val="108"/>
          <w:sz w:val="24"/>
          <w:szCs w:val="24"/>
          <w:lang w:val="en-GB"/>
        </w:rPr>
        <w:fldChar w:fldCharType="separate"/>
      </w:r>
      <w:r w:rsidRPr="00460059">
        <w:rPr>
          <w:rFonts w:ascii="Times New Roman" w:eastAsia="Calibri" w:hAnsi="Times New Roman" w:cs="Times New Roman"/>
          <w:w w:val="108"/>
          <w:sz w:val="24"/>
          <w:szCs w:val="24"/>
          <w:lang w:val="en-GB"/>
        </w:rPr>
        <w:t>4</w:t>
      </w:r>
      <w:r w:rsidRPr="00460059">
        <w:rPr>
          <w:rFonts w:ascii="Times New Roman" w:eastAsia="Calibri" w:hAnsi="Times New Roman" w:cs="Times New Roman"/>
          <w:w w:val="108"/>
          <w:sz w:val="24"/>
          <w:szCs w:val="24"/>
          <w:lang w:val="en-GB"/>
        </w:rPr>
        <w:fldChar w:fldCharType="end"/>
      </w:r>
      <w:bookmarkEnd w:id="6"/>
      <w:r w:rsidRPr="00460059">
        <w:rPr>
          <w:rFonts w:ascii="Times New Roman" w:eastAsia="Calibri" w:hAnsi="Times New Roman" w:cs="Times New Roman"/>
          <w:w w:val="108"/>
          <w:sz w:val="24"/>
          <w:szCs w:val="24"/>
          <w:lang w:val="en-GB"/>
        </w:rPr>
        <w:t xml:space="preserve">. </w:t>
      </w:r>
      <w:r w:rsidR="00C35E35" w:rsidRPr="00460059">
        <w:rPr>
          <w:rFonts w:ascii="Times New Roman" w:eastAsia="Calibri" w:hAnsi="Times New Roman" w:cs="Times New Roman"/>
          <w:w w:val="108"/>
          <w:sz w:val="24"/>
          <w:szCs w:val="24"/>
          <w:lang w:val="en-GB"/>
        </w:rPr>
        <w:t>EDA results</w:t>
      </w:r>
      <w:r w:rsidRPr="00460059">
        <w:rPr>
          <w:rFonts w:ascii="Times New Roman" w:eastAsia="Calibri" w:hAnsi="Times New Roman" w:cs="Times New Roman"/>
          <w:w w:val="108"/>
          <w:sz w:val="24"/>
          <w:szCs w:val="24"/>
          <w:lang w:val="en-GB"/>
        </w:rPr>
        <w:t xml:space="preserve"> (in kcal/mol) and CT values (in me) relative to the different bond components for experimental solid-state dimers from </w:t>
      </w:r>
      <w:r w:rsidR="00ED7744" w:rsidRPr="00460059">
        <w:rPr>
          <w:rFonts w:ascii="Times New Roman" w:eastAsia="Calibri" w:hAnsi="Times New Roman" w:cs="Times New Roman"/>
          <w:w w:val="108"/>
          <w:sz w:val="24"/>
          <w:szCs w:val="24"/>
          <w:lang w:val="en-GB"/>
        </w:rPr>
        <w:t>CSD</w:t>
      </w:r>
      <w:r w:rsidRPr="00460059">
        <w:rPr>
          <w:rFonts w:ascii="Times New Roman" w:eastAsia="Calibri" w:hAnsi="Times New Roman" w:cs="Times New Roman"/>
          <w:w w:val="108"/>
          <w:sz w:val="24"/>
          <w:szCs w:val="24"/>
          <w:lang w:val="en-GB"/>
        </w:rPr>
        <w:t>.</w:t>
      </w:r>
    </w:p>
    <w:tbl>
      <w:tblPr>
        <w:tblW w:w="0" w:type="auto"/>
        <w:tblLook w:val="04A0" w:firstRow="1" w:lastRow="0" w:firstColumn="1" w:lastColumn="0" w:noHBand="0" w:noVBand="1"/>
      </w:tblPr>
      <w:tblGrid>
        <w:gridCol w:w="1200"/>
        <w:gridCol w:w="733"/>
        <w:gridCol w:w="633"/>
        <w:gridCol w:w="733"/>
        <w:gridCol w:w="582"/>
        <w:gridCol w:w="1305"/>
        <w:gridCol w:w="1212"/>
        <w:gridCol w:w="1336"/>
        <w:gridCol w:w="1259"/>
        <w:gridCol w:w="456"/>
      </w:tblGrid>
      <w:tr w:rsidR="00551B1C" w:rsidRPr="00460059" w14:paraId="07515BC4" w14:textId="2357C1D4" w:rsidTr="00700B05">
        <w:tc>
          <w:tcPr>
            <w:tcW w:w="0" w:type="auto"/>
            <w:tcBorders>
              <w:top w:val="single" w:sz="4" w:space="0" w:color="auto"/>
              <w:bottom w:val="single" w:sz="4" w:space="0" w:color="auto"/>
            </w:tcBorders>
            <w:shd w:val="clear" w:color="auto" w:fill="auto"/>
          </w:tcPr>
          <w:p w14:paraId="32F7E940" w14:textId="77777777"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Adduct</w:t>
            </w:r>
          </w:p>
        </w:tc>
        <w:tc>
          <w:tcPr>
            <w:tcW w:w="0" w:type="auto"/>
            <w:tcBorders>
              <w:top w:val="single" w:sz="4" w:space="0" w:color="auto"/>
              <w:bottom w:val="single" w:sz="4" w:space="0" w:color="auto"/>
            </w:tcBorders>
          </w:tcPr>
          <w:p w14:paraId="589A9DF6" w14:textId="2EC32F24"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proofErr w:type="spellStart"/>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int</w:t>
            </w:r>
            <w:proofErr w:type="spellEnd"/>
          </w:p>
        </w:tc>
        <w:tc>
          <w:tcPr>
            <w:tcW w:w="0" w:type="auto"/>
            <w:tcBorders>
              <w:top w:val="single" w:sz="4" w:space="0" w:color="auto"/>
              <w:bottom w:val="single" w:sz="4" w:space="0" w:color="auto"/>
            </w:tcBorders>
            <w:shd w:val="clear" w:color="auto" w:fill="auto"/>
          </w:tcPr>
          <w:p w14:paraId="6BBC0035" w14:textId="2E74F9A9"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proofErr w:type="spellStart"/>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orb</w:t>
            </w:r>
            <w:proofErr w:type="spellEnd"/>
          </w:p>
        </w:tc>
        <w:tc>
          <w:tcPr>
            <w:tcW w:w="0" w:type="auto"/>
            <w:tcBorders>
              <w:top w:val="single" w:sz="4" w:space="0" w:color="auto"/>
              <w:bottom w:val="single" w:sz="4" w:space="0" w:color="auto"/>
            </w:tcBorders>
          </w:tcPr>
          <w:p w14:paraId="4EBC69A7" w14:textId="0F16AD2D"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st</w:t>
            </w:r>
          </w:p>
        </w:tc>
        <w:tc>
          <w:tcPr>
            <w:tcW w:w="0" w:type="auto"/>
            <w:tcBorders>
              <w:top w:val="single" w:sz="4" w:space="0" w:color="auto"/>
              <w:bottom w:val="single" w:sz="4" w:space="0" w:color="auto"/>
            </w:tcBorders>
          </w:tcPr>
          <w:p w14:paraId="2D2DFA92" w14:textId="2F257CF6"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proofErr w:type="spellStart"/>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disp</w:t>
            </w:r>
            <w:proofErr w:type="spellEnd"/>
          </w:p>
        </w:tc>
        <w:tc>
          <w:tcPr>
            <w:tcW w:w="0" w:type="auto"/>
            <w:tcBorders>
              <w:top w:val="single" w:sz="4" w:space="0" w:color="auto"/>
              <w:bottom w:val="single" w:sz="4" w:space="0" w:color="auto"/>
            </w:tcBorders>
            <w:shd w:val="clear" w:color="auto" w:fill="auto"/>
          </w:tcPr>
          <w:p w14:paraId="2660E7CB" w14:textId="46EB5F86"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proofErr w:type="spellStart"/>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SpB</w:t>
            </w:r>
            <w:proofErr w:type="spellEnd"/>
            <w:r w:rsidRPr="00460059">
              <w:rPr>
                <w:rFonts w:ascii="Times New Roman" w:eastAsia="Calibri" w:hAnsi="Times New Roman" w:cs="Times New Roman"/>
                <w:w w:val="108"/>
                <w:sz w:val="20"/>
                <w:szCs w:val="20"/>
                <w:lang w:val="en-GB"/>
              </w:rPr>
              <w:t xml:space="preserve"> (</w:t>
            </w:r>
            <w:proofErr w:type="spellStart"/>
            <w:r w:rsidRPr="00460059">
              <w:rPr>
                <w:rFonts w:ascii="Times New Roman" w:eastAsia="Calibri" w:hAnsi="Times New Roman" w:cs="Times New Roman"/>
                <w:w w:val="108"/>
                <w:sz w:val="20"/>
                <w:szCs w:val="20"/>
                <w:lang w:val="en-GB"/>
              </w:rPr>
              <w:t>CT</w:t>
            </w:r>
            <w:r w:rsidRPr="00460059">
              <w:rPr>
                <w:rFonts w:ascii="Times New Roman" w:eastAsia="Calibri" w:hAnsi="Times New Roman" w:cs="Times New Roman"/>
                <w:w w:val="108"/>
                <w:sz w:val="20"/>
                <w:szCs w:val="20"/>
                <w:vertAlign w:val="subscript"/>
                <w:lang w:val="en-GB"/>
              </w:rPr>
              <w:t>SpB</w:t>
            </w:r>
            <w:proofErr w:type="spellEnd"/>
            <w:r w:rsidRPr="00460059">
              <w:rPr>
                <w:rFonts w:ascii="Times New Roman" w:eastAsia="Calibri" w:hAnsi="Times New Roman" w:cs="Times New Roman"/>
                <w:w w:val="108"/>
                <w:sz w:val="20"/>
                <w:szCs w:val="20"/>
                <w:lang w:val="en-GB"/>
              </w:rPr>
              <w:t>)</w:t>
            </w:r>
          </w:p>
        </w:tc>
        <w:tc>
          <w:tcPr>
            <w:tcW w:w="0" w:type="auto"/>
            <w:tcBorders>
              <w:top w:val="single" w:sz="4" w:space="0" w:color="auto"/>
              <w:bottom w:val="single" w:sz="4" w:space="0" w:color="auto"/>
            </w:tcBorders>
            <w:shd w:val="clear" w:color="auto" w:fill="auto"/>
          </w:tcPr>
          <w:p w14:paraId="6EA91802" w14:textId="77777777"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HB</w:t>
            </w:r>
            <w:r w:rsidRPr="00460059">
              <w:rPr>
                <w:rFonts w:ascii="Times New Roman" w:eastAsia="Calibri" w:hAnsi="Times New Roman" w:cs="Times New Roman"/>
                <w:w w:val="108"/>
                <w:sz w:val="20"/>
                <w:szCs w:val="20"/>
                <w:lang w:val="en-GB"/>
              </w:rPr>
              <w:t xml:space="preserve"> (CT</w:t>
            </w:r>
            <w:r w:rsidRPr="00460059">
              <w:rPr>
                <w:rFonts w:ascii="Times New Roman" w:eastAsia="Calibri" w:hAnsi="Times New Roman" w:cs="Times New Roman"/>
                <w:w w:val="108"/>
                <w:sz w:val="20"/>
                <w:szCs w:val="20"/>
                <w:vertAlign w:val="subscript"/>
                <w:lang w:val="en-GB"/>
              </w:rPr>
              <w:t>HB</w:t>
            </w:r>
            <w:r w:rsidRPr="00460059">
              <w:rPr>
                <w:rFonts w:ascii="Times New Roman" w:eastAsia="Calibri" w:hAnsi="Times New Roman" w:cs="Times New Roman"/>
                <w:w w:val="108"/>
                <w:sz w:val="20"/>
                <w:szCs w:val="20"/>
                <w:lang w:val="en-GB"/>
              </w:rPr>
              <w:t>)</w:t>
            </w:r>
          </w:p>
        </w:tc>
        <w:tc>
          <w:tcPr>
            <w:tcW w:w="0" w:type="auto"/>
            <w:tcBorders>
              <w:top w:val="single" w:sz="4" w:space="0" w:color="auto"/>
              <w:bottom w:val="single" w:sz="4" w:space="0" w:color="auto"/>
            </w:tcBorders>
            <w:shd w:val="clear" w:color="auto" w:fill="auto"/>
          </w:tcPr>
          <w:p w14:paraId="680AE695" w14:textId="77777777"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proofErr w:type="spellStart"/>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ChB</w:t>
            </w:r>
            <w:proofErr w:type="spellEnd"/>
            <w:r w:rsidRPr="00460059">
              <w:rPr>
                <w:rFonts w:ascii="Times New Roman" w:eastAsia="Calibri" w:hAnsi="Times New Roman" w:cs="Times New Roman"/>
                <w:w w:val="108"/>
                <w:sz w:val="20"/>
                <w:szCs w:val="20"/>
                <w:lang w:val="en-GB"/>
              </w:rPr>
              <w:t xml:space="preserve"> (</w:t>
            </w:r>
            <w:proofErr w:type="spellStart"/>
            <w:r w:rsidRPr="00460059">
              <w:rPr>
                <w:rFonts w:ascii="Times New Roman" w:eastAsia="Calibri" w:hAnsi="Times New Roman" w:cs="Times New Roman"/>
                <w:w w:val="108"/>
                <w:sz w:val="20"/>
                <w:szCs w:val="20"/>
                <w:lang w:val="en-GB"/>
              </w:rPr>
              <w:t>CT</w:t>
            </w:r>
            <w:r w:rsidRPr="00460059">
              <w:rPr>
                <w:rFonts w:ascii="Times New Roman" w:eastAsia="Calibri" w:hAnsi="Times New Roman" w:cs="Times New Roman"/>
                <w:w w:val="108"/>
                <w:sz w:val="20"/>
                <w:szCs w:val="20"/>
                <w:vertAlign w:val="subscript"/>
                <w:lang w:val="en-GB"/>
              </w:rPr>
              <w:t>ChB</w:t>
            </w:r>
            <w:proofErr w:type="spellEnd"/>
            <w:r w:rsidRPr="00460059">
              <w:rPr>
                <w:rFonts w:ascii="Times New Roman" w:eastAsia="Calibri" w:hAnsi="Times New Roman" w:cs="Times New Roman"/>
                <w:w w:val="108"/>
                <w:sz w:val="20"/>
                <w:szCs w:val="20"/>
                <w:lang w:val="en-GB"/>
              </w:rPr>
              <w:t>)</w:t>
            </w:r>
          </w:p>
        </w:tc>
        <w:tc>
          <w:tcPr>
            <w:tcW w:w="0" w:type="auto"/>
            <w:tcBorders>
              <w:top w:val="single" w:sz="4" w:space="0" w:color="auto"/>
              <w:bottom w:val="single" w:sz="4" w:space="0" w:color="auto"/>
            </w:tcBorders>
            <w:shd w:val="clear" w:color="auto" w:fill="auto"/>
          </w:tcPr>
          <w:p w14:paraId="053CC4AA" w14:textId="77777777" w:rsidR="007D7EFD" w:rsidRPr="00460059" w:rsidRDefault="007D7EFD" w:rsidP="00807781">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E</w:t>
            </w:r>
            <w:r w:rsidRPr="00460059">
              <w:rPr>
                <w:rFonts w:ascii="Times New Roman" w:eastAsia="Calibri" w:hAnsi="Times New Roman" w:cs="Times New Roman"/>
                <w:w w:val="108"/>
                <w:sz w:val="20"/>
                <w:szCs w:val="20"/>
                <w:vertAlign w:val="subscript"/>
                <w:lang w:val="en-GB"/>
              </w:rPr>
              <w:t>XB</w:t>
            </w:r>
            <w:r w:rsidRPr="00460059">
              <w:rPr>
                <w:rFonts w:ascii="Times New Roman" w:eastAsia="Calibri" w:hAnsi="Times New Roman" w:cs="Times New Roman"/>
                <w:w w:val="108"/>
                <w:sz w:val="20"/>
                <w:szCs w:val="20"/>
                <w:lang w:val="en-GB"/>
              </w:rPr>
              <w:t xml:space="preserve"> (CT</w:t>
            </w:r>
            <w:r w:rsidRPr="00460059">
              <w:rPr>
                <w:rFonts w:ascii="Times New Roman" w:eastAsia="Calibri" w:hAnsi="Times New Roman" w:cs="Times New Roman"/>
                <w:w w:val="108"/>
                <w:sz w:val="20"/>
                <w:szCs w:val="20"/>
                <w:vertAlign w:val="subscript"/>
                <w:lang w:val="en-GB"/>
              </w:rPr>
              <w:t>XB</w:t>
            </w:r>
            <w:r w:rsidRPr="00460059">
              <w:rPr>
                <w:rFonts w:ascii="Times New Roman" w:eastAsia="Calibri" w:hAnsi="Times New Roman" w:cs="Times New Roman"/>
                <w:w w:val="108"/>
                <w:sz w:val="20"/>
                <w:szCs w:val="20"/>
                <w:lang w:val="en-GB"/>
              </w:rPr>
              <w:t>)</w:t>
            </w:r>
          </w:p>
        </w:tc>
        <w:tc>
          <w:tcPr>
            <w:tcW w:w="0" w:type="auto"/>
            <w:tcBorders>
              <w:top w:val="single" w:sz="4" w:space="0" w:color="auto"/>
              <w:bottom w:val="single" w:sz="4" w:space="0" w:color="auto"/>
            </w:tcBorders>
          </w:tcPr>
          <w:p w14:paraId="78B3AE11" w14:textId="78B33950" w:rsidR="007D7EFD" w:rsidRPr="00460059" w:rsidRDefault="008C6074" w:rsidP="00807781">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ref</w:t>
            </w:r>
          </w:p>
        </w:tc>
      </w:tr>
      <w:tr w:rsidR="00E31D52" w:rsidRPr="00460059" w14:paraId="6F32FEF6" w14:textId="5720194F" w:rsidTr="00700B05">
        <w:tc>
          <w:tcPr>
            <w:tcW w:w="0" w:type="auto"/>
            <w:gridSpan w:val="9"/>
            <w:tcBorders>
              <w:top w:val="single" w:sz="4" w:space="0" w:color="auto"/>
            </w:tcBorders>
          </w:tcPr>
          <w:p w14:paraId="573A35E9" w14:textId="57F270C7" w:rsidR="007D7EFD" w:rsidRPr="00460059" w:rsidRDefault="007D7EFD" w:rsidP="00807781">
            <w:pPr>
              <w:pStyle w:val="Corpotesto"/>
              <w:spacing w:after="0" w:line="360" w:lineRule="auto"/>
              <w:jc w:val="center"/>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M = Zn</w:t>
            </w:r>
          </w:p>
        </w:tc>
        <w:tc>
          <w:tcPr>
            <w:tcW w:w="0" w:type="auto"/>
            <w:tcBorders>
              <w:top w:val="single" w:sz="4" w:space="0" w:color="auto"/>
            </w:tcBorders>
          </w:tcPr>
          <w:p w14:paraId="0577D188" w14:textId="77777777" w:rsidR="007D7EFD" w:rsidRPr="00460059" w:rsidRDefault="007D7EFD" w:rsidP="00807781">
            <w:pPr>
              <w:pStyle w:val="Corpotesto"/>
              <w:spacing w:after="0" w:line="360" w:lineRule="auto"/>
              <w:jc w:val="center"/>
              <w:rPr>
                <w:rFonts w:ascii="Times New Roman" w:eastAsia="Calibri" w:hAnsi="Times New Roman" w:cs="Times New Roman"/>
                <w:w w:val="108"/>
                <w:sz w:val="20"/>
                <w:szCs w:val="20"/>
                <w:lang w:val="en-GB"/>
              </w:rPr>
            </w:pPr>
          </w:p>
        </w:tc>
      </w:tr>
      <w:tr w:rsidR="00551B1C" w:rsidRPr="00460059" w14:paraId="17E3632D" w14:textId="5C4807BD" w:rsidTr="00700B05">
        <w:tc>
          <w:tcPr>
            <w:tcW w:w="0" w:type="auto"/>
            <w:shd w:val="clear" w:color="auto" w:fill="auto"/>
          </w:tcPr>
          <w:p w14:paraId="126C22F9"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ASEZIJ-a</w:t>
            </w:r>
          </w:p>
        </w:tc>
        <w:tc>
          <w:tcPr>
            <w:tcW w:w="0" w:type="auto"/>
          </w:tcPr>
          <w:p w14:paraId="3988F1A6" w14:textId="5D7C84A0"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-8.8</w:t>
            </w:r>
          </w:p>
        </w:tc>
        <w:tc>
          <w:tcPr>
            <w:tcW w:w="0" w:type="auto"/>
            <w:shd w:val="clear" w:color="auto" w:fill="auto"/>
          </w:tcPr>
          <w:p w14:paraId="59866AD2" w14:textId="4066B188"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-6.1</w:t>
            </w:r>
          </w:p>
        </w:tc>
        <w:tc>
          <w:tcPr>
            <w:tcW w:w="0" w:type="auto"/>
          </w:tcPr>
          <w:p w14:paraId="730C5E17" w14:textId="3EB57A3C"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-2.3</w:t>
            </w:r>
          </w:p>
        </w:tc>
        <w:tc>
          <w:tcPr>
            <w:tcW w:w="0" w:type="auto"/>
          </w:tcPr>
          <w:p w14:paraId="3C827B43" w14:textId="531F22BE"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-0.4</w:t>
            </w:r>
          </w:p>
        </w:tc>
        <w:tc>
          <w:tcPr>
            <w:tcW w:w="0" w:type="auto"/>
            <w:shd w:val="clear" w:color="auto" w:fill="auto"/>
          </w:tcPr>
          <w:p w14:paraId="14BCD541" w14:textId="60A347F5"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2B4DE5B9"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6672AC24"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5842DB49"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-4.5 (-77)</w:t>
            </w:r>
          </w:p>
        </w:tc>
        <w:tc>
          <w:tcPr>
            <w:tcW w:w="0" w:type="auto"/>
          </w:tcPr>
          <w:p w14:paraId="525DB567" w14:textId="04146F84" w:rsidR="007D7EFD" w:rsidRPr="00460059" w:rsidRDefault="00353D1E"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{"citationItems":[{"id":"ITEM-1","itemData":{"DOI":"10.1021/acs.inorgchem.6b00663","ISSN":"1520510X","abstract":"The bromine-rich zinc bromides Zn6Br12(18-crown-6)2×(Br2)5 (1), Zn4Br8(18-crown-6)2×(Br2)3 (2), and Zn6Br12(18-crown-6)2×(Br2)2 (3) are prepared by reaction of ZnBr2, 18-crown-6, and elemental bromine in the ionic liquid [MeBu3N][N(Tf)2] (N(Tf)2 = bis(trifluoromethylsulfonyl)amide). Zn6Br12(18-crown-6)2×(Br2)5 (1) is formed instantaneously by the reaction. Even at room temperature, compound 1 releases bromine, which was confirmed by thermogravimetry (TG) and mass spectrometry (MS). The release of Br2 can also be directly followed by the color and density of the title compounds. With controlled conditions (2 weeks, 25 °C, absence of excess Br2) Zn6Br12(18-crown-6)2×(Br2)5 (1) slowly releases bromine with conconcurrent generation of Zn4Br8(18-crown-6)2×(Br2)3 (2) (in ionic liquid) and Zn6Br12(18-crown-6)2×(Br2)2 (3) (in inert oil). All bromine-rich zinc bromides contain voluminous uncharged (e.g., Zn3Br6(18-crown-6), Zn2Br4(18-crown-6)) or ionic (e.g., [Zn2Br3(18-crown-6)]+, [(Zn2Br6)×(Br2)2]2-) building units with dibromine molecules between the Zn oligomers and partially interconnecting the Zn-containing building units. Due to the structural similarity, the bromine release is possible via crystal-to-crystal transformation with retention of the crystal shape.","author":[{"dropping-particle":"","family":"Hausmann","given":"David","non-dropping-particle":"","parse-names":false,"suffix":""},{"dropping-particle":"","family":"Feldmann","given":"Claus","non-dropping-particle":"","parse-names":false,"suffix":""}],"container-title":"Inorganic Chemistry","id":"ITEM-1","issue":"12","issued":{"date-parts":[["2016","6","20"]]},"page":"6141-6147","publisher":"American Chemical Society","title":"Bromine-rich Zinc Bromides: Zn6Br12(18-crown-6)2×(Br2)5, Zn4Br8(18-crown-6)2×(Br2)3, and Zn6Br12(18-crown-6)2×(Br2)2","type":"article-journal","volume":"55"},"uris":["http://www.mendeley.com/documents/?uuid=84cbad59-33da-3b3e-bc24-34eb6ca38540"]}],"mendeley":{"formattedCitation":"&lt;sup&gt;38&lt;/sup&gt;","plainTextFormattedCitation":"38","previouslyFormattedCitation":"&lt;sup&gt;38&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38</w:t>
            </w:r>
            <w:r w:rsidRPr="00460059">
              <w:rPr>
                <w:rFonts w:ascii="Times New Roman" w:eastAsia="Calibri" w:hAnsi="Times New Roman" w:cs="Times New Roman"/>
                <w:w w:val="108"/>
                <w:sz w:val="20"/>
                <w:szCs w:val="20"/>
                <w:lang w:val="en-GB"/>
              </w:rPr>
              <w:fldChar w:fldCharType="end"/>
            </w:r>
          </w:p>
        </w:tc>
      </w:tr>
      <w:tr w:rsidR="00551B1C" w:rsidRPr="00460059" w14:paraId="623798B0" w14:textId="0B850B80" w:rsidTr="00700B05">
        <w:tc>
          <w:tcPr>
            <w:tcW w:w="0" w:type="auto"/>
            <w:shd w:val="clear" w:color="auto" w:fill="auto"/>
          </w:tcPr>
          <w:p w14:paraId="09607F28"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ASEZIJ-b</w:t>
            </w:r>
          </w:p>
        </w:tc>
        <w:tc>
          <w:tcPr>
            <w:tcW w:w="0" w:type="auto"/>
          </w:tcPr>
          <w:p w14:paraId="284AD74D" w14:textId="410A164C"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-15.2</w:t>
            </w:r>
          </w:p>
        </w:tc>
        <w:tc>
          <w:tcPr>
            <w:tcW w:w="0" w:type="auto"/>
            <w:shd w:val="clear" w:color="auto" w:fill="auto"/>
          </w:tcPr>
          <w:p w14:paraId="55FAD1C9" w14:textId="7A70ED72"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-14.8</w:t>
            </w:r>
          </w:p>
        </w:tc>
        <w:tc>
          <w:tcPr>
            <w:tcW w:w="0" w:type="auto"/>
          </w:tcPr>
          <w:p w14:paraId="73252CE6" w14:textId="59521C7C"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0.0</w:t>
            </w:r>
          </w:p>
        </w:tc>
        <w:tc>
          <w:tcPr>
            <w:tcW w:w="0" w:type="auto"/>
          </w:tcPr>
          <w:p w14:paraId="74386F42" w14:textId="3E1B9471"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-0.5</w:t>
            </w:r>
          </w:p>
        </w:tc>
        <w:tc>
          <w:tcPr>
            <w:tcW w:w="0" w:type="auto"/>
            <w:shd w:val="clear" w:color="auto" w:fill="auto"/>
          </w:tcPr>
          <w:p w14:paraId="124EE4F6" w14:textId="74BF8A2F"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77B27C24"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15517BEC"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4B3242C0" w14:textId="1C6E0B2E" w:rsidR="007D7EFD" w:rsidRPr="00460059" w:rsidRDefault="007D7EFD" w:rsidP="00700B05">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-12.9 (-136)</w:t>
            </w:r>
          </w:p>
        </w:tc>
        <w:tc>
          <w:tcPr>
            <w:tcW w:w="0" w:type="auto"/>
          </w:tcPr>
          <w:p w14:paraId="0A16EFBD" w14:textId="0D2B67B0" w:rsidR="007D7EFD" w:rsidRPr="00460059" w:rsidRDefault="00353D1E"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{"citationItems":[{"id":"ITEM-1","itemData":{"DOI":"10.1021/acs.inorgchem.6b00663","ISSN":"1520510X","abstract":"The bromine-rich zinc bromides Zn6Br12(18-crown-6)2×(Br2)5 (1), Zn4Br8(18-crown-6)2×(Br2)3 (2), and Zn6Br12(18-crown-6)2×(Br2)2 (3) are prepared by reaction of ZnBr2, 18-crown-6, and elemental bromine in the ionic liquid [MeBu3N][N(Tf)2] (N(Tf)2 = bis(trifluoromethylsulfonyl)amide). Zn6Br12(18-crown-6)2×(Br2)5 (1) is formed instantaneously by the reaction. Even at room temperature, compound 1 releases bromine, which was confirmed by thermogravimetry (TG) and mass spectrometry (MS). The release of Br2 can also be directly followed by the color and density of the title compounds. With controlled conditions (2 weeks, 25 °C, absence of excess Br2) Zn6Br12(18-crown-6)2×(Br2)5 (1) slowly releases bromine with conconcurrent generation of Zn4Br8(18-crown-6)2×(Br2)3 (2) (in ionic liquid) and Zn6Br12(18-crown-6)2×(Br2)2 (3) (in inert oil). All bromine-rich zinc bromides contain voluminous uncharged (e.g., Zn3Br6(18-crown-6), Zn2Br4(18-crown-6)) or ionic (e.g., [Zn2Br3(18-crown-6)]+, [(Zn2Br6)×(Br2)2]2-) building units with dibromine molecules between the Zn oligomers and partially interconnecting the Zn-containing building units. Due to the structural similarity, the bromine release is possible via crystal-to-crystal transformation with retention of the crystal shape.","author":[{"dropping-particle":"","family":"Hausmann","given":"David","non-dropping-particle":"","parse-names":false,"suffix":""},{"dropping-particle":"","family":"Feldmann","given":"Claus","non-dropping-particle":"","parse-names":false,"suffix":""}],"container-title":"Inorganic Chemistry","id":"ITEM-1","issue":"12","issued":{"date-parts":[["2016","6","20"]]},"page":"6141-6147","publisher":"American Chemical Society","title":"Bromine-rich Zinc Bromides: Zn6Br12(18-crown-6)2×(Br2)5, Zn4Br8(18-crown-6)2×(Br2)3, and Zn6Br12(18-crown-6)2×(Br2)2","type":"article-journal","volume":"55"},"uris":["http://www.mendeley.com/documents/?uuid=84cbad59-33da-3b3e-bc24-34eb6ca38540"]}],"mendeley":{"formattedCitation":"&lt;sup&gt;38&lt;/sup&gt;","plainTextFormattedCitation":"38","previouslyFormattedCitation":"&lt;sup&gt;38&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38</w:t>
            </w:r>
            <w:r w:rsidRPr="00460059">
              <w:rPr>
                <w:rFonts w:ascii="Times New Roman" w:eastAsia="Calibri" w:hAnsi="Times New Roman" w:cs="Times New Roman"/>
                <w:w w:val="108"/>
                <w:sz w:val="20"/>
                <w:szCs w:val="20"/>
                <w:lang w:val="en-GB"/>
              </w:rPr>
              <w:fldChar w:fldCharType="end"/>
            </w:r>
          </w:p>
        </w:tc>
      </w:tr>
      <w:tr w:rsidR="00551B1C" w:rsidRPr="00460059" w14:paraId="06A944CB" w14:textId="182AA86E" w:rsidTr="00700B05">
        <w:tc>
          <w:tcPr>
            <w:tcW w:w="0" w:type="auto"/>
            <w:shd w:val="clear" w:color="auto" w:fill="auto"/>
          </w:tcPr>
          <w:p w14:paraId="09E98915"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YAGGET</w:t>
            </w:r>
          </w:p>
        </w:tc>
        <w:tc>
          <w:tcPr>
            <w:tcW w:w="0" w:type="auto"/>
          </w:tcPr>
          <w:p w14:paraId="5E5A41AE" w14:textId="0FBB503D"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-17.4</w:t>
            </w:r>
          </w:p>
        </w:tc>
        <w:tc>
          <w:tcPr>
            <w:tcW w:w="0" w:type="auto"/>
            <w:shd w:val="clear" w:color="auto" w:fill="auto"/>
          </w:tcPr>
          <w:p w14:paraId="5F3CA8BE" w14:textId="040EEAAB"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-3.2</w:t>
            </w:r>
          </w:p>
        </w:tc>
        <w:tc>
          <w:tcPr>
            <w:tcW w:w="0" w:type="auto"/>
          </w:tcPr>
          <w:p w14:paraId="12DDB8B4" w14:textId="4B4D4783"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-13.5</w:t>
            </w:r>
          </w:p>
        </w:tc>
        <w:tc>
          <w:tcPr>
            <w:tcW w:w="0" w:type="auto"/>
          </w:tcPr>
          <w:p w14:paraId="5F038BFC" w14:textId="6EBD3891"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-0.7</w:t>
            </w:r>
          </w:p>
        </w:tc>
        <w:tc>
          <w:tcPr>
            <w:tcW w:w="0" w:type="auto"/>
            <w:shd w:val="clear" w:color="auto" w:fill="auto"/>
          </w:tcPr>
          <w:p w14:paraId="3522711E" w14:textId="341132FC"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-1.8 (25)</w:t>
            </w:r>
          </w:p>
        </w:tc>
        <w:tc>
          <w:tcPr>
            <w:tcW w:w="0" w:type="auto"/>
            <w:shd w:val="clear" w:color="auto" w:fill="auto"/>
          </w:tcPr>
          <w:p w14:paraId="055A5B8D"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7676E6EB"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4A85B623"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378C4C7E" w14:textId="17D73367" w:rsidR="007D7EFD" w:rsidRPr="00460059" w:rsidRDefault="00ED17C0"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{"citationItems":[{"id":"ITEM-1","itemData":{"DOI":"10.1107/S1600536804021014","ISSN":"16005368","abstract":"In the title compound, [Zn(NH3)4](C6H 2N3O7)4·3H2O, the ZnII atom is coordinated by four ammine N atoms in a slightly distorted tetrahedron. The phenolate and nitro O atoms of the picrate ions act as acceptors in N-H</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O and O-H</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O hydrogen bonds, giving a three-dimensional network. © 2004 International Union of Crystallography Printed in Great Britain - all rights reserved.","author":[{"dropping-particle":"","family":"Qu","given":"Yang","non-dropping-particle":"","parse-names":false,"suffix":""},{"dropping-particle":"Di","family":"Liu","given":"Zhao","non-dropping-particle":"","parse-names":false,"suffix":""},{"dropping-particle":"","family":"Tan","given":"Min Yu","non-dropping-particle":"","parse-names":false,"suffix":""},{"dropping-particle":"","family":"Zhu","given":"Hai Liang","non-dropping-particle":"","parse-names":false,"suffix":""}],"container-title":"Acta Crystallographica Section E: Structure Reports Online","id":"ITEM-1","issue":"9","issued":{"date-parts":[["2004","9"]]},"page":"m1343-m1345","publisher":"International Union of Crystallography","title":"Bis[tetraamminezinc(II)] tetrapicrate trihydrate","type":"article-journal","volume":"60"},"uris":["http://www.mendeley.com/documents/?uuid=6ab48e21-db6e-34dd-bb31-9407fdcb1286"]}],"mendeley":{"formattedCitation":"&lt;sup&gt;39&lt;/sup&gt;","plainTextFormattedCitation":"39","previouslyFormattedCitation":"&lt;sup&gt;39&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39</w:t>
            </w:r>
            <w:r w:rsidRPr="00460059">
              <w:rPr>
                <w:rFonts w:ascii="Times New Roman" w:eastAsia="Calibri" w:hAnsi="Times New Roman" w:cs="Times New Roman"/>
                <w:w w:val="108"/>
                <w:sz w:val="20"/>
                <w:szCs w:val="20"/>
                <w:lang w:val="en-GB"/>
              </w:rPr>
              <w:fldChar w:fldCharType="end"/>
            </w:r>
          </w:p>
        </w:tc>
      </w:tr>
      <w:tr w:rsidR="00551B1C" w:rsidRPr="00460059" w14:paraId="5513A8DD" w14:textId="074DD9C5" w:rsidTr="00700B05">
        <w:tc>
          <w:tcPr>
            <w:tcW w:w="0" w:type="auto"/>
            <w:shd w:val="clear" w:color="auto" w:fill="auto"/>
          </w:tcPr>
          <w:p w14:paraId="22CE7152"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GOVLAE</w:t>
            </w:r>
          </w:p>
        </w:tc>
        <w:tc>
          <w:tcPr>
            <w:tcW w:w="0" w:type="auto"/>
          </w:tcPr>
          <w:p w14:paraId="59673E85" w14:textId="1C9C93FD"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-21.6</w:t>
            </w:r>
          </w:p>
        </w:tc>
        <w:tc>
          <w:tcPr>
            <w:tcW w:w="0" w:type="auto"/>
            <w:shd w:val="clear" w:color="auto" w:fill="auto"/>
          </w:tcPr>
          <w:p w14:paraId="64DE0A56" w14:textId="3D17D211"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-6.6</w:t>
            </w:r>
          </w:p>
        </w:tc>
        <w:tc>
          <w:tcPr>
            <w:tcW w:w="0" w:type="auto"/>
          </w:tcPr>
          <w:p w14:paraId="740AB282" w14:textId="55E2B183"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-12.8</w:t>
            </w:r>
          </w:p>
        </w:tc>
        <w:tc>
          <w:tcPr>
            <w:tcW w:w="0" w:type="auto"/>
          </w:tcPr>
          <w:p w14:paraId="596F1AA3" w14:textId="74C0D889"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-2.2</w:t>
            </w:r>
          </w:p>
        </w:tc>
        <w:tc>
          <w:tcPr>
            <w:tcW w:w="0" w:type="auto"/>
            <w:shd w:val="clear" w:color="auto" w:fill="auto"/>
          </w:tcPr>
          <w:p w14:paraId="353F843F" w14:textId="6D190611"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-1.1 (a)</w:t>
            </w:r>
          </w:p>
        </w:tc>
        <w:tc>
          <w:tcPr>
            <w:tcW w:w="0" w:type="auto"/>
            <w:shd w:val="clear" w:color="auto" w:fill="auto"/>
          </w:tcPr>
          <w:p w14:paraId="60C13A27"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-2.4 (-45)</w:t>
            </w:r>
          </w:p>
        </w:tc>
        <w:tc>
          <w:tcPr>
            <w:tcW w:w="0" w:type="auto"/>
            <w:shd w:val="clear" w:color="auto" w:fill="auto"/>
          </w:tcPr>
          <w:p w14:paraId="6FE0DF21"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20DCE396" w14:textId="77777777" w:rsidR="007D7EFD" w:rsidRPr="00460059" w:rsidRDefault="007D7EFD"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50A807D3" w14:textId="6B790917" w:rsidR="007D7EFD" w:rsidRPr="00460059" w:rsidRDefault="002C3034" w:rsidP="00321C0C">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{"citationItems":[{"id":"ITEM-1","itemData":{"DOI":"10.1002/(SICI)1521-3749(199810)624:10&lt;1629::AID-ZAAC1629&gt;3.0.CO;2-X","ISSN":"00442313","abstract":"The crystal structures of uncharged tetrahedral dithiocyanato zinc complexes with N-methylated ethylenediamines have been determined with a view to a study of intermolecular hydrogen-bonding interactions in these compounds. It is found that the H(N) hydrogen atoms are exhaustively engaged in N-H(N) ... S bonds. The majority of these bonds are branched (bifurcated or trifurcated), and the hydrogen-bond systems they form all contain one of the two characteristic primitive core motifs: either a discrete centrosymmetric [...S...H...]2 dimer or an infinite [...S...H...]∞ helix about a 21 or pseudo-21 axis. The hydrogen bonding is analyzed in detail, with particular attention to the existence of correlations between the N-H(N)-S angles and the H(N) ... S distances as well as between the corresponding N-H(N)-S/H(N) ... S pairs in the bifurcated N-H(N) ... 2S bonds.","author":[{"dropping-particle":"","family":"Cameron","given":"Elinor M.","non-dropping-particle":"","parse-names":false,"suffix":""},{"dropping-particle":"","family":"Louch","given":"William E.","non-dropping-particle":"","parse-names":false,"suffix":""},{"dropping-particle":"","family":"Cameron","given":"T. Stanley","non-dropping-particle":"","parse-names":false,"suffix":""},{"dropping-particle":"","family":"Knop","given":"Osvald","non-dropping-particle":"","parse-names":false,"suffix":""}],"container-title":"Zeitschrift fur Anorganische und Allgemeine Chemie","id":"ITEM-1","issue":"10","issued":{"date-parts":[["1998","10","1"]]},"page":"1629-1641","publisher":"Wiley-VCH Verlag","title":"Thiocyanates. 1: N-H(N)...S bonding in tetrahedral [zn(NCS)2L]0 complexes (L = MexH2-xN(CH2)2NH 2-yMey, x, y = 0-2)","type":"article-journal","volume":"624"},"uris":["http://www.mendeley.com/documents/?uuid=a07d2dad-9635-30a9-8b43-da0039ee750c"]}],"mendeley":{"formattedCitation":"&lt;sup&gt;40&lt;/sup&gt;","plainTextFormattedCitation":"40","previouslyFormattedCitation":"&lt;sup&gt;40&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40</w:t>
            </w:r>
            <w:r w:rsidRPr="00460059">
              <w:rPr>
                <w:rFonts w:ascii="Times New Roman" w:eastAsia="Calibri" w:hAnsi="Times New Roman" w:cs="Times New Roman"/>
                <w:w w:val="108"/>
                <w:sz w:val="20"/>
                <w:szCs w:val="20"/>
                <w:lang w:val="en-GB"/>
              </w:rPr>
              <w:fldChar w:fldCharType="end"/>
            </w:r>
          </w:p>
        </w:tc>
      </w:tr>
      <w:tr w:rsidR="00551B1C" w:rsidRPr="00460059" w14:paraId="73FF2FCF" w14:textId="39C118FC" w:rsidTr="00700B05">
        <w:tc>
          <w:tcPr>
            <w:tcW w:w="0" w:type="auto"/>
            <w:shd w:val="clear" w:color="auto" w:fill="auto"/>
          </w:tcPr>
          <w:p w14:paraId="38E7B015" w14:textId="5E855892"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VARCEY</w:t>
            </w:r>
          </w:p>
        </w:tc>
        <w:tc>
          <w:tcPr>
            <w:tcW w:w="0" w:type="auto"/>
          </w:tcPr>
          <w:p w14:paraId="2B5AE701" w14:textId="3CA3BABF" w:rsidR="007D7EFD" w:rsidRPr="00460059" w:rsidRDefault="007D7EFD" w:rsidP="000C47BD">
            <w:pPr>
              <w:pStyle w:val="Corpotesto"/>
              <w:spacing w:after="0" w:line="360" w:lineRule="auto"/>
              <w:jc w:val="both"/>
              <w:rPr>
                <w:rFonts w:ascii="Times New Roman" w:hAnsi="Times New Roman" w:cs="Times New Roman"/>
                <w:sz w:val="20"/>
                <w:szCs w:val="20"/>
              </w:rPr>
            </w:pPr>
            <w:r w:rsidRPr="00460059">
              <w:rPr>
                <w:rFonts w:ascii="Times New Roman" w:hAnsi="Times New Roman" w:cs="Times New Roman"/>
                <w:sz w:val="20"/>
                <w:szCs w:val="20"/>
              </w:rPr>
              <w:t>1.1</w:t>
            </w:r>
          </w:p>
        </w:tc>
        <w:tc>
          <w:tcPr>
            <w:tcW w:w="0" w:type="auto"/>
            <w:shd w:val="clear" w:color="auto" w:fill="auto"/>
          </w:tcPr>
          <w:p w14:paraId="595CCEE1" w14:textId="70401437" w:rsidR="007D7EFD" w:rsidRPr="00460059" w:rsidRDefault="007D7EFD" w:rsidP="000C47BD">
            <w:pPr>
              <w:pStyle w:val="Corpotesto"/>
              <w:spacing w:after="0" w:line="360" w:lineRule="auto"/>
              <w:jc w:val="both"/>
              <w:rPr>
                <w:rFonts w:ascii="Times New Roman" w:hAnsi="Times New Roman" w:cs="Times New Roman"/>
                <w:sz w:val="20"/>
                <w:szCs w:val="20"/>
              </w:rPr>
            </w:pPr>
            <w:r w:rsidRPr="00460059">
              <w:rPr>
                <w:rFonts w:ascii="Times New Roman" w:hAnsi="Times New Roman" w:cs="Times New Roman"/>
                <w:sz w:val="20"/>
                <w:szCs w:val="20"/>
              </w:rPr>
              <w:t>-3.8</w:t>
            </w:r>
          </w:p>
        </w:tc>
        <w:tc>
          <w:tcPr>
            <w:tcW w:w="0" w:type="auto"/>
          </w:tcPr>
          <w:p w14:paraId="58796C72" w14:textId="65547239" w:rsidR="007D7EFD" w:rsidRPr="00460059" w:rsidRDefault="007D7EFD" w:rsidP="000C47BD">
            <w:pPr>
              <w:pStyle w:val="Corpotesto"/>
              <w:spacing w:after="0" w:line="360" w:lineRule="auto"/>
              <w:jc w:val="both"/>
              <w:rPr>
                <w:rFonts w:ascii="Times New Roman" w:hAnsi="Times New Roman" w:cs="Times New Roman"/>
                <w:sz w:val="20"/>
                <w:szCs w:val="20"/>
              </w:rPr>
            </w:pPr>
            <w:r w:rsidRPr="00460059">
              <w:rPr>
                <w:rFonts w:ascii="Times New Roman" w:hAnsi="Times New Roman" w:cs="Times New Roman"/>
                <w:sz w:val="20"/>
                <w:szCs w:val="20"/>
              </w:rPr>
              <w:t>6.9</w:t>
            </w:r>
          </w:p>
        </w:tc>
        <w:tc>
          <w:tcPr>
            <w:tcW w:w="0" w:type="auto"/>
          </w:tcPr>
          <w:p w14:paraId="45424208" w14:textId="73AED271" w:rsidR="007D7EFD" w:rsidRPr="00460059" w:rsidRDefault="007D7EFD" w:rsidP="000C47BD">
            <w:pPr>
              <w:pStyle w:val="Corpotesto"/>
              <w:spacing w:after="0" w:line="360" w:lineRule="auto"/>
              <w:jc w:val="both"/>
              <w:rPr>
                <w:rFonts w:ascii="Times New Roman" w:hAnsi="Times New Roman" w:cs="Times New Roman"/>
                <w:sz w:val="20"/>
                <w:szCs w:val="20"/>
              </w:rPr>
            </w:pPr>
            <w:r w:rsidRPr="00460059">
              <w:rPr>
                <w:rFonts w:ascii="Times New Roman" w:hAnsi="Times New Roman" w:cs="Times New Roman"/>
                <w:sz w:val="20"/>
                <w:szCs w:val="20"/>
              </w:rPr>
              <w:t>-2.0</w:t>
            </w:r>
          </w:p>
        </w:tc>
        <w:tc>
          <w:tcPr>
            <w:tcW w:w="0" w:type="auto"/>
            <w:shd w:val="clear" w:color="auto" w:fill="auto"/>
          </w:tcPr>
          <w:p w14:paraId="19EC06F9" w14:textId="14CC1BCF"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0ED43EAD" w14:textId="75539742"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-1.3 (24)</w:t>
            </w:r>
          </w:p>
        </w:tc>
        <w:tc>
          <w:tcPr>
            <w:tcW w:w="0" w:type="auto"/>
            <w:shd w:val="clear" w:color="auto" w:fill="auto"/>
          </w:tcPr>
          <w:p w14:paraId="7F751982" w14:textId="22DEAE9F"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4A6085F0" w14:textId="53DDD61D"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3FE85F0D" w14:textId="71015E39" w:rsidR="007D7EFD" w:rsidRPr="00460059" w:rsidRDefault="00353D1E"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 xml:space="preserve">ADDIN CSL_CITATION {"citationItems":[{"id":"ITEM-1","itemData":{"DOI":"10.1016/j.saa.2011.05.029","ISSN":"13861425","PMID":"21703914","abstract":"Fe3+-doping at </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 xml:space="preserve">10 mol% in aqueous medium during crystal growth by slow evaporation solution method in bis(thiourea)zinc(II) chloride (BTZC) leads to form a new compound C2H8Cl 2N4S2Zn0.93Fe0.07 (BTZCF) which crystallizes in orthorhombic structure with centrosymmetric space group Pnma though the parent compound BTZC crystallizes in noncentrosymmetric structure with space group Pn21a. The interesting feature observed in this new crystal is that though it crystallizes in centrosymmetric structure, it exhibits positive SHG result (weak signal), quite likely due to possible surface effects or internal stress. The calculated first-order hyperpolarizability is 1.457 × 10-30 esu which is </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 xml:space="preserve">5.5 times that of urea. Fe3+-doping enhances the transmittance to a significant extent. Comparison of the thermal analysis results by DSC reveals the incorporation of dopant into the crystalline matrix. The high resolution XRD studies reveal that the crystalline quality is improved considerably when the doping level is reached to </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10 mol%. © 2011 Elsevier B.V. All rights reserved.","author":[{"dropping-particle":"","family":"Nithya","given":"K.","non-dropping-particle":"","parse-names":false,"suffix":""},{"dropping-particle":"","family":"Karthikeyan","given":"B.","non-dropping-particle":"","parse-names":false,"suffix":""},{"dropping-particle":"","family":"Ramasamy","given":"G.","non-dropping-particle":"","parse-names":false,"suffix":""},{"dropping-particle":"","family":"Muthu","given":"K.","non-dropping-particle":"","parse-names":false,"suffix":""},{"dropping-particle":"","family":"Meenakshisundaram","given":"S. P.","non-dropping-particle":"","parse-names":false,"suffix":""}],"container-title":"Spectrochimica Acta - Part A: Molecular and Biomolecular Spectroscopy","id":"ITEM-1","issue":"5","issued":{"date-parts":[["2011","9","1"]]},"page":"1648-1653","publisher":"Elsevier","title":"Growth and characterization of Fe3+-doped bis(thiourea)zinc(II) chloride crystals","type":"article-journal","volume":"79"},"uris":["http://www.mendeley.com/documents/?uuid=561aed5f-c75d-34ec-b9a9-eb9ace256ec7"]}],"mendeley":{"formattedCitation":"&lt;sup&gt;41&lt;/sup&gt;","plainTextFormattedCitation":"41","previouslyFormattedCitation":"&lt;sup&gt;41&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41</w:t>
            </w:r>
            <w:r w:rsidRPr="00460059">
              <w:rPr>
                <w:rFonts w:ascii="Times New Roman" w:eastAsia="Calibri" w:hAnsi="Times New Roman" w:cs="Times New Roman"/>
                <w:w w:val="108"/>
                <w:sz w:val="20"/>
                <w:szCs w:val="20"/>
                <w:lang w:val="en-GB"/>
              </w:rPr>
              <w:fldChar w:fldCharType="end"/>
            </w:r>
          </w:p>
        </w:tc>
      </w:tr>
      <w:tr w:rsidR="00E31D52" w:rsidRPr="00460059" w14:paraId="7661ADE7" w14:textId="4679A8B1" w:rsidTr="00700B05">
        <w:tc>
          <w:tcPr>
            <w:tcW w:w="0" w:type="auto"/>
            <w:gridSpan w:val="9"/>
          </w:tcPr>
          <w:p w14:paraId="6E42090A" w14:textId="165DD155" w:rsidR="007D7EFD" w:rsidRPr="00460059" w:rsidRDefault="007D7EFD" w:rsidP="000C47BD">
            <w:pPr>
              <w:pStyle w:val="Corpotesto"/>
              <w:spacing w:after="0" w:line="360" w:lineRule="auto"/>
              <w:jc w:val="center"/>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M = Cd</w:t>
            </w:r>
          </w:p>
        </w:tc>
        <w:tc>
          <w:tcPr>
            <w:tcW w:w="0" w:type="auto"/>
          </w:tcPr>
          <w:p w14:paraId="4449601F" w14:textId="77777777" w:rsidR="007D7EFD" w:rsidRPr="00460059" w:rsidRDefault="007D7EFD" w:rsidP="000C47BD">
            <w:pPr>
              <w:pStyle w:val="Corpotesto"/>
              <w:spacing w:after="0" w:line="360" w:lineRule="auto"/>
              <w:jc w:val="center"/>
              <w:rPr>
                <w:rFonts w:ascii="Times New Roman" w:eastAsia="Calibri" w:hAnsi="Times New Roman" w:cs="Times New Roman"/>
                <w:w w:val="108"/>
                <w:sz w:val="20"/>
                <w:szCs w:val="20"/>
                <w:lang w:val="en-GB"/>
              </w:rPr>
            </w:pPr>
          </w:p>
        </w:tc>
      </w:tr>
      <w:tr w:rsidR="00551B1C" w:rsidRPr="00460059" w14:paraId="7771AD8C" w14:textId="29BEDE9C" w:rsidTr="00700B05">
        <w:tc>
          <w:tcPr>
            <w:tcW w:w="0" w:type="auto"/>
            <w:shd w:val="clear" w:color="auto" w:fill="auto"/>
          </w:tcPr>
          <w:p w14:paraId="1C597F11"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PEKSUT</w:t>
            </w:r>
          </w:p>
        </w:tc>
        <w:tc>
          <w:tcPr>
            <w:tcW w:w="0" w:type="auto"/>
          </w:tcPr>
          <w:p w14:paraId="47F02D50" w14:textId="2E0B8353"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-1.6</w:t>
            </w:r>
          </w:p>
        </w:tc>
        <w:tc>
          <w:tcPr>
            <w:tcW w:w="0" w:type="auto"/>
            <w:shd w:val="clear" w:color="auto" w:fill="auto"/>
          </w:tcPr>
          <w:p w14:paraId="306C644D" w14:textId="166C93CC"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-6.5</w:t>
            </w:r>
          </w:p>
        </w:tc>
        <w:tc>
          <w:tcPr>
            <w:tcW w:w="0" w:type="auto"/>
          </w:tcPr>
          <w:p w14:paraId="749D98AE" w14:textId="5E6EA564"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6.9</w:t>
            </w:r>
          </w:p>
        </w:tc>
        <w:tc>
          <w:tcPr>
            <w:tcW w:w="0" w:type="auto"/>
          </w:tcPr>
          <w:p w14:paraId="5CF73CA7" w14:textId="55CBD494"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-2.0</w:t>
            </w:r>
          </w:p>
        </w:tc>
        <w:tc>
          <w:tcPr>
            <w:tcW w:w="0" w:type="auto"/>
            <w:shd w:val="clear" w:color="auto" w:fill="auto"/>
          </w:tcPr>
          <w:p w14:paraId="4950AF7F" w14:textId="59B44A92"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-2.7 (56)b</w:t>
            </w:r>
          </w:p>
        </w:tc>
        <w:tc>
          <w:tcPr>
            <w:tcW w:w="0" w:type="auto"/>
            <w:shd w:val="clear" w:color="auto" w:fill="auto"/>
          </w:tcPr>
          <w:p w14:paraId="37696697"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61918552"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-1.1 (1)</w:t>
            </w:r>
          </w:p>
        </w:tc>
        <w:tc>
          <w:tcPr>
            <w:tcW w:w="0" w:type="auto"/>
            <w:shd w:val="clear" w:color="auto" w:fill="auto"/>
          </w:tcPr>
          <w:p w14:paraId="26B48C28"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1A6ECBAF" w14:textId="4DD03B09" w:rsidR="007D7EFD" w:rsidRPr="00460059" w:rsidRDefault="00EF39A2"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{"citationItems":[{"id":"ITEM-1","itemData":{"DOI":"10.1107/S0108270198004314","ISSN":"01082701","abstract":"The crystals of dichlorobis(thiourea-S)cadmium, [Cd-Cl2{SC(NH2)2}2], (I), and dibromobis(thiourea-S)-cadmium, [CdBr2{SC(NH2)2}2], (II), are orthorhombic (Pmn21 and Pnam, respectively), while those of diiodobis(thiourea-S)cadmium, [CdI2{SC(NH2)2}2], (III), are monoclinic (P21/c). In all these compounds, two S atoms from two thiourea molecules and two X (X = halogen) atoms coordinate to Cd in tetrahedral arrangements. Crystal packing is mainly determined by N - H</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X hydrogen bonds, but is different in all three cases. The average Cd - X distance increases from 2.541 (1)Å in (I) to 2.655 (3) Å in (II) and 2.782(I)Å in (III), whereas the average Cd - S distances in the three compounds are quite similar, their values being 2.517(I), 2.522 (2) and 2.526 (2) Å, for (I), (II) and (III), respectively.","author":[{"dropping-particle":"","family":"Marcos","given":"Celia","non-dropping-particle":"","parse-names":false,"suffix":""},{"dropping-particle":"","family":"Alía","given":"José M.","non-dropping-particle":"","parse-names":false,"suffix":""},{"dropping-particle":"","family":"Adovasio","given":"Victor","non-dropping-particle":"","parse-names":false,"suffix":""},{"dropping-particle":"","family":"Prieto","given":"Manuel","non-dropping-particle":"","parse-names":false,"suffix":""},{"dropping-particle":"","family":"García-Granda","given":"Santiago","non-dropping-particle":"","parse-names":false,"suffix":""}],"container-title":"Acta Crystallographica Section C: Crystal Structure Communications","id":"ITEM-1","issue":"9","issued":{"date-parts":[["1998","9","15"]]},"page":"1225-1229","publisher":"Blackwell Munksgaard","title":"Bis(thiourea)cadmium halides","type":"article-journal","volume":"54"},"uris":["http://www.mendeley.com/documents/?uuid=e8abf336-455b-3424-ba33-230e5e6e136b"]}],"mendeley":{"formattedCitation":"&lt;sup&gt;42&lt;/sup&gt;","plainTextFormattedCitation":"42","previouslyFormattedCitation":"&lt;sup&gt;42&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42</w:t>
            </w:r>
            <w:r w:rsidRPr="00460059">
              <w:rPr>
                <w:rFonts w:ascii="Times New Roman" w:eastAsia="Calibri" w:hAnsi="Times New Roman" w:cs="Times New Roman"/>
                <w:w w:val="108"/>
                <w:sz w:val="20"/>
                <w:szCs w:val="20"/>
                <w:lang w:val="en-GB"/>
              </w:rPr>
              <w:fldChar w:fldCharType="end"/>
            </w:r>
          </w:p>
        </w:tc>
      </w:tr>
      <w:tr w:rsidR="00551B1C" w:rsidRPr="00460059" w14:paraId="2B877EFF" w14:textId="14D7DDCB" w:rsidTr="00700B05">
        <w:tc>
          <w:tcPr>
            <w:tcW w:w="0" w:type="auto"/>
            <w:shd w:val="clear" w:color="auto" w:fill="auto"/>
          </w:tcPr>
          <w:p w14:paraId="5F1BDDF3"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CTURCD</w:t>
            </w:r>
          </w:p>
        </w:tc>
        <w:tc>
          <w:tcPr>
            <w:tcW w:w="0" w:type="auto"/>
          </w:tcPr>
          <w:p w14:paraId="04830E8C" w14:textId="07A71726"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-2.9</w:t>
            </w:r>
          </w:p>
        </w:tc>
        <w:tc>
          <w:tcPr>
            <w:tcW w:w="0" w:type="auto"/>
            <w:shd w:val="clear" w:color="auto" w:fill="auto"/>
          </w:tcPr>
          <w:p w14:paraId="4B1EAA7D" w14:textId="318ECBBD"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-6.1</w:t>
            </w:r>
          </w:p>
        </w:tc>
        <w:tc>
          <w:tcPr>
            <w:tcW w:w="0" w:type="auto"/>
          </w:tcPr>
          <w:p w14:paraId="60984861" w14:textId="4E2ACCDA"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5.3</w:t>
            </w:r>
          </w:p>
        </w:tc>
        <w:tc>
          <w:tcPr>
            <w:tcW w:w="0" w:type="auto"/>
          </w:tcPr>
          <w:p w14:paraId="4D1DA082" w14:textId="5B01B411"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-2.1</w:t>
            </w:r>
          </w:p>
        </w:tc>
        <w:tc>
          <w:tcPr>
            <w:tcW w:w="0" w:type="auto"/>
            <w:shd w:val="clear" w:color="auto" w:fill="auto"/>
          </w:tcPr>
          <w:p w14:paraId="727F56DF" w14:textId="13DEACCF"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-2.3 (46)b</w:t>
            </w:r>
          </w:p>
        </w:tc>
        <w:tc>
          <w:tcPr>
            <w:tcW w:w="0" w:type="auto"/>
            <w:shd w:val="clear" w:color="auto" w:fill="auto"/>
          </w:tcPr>
          <w:p w14:paraId="1A34A492"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709A3CBE"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68193EB4"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38646E11" w14:textId="34AD7BEA" w:rsidR="007D7EFD" w:rsidRPr="00460059" w:rsidRDefault="00657302"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{"citationItems":[{"id":"ITEM-1","itemData":{"abstract":"A review of the literature left uncertainty as to the isomorphism of TlNO3 and KNO3; hence the structure of TlNO3 was studied roentgenographically. Crystd. TlNO3 was prepd. by slow evapn. over H2SO4 in vacuo of aq. TlNO3. Rhombic TlNO3 is stable at room temp. and has an elementary cell having the dimensions: a = 6.25, b = 12.46, and c = 7.96 A., and contg. 8 mols. in the cell. The value of 7.96 for c rather than the half value 3.98 is accepted only because of a region of weak reflections that appeared in 1 of the 3 roentgenograms obtained by the rotating crystal method and in a single rather weak reflection in a roentgenogram obtained by the Schiebold-​Sauter method. The choice of parameter c is therefore in some doubt. The dimensions of the elementary cell of TlNO3 indicate that there is no relation between its lattice and that of the rhombic forms of KNO3 or of NH4NO3.","author":[{"dropping-particle":"","family":"Nardelli","given":"M.","non-dropping-particle":"","parse-names":false,"suffix":""},{"dropping-particle":"","family":"Cavalca","given":"L.","non-dropping-particle":"","parse-names":false,"suffix":""},{"dropping-particle":"","family":"Braibanti","given":"A.","non-dropping-particle":"","parse-names":false,"suffix":""}],"container-title":"Gazz. Chim. Ital.","id":"ITEM-1","issued":{"date-parts":[["1957"]]},"page":"137","title":"The structure of rhombic thallous nitrate","type":"article-journal","volume":"87"},"uris":["http://www.mendeley.com/documents/?uuid=cb8ed2bd-809a-4006-bd22-61307f9f79f9"]}],"mendeley":{"formattedCitation":"&lt;sup&gt;43&lt;/sup&gt;","plainTextFormattedCitation":"43","previouslyFormattedCitation":"&lt;sup&gt;43&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43</w:t>
            </w:r>
            <w:r w:rsidRPr="00460059">
              <w:rPr>
                <w:rFonts w:ascii="Times New Roman" w:eastAsia="Calibri" w:hAnsi="Times New Roman" w:cs="Times New Roman"/>
                <w:w w:val="108"/>
                <w:sz w:val="20"/>
                <w:szCs w:val="20"/>
                <w:lang w:val="en-GB"/>
              </w:rPr>
              <w:fldChar w:fldCharType="end"/>
            </w:r>
          </w:p>
        </w:tc>
      </w:tr>
      <w:tr w:rsidR="00551B1C" w:rsidRPr="00460059" w14:paraId="07F5E53C" w14:textId="75CB3C9A" w:rsidTr="00700B05">
        <w:tc>
          <w:tcPr>
            <w:tcW w:w="0" w:type="auto"/>
            <w:shd w:val="clear" w:color="auto" w:fill="auto"/>
          </w:tcPr>
          <w:p w14:paraId="081FBCEE"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OTOFOU</w:t>
            </w:r>
          </w:p>
        </w:tc>
        <w:tc>
          <w:tcPr>
            <w:tcW w:w="0" w:type="auto"/>
          </w:tcPr>
          <w:p w14:paraId="3657328B" w14:textId="6B65C71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206.5</w:t>
            </w:r>
          </w:p>
        </w:tc>
        <w:tc>
          <w:tcPr>
            <w:tcW w:w="0" w:type="auto"/>
            <w:shd w:val="clear" w:color="auto" w:fill="auto"/>
          </w:tcPr>
          <w:p w14:paraId="449FA418" w14:textId="4F26FC5A"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-14.1</w:t>
            </w:r>
          </w:p>
        </w:tc>
        <w:tc>
          <w:tcPr>
            <w:tcW w:w="0" w:type="auto"/>
          </w:tcPr>
          <w:p w14:paraId="0C4AD04F" w14:textId="25ABF5A5"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221.2</w:t>
            </w:r>
          </w:p>
        </w:tc>
        <w:tc>
          <w:tcPr>
            <w:tcW w:w="0" w:type="auto"/>
          </w:tcPr>
          <w:p w14:paraId="2D262CFC" w14:textId="50FB7276"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-0.7</w:t>
            </w:r>
          </w:p>
        </w:tc>
        <w:tc>
          <w:tcPr>
            <w:tcW w:w="0" w:type="auto"/>
            <w:shd w:val="clear" w:color="auto" w:fill="auto"/>
          </w:tcPr>
          <w:p w14:paraId="3B66F7F3" w14:textId="04A36AF4"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-3.1 (c)</w:t>
            </w:r>
          </w:p>
        </w:tc>
        <w:tc>
          <w:tcPr>
            <w:tcW w:w="0" w:type="auto"/>
            <w:shd w:val="clear" w:color="auto" w:fill="auto"/>
          </w:tcPr>
          <w:p w14:paraId="7842E6D6"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399E9D79"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150BFD02"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10E0D2E3" w14:textId="6907B200" w:rsidR="007D7EFD" w:rsidRPr="00460059" w:rsidRDefault="006F6D9E"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{"citationItems":[{"id":"ITEM-1","itemData":{"DOI":"10.1021/acs.orglett.6b01842","ISSN":"15237052","abstract":"Two new twisted cucurbiturils, cucurbit[13]uril (tQ[13]) and cucurbit[15]uril (tQ[15]), have been synthesized and separated, and their structures have been confirmed by NMR spectroscopy and MALDI-TOF mass spectrometry together with the X-ray structures of two new complexes, {Dy(H2O)4Cd(H2O)4tQ[13]}·2.5[CdCl4]·65H2O and {Cd0.5(H2O)2tQ[15]}·[CdCl4]·47H2O. tQ[15] is the largest cucurbit[n]uril (Q[n]) in the Q[n] family reported to date. The X-ray diffraction studies of both complexes indicated that these large tQ[n]s effectively exhibit two different cavities-a central cavity and two side cavities. Preliminary host-guest behavior by each of the new systems was investigated by NMR studies.","author":[{"dropping-particle":"","family":"Li","given":"Qing","non-dropping-particle":"","parse-names":false,"suffix":""},{"dropping-particle":"","family":"Qiu","given":"Sheng Chao","non-dropping-particle":"","parse-names":false,"suffix":""},{"dropping-particle":"","family":"Zhang","given":"Jing","non-dropping-particle":"","parse-names":false,"suffix":""},{"dropping-particle":"","family":"Chen","given":"Kai","non-dropping-particle":"","parse-names":false,"suffix":""},{"dropping-particle":"","family":"Huang","given":"Ying","non-dropping-particle":"","parse-names":false,"suffix":""},{"dropping-particle":"","family":"Xiao","given":"Xin","non-dropping-particle":"","parse-names":false,"suffix":""},{"dropping-particle":"","family":"Zhang","given":"Yingjie","non-dropping-particle":"","parse-names":false,"suffix":""},{"dropping-particle":"","family":"Li","given":"Feng","non-dropping-particle":"","parse-names":false,"suffix":""},{"dropping-particle":"","family":"Zhang","given":"Yun Qian","non-dropping-particle":"","parse-names":false,"suffix":""},{"dropping-particle":"","family":"Xue","given":"Sai Feng","non-dropping-particle":"","parse-names":false,"suffix":""},{"dropping-particle":"","family":"Zhu","given":"Qian Jiang","non-dropping-particle":"","parse-names":false,"suffix":""},{"dropping-particle":"","family":"Tao","given":"Zhu","non-dropping-particle":"","parse-names":false,"suffix":""},{"dropping-particle":"","family":"Lindoy","given":"Leonard F.","non-dropping-particle":"","parse-names":false,"suffix":""},{"dropping-particle":"","family":"Wei","given":"Gang","non-dropping-particle":"","parse-names":false,"suffix":""}],"container-title":"Organic Letters","id":"ITEM-1","issue":"16","issued":{"date-parts":[["2016","8","19"]]},"page":"4020-4023","publisher":"American Chemical Society","title":"Twisted Cucurbit[n]urils","type":"article-journal","volume":"18"},"uris":["http://www.mendeley.com/documents/?uuid=080fd214-34c8-30bf-b464-4bffc5488d19"]}],"mendeley":{"formattedCitation":"&lt;sup&gt;44&lt;/sup&gt;","plainTextFormattedCitation":"44","previouslyFormattedCitation":"&lt;sup&gt;44&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44</w:t>
            </w:r>
            <w:r w:rsidRPr="00460059">
              <w:rPr>
                <w:rFonts w:ascii="Times New Roman" w:eastAsia="Calibri" w:hAnsi="Times New Roman" w:cs="Times New Roman"/>
                <w:w w:val="108"/>
                <w:sz w:val="20"/>
                <w:szCs w:val="20"/>
                <w:lang w:val="en-GB"/>
              </w:rPr>
              <w:fldChar w:fldCharType="end"/>
            </w:r>
          </w:p>
        </w:tc>
      </w:tr>
      <w:tr w:rsidR="00551B1C" w:rsidRPr="00460059" w14:paraId="404EBAD8" w14:textId="75CAAC3B" w:rsidTr="00700B05">
        <w:tc>
          <w:tcPr>
            <w:tcW w:w="0" w:type="auto"/>
            <w:shd w:val="clear" w:color="auto" w:fill="auto"/>
          </w:tcPr>
          <w:p w14:paraId="7F67E86A"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 xml:space="preserve">HUWYON </w:t>
            </w:r>
          </w:p>
        </w:tc>
        <w:tc>
          <w:tcPr>
            <w:tcW w:w="0" w:type="auto"/>
          </w:tcPr>
          <w:p w14:paraId="4B1D745C" w14:textId="5E766BED"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-25.6</w:t>
            </w:r>
          </w:p>
        </w:tc>
        <w:tc>
          <w:tcPr>
            <w:tcW w:w="0" w:type="auto"/>
            <w:shd w:val="clear" w:color="auto" w:fill="auto"/>
          </w:tcPr>
          <w:p w14:paraId="504C1E7F" w14:textId="1944157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-10.4</w:t>
            </w:r>
          </w:p>
        </w:tc>
        <w:tc>
          <w:tcPr>
            <w:tcW w:w="0" w:type="auto"/>
          </w:tcPr>
          <w:p w14:paraId="71AF25C2" w14:textId="197D1B38"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-13.0</w:t>
            </w:r>
          </w:p>
        </w:tc>
        <w:tc>
          <w:tcPr>
            <w:tcW w:w="0" w:type="auto"/>
          </w:tcPr>
          <w:p w14:paraId="6748895F" w14:textId="19714C11"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-2.2</w:t>
            </w:r>
          </w:p>
        </w:tc>
        <w:tc>
          <w:tcPr>
            <w:tcW w:w="0" w:type="auto"/>
            <w:shd w:val="clear" w:color="auto" w:fill="auto"/>
          </w:tcPr>
          <w:p w14:paraId="133ACEDF" w14:textId="3E0B179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521F0798"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-2.5 (c)</w:t>
            </w:r>
          </w:p>
          <w:p w14:paraId="0B73301C"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-1.6 (c)</w:t>
            </w:r>
          </w:p>
        </w:tc>
        <w:tc>
          <w:tcPr>
            <w:tcW w:w="0" w:type="auto"/>
            <w:shd w:val="clear" w:color="auto" w:fill="auto"/>
          </w:tcPr>
          <w:p w14:paraId="5D094623"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47D48DBF"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7B3E4FD0" w14:textId="3B524EE6" w:rsidR="007D7EFD" w:rsidRPr="00460059" w:rsidRDefault="00EB24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{"citationItems":[{"id":"ITEM-1","itemData":{"DOI":"10.1016/S0277-5387(02)01420-1","ISSN":"02775387","abstract":"A series of cadmium(II) complexes with N-alkyl or aryl and N,N′-dialkyl or diaryl thioureas (RNHCSNHR′; where R = R′ = CH3, CH2CH3, C6H5 and or R′ = H) have been synthesised and characterised. The structures of the polymer [CdCl2(CS(NH2) NHCH3)2]n (I) and monomer [CdCl2(CS(NH2)NHCH2CH)2] (II) were determined by single crystal X-ray methods. The structure (I) is a polymer chain built from [CdCl3S3] distorted octahedra. Complex II is monomeric with a distorted tetrahedral geometry at the cadmium centre. 1H NMR spectroscopy in deuterated dimethyl sulfoxide at room temperature had broadened NH peaks in the lower field (region 6.0-10.0 ppm) which indicates the presence of both cis and trans-isomers for the N-alkylthioureas. All the spectroscopic data obtained are consistent with the coordination of ligands by sulphur atom to the metal ion. Thermogravimetric studies show that several of these complexes decompose cleanly to CdS and may be useful in materials preparation. © 2003 Elsevier Science Ltd. All rights reserved.","author":[{"dropping-particle":"","family":"Moloto","given":"M. J.","non-dropping-particle":"","parse-names":false,"suffix":""},{"dropping-particle":"","family":"Malik","given":"M. A.","non-dropping-particle":"","parse-names":false,"suffix":""},{"dropping-particle":"","family":"O'Brien","given":"P.","non-dropping-particle":"","parse-names":false,"suffix":""},{"dropping-particle":"","family":"Motevalli","given":"M.","non-dropping-particle":"","parse-names":false,"suffix":""},{"dropping-particle":"","family":"Kolawole","given":"G. A.","non-dropping-particle":"","parse-names":false,"suffix":""}],"container-title":"Polyhedron","id":"ITEM-1","issue":"4","issued":{"date-parts":[["2003","2","15"]]},"page":"595-603","publisher":"Elsevier Ltd","title":"Synthesis and characterisation of some N-alkyl/aryl and N,N′-dialkyl/aryl thiourea cadmium(II) complexes: The single crystal X-ray structures of [CdCl2(CS(NH2) NHCH3)2]n and [CdCl2(CS(NH2)NHCH2 CH3)2]","type":"article-journal","volume":"22"},"uris":["http://www.mendeley.com/documents/?uuid=95abd982-9063-3a30-9549-86d0bcbcb208"]}],"mendeley":{"formattedCitation":"&lt;sup&gt;45&lt;/sup&gt;","plainTextFormattedCitation":"45","previouslyFormattedCitation":"&lt;sup&gt;45&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45</w:t>
            </w:r>
            <w:r w:rsidRPr="00460059">
              <w:rPr>
                <w:rFonts w:ascii="Times New Roman" w:eastAsia="Calibri" w:hAnsi="Times New Roman" w:cs="Times New Roman"/>
                <w:w w:val="108"/>
                <w:sz w:val="20"/>
                <w:szCs w:val="20"/>
                <w:lang w:val="en-GB"/>
              </w:rPr>
              <w:fldChar w:fldCharType="end"/>
            </w:r>
          </w:p>
        </w:tc>
      </w:tr>
      <w:tr w:rsidR="00E31D52" w:rsidRPr="00460059" w14:paraId="121ADFD8" w14:textId="5AE41B50" w:rsidTr="00700B05">
        <w:tc>
          <w:tcPr>
            <w:tcW w:w="0" w:type="auto"/>
            <w:gridSpan w:val="9"/>
          </w:tcPr>
          <w:p w14:paraId="2762BDDF" w14:textId="64CAF221" w:rsidR="007D7EFD" w:rsidRPr="00460059" w:rsidRDefault="007D7EFD" w:rsidP="000C47BD">
            <w:pPr>
              <w:pStyle w:val="Corpotesto"/>
              <w:spacing w:after="0" w:line="360" w:lineRule="auto"/>
              <w:jc w:val="center"/>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M = Hg</w:t>
            </w:r>
          </w:p>
        </w:tc>
        <w:tc>
          <w:tcPr>
            <w:tcW w:w="0" w:type="auto"/>
          </w:tcPr>
          <w:p w14:paraId="7BF8ADD7" w14:textId="77777777" w:rsidR="007D7EFD" w:rsidRPr="00460059" w:rsidRDefault="007D7EFD" w:rsidP="000C47BD">
            <w:pPr>
              <w:pStyle w:val="Corpotesto"/>
              <w:spacing w:after="0" w:line="360" w:lineRule="auto"/>
              <w:jc w:val="center"/>
              <w:rPr>
                <w:rFonts w:ascii="Times New Roman" w:eastAsia="Calibri" w:hAnsi="Times New Roman" w:cs="Times New Roman"/>
                <w:w w:val="108"/>
                <w:sz w:val="20"/>
                <w:szCs w:val="20"/>
                <w:lang w:val="en-GB"/>
              </w:rPr>
            </w:pPr>
          </w:p>
        </w:tc>
      </w:tr>
      <w:tr w:rsidR="00551B1C" w:rsidRPr="00460059" w14:paraId="281B858A" w14:textId="72A3269A" w:rsidTr="00700B05">
        <w:tc>
          <w:tcPr>
            <w:tcW w:w="0" w:type="auto"/>
            <w:shd w:val="clear" w:color="auto" w:fill="auto"/>
          </w:tcPr>
          <w:p w14:paraId="2C0A0E0D"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DUKTAF</w:t>
            </w:r>
          </w:p>
        </w:tc>
        <w:tc>
          <w:tcPr>
            <w:tcW w:w="0" w:type="auto"/>
          </w:tcPr>
          <w:p w14:paraId="6B53AE28" w14:textId="20C0B3E4"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-133.4</w:t>
            </w:r>
          </w:p>
        </w:tc>
        <w:tc>
          <w:tcPr>
            <w:tcW w:w="0" w:type="auto"/>
            <w:shd w:val="clear" w:color="auto" w:fill="auto"/>
          </w:tcPr>
          <w:p w14:paraId="18C9E57D" w14:textId="784775DA"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-19.7</w:t>
            </w:r>
          </w:p>
        </w:tc>
        <w:tc>
          <w:tcPr>
            <w:tcW w:w="0" w:type="auto"/>
          </w:tcPr>
          <w:p w14:paraId="6F725959" w14:textId="68811385"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-112.5</w:t>
            </w:r>
          </w:p>
        </w:tc>
        <w:tc>
          <w:tcPr>
            <w:tcW w:w="0" w:type="auto"/>
          </w:tcPr>
          <w:p w14:paraId="10DA92E3" w14:textId="3AD6C1BD"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-1.1</w:t>
            </w:r>
          </w:p>
        </w:tc>
        <w:tc>
          <w:tcPr>
            <w:tcW w:w="0" w:type="auto"/>
            <w:shd w:val="clear" w:color="auto" w:fill="auto"/>
          </w:tcPr>
          <w:p w14:paraId="14759AF2" w14:textId="374F120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7EC5E1AB"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-3.2 (-52)</w:t>
            </w:r>
          </w:p>
        </w:tc>
        <w:tc>
          <w:tcPr>
            <w:tcW w:w="0" w:type="auto"/>
            <w:shd w:val="clear" w:color="auto" w:fill="auto"/>
          </w:tcPr>
          <w:p w14:paraId="086F6053"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33CF05BA"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-5.7 (-64)</w:t>
            </w:r>
          </w:p>
        </w:tc>
        <w:tc>
          <w:tcPr>
            <w:tcW w:w="0" w:type="auto"/>
          </w:tcPr>
          <w:p w14:paraId="780CDE66" w14:textId="1C81F318" w:rsidR="007D7EFD" w:rsidRPr="00460059" w:rsidRDefault="00FB227F"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{"citationItems":[{"id":"ITEM-1","itemData":{"DOI":"10.1107/S010827010903772X","ISSN":"01082701","abstract":"The structures of three isomorphous compounds, namely bis-(2,6-dibromo- pyridinium) tetra-bromidocuprate(II) dihydrate, (CL5H 4Br2N)2[CuBr4]·2H 2O, bis-(2,6-dibromo-pyridinium) tetra-bromidocadmate(II) dihydrate, (C5H4Br2N)2[CdBr4] ·2H2O, and bis-(2,6-dibromo-pyridinium) tetra- bromidomercurate(II) dihydrate, (C5H4Br 2N)2[HgBr4]·2H2O, show a crystal supra-molecularity represented by M - Br</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H - O - H</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Br - M inter-molecular inter-actions along with (π)N - H</w:instrText>
            </w:r>
            <w:r w:rsidR="00A32FE9">
              <w:rPr>
                <w:rFonts w:ascii="Cambria Math" w:eastAsia="Calibri" w:hAnsi="Cambria Math" w:cs="Cambria Math"/>
                <w:w w:val="108"/>
                <w:sz w:val="20"/>
                <w:szCs w:val="20"/>
                <w:lang w:val="en-GB"/>
              </w:rPr>
              <w:instrText>⋯</w:instrText>
            </w:r>
            <w:r w:rsidR="00A32FE9">
              <w:rPr>
                <w:rFonts w:ascii="Times New Roman" w:eastAsia="Calibri" w:hAnsi="Times New Roman" w:cs="Times New Roman"/>
                <w:w w:val="108"/>
                <w:sz w:val="20"/>
                <w:szCs w:val="20"/>
                <w:lang w:val="en-GB"/>
              </w:rPr>
              <w:instrText>OH2 hydrogen-bonding inter-actions forming layers connected via ar-yl-aryl face-to-face stacking of cations, leading to a three-dimensional network. The anions have significantly distorted tetra-hedral geometry and crystallographic C2 symmetry. The stability of this crystal lattice is evidenced by the crystallization of a whole series of isomorphous compounds. © 2009 International Union of Crystallography.","author":[{"dropping-particle":"","family":"Al-Far","given":"Rawhi H.","non-dropping-particle":"","parse-names":false,"suffix":""},{"dropping-particle":"","family":"Haddad","given":"Salim F.","non-dropping-particle":"","parse-names":false,"suffix":""},{"dropping-particle":"","family":"Ali","given":"Basem Fares","non-dropping-particle":"","parse-names":false,"suffix":""}],"container-title":"Acta Crystallographica Section C: Crystal Structure Communications","id":"ITEM-1","issue":"11","issued":{"date-parts":[["2009","10","28"]]},"page":"m451-m454","publisher":"International Union of Crystallography","title":"Three isomorphous 2,6-dibromo-pyridinium tetra-bromidometallates: (C 5H4Br2N)2[MBr4] ·2H2O (M = Cu, Cd and Hg)","type":"article-journal","volume":"65"},"uris":["http://www.mendeley.com/documents/?uuid=0e07bbef-53fd-3fd0-ae61-95b2c4714f22"]}],"mendeley":{"formattedCitation":"&lt;sup&gt;46&lt;/sup&gt;","plainTextFormattedCitation":"46","previouslyFormattedCitation":"&lt;sup&gt;46&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46</w:t>
            </w:r>
            <w:r w:rsidRPr="00460059">
              <w:rPr>
                <w:rFonts w:ascii="Times New Roman" w:eastAsia="Calibri" w:hAnsi="Times New Roman" w:cs="Times New Roman"/>
                <w:w w:val="108"/>
                <w:sz w:val="20"/>
                <w:szCs w:val="20"/>
                <w:lang w:val="en-GB"/>
              </w:rPr>
              <w:fldChar w:fldCharType="end"/>
            </w:r>
          </w:p>
        </w:tc>
      </w:tr>
      <w:tr w:rsidR="00551B1C" w:rsidRPr="00460059" w14:paraId="10B0E6F9" w14:textId="35CEF5F7" w:rsidTr="00700B05">
        <w:tc>
          <w:tcPr>
            <w:tcW w:w="0" w:type="auto"/>
            <w:shd w:val="clear" w:color="auto" w:fill="auto"/>
          </w:tcPr>
          <w:p w14:paraId="42DED839"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KUSMAM</w:t>
            </w:r>
          </w:p>
        </w:tc>
        <w:tc>
          <w:tcPr>
            <w:tcW w:w="0" w:type="auto"/>
          </w:tcPr>
          <w:p w14:paraId="1CD970EB" w14:textId="5BD34321"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-117.5</w:t>
            </w:r>
          </w:p>
        </w:tc>
        <w:tc>
          <w:tcPr>
            <w:tcW w:w="0" w:type="auto"/>
            <w:shd w:val="clear" w:color="auto" w:fill="auto"/>
          </w:tcPr>
          <w:p w14:paraId="7A19DB6B" w14:textId="251B99AB"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-23.5</w:t>
            </w:r>
          </w:p>
        </w:tc>
        <w:tc>
          <w:tcPr>
            <w:tcW w:w="0" w:type="auto"/>
          </w:tcPr>
          <w:p w14:paraId="71E80A27" w14:textId="2EE309DE"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-91.7</w:t>
            </w:r>
          </w:p>
        </w:tc>
        <w:tc>
          <w:tcPr>
            <w:tcW w:w="0" w:type="auto"/>
          </w:tcPr>
          <w:p w14:paraId="6DDA5E58" w14:textId="56FE4DD5"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-2.4</w:t>
            </w:r>
          </w:p>
        </w:tc>
        <w:tc>
          <w:tcPr>
            <w:tcW w:w="0" w:type="auto"/>
            <w:shd w:val="clear" w:color="auto" w:fill="auto"/>
          </w:tcPr>
          <w:p w14:paraId="4D039A78" w14:textId="2C41C324"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-5.4 (-79)</w:t>
            </w:r>
          </w:p>
          <w:p w14:paraId="1E49DE83"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-2.4 (4)</w:t>
            </w:r>
          </w:p>
        </w:tc>
        <w:tc>
          <w:tcPr>
            <w:tcW w:w="0" w:type="auto"/>
            <w:shd w:val="clear" w:color="auto" w:fill="auto"/>
          </w:tcPr>
          <w:p w14:paraId="12EA172B"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39877C5A"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-3.7 (-45)</w:t>
            </w:r>
          </w:p>
        </w:tc>
        <w:tc>
          <w:tcPr>
            <w:tcW w:w="0" w:type="auto"/>
            <w:shd w:val="clear" w:color="auto" w:fill="auto"/>
          </w:tcPr>
          <w:p w14:paraId="1DBA5739"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5FBEE35D" w14:textId="2B823EF7" w:rsidR="007D7EFD" w:rsidRPr="00460059" w:rsidRDefault="00E31D52"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{"citationItems":[{"id":"ITEM-1","itemData":{"DOI":"10.1016/S0020-1693(00)85828-4","ISSN":"00201693","abstract":"The single crystal X-ray analysis of the 1:2 complex between trithiapyridino-12-crown-4 (1) and HgCl2 is reported. Crystals of the complex are monoclinic, P21/n, with a=13.455(5), b=15.627(2), c=8.933(2) Å, β=93.42(2)° and Dc=2.844 g cm-3 for Z=4. The host macrocycle has an approximate non-crystallographic mirror symmetry. The structure contains Hg in two very different environments. One Hg is fivefold coordinated in distorted square pyramidal geometry using the four heteroatoms of the macroring and an additional chloro atom as ligating sites. The other Hg remains uncoordinated by the macroring but is surrounded by three chloro atoms to form a trigonal-planar geometry. This complex is an example of unique coordination mode around Hg. © 1992.","author":[{"dropping-particle":"","family":"Sobhia","given":"Masilamani E.","non-dropping-particle":"","parse-names":false,"suffix":""},{"dropping-particle":"","family":"Panneerselvam","given":"Kaliyamoorthy","non-dropping-particle":"","parse-names":false,"suffix":""},{"dropping-particle":"","family":"Chacko","given":"Kizakkekoikkal K.","non-dropping-particle":"","parse-names":false,"suffix":""},{"dropping-particle":"","family":"Suh","given":"Il Hwan","non-dropping-particle":"","parse-names":false,"suffix":""},{"dropping-particle":"","family":"Weber","given":"Edwin","non-dropping-particle":"","parse-names":false,"suffix":""},{"dropping-particle":"","family":"Reutel","given":"Christiane","non-dropping-particle":"","parse-names":false,"suffix":""}],"container-title":"Inorganica Chimica Acta","id":"ITEM-1","issue":"1","issued":{"date-parts":[["1992","4","1"]]},"page":"93-97","publisher":"Elsevier","title":"Crystal structure of the 2:1 complex of mercury(II) chloride with trithiapyridino-12-crown-4 having unusual mercury coordination","type":"article-journal","volume":"194"},"uris":["http://www.mendeley.com/documents/?uuid=85effd61-bac9-3a53-b5e0-fbeeb202d017"]}],"mendeley":{"formattedCitation":"&lt;sup&gt;47&lt;/sup&gt;","plainTextFormattedCitation":"47","previouslyFormattedCitation":"&lt;sup&gt;47&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47</w:t>
            </w:r>
            <w:r w:rsidRPr="00460059">
              <w:rPr>
                <w:rFonts w:ascii="Times New Roman" w:eastAsia="Calibri" w:hAnsi="Times New Roman" w:cs="Times New Roman"/>
                <w:w w:val="108"/>
                <w:sz w:val="20"/>
                <w:szCs w:val="20"/>
                <w:lang w:val="en-GB"/>
              </w:rPr>
              <w:fldChar w:fldCharType="end"/>
            </w:r>
          </w:p>
        </w:tc>
      </w:tr>
      <w:tr w:rsidR="00551B1C" w:rsidRPr="00460059" w14:paraId="63DCA07B" w14:textId="7033B16D" w:rsidTr="00700B05">
        <w:tc>
          <w:tcPr>
            <w:tcW w:w="0" w:type="auto"/>
            <w:shd w:val="clear" w:color="auto" w:fill="auto"/>
          </w:tcPr>
          <w:p w14:paraId="6D9999F3"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BEJGOM</w:t>
            </w:r>
          </w:p>
        </w:tc>
        <w:tc>
          <w:tcPr>
            <w:tcW w:w="0" w:type="auto"/>
          </w:tcPr>
          <w:p w14:paraId="56A069AB" w14:textId="4D171B48"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-76.3</w:t>
            </w:r>
          </w:p>
        </w:tc>
        <w:tc>
          <w:tcPr>
            <w:tcW w:w="0" w:type="auto"/>
            <w:shd w:val="clear" w:color="auto" w:fill="auto"/>
          </w:tcPr>
          <w:p w14:paraId="38B3E1A9" w14:textId="32C61303"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-14.2</w:t>
            </w:r>
          </w:p>
        </w:tc>
        <w:tc>
          <w:tcPr>
            <w:tcW w:w="0" w:type="auto"/>
          </w:tcPr>
          <w:p w14:paraId="6FBBF14C" w14:textId="73D433A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-60.7</w:t>
            </w:r>
          </w:p>
        </w:tc>
        <w:tc>
          <w:tcPr>
            <w:tcW w:w="0" w:type="auto"/>
          </w:tcPr>
          <w:p w14:paraId="1824F576" w14:textId="2ECD83A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-1.5</w:t>
            </w:r>
          </w:p>
        </w:tc>
        <w:tc>
          <w:tcPr>
            <w:tcW w:w="0" w:type="auto"/>
            <w:shd w:val="clear" w:color="auto" w:fill="auto"/>
          </w:tcPr>
          <w:p w14:paraId="67E4D6E6" w14:textId="6D6250A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-5.2 (58)</w:t>
            </w:r>
          </w:p>
        </w:tc>
        <w:tc>
          <w:tcPr>
            <w:tcW w:w="0" w:type="auto"/>
            <w:shd w:val="clear" w:color="auto" w:fill="auto"/>
          </w:tcPr>
          <w:p w14:paraId="511532D6"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-1.3 (-33)</w:t>
            </w:r>
          </w:p>
        </w:tc>
        <w:tc>
          <w:tcPr>
            <w:tcW w:w="0" w:type="auto"/>
            <w:shd w:val="clear" w:color="auto" w:fill="auto"/>
          </w:tcPr>
          <w:p w14:paraId="354C0A31"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shd w:val="clear" w:color="auto" w:fill="auto"/>
          </w:tcPr>
          <w:p w14:paraId="412FDA75"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Pr>
          <w:p w14:paraId="0A2A9983" w14:textId="3FADFB21" w:rsidR="007D7EFD" w:rsidRPr="00460059" w:rsidRDefault="004157FA"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{"citationItems":[{"id":"ITEM-1","itemData":{"DOI":"10.1021/ic50226a052","ISSN":"1520510X","abstract":"Complexes [MeHgL]N03 [L = diphenyl(2-pyridyl)methane (pyCHPh2), bis(2-pyridyl)phenylmethane [(py)2CHPh], and the tripod ligands tris(2-pyridyl)carbinol [(py)3COH] and bis(2-pyridyl)(N-methyl-2-imidazolyl)carbinol [(py)2(N-MeIm) COH]} are obtained from addition reactions in acetone. The ligand (py)2CHPh is formed on reaction of (2- benzylpyridyl)lithium with 2-bromopyridine. 1H NMR spectra indicate that (py)2CHPh and (py)2(N'-MeIm)COH are present as bidentates in methanol solutions of their complexes, with the latter coordinated via the imidazolyl ring and one pyridyl ring. Spectra are consistent with the presence of weak interactions between mercury and phenyl rings in the (py)CHPh2 and (py)2CHPh complexes and the uncoordinated pyridyl ring in the (py)2(N-MeIm)COH complex. In complexes [MeHgL]N03 (L = (py)3COH, (py)3CH) the ligands are present as tridentates in methanol. Crystalline [MeHgL]N03 [L = (py)3COH, (py)2(N-MeIm)COH] have the tripod ligands coordinating as tridentates, with irregular coordination geometries based on a dominant C-Hg-N’ moiety [Hg-N’ = 2.28 (1) Å, C-Hg-N’ = 150 (1)° ((py)3COH) and 2.13 (1) Å, 170 (0)° ((py)2(N-MeIm)COH)] with weaker Hg-N,N” bonds [2.45 (1), 2.53 (1) ((py)3COH) and 2.66 (1), 2.71 (1) Å ((py)2(Å-MeIm)COH)]. For [MeHg((py) 2(N-MeIm) COH) ] the coordination geometry resembles a trigonal bipyramid lacking one equatorial donor and with axial direction C-Hg-N’ [crystal data: [MeHg((py)3C0H)]N03 space group PI, Z = 2,a= 10.216 (4) Å, b = 12.628 (5) Å, c = 9.614 (3) Å, α = 103.71 (2)°, β = 129.67 (2)°, γ = 91.86 (3)°, R = 0.044 for 2107 reflections having I ≥ 3σ(I); [MeHg((py)2(N-MeIm)C0H)]N03 space group PI, Z = 2, a = 11.739 (6) Å, b = 9.689 (2) Å, c = 8.182 (2) Å, α = 94.70 (4)°, β = 95.58 (2)°, γ = 97.00 (2)°, R = 0.042 for 2652 reflections having I ≥ 3σ(I)]. © 1981, American Chemical Society. All rights reserved.","author":[{"dropping-particle":"","family":"Canty","given":"Allan J.","non-dropping-particle":"","parse-names":false,"suffix":""},{"dropping-particle":"","family":"Chaichit","given":"Narongsak","non-dropping-particle":"","parse-names":false,"suffix":""},{"dropping-particle":"","family":"Gatehouse","given":"Bryan M.","non-dropping-particle":"","parse-names":false,"suffix":""},{"dropping-particle":"","family":"George","given":"Edwin E.","non-dropping-particle":"","parse-names":false,"suffix":""}],"container-title":"Inorganic Chemistry","id":"ITEM-1","issue":"12","issued":{"date-parts":[["1981"]]},"page":"4293-4300","publisher":"American Chemical Society","title":"Coordination Chemistry of Methylmercury (II). Complexes of Aromatic Nitrogen Donor Tripod Ligands Involving New Coordination Geometries for MeHgII","type":"article-journal","volume":"20"},"uris":["http://www.mendeley.com/documents/?uuid=419fbf93-a10b-328a-982c-ce578795fbf1"]}],"mendeley":{"formattedCitation":"&lt;sup&gt;48&lt;/sup&gt;","plainTextFormattedCitation":"48","previouslyFormattedCitation":"&lt;sup&gt;48&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48</w:t>
            </w:r>
            <w:r w:rsidRPr="00460059">
              <w:rPr>
                <w:rFonts w:ascii="Times New Roman" w:eastAsia="Calibri" w:hAnsi="Times New Roman" w:cs="Times New Roman"/>
                <w:w w:val="108"/>
                <w:sz w:val="20"/>
                <w:szCs w:val="20"/>
                <w:lang w:val="en-GB"/>
              </w:rPr>
              <w:fldChar w:fldCharType="end"/>
            </w:r>
          </w:p>
        </w:tc>
      </w:tr>
      <w:tr w:rsidR="00551B1C" w:rsidRPr="00460059" w14:paraId="60BAEE2A" w14:textId="78792259" w:rsidTr="00700B05">
        <w:tc>
          <w:tcPr>
            <w:tcW w:w="0" w:type="auto"/>
            <w:tcBorders>
              <w:bottom w:val="single" w:sz="4" w:space="0" w:color="auto"/>
            </w:tcBorders>
            <w:shd w:val="clear" w:color="auto" w:fill="auto"/>
          </w:tcPr>
          <w:p w14:paraId="220570B1"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DEZGEV</w:t>
            </w:r>
          </w:p>
        </w:tc>
        <w:tc>
          <w:tcPr>
            <w:tcW w:w="0" w:type="auto"/>
            <w:tcBorders>
              <w:bottom w:val="single" w:sz="4" w:space="0" w:color="auto"/>
            </w:tcBorders>
          </w:tcPr>
          <w:p w14:paraId="7656F803" w14:textId="1D406155"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-17.7</w:t>
            </w:r>
          </w:p>
        </w:tc>
        <w:tc>
          <w:tcPr>
            <w:tcW w:w="0" w:type="auto"/>
            <w:tcBorders>
              <w:bottom w:val="single" w:sz="4" w:space="0" w:color="auto"/>
            </w:tcBorders>
            <w:shd w:val="clear" w:color="auto" w:fill="auto"/>
          </w:tcPr>
          <w:p w14:paraId="45C10041" w14:textId="1840EC5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-6.2</w:t>
            </w:r>
          </w:p>
        </w:tc>
        <w:tc>
          <w:tcPr>
            <w:tcW w:w="0" w:type="auto"/>
            <w:tcBorders>
              <w:bottom w:val="single" w:sz="4" w:space="0" w:color="auto"/>
            </w:tcBorders>
          </w:tcPr>
          <w:p w14:paraId="00DFB548" w14:textId="0DB66520"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-9.5</w:t>
            </w:r>
          </w:p>
        </w:tc>
        <w:tc>
          <w:tcPr>
            <w:tcW w:w="0" w:type="auto"/>
            <w:tcBorders>
              <w:bottom w:val="single" w:sz="4" w:space="0" w:color="auto"/>
            </w:tcBorders>
          </w:tcPr>
          <w:p w14:paraId="213A4621" w14:textId="2952289C"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hAnsi="Times New Roman" w:cs="Times New Roman"/>
                <w:sz w:val="20"/>
                <w:szCs w:val="20"/>
              </w:rPr>
              <w:t>-2.0</w:t>
            </w:r>
          </w:p>
        </w:tc>
        <w:tc>
          <w:tcPr>
            <w:tcW w:w="0" w:type="auto"/>
            <w:tcBorders>
              <w:bottom w:val="single" w:sz="4" w:space="0" w:color="auto"/>
            </w:tcBorders>
            <w:shd w:val="clear" w:color="auto" w:fill="auto"/>
          </w:tcPr>
          <w:p w14:paraId="1833A22B" w14:textId="5CE9654A"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-2.8 (33)</w:t>
            </w:r>
          </w:p>
        </w:tc>
        <w:tc>
          <w:tcPr>
            <w:tcW w:w="0" w:type="auto"/>
            <w:tcBorders>
              <w:bottom w:val="single" w:sz="4" w:space="0" w:color="auto"/>
            </w:tcBorders>
            <w:shd w:val="clear" w:color="auto" w:fill="auto"/>
          </w:tcPr>
          <w:p w14:paraId="0FE11C52"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Borders>
              <w:bottom w:val="single" w:sz="4" w:space="0" w:color="auto"/>
            </w:tcBorders>
            <w:shd w:val="clear" w:color="auto" w:fill="auto"/>
          </w:tcPr>
          <w:p w14:paraId="4A084151"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Borders>
              <w:bottom w:val="single" w:sz="4" w:space="0" w:color="auto"/>
            </w:tcBorders>
            <w:shd w:val="clear" w:color="auto" w:fill="auto"/>
          </w:tcPr>
          <w:p w14:paraId="39BE9DDD" w14:textId="77777777" w:rsidR="007D7EFD" w:rsidRPr="00460059" w:rsidRDefault="007D7EFD"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t>-</w:t>
            </w:r>
          </w:p>
        </w:tc>
        <w:tc>
          <w:tcPr>
            <w:tcW w:w="0" w:type="auto"/>
            <w:tcBorders>
              <w:bottom w:val="single" w:sz="4" w:space="0" w:color="auto"/>
            </w:tcBorders>
          </w:tcPr>
          <w:p w14:paraId="5A27B182" w14:textId="433ADB67" w:rsidR="007D7EFD" w:rsidRPr="00460059" w:rsidRDefault="00551B1C" w:rsidP="000C47BD">
            <w:pPr>
              <w:pStyle w:val="Corpotesto"/>
              <w:spacing w:after="0" w:line="360" w:lineRule="auto"/>
              <w:jc w:val="both"/>
              <w:rPr>
                <w:rFonts w:ascii="Times New Roman" w:eastAsia="Calibri" w:hAnsi="Times New Roman" w:cs="Times New Roman"/>
                <w:w w:val="108"/>
                <w:sz w:val="20"/>
                <w:szCs w:val="20"/>
                <w:lang w:val="en-GB"/>
              </w:rPr>
            </w:pPr>
            <w:r w:rsidRPr="00460059">
              <w:rPr>
                <w:rFonts w:ascii="Times New Roman" w:eastAsia="Calibri" w:hAnsi="Times New Roman" w:cs="Times New Roman"/>
                <w:w w:val="108"/>
                <w:sz w:val="20"/>
                <w:szCs w:val="20"/>
                <w:lang w:val="en-GB"/>
              </w:rPr>
              <w:fldChar w:fldCharType="begin" w:fldLock="1"/>
            </w:r>
            <w:r w:rsidR="00A32FE9">
              <w:rPr>
                <w:rFonts w:ascii="Times New Roman" w:eastAsia="Calibri" w:hAnsi="Times New Roman" w:cs="Times New Roman"/>
                <w:w w:val="108"/>
                <w:sz w:val="20"/>
                <w:szCs w:val="20"/>
                <w:lang w:val="en-GB"/>
              </w:rPr>
              <w:instrText>ADDIN CSL_CITATION {"citationItems":[{"id":"ITEM-1","itemData":{"DOI":"10.1039/b702032p","ISSN":"14668033","abstract":"Acyclic acetamide functionalized mercury or silver carbene complexes, in which the coordination sphere adopts a skewed core conformation, self-assembled to form rectangular architectures. © The Royal Society of Chemistry 2007.","author":[{"dropping-particle":"","family":"Lee","given":"Kwang Ming","non-dropping-particle":"","parse-names":false,"suffix":""},{"dropping-particle":"","family":"Chen","given":"Jack C.C.","non-dropping-particle":"","parse-names":false,"suffix":""},{"dropping-particle":"","family":"Huang","given":"Chao June","non-dropping-particle":"","parse-names":false,"suffix":""},{"dropping-particle":"","family":"Lin","given":"Ivan J.B.","non-dropping-particle":"","parse-names":false,"suffix":""}],"container-title":"CrystEngComm","id":"ITEM-1","issue":"4","issued":{"date-parts":[["2007","3","30"]]},"page":"278-281","publisher":"The Royal Society of Chemistry","title":"Rectangular architectures formed by acyclic diamido-metal-N-heterocyclic carbenes with skewed conformation","type":"article-journal","volume":"9"},"uris":["http://www.mendeley.com/documents/?uuid=9f3125a0-7a63-3425-8d77-a238fa39a4ab"]}],"mendeley":{"formattedCitation":"&lt;sup&gt;49&lt;/sup&gt;","plainTextFormattedCitation":"49","previouslyFormattedCitation":"&lt;sup&gt;49&lt;/sup&gt;"},"properties":{"noteIndex":0},"schema":"https://github.com/citation-style-language/schema/raw/master/csl-citation.json"}</w:instrText>
            </w:r>
            <w:r w:rsidRPr="00460059">
              <w:rPr>
                <w:rFonts w:ascii="Times New Roman" w:eastAsia="Calibri" w:hAnsi="Times New Roman" w:cs="Times New Roman"/>
                <w:w w:val="108"/>
                <w:sz w:val="20"/>
                <w:szCs w:val="20"/>
                <w:lang w:val="en-GB"/>
              </w:rPr>
              <w:fldChar w:fldCharType="separate"/>
            </w:r>
            <w:r w:rsidR="00D15D67" w:rsidRPr="00D15D67">
              <w:rPr>
                <w:rFonts w:ascii="Times New Roman" w:eastAsia="Calibri" w:hAnsi="Times New Roman" w:cs="Times New Roman"/>
                <w:noProof/>
                <w:w w:val="108"/>
                <w:sz w:val="20"/>
                <w:szCs w:val="20"/>
                <w:vertAlign w:val="superscript"/>
                <w:lang w:val="en-GB"/>
              </w:rPr>
              <w:t>49</w:t>
            </w:r>
            <w:r w:rsidRPr="00460059">
              <w:rPr>
                <w:rFonts w:ascii="Times New Roman" w:eastAsia="Calibri" w:hAnsi="Times New Roman" w:cs="Times New Roman"/>
                <w:w w:val="108"/>
                <w:sz w:val="20"/>
                <w:szCs w:val="20"/>
                <w:lang w:val="en-GB"/>
              </w:rPr>
              <w:fldChar w:fldCharType="end"/>
            </w:r>
          </w:p>
        </w:tc>
      </w:tr>
    </w:tbl>
    <w:p w14:paraId="7E4FBB03" w14:textId="6AB8A2CA" w:rsidR="00807781" w:rsidRPr="00460059" w:rsidRDefault="00807781" w:rsidP="00807781">
      <w:pPr>
        <w:pStyle w:val="Corpotesto"/>
        <w:spacing w:after="0" w:line="360" w:lineRule="auto"/>
        <w:jc w:val="both"/>
        <w:rPr>
          <w:rFonts w:ascii="Times New Roman" w:eastAsia="Calibri" w:hAnsi="Times New Roman" w:cs="Times New Roman"/>
          <w:w w:val="108"/>
          <w:sz w:val="24"/>
          <w:szCs w:val="24"/>
          <w:lang w:val="en-GB"/>
        </w:rPr>
      </w:pPr>
      <w:r w:rsidRPr="00460059">
        <w:rPr>
          <w:rFonts w:ascii="Times New Roman" w:eastAsia="Calibri" w:hAnsi="Times New Roman" w:cs="Times New Roman"/>
          <w:w w:val="108"/>
          <w:sz w:val="24"/>
          <w:szCs w:val="24"/>
          <w:lang w:val="en-GB"/>
        </w:rPr>
        <w:t>a: mixed w</w:t>
      </w:r>
      <w:r w:rsidR="0098246F">
        <w:rPr>
          <w:rFonts w:ascii="Times New Roman" w:eastAsia="Calibri" w:hAnsi="Times New Roman" w:cs="Times New Roman"/>
          <w:w w:val="108"/>
          <w:sz w:val="24"/>
          <w:szCs w:val="24"/>
          <w:lang w:val="en-GB"/>
        </w:rPr>
        <w:t>i</w:t>
      </w:r>
      <w:r w:rsidRPr="00460059">
        <w:rPr>
          <w:rFonts w:ascii="Times New Roman" w:eastAsia="Calibri" w:hAnsi="Times New Roman" w:cs="Times New Roman"/>
          <w:w w:val="108"/>
          <w:sz w:val="24"/>
          <w:szCs w:val="24"/>
          <w:lang w:val="en-GB"/>
        </w:rPr>
        <w:t>th HB, see ESI; b: mixed with ChB, see ESI; c: integration unfeasible due to the symmetry of the adduct.</w:t>
      </w:r>
    </w:p>
    <w:p w14:paraId="47C35928" w14:textId="72A29740" w:rsidR="008D46D2" w:rsidRPr="00460059" w:rsidRDefault="008D46D2" w:rsidP="008D46D2">
      <w:pPr>
        <w:pStyle w:val="Corpotesto"/>
        <w:spacing w:after="0" w:line="360" w:lineRule="auto"/>
        <w:jc w:val="both"/>
        <w:rPr>
          <w:rFonts w:ascii="Times New Roman" w:hAnsi="Times New Roman" w:cs="Times New Roman"/>
          <w:b/>
          <w:bCs/>
          <w:sz w:val="24"/>
          <w:szCs w:val="24"/>
          <w:lang w:val="en-GB"/>
        </w:rPr>
      </w:pPr>
    </w:p>
    <w:p w14:paraId="18808D3E" w14:textId="166DB4D3" w:rsidR="002F77FE" w:rsidRPr="00460059" w:rsidRDefault="005409B1" w:rsidP="008D46D2">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On the contrary, in the dimer extracted from YAGGET, the oxygen of water prefers to establish a</w:t>
      </w:r>
      <w:r w:rsidR="00096663" w:rsidRPr="00460059">
        <w:rPr>
          <w:rFonts w:ascii="Times New Roman" w:hAnsi="Times New Roman" w:cs="Times New Roman"/>
          <w:bCs/>
          <w:sz w:val="24"/>
          <w:szCs w:val="24"/>
          <w:lang w:val="en-GB"/>
        </w:rPr>
        <w:t xml:space="preserve">n orbital </w:t>
      </w:r>
      <w:proofErr w:type="spellStart"/>
      <w:r w:rsidR="00096663" w:rsidRPr="00460059">
        <w:rPr>
          <w:rFonts w:ascii="Times New Roman" w:hAnsi="Times New Roman" w:cs="Times New Roman"/>
          <w:bCs/>
          <w:sz w:val="24"/>
          <w:szCs w:val="24"/>
          <w:lang w:val="en-GB"/>
        </w:rPr>
        <w:t>SpB</w:t>
      </w:r>
      <w:proofErr w:type="spellEnd"/>
      <w:r w:rsidR="00096663" w:rsidRPr="00460059">
        <w:rPr>
          <w:rFonts w:ascii="Times New Roman" w:hAnsi="Times New Roman" w:cs="Times New Roman"/>
          <w:bCs/>
          <w:sz w:val="24"/>
          <w:szCs w:val="24"/>
          <w:lang w:val="en-GB"/>
        </w:rPr>
        <w:t xml:space="preserve"> with zinc</w:t>
      </w:r>
      <w:r w:rsidRPr="00460059">
        <w:rPr>
          <w:rFonts w:ascii="Times New Roman" w:hAnsi="Times New Roman" w:cs="Times New Roman"/>
          <w:bCs/>
          <w:sz w:val="24"/>
          <w:szCs w:val="24"/>
          <w:lang w:val="en-GB"/>
        </w:rPr>
        <w:t xml:space="preserve"> rather than a </w:t>
      </w:r>
      <w:r w:rsidR="00096663" w:rsidRPr="00460059">
        <w:rPr>
          <w:rFonts w:ascii="Times New Roman" w:hAnsi="Times New Roman" w:cs="Times New Roman"/>
          <w:bCs/>
          <w:sz w:val="24"/>
          <w:szCs w:val="24"/>
          <w:lang w:val="en-GB"/>
        </w:rPr>
        <w:t xml:space="preserve">selective </w:t>
      </w:r>
      <w:r w:rsidRPr="00460059">
        <w:rPr>
          <w:rFonts w:ascii="Times New Roman" w:hAnsi="Times New Roman" w:cs="Times New Roman"/>
          <w:bCs/>
          <w:sz w:val="24"/>
          <w:szCs w:val="24"/>
          <w:lang w:val="en-GB"/>
        </w:rPr>
        <w:t>HB wit</w:t>
      </w:r>
      <w:r w:rsidR="00096663" w:rsidRPr="00460059">
        <w:rPr>
          <w:rFonts w:ascii="Times New Roman" w:hAnsi="Times New Roman" w:cs="Times New Roman"/>
          <w:bCs/>
          <w:sz w:val="24"/>
          <w:szCs w:val="24"/>
          <w:lang w:val="en-GB"/>
        </w:rPr>
        <w:t>h the ammonia protons</w:t>
      </w:r>
      <w:r w:rsidR="00FC09CA" w:rsidRPr="00460059">
        <w:rPr>
          <w:rFonts w:ascii="Times New Roman" w:hAnsi="Times New Roman" w:cs="Times New Roman"/>
          <w:bCs/>
          <w:sz w:val="24"/>
          <w:szCs w:val="24"/>
          <w:lang w:val="en-GB"/>
        </w:rPr>
        <w:t xml:space="preserve"> (</w:t>
      </w:r>
      <w:r w:rsidR="00FC09CA" w:rsidRPr="00460059">
        <w:rPr>
          <w:rFonts w:ascii="Times New Roman" w:hAnsi="Times New Roman" w:cs="Times New Roman"/>
          <w:bCs/>
          <w:sz w:val="24"/>
          <w:szCs w:val="24"/>
          <w:lang w:val="en-GB"/>
        </w:rPr>
        <w:fldChar w:fldCharType="begin"/>
      </w:r>
      <w:r w:rsidR="00FC09CA"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00FC09CA" w:rsidRPr="00460059">
        <w:rPr>
          <w:rFonts w:ascii="Times New Roman" w:hAnsi="Times New Roman" w:cs="Times New Roman"/>
          <w:bCs/>
          <w:sz w:val="24"/>
          <w:szCs w:val="24"/>
          <w:lang w:val="en-GB"/>
        </w:rPr>
      </w:r>
      <w:r w:rsidR="00FC09CA" w:rsidRPr="00460059">
        <w:rPr>
          <w:rFonts w:ascii="Times New Roman" w:hAnsi="Times New Roman" w:cs="Times New Roman"/>
          <w:bCs/>
          <w:sz w:val="24"/>
          <w:szCs w:val="24"/>
          <w:lang w:val="en-GB"/>
        </w:rPr>
        <w:fldChar w:fldCharType="separate"/>
      </w:r>
      <w:r w:rsidR="00FC09CA" w:rsidRPr="00460059">
        <w:rPr>
          <w:rFonts w:ascii="Times New Roman" w:hAnsi="Times New Roman" w:cs="Times New Roman"/>
          <w:bCs/>
          <w:sz w:val="24"/>
          <w:szCs w:val="24"/>
          <w:lang w:val="en-GB"/>
        </w:rPr>
        <w:t>Figure 4</w:t>
      </w:r>
      <w:r w:rsidR="00FC09CA" w:rsidRPr="00460059">
        <w:rPr>
          <w:rFonts w:ascii="Times New Roman" w:hAnsi="Times New Roman" w:cs="Times New Roman"/>
          <w:bCs/>
          <w:sz w:val="24"/>
          <w:szCs w:val="24"/>
          <w:lang w:val="en-GB"/>
        </w:rPr>
        <w:fldChar w:fldCharType="end"/>
      </w:r>
      <w:r w:rsidR="00FC09CA" w:rsidRPr="00460059">
        <w:rPr>
          <w:rFonts w:ascii="Times New Roman" w:hAnsi="Times New Roman" w:cs="Times New Roman"/>
          <w:bCs/>
          <w:sz w:val="24"/>
          <w:szCs w:val="24"/>
          <w:lang w:val="en-GB"/>
        </w:rPr>
        <w:t>a)</w:t>
      </w:r>
      <w:r w:rsidR="00096663" w:rsidRPr="00460059">
        <w:rPr>
          <w:rFonts w:ascii="Times New Roman" w:hAnsi="Times New Roman" w:cs="Times New Roman"/>
          <w:bCs/>
          <w:sz w:val="24"/>
          <w:szCs w:val="24"/>
          <w:lang w:val="en-GB"/>
        </w:rPr>
        <w:t>. In this way, it can electrostatically interact with all the amino protons</w:t>
      </w:r>
      <w:r w:rsidR="00FC09CA" w:rsidRPr="00460059">
        <w:rPr>
          <w:rFonts w:ascii="Times New Roman" w:hAnsi="Times New Roman" w:cs="Times New Roman"/>
          <w:bCs/>
          <w:sz w:val="24"/>
          <w:szCs w:val="24"/>
          <w:lang w:val="en-GB"/>
        </w:rPr>
        <w:t>. The integration of the corresponding function, Δρ</w:t>
      </w:r>
      <w:r w:rsidR="00FC09CA" w:rsidRPr="00460059">
        <w:rPr>
          <w:rFonts w:ascii="Times New Roman" w:hAnsi="Times New Roman" w:cs="Times New Roman"/>
          <w:bCs/>
          <w:sz w:val="24"/>
          <w:szCs w:val="24"/>
          <w:vertAlign w:val="subscript"/>
          <w:lang w:val="en-GB"/>
        </w:rPr>
        <w:t>0</w:t>
      </w:r>
      <w:r w:rsidR="00FC09CA" w:rsidRPr="00460059">
        <w:rPr>
          <w:rFonts w:ascii="Times New Roman" w:hAnsi="Times New Roman" w:cs="Times New Roman"/>
          <w:bCs/>
          <w:sz w:val="24"/>
          <w:szCs w:val="24"/>
          <w:lang w:val="en-GB"/>
        </w:rPr>
        <w:t>, leads to a CT</w:t>
      </w:r>
      <w:r w:rsidR="00FC09CA" w:rsidRPr="00460059">
        <w:rPr>
          <w:rFonts w:ascii="Times New Roman" w:hAnsi="Times New Roman" w:cs="Times New Roman"/>
          <w:bCs/>
          <w:sz w:val="24"/>
          <w:szCs w:val="24"/>
          <w:vertAlign w:val="subscript"/>
          <w:lang w:val="en-GB"/>
        </w:rPr>
        <w:t>0</w:t>
      </w:r>
      <w:r w:rsidR="00FC09CA" w:rsidRPr="00460059">
        <w:rPr>
          <w:rFonts w:ascii="Times New Roman" w:hAnsi="Times New Roman" w:cs="Times New Roman"/>
          <w:bCs/>
          <w:sz w:val="24"/>
          <w:szCs w:val="24"/>
          <w:lang w:val="en-GB"/>
        </w:rPr>
        <w:t xml:space="preserve"> of </w:t>
      </w:r>
      <w:r w:rsidR="00AD6890" w:rsidRPr="00460059">
        <w:rPr>
          <w:rFonts w:ascii="Times New Roman" w:hAnsi="Times New Roman" w:cs="Times New Roman"/>
          <w:bCs/>
          <w:sz w:val="24"/>
          <w:szCs w:val="24"/>
          <w:lang w:val="en-GB"/>
        </w:rPr>
        <w:t xml:space="preserve">25 me (-1.8 kcal/mol), which is the sum of the water polarization under the electrostatic effect of the amino protons and the orbital </w:t>
      </w:r>
      <w:proofErr w:type="spellStart"/>
      <w:r w:rsidR="00AD6890" w:rsidRPr="00460059">
        <w:rPr>
          <w:rFonts w:ascii="Times New Roman" w:hAnsi="Times New Roman" w:cs="Times New Roman"/>
          <w:bCs/>
          <w:sz w:val="24"/>
          <w:szCs w:val="24"/>
          <w:lang w:val="en-GB"/>
        </w:rPr>
        <w:t>SpB</w:t>
      </w:r>
      <w:proofErr w:type="spellEnd"/>
      <w:r w:rsidR="00AD6890" w:rsidRPr="00460059">
        <w:rPr>
          <w:rFonts w:ascii="Times New Roman" w:hAnsi="Times New Roman" w:cs="Times New Roman"/>
          <w:bCs/>
          <w:sz w:val="24"/>
          <w:szCs w:val="24"/>
          <w:lang w:val="en-GB"/>
        </w:rPr>
        <w:t>, the presence of which is confirmed by the presence of a second maximum in the integrated function (</w:t>
      </w:r>
      <w:r w:rsidR="00AD6890" w:rsidRPr="00460059">
        <w:rPr>
          <w:rFonts w:ascii="Times New Roman" w:hAnsi="Times New Roman" w:cs="Times New Roman"/>
          <w:bCs/>
          <w:sz w:val="24"/>
          <w:szCs w:val="24"/>
          <w:lang w:val="en-GB"/>
        </w:rPr>
        <w:fldChar w:fldCharType="begin"/>
      </w:r>
      <w:r w:rsidR="00AD6890"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00AD6890" w:rsidRPr="00460059">
        <w:rPr>
          <w:rFonts w:ascii="Times New Roman" w:hAnsi="Times New Roman" w:cs="Times New Roman"/>
          <w:bCs/>
          <w:sz w:val="24"/>
          <w:szCs w:val="24"/>
          <w:lang w:val="en-GB"/>
        </w:rPr>
      </w:r>
      <w:r w:rsidR="00AD6890" w:rsidRPr="00460059">
        <w:rPr>
          <w:rFonts w:ascii="Times New Roman" w:hAnsi="Times New Roman" w:cs="Times New Roman"/>
          <w:bCs/>
          <w:sz w:val="24"/>
          <w:szCs w:val="24"/>
          <w:lang w:val="en-GB"/>
        </w:rPr>
        <w:fldChar w:fldCharType="separate"/>
      </w:r>
      <w:r w:rsidR="00AD6890" w:rsidRPr="00460059">
        <w:rPr>
          <w:rFonts w:ascii="Times New Roman" w:hAnsi="Times New Roman" w:cs="Times New Roman"/>
          <w:bCs/>
          <w:sz w:val="24"/>
          <w:szCs w:val="24"/>
          <w:lang w:val="en-GB"/>
        </w:rPr>
        <w:t>Figure 4</w:t>
      </w:r>
      <w:r w:rsidR="00AD6890" w:rsidRPr="00460059">
        <w:rPr>
          <w:rFonts w:ascii="Times New Roman" w:hAnsi="Times New Roman" w:cs="Times New Roman"/>
          <w:bCs/>
          <w:sz w:val="24"/>
          <w:szCs w:val="24"/>
          <w:lang w:val="en-GB"/>
        </w:rPr>
        <w:fldChar w:fldCharType="end"/>
      </w:r>
      <w:r w:rsidR="00AD6890" w:rsidRPr="00460059">
        <w:rPr>
          <w:rFonts w:ascii="Times New Roman" w:hAnsi="Times New Roman" w:cs="Times New Roman"/>
          <w:bCs/>
          <w:sz w:val="24"/>
          <w:szCs w:val="24"/>
          <w:lang w:val="en-GB"/>
        </w:rPr>
        <w:t>a).</w:t>
      </w:r>
    </w:p>
    <w:p w14:paraId="6942557E" w14:textId="30D6BC02" w:rsidR="00096663" w:rsidRPr="00460059" w:rsidRDefault="00096663" w:rsidP="008D46D2">
      <w:pPr>
        <w:pStyle w:val="Corpotesto"/>
        <w:spacing w:after="0" w:line="360" w:lineRule="auto"/>
        <w:jc w:val="both"/>
        <w:rPr>
          <w:rFonts w:ascii="Times New Roman" w:hAnsi="Times New Roman" w:cs="Times New Roman"/>
          <w:bCs/>
          <w:sz w:val="24"/>
          <w:szCs w:val="24"/>
          <w:lang w:val="en-GB"/>
        </w:rPr>
      </w:pPr>
    </w:p>
    <w:p w14:paraId="38F76E85" w14:textId="69C85440" w:rsidR="00096663" w:rsidRPr="00460059" w:rsidRDefault="00096663" w:rsidP="00F0356D">
      <w:pPr>
        <w:pStyle w:val="Corpotesto"/>
        <w:numPr>
          <w:ilvl w:val="0"/>
          <w:numId w:val="2"/>
        </w:numPr>
        <w:spacing w:after="0" w:line="360" w:lineRule="auto"/>
        <w:ind w:left="360"/>
        <w:jc w:val="both"/>
        <w:rPr>
          <w:rFonts w:ascii="Times New Roman" w:hAnsi="Times New Roman" w:cs="Times New Roman"/>
          <w:bCs/>
          <w:sz w:val="24"/>
          <w:szCs w:val="24"/>
          <w:lang w:val="en-GB"/>
        </w:rPr>
      </w:pPr>
      <w:r w:rsidRPr="00460059">
        <w:rPr>
          <w:rFonts w:ascii="Times New Roman" w:hAnsi="Times New Roman" w:cs="Times New Roman"/>
          <w:noProof/>
        </w:rPr>
        <w:lastRenderedPageBreak/>
        <w:drawing>
          <wp:inline distT="0" distB="0" distL="0" distR="0" wp14:anchorId="7E23C026" wp14:editId="3C8F644C">
            <wp:extent cx="2602800" cy="1054800"/>
            <wp:effectExtent l="0" t="0" r="1270" b="0"/>
            <wp:docPr id="7" name="Immagine 2" descr="C:\Users\Acer\AppData\Local\Microsoft\Windows\INetCache\Content.Word\Figure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AppData\Local\Microsoft\Windows\INetCache\Content.Word\Figure3.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02800" cy="1054800"/>
                    </a:xfrm>
                    <a:prstGeom prst="rect">
                      <a:avLst/>
                    </a:prstGeom>
                    <a:noFill/>
                    <a:ln>
                      <a:noFill/>
                    </a:ln>
                  </pic:spPr>
                </pic:pic>
              </a:graphicData>
            </a:graphic>
          </wp:inline>
        </w:drawing>
      </w:r>
      <w:r w:rsidR="00356C3C" w:rsidRPr="00460059">
        <w:rPr>
          <w:rFonts w:ascii="Times New Roman" w:hAnsi="Times New Roman" w:cs="Times New Roman"/>
          <w:bCs/>
          <w:sz w:val="24"/>
          <w:szCs w:val="24"/>
          <w:lang w:val="en-GB"/>
        </w:rPr>
        <w:t xml:space="preserve"> </w:t>
      </w:r>
      <w:r w:rsidR="00461769" w:rsidRPr="00460059">
        <w:rPr>
          <w:rFonts w:ascii="Times New Roman" w:hAnsi="Times New Roman" w:cs="Times New Roman"/>
          <w:bCs/>
          <w:sz w:val="24"/>
          <w:szCs w:val="24"/>
          <w:lang w:val="en-GB"/>
        </w:rPr>
        <w:t xml:space="preserve">b) </w:t>
      </w:r>
      <w:r w:rsidR="00F72B3D">
        <w:rPr>
          <w:rFonts w:ascii="Times New Roman" w:hAnsi="Times New Roman" w:cs="Times New Roman"/>
          <w:noProof/>
          <w:sz w:val="24"/>
          <w:szCs w:val="24"/>
        </w:rPr>
        <w:pict w14:anchorId="2C75AC8C">
          <v:shape id="_x0000_i1026" type="#_x0000_t75" alt="a" style="width:89.75pt;height:83.8pt;mso-width-percent:0;mso-height-percent:0;mso-width-percent:0;mso-height-percent:0">
            <v:imagedata r:id="rId14" o:title="a"/>
          </v:shape>
        </w:pict>
      </w:r>
      <w:r w:rsidR="009C665B" w:rsidRPr="00460059">
        <w:rPr>
          <w:rFonts w:ascii="Times New Roman" w:hAnsi="Times New Roman" w:cs="Times New Roman"/>
          <w:noProof/>
          <w:sz w:val="24"/>
          <w:szCs w:val="24"/>
        </w:rPr>
        <w:t>c)</w:t>
      </w:r>
      <w:r w:rsidR="00F72B3D">
        <w:rPr>
          <w:rFonts w:ascii="Times New Roman" w:hAnsi="Times New Roman" w:cs="Times New Roman"/>
          <w:noProof/>
          <w:sz w:val="24"/>
          <w:szCs w:val="24"/>
        </w:rPr>
        <w:pict w14:anchorId="144FA252">
          <v:shape id="_x0000_i1027" type="#_x0000_t75" alt="b" style="width:102.65pt;height:83.3pt;mso-width-percent:0;mso-height-percent:0;mso-position-horizontal:absolute;mso-width-percent:0;mso-height-percent:0">
            <v:imagedata r:id="rId15" o:title="b"/>
          </v:shape>
        </w:pict>
      </w:r>
    </w:p>
    <w:p w14:paraId="45551156" w14:textId="1C5F0D84" w:rsidR="00356C3C" w:rsidRPr="00460059" w:rsidRDefault="00356C3C" w:rsidP="00356C3C">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noProof/>
          <w:sz w:val="24"/>
          <w:szCs w:val="24"/>
        </w:rPr>
        <w:t xml:space="preserve">d) </w:t>
      </w:r>
      <w:r w:rsidRPr="00460059">
        <w:rPr>
          <w:rFonts w:ascii="Times New Roman" w:hAnsi="Times New Roman" w:cs="Times New Roman"/>
          <w:bCs/>
          <w:noProof/>
          <w:sz w:val="24"/>
          <w:szCs w:val="24"/>
        </w:rPr>
        <w:drawing>
          <wp:inline distT="0" distB="0" distL="0" distR="0" wp14:anchorId="695C4DA0" wp14:editId="26E39DE3">
            <wp:extent cx="1288800" cy="932400"/>
            <wp:effectExtent l="0" t="0" r="6985" b="1270"/>
            <wp:docPr id="1" name="Immagine 1" descr="C:\Users\Acer\AppData\Local\Microsoft\Windows\INetCache\Content.Word\otofou0.0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cer\AppData\Local\Microsoft\Windows\INetCache\Content.Word\otofou0.0006.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88800" cy="932400"/>
                    </a:xfrm>
                    <a:prstGeom prst="rect">
                      <a:avLst/>
                    </a:prstGeom>
                    <a:noFill/>
                    <a:ln>
                      <a:noFill/>
                    </a:ln>
                  </pic:spPr>
                </pic:pic>
              </a:graphicData>
            </a:graphic>
          </wp:inline>
        </w:drawing>
      </w:r>
      <w:r w:rsidR="00D93B22" w:rsidRPr="00460059">
        <w:rPr>
          <w:rFonts w:ascii="Times New Roman" w:hAnsi="Times New Roman" w:cs="Times New Roman"/>
          <w:noProof/>
          <w:sz w:val="24"/>
          <w:szCs w:val="24"/>
        </w:rPr>
        <w:t>e)</w:t>
      </w:r>
      <w:r w:rsidR="00F72B3D">
        <w:rPr>
          <w:rFonts w:ascii="Times New Roman" w:hAnsi="Times New Roman" w:cs="Times New Roman"/>
          <w:noProof/>
          <w:sz w:val="24"/>
          <w:szCs w:val="24"/>
        </w:rPr>
        <w:pict w14:anchorId="14C9D416">
          <v:shape id="_x0000_i1028" type="#_x0000_t75" alt="DUKTAK1" style="width:157.45pt;height:80.05pt;mso-width-percent:0;mso-height-percent:0;mso-width-percent:0;mso-height-percent:0">
            <v:imagedata r:id="rId17" o:title="DUKTAK1"/>
          </v:shape>
        </w:pict>
      </w:r>
      <w:r w:rsidR="00D93B22" w:rsidRPr="00460059">
        <w:rPr>
          <w:rFonts w:ascii="Times New Roman" w:hAnsi="Times New Roman" w:cs="Times New Roman"/>
          <w:noProof/>
          <w:sz w:val="24"/>
          <w:szCs w:val="24"/>
        </w:rPr>
        <w:t>f)</w:t>
      </w:r>
      <w:r w:rsidR="00F72B3D">
        <w:rPr>
          <w:rFonts w:ascii="Times New Roman" w:hAnsi="Times New Roman" w:cs="Times New Roman"/>
          <w:noProof/>
          <w:sz w:val="24"/>
          <w:szCs w:val="24"/>
        </w:rPr>
        <w:pict w14:anchorId="4060DC89">
          <v:shape id="_x0000_i1029" type="#_x0000_t75" alt="DUKTAK3" style="width:151pt;height:82.2pt;mso-width-percent:0;mso-height-percent:0;mso-width-percent:0;mso-height-percent:0">
            <v:imagedata r:id="rId18" o:title="DUKTAK3"/>
          </v:shape>
        </w:pict>
      </w:r>
    </w:p>
    <w:p w14:paraId="2BB1A24D" w14:textId="546A93C3" w:rsidR="00722CA0" w:rsidRPr="00460059" w:rsidRDefault="00096663" w:rsidP="00722CA0">
      <w:pPr>
        <w:pStyle w:val="Corpotesto"/>
        <w:spacing w:after="0" w:line="360" w:lineRule="auto"/>
        <w:jc w:val="both"/>
        <w:rPr>
          <w:rFonts w:ascii="Times New Roman" w:hAnsi="Times New Roman" w:cs="Times New Roman"/>
          <w:bCs/>
          <w:sz w:val="24"/>
          <w:szCs w:val="24"/>
          <w:lang w:val="en-GB"/>
        </w:rPr>
      </w:pPr>
      <w:bookmarkStart w:id="7" w:name="_Ref55195092"/>
      <w:r w:rsidRPr="00460059">
        <w:rPr>
          <w:rFonts w:ascii="Times New Roman" w:hAnsi="Times New Roman" w:cs="Times New Roman"/>
          <w:bCs/>
          <w:sz w:val="24"/>
          <w:szCs w:val="24"/>
          <w:lang w:val="en-GB"/>
        </w:rPr>
        <w:t xml:space="preserve">Figure </w:t>
      </w:r>
      <w:r w:rsidRPr="00460059">
        <w:rPr>
          <w:rFonts w:ascii="Times New Roman" w:hAnsi="Times New Roman" w:cs="Times New Roman"/>
          <w:bCs/>
          <w:sz w:val="24"/>
          <w:szCs w:val="24"/>
          <w:lang w:val="en-GB"/>
        </w:rPr>
        <w:fldChar w:fldCharType="begin"/>
      </w:r>
      <w:r w:rsidRPr="00460059">
        <w:rPr>
          <w:rFonts w:ascii="Times New Roman" w:hAnsi="Times New Roman" w:cs="Times New Roman"/>
          <w:bCs/>
          <w:sz w:val="24"/>
          <w:szCs w:val="24"/>
          <w:lang w:val="en-GB"/>
        </w:rPr>
        <w:instrText xml:space="preserve"> SEQ Figure \* ARABIC </w:instrText>
      </w:r>
      <w:r w:rsidRPr="00460059">
        <w:rPr>
          <w:rFonts w:ascii="Times New Roman" w:hAnsi="Times New Roman" w:cs="Times New Roman"/>
          <w:bCs/>
          <w:sz w:val="24"/>
          <w:szCs w:val="24"/>
          <w:lang w:val="en-GB"/>
        </w:rPr>
        <w:fldChar w:fldCharType="separate"/>
      </w:r>
      <w:r w:rsidRPr="00460059">
        <w:rPr>
          <w:rFonts w:ascii="Times New Roman" w:hAnsi="Times New Roman" w:cs="Times New Roman"/>
          <w:bCs/>
          <w:sz w:val="24"/>
          <w:szCs w:val="24"/>
          <w:lang w:val="en-GB"/>
        </w:rPr>
        <w:t>4</w:t>
      </w:r>
      <w:r w:rsidRPr="00460059">
        <w:rPr>
          <w:rFonts w:ascii="Times New Roman" w:hAnsi="Times New Roman" w:cs="Times New Roman"/>
          <w:bCs/>
          <w:sz w:val="24"/>
          <w:szCs w:val="24"/>
          <w:lang w:val="en-GB"/>
        </w:rPr>
        <w:fldChar w:fldCharType="end"/>
      </w:r>
      <w:bookmarkEnd w:id="7"/>
      <w:r w:rsidRPr="00460059">
        <w:rPr>
          <w:rFonts w:ascii="Times New Roman" w:hAnsi="Times New Roman" w:cs="Times New Roman"/>
          <w:bCs/>
          <w:sz w:val="24"/>
          <w:szCs w:val="24"/>
          <w:lang w:val="en-GB"/>
        </w:rPr>
        <w:t xml:space="preserve">. </w:t>
      </w:r>
      <w:r w:rsidR="00CF31B4" w:rsidRPr="00460059">
        <w:rPr>
          <w:rFonts w:ascii="Times New Roman" w:hAnsi="Times New Roman" w:cs="Times New Roman"/>
          <w:bCs/>
          <w:sz w:val="24"/>
          <w:szCs w:val="24"/>
          <w:lang w:val="en-GB"/>
        </w:rPr>
        <w:t>Isodensity surface plots</w:t>
      </w:r>
      <w:r w:rsidR="00EA6676" w:rsidRPr="00460059">
        <w:rPr>
          <w:rFonts w:ascii="Times New Roman" w:hAnsi="Times New Roman" w:cs="Times New Roman"/>
          <w:bCs/>
          <w:sz w:val="24"/>
          <w:szCs w:val="24"/>
          <w:lang w:val="en-GB"/>
        </w:rPr>
        <w:t xml:space="preserve"> for the deformation maps relative to a) Δρ</w:t>
      </w:r>
      <w:r w:rsidR="00EA6676" w:rsidRPr="00460059">
        <w:rPr>
          <w:rFonts w:ascii="Times New Roman" w:hAnsi="Times New Roman" w:cs="Times New Roman"/>
          <w:bCs/>
          <w:sz w:val="24"/>
          <w:szCs w:val="24"/>
          <w:vertAlign w:val="subscript"/>
          <w:lang w:val="en-GB"/>
        </w:rPr>
        <w:t>0</w:t>
      </w:r>
      <w:r w:rsidR="00EA6676" w:rsidRPr="00460059">
        <w:rPr>
          <w:rFonts w:ascii="Times New Roman" w:hAnsi="Times New Roman" w:cs="Times New Roman"/>
          <w:bCs/>
          <w:sz w:val="24"/>
          <w:szCs w:val="24"/>
          <w:lang w:val="en-GB"/>
        </w:rPr>
        <w:t xml:space="preserve"> of the YAGGET adduct (</w:t>
      </w:r>
      <w:r w:rsidR="00CF31B4" w:rsidRPr="00460059">
        <w:rPr>
          <w:rFonts w:ascii="Times New Roman" w:hAnsi="Times New Roman" w:cs="Times New Roman"/>
          <w:bCs/>
          <w:sz w:val="24"/>
          <w:szCs w:val="24"/>
          <w:lang w:val="en-GB"/>
        </w:rPr>
        <w:t>isodensity value 0.5 me a.u.</w:t>
      </w:r>
      <w:r w:rsidR="00CF31B4" w:rsidRPr="00460059">
        <w:rPr>
          <w:rFonts w:ascii="Times New Roman" w:hAnsi="Times New Roman" w:cs="Times New Roman"/>
          <w:bCs/>
          <w:sz w:val="24"/>
          <w:szCs w:val="24"/>
          <w:vertAlign w:val="superscript"/>
          <w:lang w:val="en-GB"/>
        </w:rPr>
        <w:t>-3</w:t>
      </w:r>
      <w:r w:rsidR="00CF31B4" w:rsidRPr="00460059">
        <w:rPr>
          <w:rFonts w:ascii="Times New Roman" w:hAnsi="Times New Roman" w:cs="Times New Roman"/>
          <w:bCs/>
          <w:sz w:val="24"/>
          <w:szCs w:val="24"/>
          <w:lang w:val="en-GB"/>
        </w:rPr>
        <w:t xml:space="preserve">) </w:t>
      </w:r>
      <w:r w:rsidR="008A1FCC" w:rsidRPr="00460059">
        <w:rPr>
          <w:rFonts w:ascii="Times New Roman" w:hAnsi="Times New Roman" w:cs="Times New Roman"/>
          <w:bCs/>
          <w:sz w:val="24"/>
          <w:szCs w:val="24"/>
          <w:lang w:val="en-GB"/>
        </w:rPr>
        <w:t>and</w:t>
      </w:r>
      <w:r w:rsidR="00CF2608" w:rsidRPr="00460059">
        <w:rPr>
          <w:rFonts w:ascii="Times New Roman" w:hAnsi="Times New Roman" w:cs="Times New Roman"/>
          <w:bCs/>
          <w:sz w:val="24"/>
          <w:szCs w:val="24"/>
          <w:lang w:val="en-GB"/>
        </w:rPr>
        <w:t>, aside,</w:t>
      </w:r>
      <w:r w:rsidR="008A1FCC" w:rsidRPr="00460059">
        <w:rPr>
          <w:rFonts w:ascii="Times New Roman" w:hAnsi="Times New Roman" w:cs="Times New Roman"/>
          <w:bCs/>
          <w:sz w:val="24"/>
          <w:szCs w:val="24"/>
          <w:lang w:val="en-GB"/>
        </w:rPr>
        <w:t xml:space="preserve"> </w:t>
      </w:r>
      <w:r w:rsidR="00CF2608" w:rsidRPr="00460059">
        <w:rPr>
          <w:rFonts w:ascii="Times New Roman" w:hAnsi="Times New Roman" w:cs="Times New Roman"/>
          <w:sz w:val="24"/>
          <w:szCs w:val="24"/>
        </w:rPr>
        <w:t>the corresponding Charge Displacement function;</w:t>
      </w:r>
      <w:r w:rsidR="00BB206D" w:rsidRPr="00460059">
        <w:rPr>
          <w:rFonts w:ascii="Times New Roman" w:hAnsi="Times New Roman" w:cs="Times New Roman"/>
          <w:sz w:val="24"/>
          <w:szCs w:val="24"/>
        </w:rPr>
        <w:t xml:space="preserve"> b) </w:t>
      </w:r>
      <w:r w:rsidR="00E55863" w:rsidRPr="00460059">
        <w:rPr>
          <w:rFonts w:ascii="Times New Roman" w:hAnsi="Times New Roman" w:cs="Times New Roman"/>
          <w:bCs/>
          <w:sz w:val="24"/>
          <w:szCs w:val="24"/>
          <w:lang w:val="en-GB"/>
        </w:rPr>
        <w:t>Δρ</w:t>
      </w:r>
      <w:r w:rsidR="00E55863" w:rsidRPr="00460059">
        <w:rPr>
          <w:rFonts w:ascii="Times New Roman" w:hAnsi="Times New Roman" w:cs="Times New Roman"/>
          <w:bCs/>
          <w:sz w:val="24"/>
          <w:szCs w:val="24"/>
          <w:vertAlign w:val="subscript"/>
          <w:lang w:val="en-GB"/>
        </w:rPr>
        <w:t>0</w:t>
      </w:r>
      <w:r w:rsidR="00E55863" w:rsidRPr="00460059">
        <w:rPr>
          <w:rFonts w:ascii="Times New Roman" w:hAnsi="Times New Roman" w:cs="Times New Roman"/>
          <w:bCs/>
          <w:sz w:val="24"/>
          <w:szCs w:val="24"/>
          <w:lang w:val="en-GB"/>
        </w:rPr>
        <w:t xml:space="preserve"> of the VARCEY adduct (isodensity value 0.3 me a.u.</w:t>
      </w:r>
      <w:r w:rsidR="00E55863" w:rsidRPr="00460059">
        <w:rPr>
          <w:rFonts w:ascii="Times New Roman" w:hAnsi="Times New Roman" w:cs="Times New Roman"/>
          <w:bCs/>
          <w:sz w:val="24"/>
          <w:szCs w:val="24"/>
          <w:vertAlign w:val="superscript"/>
          <w:lang w:val="en-GB"/>
        </w:rPr>
        <w:t>-3</w:t>
      </w:r>
      <w:r w:rsidR="00E55863" w:rsidRPr="00460059">
        <w:rPr>
          <w:rFonts w:ascii="Times New Roman" w:hAnsi="Times New Roman" w:cs="Times New Roman"/>
          <w:bCs/>
          <w:sz w:val="24"/>
          <w:szCs w:val="24"/>
          <w:lang w:val="en-GB"/>
        </w:rPr>
        <w:t xml:space="preserve">); </w:t>
      </w:r>
      <w:r w:rsidR="009A1903" w:rsidRPr="00460059">
        <w:rPr>
          <w:rFonts w:ascii="Times New Roman" w:hAnsi="Times New Roman" w:cs="Times New Roman"/>
          <w:bCs/>
          <w:sz w:val="24"/>
          <w:szCs w:val="24"/>
          <w:lang w:val="en-GB"/>
        </w:rPr>
        <w:t>c) Δρ</w:t>
      </w:r>
      <w:r w:rsidR="009A1903" w:rsidRPr="00460059">
        <w:rPr>
          <w:rFonts w:ascii="Times New Roman" w:hAnsi="Times New Roman" w:cs="Times New Roman"/>
          <w:bCs/>
          <w:sz w:val="24"/>
          <w:szCs w:val="24"/>
          <w:vertAlign w:val="subscript"/>
          <w:lang w:val="en-GB"/>
        </w:rPr>
        <w:t>0</w:t>
      </w:r>
      <w:r w:rsidR="009A1903" w:rsidRPr="00460059">
        <w:rPr>
          <w:rFonts w:ascii="Times New Roman" w:hAnsi="Times New Roman" w:cs="Times New Roman"/>
          <w:bCs/>
          <w:sz w:val="24"/>
          <w:szCs w:val="24"/>
          <w:lang w:val="en-GB"/>
        </w:rPr>
        <w:t xml:space="preserve"> of the PEKSUT adduct (isodensity value 0.6 me a.u.</w:t>
      </w:r>
      <w:r w:rsidR="009A1903" w:rsidRPr="00460059">
        <w:rPr>
          <w:rFonts w:ascii="Times New Roman" w:hAnsi="Times New Roman" w:cs="Times New Roman"/>
          <w:bCs/>
          <w:sz w:val="24"/>
          <w:szCs w:val="24"/>
          <w:vertAlign w:val="superscript"/>
          <w:lang w:val="en-GB"/>
        </w:rPr>
        <w:t>-3</w:t>
      </w:r>
      <w:r w:rsidR="009A1903" w:rsidRPr="00460059">
        <w:rPr>
          <w:rFonts w:ascii="Times New Roman" w:hAnsi="Times New Roman" w:cs="Times New Roman"/>
          <w:bCs/>
          <w:sz w:val="24"/>
          <w:szCs w:val="24"/>
          <w:lang w:val="en-GB"/>
        </w:rPr>
        <w:t>);</w:t>
      </w:r>
      <w:r w:rsidR="003E04AF" w:rsidRPr="00460059">
        <w:rPr>
          <w:rFonts w:ascii="Times New Roman" w:hAnsi="Times New Roman" w:cs="Times New Roman"/>
          <w:bCs/>
          <w:sz w:val="24"/>
          <w:szCs w:val="24"/>
          <w:lang w:val="en-GB"/>
        </w:rPr>
        <w:t xml:space="preserve"> d) Δρ</w:t>
      </w:r>
      <w:r w:rsidR="003E04AF" w:rsidRPr="00460059">
        <w:rPr>
          <w:rFonts w:ascii="Times New Roman" w:hAnsi="Times New Roman" w:cs="Times New Roman"/>
          <w:bCs/>
          <w:sz w:val="24"/>
          <w:szCs w:val="24"/>
          <w:vertAlign w:val="subscript"/>
          <w:lang w:val="en-GB"/>
        </w:rPr>
        <w:t>0</w:t>
      </w:r>
      <w:r w:rsidR="003E04AF" w:rsidRPr="00460059">
        <w:rPr>
          <w:rFonts w:ascii="Times New Roman" w:hAnsi="Times New Roman" w:cs="Times New Roman"/>
          <w:bCs/>
          <w:sz w:val="24"/>
          <w:szCs w:val="24"/>
          <w:lang w:val="en-GB"/>
        </w:rPr>
        <w:t xml:space="preserve"> of the OTOFOU adduct (isodensity value 0.</w:t>
      </w:r>
      <w:r w:rsidR="008521EE" w:rsidRPr="00460059">
        <w:rPr>
          <w:rFonts w:ascii="Times New Roman" w:hAnsi="Times New Roman" w:cs="Times New Roman"/>
          <w:bCs/>
          <w:sz w:val="24"/>
          <w:szCs w:val="24"/>
          <w:lang w:val="en-GB"/>
        </w:rPr>
        <w:t>5</w:t>
      </w:r>
      <w:r w:rsidR="003E04AF" w:rsidRPr="00460059">
        <w:rPr>
          <w:rFonts w:ascii="Times New Roman" w:hAnsi="Times New Roman" w:cs="Times New Roman"/>
          <w:bCs/>
          <w:sz w:val="24"/>
          <w:szCs w:val="24"/>
          <w:lang w:val="en-GB"/>
        </w:rPr>
        <w:t xml:space="preserve"> me a.u.</w:t>
      </w:r>
      <w:r w:rsidR="003E04AF" w:rsidRPr="00460059">
        <w:rPr>
          <w:rFonts w:ascii="Times New Roman" w:hAnsi="Times New Roman" w:cs="Times New Roman"/>
          <w:bCs/>
          <w:sz w:val="24"/>
          <w:szCs w:val="24"/>
          <w:vertAlign w:val="superscript"/>
          <w:lang w:val="en-GB"/>
        </w:rPr>
        <w:t>-3</w:t>
      </w:r>
      <w:r w:rsidR="003E04AF" w:rsidRPr="00460059">
        <w:rPr>
          <w:rFonts w:ascii="Times New Roman" w:hAnsi="Times New Roman" w:cs="Times New Roman"/>
          <w:bCs/>
          <w:sz w:val="24"/>
          <w:szCs w:val="24"/>
          <w:lang w:val="en-GB"/>
        </w:rPr>
        <w:t>);</w:t>
      </w:r>
      <w:r w:rsidR="008521EE" w:rsidRPr="00460059">
        <w:rPr>
          <w:rFonts w:ascii="Times New Roman" w:hAnsi="Times New Roman" w:cs="Times New Roman"/>
          <w:bCs/>
          <w:sz w:val="24"/>
          <w:szCs w:val="24"/>
          <w:lang w:val="en-GB"/>
        </w:rPr>
        <w:t xml:space="preserve"> e) Δρ</w:t>
      </w:r>
      <w:r w:rsidR="008521EE" w:rsidRPr="00460059">
        <w:rPr>
          <w:rFonts w:ascii="Times New Roman" w:hAnsi="Times New Roman" w:cs="Times New Roman"/>
          <w:bCs/>
          <w:sz w:val="24"/>
          <w:szCs w:val="24"/>
          <w:vertAlign w:val="subscript"/>
          <w:lang w:val="en-GB"/>
        </w:rPr>
        <w:t>1</w:t>
      </w:r>
      <w:r w:rsidR="008521EE" w:rsidRPr="00460059">
        <w:rPr>
          <w:rFonts w:ascii="Times New Roman" w:hAnsi="Times New Roman" w:cs="Times New Roman"/>
          <w:bCs/>
          <w:sz w:val="24"/>
          <w:szCs w:val="24"/>
          <w:lang w:val="en-GB"/>
        </w:rPr>
        <w:t xml:space="preserve"> of the DUKTAF adduct (isodensity value 1.0 me a.u.</w:t>
      </w:r>
      <w:r w:rsidR="008521EE" w:rsidRPr="00460059">
        <w:rPr>
          <w:rFonts w:ascii="Times New Roman" w:hAnsi="Times New Roman" w:cs="Times New Roman"/>
          <w:bCs/>
          <w:sz w:val="24"/>
          <w:szCs w:val="24"/>
          <w:vertAlign w:val="superscript"/>
          <w:lang w:val="en-GB"/>
        </w:rPr>
        <w:t>-3</w:t>
      </w:r>
      <w:r w:rsidR="008521EE" w:rsidRPr="00460059">
        <w:rPr>
          <w:rFonts w:ascii="Times New Roman" w:hAnsi="Times New Roman" w:cs="Times New Roman"/>
          <w:bCs/>
          <w:sz w:val="24"/>
          <w:szCs w:val="24"/>
          <w:lang w:val="en-GB"/>
        </w:rPr>
        <w:t>);</w:t>
      </w:r>
      <w:r w:rsidR="00722CA0" w:rsidRPr="00460059">
        <w:rPr>
          <w:rFonts w:ascii="Times New Roman" w:hAnsi="Times New Roman" w:cs="Times New Roman"/>
          <w:bCs/>
          <w:sz w:val="24"/>
          <w:szCs w:val="24"/>
          <w:lang w:val="en-GB"/>
        </w:rPr>
        <w:t xml:space="preserve"> f) Δρ</w:t>
      </w:r>
      <w:r w:rsidR="00722CA0" w:rsidRPr="00460059">
        <w:rPr>
          <w:rFonts w:ascii="Times New Roman" w:hAnsi="Times New Roman" w:cs="Times New Roman"/>
          <w:bCs/>
          <w:sz w:val="24"/>
          <w:szCs w:val="24"/>
          <w:vertAlign w:val="subscript"/>
          <w:lang w:val="en-GB"/>
        </w:rPr>
        <w:t>2</w:t>
      </w:r>
      <w:r w:rsidR="00722CA0" w:rsidRPr="00460059">
        <w:rPr>
          <w:rFonts w:ascii="Times New Roman" w:hAnsi="Times New Roman" w:cs="Times New Roman"/>
          <w:bCs/>
          <w:sz w:val="24"/>
          <w:szCs w:val="24"/>
          <w:lang w:val="en-GB"/>
        </w:rPr>
        <w:t xml:space="preserve"> of the DUKTAF adduct (isodensity value 0.8 me a.u.</w:t>
      </w:r>
      <w:r w:rsidR="00722CA0" w:rsidRPr="00460059">
        <w:rPr>
          <w:rFonts w:ascii="Times New Roman" w:hAnsi="Times New Roman" w:cs="Times New Roman"/>
          <w:bCs/>
          <w:sz w:val="24"/>
          <w:szCs w:val="24"/>
          <w:vertAlign w:val="superscript"/>
          <w:lang w:val="en-GB"/>
        </w:rPr>
        <w:t>-3</w:t>
      </w:r>
      <w:r w:rsidR="00722CA0" w:rsidRPr="00460059">
        <w:rPr>
          <w:rFonts w:ascii="Times New Roman" w:hAnsi="Times New Roman" w:cs="Times New Roman"/>
          <w:bCs/>
          <w:sz w:val="24"/>
          <w:szCs w:val="24"/>
          <w:lang w:val="en-GB"/>
        </w:rPr>
        <w:t xml:space="preserve">). </w:t>
      </w:r>
      <w:r w:rsidR="00C11EF8" w:rsidRPr="00460059">
        <w:rPr>
          <w:rFonts w:ascii="Times New Roman" w:hAnsi="Times New Roman" w:cs="Times New Roman"/>
          <w:sz w:val="24"/>
          <w:szCs w:val="24"/>
        </w:rPr>
        <w:t>The charge flux is red → blue.</w:t>
      </w:r>
    </w:p>
    <w:p w14:paraId="4C0737A0" w14:textId="58AC1D5E" w:rsidR="00096663" w:rsidRPr="00460059" w:rsidRDefault="00096663" w:rsidP="00096663">
      <w:pPr>
        <w:pStyle w:val="Corpotesto"/>
        <w:spacing w:after="0" w:line="360" w:lineRule="auto"/>
        <w:jc w:val="both"/>
        <w:rPr>
          <w:rFonts w:ascii="Times New Roman" w:hAnsi="Times New Roman" w:cs="Times New Roman"/>
          <w:bCs/>
          <w:sz w:val="24"/>
          <w:szCs w:val="24"/>
          <w:lang w:val="en-GB"/>
        </w:rPr>
      </w:pPr>
    </w:p>
    <w:p w14:paraId="095857E7" w14:textId="681A1D8C" w:rsidR="008B1BED" w:rsidRPr="00460059" w:rsidRDefault="00AD6890"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In the case of </w:t>
      </w:r>
      <w:r w:rsidR="000C47BD" w:rsidRPr="00460059">
        <w:rPr>
          <w:rFonts w:ascii="Times New Roman" w:hAnsi="Times New Roman" w:cs="Times New Roman"/>
          <w:bCs/>
          <w:sz w:val="24"/>
          <w:szCs w:val="24"/>
          <w:lang w:val="en-GB"/>
        </w:rPr>
        <w:t xml:space="preserve">GOVLAE, </w:t>
      </w:r>
      <w:r w:rsidR="008B1BED" w:rsidRPr="00460059">
        <w:rPr>
          <w:rFonts w:ascii="Times New Roman" w:hAnsi="Times New Roman" w:cs="Times New Roman"/>
          <w:bCs/>
          <w:sz w:val="24"/>
          <w:szCs w:val="24"/>
          <w:lang w:val="en-GB"/>
        </w:rPr>
        <w:t xml:space="preserve">the adduct is mainly held together </w:t>
      </w:r>
      <w:r w:rsidR="006C4784" w:rsidRPr="00460059">
        <w:rPr>
          <w:rFonts w:ascii="Times New Roman" w:hAnsi="Times New Roman" w:cs="Times New Roman"/>
          <w:bCs/>
          <w:sz w:val="24"/>
          <w:szCs w:val="24"/>
          <w:lang w:val="en-GB"/>
        </w:rPr>
        <w:t xml:space="preserve">by </w:t>
      </w:r>
      <w:r w:rsidR="008B1BED" w:rsidRPr="00460059">
        <w:rPr>
          <w:rFonts w:ascii="Times New Roman" w:hAnsi="Times New Roman" w:cs="Times New Roman"/>
          <w:bCs/>
          <w:sz w:val="24"/>
          <w:szCs w:val="24"/>
          <w:lang w:val="en-GB"/>
        </w:rPr>
        <w:t xml:space="preserve">HBs between the amino protons and the </w:t>
      </w:r>
      <w:r w:rsidR="0015561D" w:rsidRPr="00460059">
        <w:rPr>
          <w:rFonts w:ascii="Times New Roman" w:hAnsi="Times New Roman" w:cs="Times New Roman"/>
          <w:bCs/>
          <w:sz w:val="24"/>
          <w:szCs w:val="24"/>
          <w:lang w:val="en-GB"/>
        </w:rPr>
        <w:t>sulfur</w:t>
      </w:r>
      <w:r w:rsidR="008B1BED" w:rsidRPr="00460059">
        <w:rPr>
          <w:rFonts w:ascii="Times New Roman" w:hAnsi="Times New Roman" w:cs="Times New Roman"/>
          <w:bCs/>
          <w:sz w:val="24"/>
          <w:szCs w:val="24"/>
          <w:lang w:val="en-GB"/>
        </w:rPr>
        <w:t xml:space="preserve"> atoms, but </w:t>
      </w:r>
      <w:r w:rsidR="00ED7744" w:rsidRPr="00460059">
        <w:rPr>
          <w:rFonts w:ascii="Times New Roman" w:hAnsi="Times New Roman" w:cs="Times New Roman"/>
          <w:bCs/>
          <w:sz w:val="24"/>
          <w:szCs w:val="24"/>
          <w:lang w:val="en-GB"/>
        </w:rPr>
        <w:t xml:space="preserve">minor </w:t>
      </w:r>
      <w:r w:rsidR="008B1BED" w:rsidRPr="00460059">
        <w:rPr>
          <w:rFonts w:ascii="Times New Roman" w:hAnsi="Times New Roman" w:cs="Times New Roman"/>
          <w:bCs/>
          <w:sz w:val="24"/>
          <w:szCs w:val="24"/>
          <w:lang w:val="en-GB"/>
        </w:rPr>
        <w:t>polarization regions on the metal in Δρ</w:t>
      </w:r>
      <w:r w:rsidR="008B1BED" w:rsidRPr="00460059">
        <w:rPr>
          <w:rFonts w:ascii="Times New Roman" w:hAnsi="Times New Roman" w:cs="Times New Roman"/>
          <w:bCs/>
          <w:sz w:val="24"/>
          <w:szCs w:val="24"/>
          <w:vertAlign w:val="subscript"/>
          <w:lang w:val="en-GB"/>
        </w:rPr>
        <w:t>1</w:t>
      </w:r>
      <w:r w:rsidR="008B1BED" w:rsidRPr="00460059">
        <w:rPr>
          <w:rFonts w:ascii="Times New Roman" w:hAnsi="Times New Roman" w:cs="Times New Roman"/>
          <w:bCs/>
          <w:sz w:val="24"/>
          <w:szCs w:val="24"/>
          <w:lang w:val="en-GB"/>
        </w:rPr>
        <w:t xml:space="preserve"> does not allow to completely exclude the presence of a small </w:t>
      </w:r>
      <w:proofErr w:type="spellStart"/>
      <w:r w:rsidR="008B1BED" w:rsidRPr="00460059">
        <w:rPr>
          <w:rFonts w:ascii="Times New Roman" w:hAnsi="Times New Roman" w:cs="Times New Roman"/>
          <w:bCs/>
          <w:sz w:val="24"/>
          <w:szCs w:val="24"/>
          <w:lang w:val="en-GB"/>
        </w:rPr>
        <w:t>SpB</w:t>
      </w:r>
      <w:proofErr w:type="spellEnd"/>
      <w:r w:rsidR="008B1BED" w:rsidRPr="00460059">
        <w:rPr>
          <w:rFonts w:ascii="Times New Roman" w:hAnsi="Times New Roman" w:cs="Times New Roman"/>
          <w:bCs/>
          <w:sz w:val="24"/>
          <w:szCs w:val="24"/>
          <w:lang w:val="en-GB"/>
        </w:rPr>
        <w:t xml:space="preserve">. </w:t>
      </w:r>
    </w:p>
    <w:p w14:paraId="0AAD1E09" w14:textId="26A89C9D" w:rsidR="00AD6890" w:rsidRPr="00460059" w:rsidRDefault="008B1BED"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In </w:t>
      </w:r>
      <w:r w:rsidR="00AD6890" w:rsidRPr="00460059">
        <w:rPr>
          <w:rFonts w:ascii="Times New Roman" w:hAnsi="Times New Roman" w:cs="Times New Roman"/>
          <w:bCs/>
          <w:sz w:val="24"/>
          <w:szCs w:val="24"/>
          <w:lang w:val="en-GB"/>
        </w:rPr>
        <w:t>VARCEY</w:t>
      </w:r>
      <w:r w:rsidR="00461769" w:rsidRPr="00460059">
        <w:rPr>
          <w:rFonts w:ascii="Times New Roman" w:hAnsi="Times New Roman" w:cs="Times New Roman"/>
          <w:bCs/>
          <w:sz w:val="24"/>
          <w:szCs w:val="24"/>
          <w:lang w:val="en-GB"/>
        </w:rPr>
        <w:t xml:space="preserve"> (</w:t>
      </w:r>
      <w:r w:rsidR="00461769" w:rsidRPr="00460059">
        <w:rPr>
          <w:rFonts w:ascii="Times New Roman" w:hAnsi="Times New Roman" w:cs="Times New Roman"/>
          <w:bCs/>
          <w:sz w:val="24"/>
          <w:szCs w:val="24"/>
          <w:lang w:val="en-GB"/>
        </w:rPr>
        <w:fldChar w:fldCharType="begin"/>
      </w:r>
      <w:r w:rsidR="00461769"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00461769" w:rsidRPr="00460059">
        <w:rPr>
          <w:rFonts w:ascii="Times New Roman" w:hAnsi="Times New Roman" w:cs="Times New Roman"/>
          <w:bCs/>
          <w:sz w:val="24"/>
          <w:szCs w:val="24"/>
          <w:lang w:val="en-GB"/>
        </w:rPr>
      </w:r>
      <w:r w:rsidR="00461769" w:rsidRPr="00460059">
        <w:rPr>
          <w:rFonts w:ascii="Times New Roman" w:hAnsi="Times New Roman" w:cs="Times New Roman"/>
          <w:bCs/>
          <w:sz w:val="24"/>
          <w:szCs w:val="24"/>
          <w:lang w:val="en-GB"/>
        </w:rPr>
        <w:fldChar w:fldCharType="separate"/>
      </w:r>
      <w:r w:rsidR="00461769" w:rsidRPr="00460059">
        <w:rPr>
          <w:rFonts w:ascii="Times New Roman" w:hAnsi="Times New Roman" w:cs="Times New Roman"/>
          <w:bCs/>
          <w:sz w:val="24"/>
          <w:szCs w:val="24"/>
          <w:lang w:val="en-GB"/>
        </w:rPr>
        <w:t>Figure 4</w:t>
      </w:r>
      <w:r w:rsidR="00461769" w:rsidRPr="00460059">
        <w:rPr>
          <w:rFonts w:ascii="Times New Roman" w:hAnsi="Times New Roman" w:cs="Times New Roman"/>
          <w:bCs/>
          <w:sz w:val="24"/>
          <w:szCs w:val="24"/>
          <w:lang w:val="en-GB"/>
        </w:rPr>
        <w:fldChar w:fldCharType="end"/>
      </w:r>
      <w:r w:rsidR="00461769" w:rsidRPr="00460059">
        <w:rPr>
          <w:rFonts w:ascii="Times New Roman" w:hAnsi="Times New Roman" w:cs="Times New Roman"/>
          <w:bCs/>
          <w:sz w:val="24"/>
          <w:szCs w:val="24"/>
          <w:lang w:val="en-GB"/>
        </w:rPr>
        <w:t xml:space="preserve">b), no </w:t>
      </w:r>
      <w:proofErr w:type="spellStart"/>
      <w:r w:rsidR="00461769" w:rsidRPr="00460059">
        <w:rPr>
          <w:rFonts w:ascii="Times New Roman" w:hAnsi="Times New Roman" w:cs="Times New Roman"/>
          <w:bCs/>
          <w:sz w:val="24"/>
          <w:szCs w:val="24"/>
          <w:lang w:val="en-GB"/>
        </w:rPr>
        <w:t>SpB</w:t>
      </w:r>
      <w:proofErr w:type="spellEnd"/>
      <w:r w:rsidR="00461769" w:rsidRPr="00460059">
        <w:rPr>
          <w:rFonts w:ascii="Times New Roman" w:hAnsi="Times New Roman" w:cs="Times New Roman"/>
          <w:bCs/>
          <w:sz w:val="24"/>
          <w:szCs w:val="24"/>
          <w:lang w:val="en-GB"/>
        </w:rPr>
        <w:t xml:space="preserve"> can be found in the NOCV terms. In fact, it is true that an accumulation region is present between the chlorine and the zinc, but there is no depletion/accumulation pattern on the metal. On the other hand, such a pattern is on the coordinated thioureas, suggesting that this term refers only to the ChB between the lone pairs of chloride and the σ-holes of the </w:t>
      </w:r>
      <w:r w:rsidR="0015561D" w:rsidRPr="00460059">
        <w:rPr>
          <w:rFonts w:ascii="Times New Roman" w:hAnsi="Times New Roman" w:cs="Times New Roman"/>
          <w:bCs/>
          <w:sz w:val="24"/>
          <w:szCs w:val="24"/>
          <w:lang w:val="en-GB"/>
        </w:rPr>
        <w:t>sulfur</w:t>
      </w:r>
      <w:r w:rsidR="00461769" w:rsidRPr="00460059">
        <w:rPr>
          <w:rFonts w:ascii="Times New Roman" w:hAnsi="Times New Roman" w:cs="Times New Roman"/>
          <w:bCs/>
          <w:sz w:val="24"/>
          <w:szCs w:val="24"/>
          <w:lang w:val="en-GB"/>
        </w:rPr>
        <w:t xml:space="preserve"> </w:t>
      </w:r>
      <w:r w:rsidR="005B24BA" w:rsidRPr="00460059">
        <w:rPr>
          <w:rFonts w:ascii="Times New Roman" w:hAnsi="Times New Roman" w:cs="Times New Roman"/>
          <w:bCs/>
          <w:sz w:val="24"/>
          <w:szCs w:val="24"/>
          <w:lang w:val="en-GB"/>
        </w:rPr>
        <w:t>atoms</w:t>
      </w:r>
      <w:r w:rsidR="001C5536">
        <w:rPr>
          <w:rFonts w:ascii="Times New Roman" w:hAnsi="Times New Roman" w:cs="Times New Roman"/>
          <w:bCs/>
          <w:sz w:val="24"/>
          <w:szCs w:val="24"/>
          <w:lang w:val="en-GB"/>
        </w:rPr>
        <w:t>.</w:t>
      </w:r>
    </w:p>
    <w:p w14:paraId="7C08CC68" w14:textId="74DC5BF8" w:rsidR="008B1BED" w:rsidRPr="00460059" w:rsidRDefault="008B1BED"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The comparison with PEKSUT</w:t>
      </w:r>
      <w:r w:rsidR="00B32A78" w:rsidRPr="00460059">
        <w:rPr>
          <w:rFonts w:ascii="Times New Roman" w:hAnsi="Times New Roman" w:cs="Times New Roman"/>
          <w:bCs/>
          <w:sz w:val="24"/>
          <w:szCs w:val="24"/>
          <w:lang w:val="en-GB"/>
        </w:rPr>
        <w:t xml:space="preserve"> and CTURCD, which are</w:t>
      </w:r>
      <w:r w:rsidRPr="00460059">
        <w:rPr>
          <w:rFonts w:ascii="Times New Roman" w:hAnsi="Times New Roman" w:cs="Times New Roman"/>
          <w:bCs/>
          <w:sz w:val="24"/>
          <w:szCs w:val="24"/>
          <w:lang w:val="en-GB"/>
        </w:rPr>
        <w:t xml:space="preserve"> very similar to VARCEY but with cadmium instead of zinc</w:t>
      </w:r>
      <w:r w:rsidR="00B32A78" w:rsidRPr="00460059">
        <w:rPr>
          <w:rFonts w:ascii="Times New Roman" w:hAnsi="Times New Roman" w:cs="Times New Roman"/>
          <w:bCs/>
          <w:sz w:val="24"/>
          <w:szCs w:val="24"/>
          <w:lang w:val="en-GB"/>
        </w:rPr>
        <w:t xml:space="preserve"> (and bromine instead of chlorine for CTURCD)</w:t>
      </w:r>
      <w:r w:rsidRPr="00460059">
        <w:rPr>
          <w:rFonts w:ascii="Times New Roman" w:hAnsi="Times New Roman" w:cs="Times New Roman"/>
          <w:bCs/>
          <w:sz w:val="24"/>
          <w:szCs w:val="24"/>
          <w:lang w:val="en-GB"/>
        </w:rPr>
        <w:t xml:space="preserve">, reveals how </w:t>
      </w:r>
      <w:proofErr w:type="spellStart"/>
      <w:r w:rsidRPr="00460059">
        <w:rPr>
          <w:rFonts w:ascii="Times New Roman" w:hAnsi="Times New Roman" w:cs="Times New Roman"/>
          <w:bCs/>
          <w:sz w:val="24"/>
          <w:szCs w:val="24"/>
          <w:lang w:val="en-GB"/>
        </w:rPr>
        <w:t>SpB</w:t>
      </w:r>
      <w:proofErr w:type="spellEnd"/>
      <w:r w:rsidRPr="00460059">
        <w:rPr>
          <w:rFonts w:ascii="Times New Roman" w:hAnsi="Times New Roman" w:cs="Times New Roman"/>
          <w:bCs/>
          <w:sz w:val="24"/>
          <w:szCs w:val="24"/>
          <w:lang w:val="en-GB"/>
        </w:rPr>
        <w:t xml:space="preserve"> is </w:t>
      </w:r>
      <w:r w:rsidR="009C665B" w:rsidRPr="00460059">
        <w:rPr>
          <w:rFonts w:ascii="Times New Roman" w:hAnsi="Times New Roman" w:cs="Times New Roman"/>
          <w:bCs/>
          <w:sz w:val="24"/>
          <w:szCs w:val="24"/>
          <w:lang w:val="en-GB"/>
        </w:rPr>
        <w:t xml:space="preserve">sensitive to the details of the structure. In fact, in </w:t>
      </w:r>
      <w:r w:rsidR="00871D29" w:rsidRPr="00460059">
        <w:rPr>
          <w:rFonts w:ascii="Times New Roman" w:hAnsi="Times New Roman" w:cs="Times New Roman"/>
          <w:bCs/>
          <w:sz w:val="24"/>
          <w:szCs w:val="24"/>
          <w:lang w:val="en-GB"/>
        </w:rPr>
        <w:t>PEKSUT</w:t>
      </w:r>
      <w:r w:rsidR="00B32A78" w:rsidRPr="00460059">
        <w:rPr>
          <w:rFonts w:ascii="Times New Roman" w:hAnsi="Times New Roman" w:cs="Times New Roman"/>
          <w:bCs/>
          <w:sz w:val="24"/>
          <w:szCs w:val="24"/>
          <w:lang w:val="en-GB"/>
        </w:rPr>
        <w:t xml:space="preserve"> and CTURCD</w:t>
      </w:r>
      <w:r w:rsidR="009C665B" w:rsidRPr="00460059">
        <w:rPr>
          <w:rFonts w:ascii="Times New Roman" w:hAnsi="Times New Roman" w:cs="Times New Roman"/>
          <w:bCs/>
          <w:sz w:val="24"/>
          <w:szCs w:val="24"/>
          <w:lang w:val="en-GB"/>
        </w:rPr>
        <w:t>, accumulation regions are clearly visible on the metal (Δρ</w:t>
      </w:r>
      <w:r w:rsidR="009C665B" w:rsidRPr="00460059">
        <w:rPr>
          <w:rFonts w:ascii="Times New Roman" w:hAnsi="Times New Roman" w:cs="Times New Roman"/>
          <w:bCs/>
          <w:sz w:val="24"/>
          <w:szCs w:val="24"/>
          <w:vertAlign w:val="subscript"/>
          <w:lang w:val="en-GB"/>
        </w:rPr>
        <w:t>0</w:t>
      </w:r>
      <w:r w:rsidR="009C665B" w:rsidRPr="00460059">
        <w:rPr>
          <w:rFonts w:ascii="Times New Roman" w:hAnsi="Times New Roman" w:cs="Times New Roman"/>
          <w:bCs/>
          <w:sz w:val="24"/>
          <w:szCs w:val="24"/>
          <w:lang w:val="en-GB"/>
        </w:rPr>
        <w:t xml:space="preserve">, </w:t>
      </w:r>
      <w:r w:rsidR="009C665B" w:rsidRPr="00460059">
        <w:rPr>
          <w:rFonts w:ascii="Times New Roman" w:hAnsi="Times New Roman" w:cs="Times New Roman"/>
          <w:bCs/>
          <w:sz w:val="24"/>
          <w:szCs w:val="24"/>
          <w:lang w:val="en-GB"/>
        </w:rPr>
        <w:fldChar w:fldCharType="begin"/>
      </w:r>
      <w:r w:rsidR="009C665B"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009C665B" w:rsidRPr="00460059">
        <w:rPr>
          <w:rFonts w:ascii="Times New Roman" w:hAnsi="Times New Roman" w:cs="Times New Roman"/>
          <w:bCs/>
          <w:sz w:val="24"/>
          <w:szCs w:val="24"/>
          <w:lang w:val="en-GB"/>
        </w:rPr>
      </w:r>
      <w:r w:rsidR="009C665B" w:rsidRPr="00460059">
        <w:rPr>
          <w:rFonts w:ascii="Times New Roman" w:hAnsi="Times New Roman" w:cs="Times New Roman"/>
          <w:bCs/>
          <w:sz w:val="24"/>
          <w:szCs w:val="24"/>
          <w:lang w:val="en-GB"/>
        </w:rPr>
        <w:fldChar w:fldCharType="separate"/>
      </w:r>
      <w:r w:rsidR="009C665B" w:rsidRPr="00460059">
        <w:rPr>
          <w:rFonts w:ascii="Times New Roman" w:hAnsi="Times New Roman" w:cs="Times New Roman"/>
          <w:bCs/>
          <w:sz w:val="24"/>
          <w:szCs w:val="24"/>
          <w:lang w:val="en-GB"/>
        </w:rPr>
        <w:t>Figure 4</w:t>
      </w:r>
      <w:r w:rsidR="009C665B" w:rsidRPr="00460059">
        <w:rPr>
          <w:rFonts w:ascii="Times New Roman" w:hAnsi="Times New Roman" w:cs="Times New Roman"/>
          <w:bCs/>
          <w:sz w:val="24"/>
          <w:szCs w:val="24"/>
          <w:lang w:val="en-GB"/>
        </w:rPr>
        <w:fldChar w:fldCharType="end"/>
      </w:r>
      <w:r w:rsidR="009C665B" w:rsidRPr="00460059">
        <w:rPr>
          <w:rFonts w:ascii="Times New Roman" w:hAnsi="Times New Roman" w:cs="Times New Roman"/>
          <w:bCs/>
          <w:sz w:val="24"/>
          <w:szCs w:val="24"/>
          <w:lang w:val="en-GB"/>
        </w:rPr>
        <w:t>c</w:t>
      </w:r>
      <w:r w:rsidR="00B32A78" w:rsidRPr="00460059">
        <w:rPr>
          <w:rFonts w:ascii="Times New Roman" w:hAnsi="Times New Roman" w:cs="Times New Roman"/>
          <w:bCs/>
          <w:sz w:val="24"/>
          <w:szCs w:val="24"/>
          <w:lang w:val="en-GB"/>
        </w:rPr>
        <w:t xml:space="preserve"> and Supporting Information</w:t>
      </w:r>
      <w:r w:rsidR="009C665B" w:rsidRPr="00460059">
        <w:rPr>
          <w:rFonts w:ascii="Times New Roman" w:hAnsi="Times New Roman" w:cs="Times New Roman"/>
          <w:bCs/>
          <w:sz w:val="24"/>
          <w:szCs w:val="24"/>
          <w:lang w:val="en-GB"/>
        </w:rPr>
        <w:t xml:space="preserve">) and on the thiourea ligands, indication that </w:t>
      </w:r>
      <w:proofErr w:type="spellStart"/>
      <w:r w:rsidR="009C665B" w:rsidRPr="00460059">
        <w:rPr>
          <w:rFonts w:ascii="Times New Roman" w:hAnsi="Times New Roman" w:cs="Times New Roman"/>
          <w:bCs/>
          <w:sz w:val="24"/>
          <w:szCs w:val="24"/>
          <w:lang w:val="en-GB"/>
        </w:rPr>
        <w:t>SpB</w:t>
      </w:r>
      <w:proofErr w:type="spellEnd"/>
      <w:r w:rsidR="009C665B" w:rsidRPr="00460059">
        <w:rPr>
          <w:rFonts w:ascii="Times New Roman" w:hAnsi="Times New Roman" w:cs="Times New Roman"/>
          <w:bCs/>
          <w:sz w:val="24"/>
          <w:szCs w:val="24"/>
          <w:lang w:val="en-GB"/>
        </w:rPr>
        <w:t xml:space="preserve"> and ChB in this case are not perfectly separated. Noteworthy, also Δρ</w:t>
      </w:r>
      <w:r w:rsidR="009C665B" w:rsidRPr="00460059">
        <w:rPr>
          <w:rFonts w:ascii="Times New Roman" w:hAnsi="Times New Roman" w:cs="Times New Roman"/>
          <w:bCs/>
          <w:sz w:val="24"/>
          <w:szCs w:val="24"/>
          <w:vertAlign w:val="subscript"/>
          <w:lang w:val="en-GB"/>
        </w:rPr>
        <w:t>1</w:t>
      </w:r>
      <w:r w:rsidR="00DB6C15" w:rsidRPr="00460059">
        <w:rPr>
          <w:rFonts w:ascii="Times New Roman" w:hAnsi="Times New Roman" w:cs="Times New Roman"/>
          <w:bCs/>
          <w:sz w:val="24"/>
          <w:szCs w:val="24"/>
          <w:lang w:val="en-GB"/>
        </w:rPr>
        <w:t xml:space="preserve"> refers the ChB</w:t>
      </w:r>
      <w:r w:rsidR="00B32A78" w:rsidRPr="00460059">
        <w:rPr>
          <w:rFonts w:ascii="Times New Roman" w:hAnsi="Times New Roman" w:cs="Times New Roman"/>
          <w:bCs/>
          <w:sz w:val="24"/>
          <w:szCs w:val="24"/>
          <w:lang w:val="en-GB"/>
        </w:rPr>
        <w:t xml:space="preserve"> (see Supporting Information)</w:t>
      </w:r>
      <w:r w:rsidR="00871D29" w:rsidRPr="00460059">
        <w:rPr>
          <w:rFonts w:ascii="Times New Roman" w:hAnsi="Times New Roman" w:cs="Times New Roman"/>
          <w:bCs/>
          <w:sz w:val="24"/>
          <w:szCs w:val="24"/>
          <w:lang w:val="en-GB"/>
        </w:rPr>
        <w:t>.</w:t>
      </w:r>
    </w:p>
    <w:p w14:paraId="3DCCEFB8" w14:textId="1495679D" w:rsidR="00461769" w:rsidRPr="00460059" w:rsidRDefault="00B32A78"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HUWYON is held together only by HBs, w</w:t>
      </w:r>
      <w:r w:rsidR="00D711B6" w:rsidRPr="00460059">
        <w:rPr>
          <w:rFonts w:ascii="Times New Roman" w:hAnsi="Times New Roman" w:cs="Times New Roman"/>
          <w:bCs/>
          <w:sz w:val="24"/>
          <w:szCs w:val="24"/>
          <w:lang w:val="en-GB"/>
        </w:rPr>
        <w:t>ith no invo</w:t>
      </w:r>
      <w:r w:rsidR="00E7725F" w:rsidRPr="00460059">
        <w:rPr>
          <w:rFonts w:ascii="Times New Roman" w:hAnsi="Times New Roman" w:cs="Times New Roman"/>
          <w:bCs/>
          <w:sz w:val="24"/>
          <w:szCs w:val="24"/>
          <w:lang w:val="en-GB"/>
        </w:rPr>
        <w:t>lvement of the metal (see Supporting Information), whereas about</w:t>
      </w:r>
      <w:r w:rsidR="00D711B6" w:rsidRPr="00460059">
        <w:rPr>
          <w:rFonts w:ascii="Times New Roman" w:hAnsi="Times New Roman" w:cs="Times New Roman"/>
          <w:bCs/>
          <w:sz w:val="24"/>
          <w:szCs w:val="24"/>
          <w:lang w:val="en-GB"/>
        </w:rPr>
        <w:t xml:space="preserve"> OTOFOU we already mentioned that it has a relevant orbital contribution, even if it is a stable adduct only if placed in its crystal lattice. In this case, the analysis of E</w:t>
      </w:r>
      <w:r w:rsidR="00D711B6" w:rsidRPr="00460059">
        <w:rPr>
          <w:rFonts w:ascii="Times New Roman" w:hAnsi="Times New Roman" w:cs="Times New Roman"/>
          <w:bCs/>
          <w:sz w:val="24"/>
          <w:szCs w:val="24"/>
          <w:vertAlign w:val="subscript"/>
          <w:lang w:val="en-GB"/>
        </w:rPr>
        <w:t>st</w:t>
      </w:r>
      <w:r w:rsidR="00D711B6" w:rsidRPr="00460059">
        <w:rPr>
          <w:rFonts w:ascii="Times New Roman" w:hAnsi="Times New Roman" w:cs="Times New Roman"/>
          <w:bCs/>
          <w:sz w:val="24"/>
          <w:szCs w:val="24"/>
          <w:lang w:val="en-GB"/>
        </w:rPr>
        <w:t xml:space="preserve"> is not very informative, </w:t>
      </w:r>
      <w:r w:rsidR="00D711B6" w:rsidRPr="00460059">
        <w:rPr>
          <w:rFonts w:ascii="Times New Roman" w:hAnsi="Times New Roman" w:cs="Times New Roman"/>
          <w:bCs/>
          <w:sz w:val="24"/>
          <w:szCs w:val="24"/>
          <w:lang w:val="en-GB"/>
        </w:rPr>
        <w:lastRenderedPageBreak/>
        <w:t xml:space="preserve">while the analysis of </w:t>
      </w:r>
      <w:proofErr w:type="spellStart"/>
      <w:r w:rsidR="00D711B6" w:rsidRPr="00460059">
        <w:rPr>
          <w:rFonts w:ascii="Times New Roman" w:hAnsi="Times New Roman" w:cs="Times New Roman"/>
          <w:bCs/>
          <w:sz w:val="24"/>
          <w:szCs w:val="24"/>
          <w:lang w:val="en-GB"/>
        </w:rPr>
        <w:t>E</w:t>
      </w:r>
      <w:r w:rsidR="00D711B6" w:rsidRPr="00460059">
        <w:rPr>
          <w:rFonts w:ascii="Times New Roman" w:hAnsi="Times New Roman" w:cs="Times New Roman"/>
          <w:bCs/>
          <w:sz w:val="24"/>
          <w:szCs w:val="24"/>
          <w:vertAlign w:val="subscript"/>
          <w:lang w:val="en-GB"/>
        </w:rPr>
        <w:t>orb</w:t>
      </w:r>
      <w:proofErr w:type="spellEnd"/>
      <w:r w:rsidR="00D711B6" w:rsidRPr="00460059">
        <w:rPr>
          <w:rFonts w:ascii="Times New Roman" w:hAnsi="Times New Roman" w:cs="Times New Roman"/>
          <w:bCs/>
          <w:sz w:val="24"/>
          <w:szCs w:val="24"/>
          <w:lang w:val="en-GB"/>
        </w:rPr>
        <w:t xml:space="preserve"> is still greatly useful. </w:t>
      </w:r>
      <w:r w:rsidR="00356C3C" w:rsidRPr="00460059">
        <w:rPr>
          <w:rFonts w:ascii="Times New Roman" w:hAnsi="Times New Roman" w:cs="Times New Roman"/>
          <w:bCs/>
          <w:sz w:val="24"/>
          <w:szCs w:val="24"/>
          <w:lang w:val="en-GB"/>
        </w:rPr>
        <w:t>Both Δρ</w:t>
      </w:r>
      <w:r w:rsidR="00356C3C" w:rsidRPr="00460059">
        <w:rPr>
          <w:rFonts w:ascii="Times New Roman" w:hAnsi="Times New Roman" w:cs="Times New Roman"/>
          <w:bCs/>
          <w:sz w:val="24"/>
          <w:szCs w:val="24"/>
          <w:vertAlign w:val="subscript"/>
          <w:lang w:val="en-GB"/>
        </w:rPr>
        <w:t>0</w:t>
      </w:r>
      <w:r w:rsidR="00356C3C" w:rsidRPr="00460059">
        <w:rPr>
          <w:rFonts w:ascii="Times New Roman" w:hAnsi="Times New Roman" w:cs="Times New Roman"/>
          <w:bCs/>
          <w:sz w:val="24"/>
          <w:szCs w:val="24"/>
          <w:lang w:val="en-GB"/>
        </w:rPr>
        <w:t xml:space="preserve"> and Δρ</w:t>
      </w:r>
      <w:r w:rsidR="00356C3C" w:rsidRPr="00460059">
        <w:rPr>
          <w:rFonts w:ascii="Times New Roman" w:hAnsi="Times New Roman" w:cs="Times New Roman"/>
          <w:bCs/>
          <w:sz w:val="24"/>
          <w:szCs w:val="24"/>
          <w:vertAlign w:val="subscript"/>
          <w:lang w:val="en-GB"/>
        </w:rPr>
        <w:t>1</w:t>
      </w:r>
      <w:r w:rsidR="00356C3C" w:rsidRPr="00460059">
        <w:rPr>
          <w:rFonts w:ascii="Times New Roman" w:hAnsi="Times New Roman" w:cs="Times New Roman"/>
          <w:bCs/>
          <w:sz w:val="24"/>
          <w:szCs w:val="24"/>
          <w:lang w:val="en-GB"/>
        </w:rPr>
        <w:t xml:space="preserve"> contains orbital </w:t>
      </w:r>
      <w:proofErr w:type="spellStart"/>
      <w:r w:rsidR="00356C3C" w:rsidRPr="00460059">
        <w:rPr>
          <w:rFonts w:ascii="Times New Roman" w:hAnsi="Times New Roman" w:cs="Times New Roman"/>
          <w:bCs/>
          <w:sz w:val="24"/>
          <w:szCs w:val="24"/>
          <w:lang w:val="en-GB"/>
        </w:rPr>
        <w:t>SpB</w:t>
      </w:r>
      <w:proofErr w:type="spellEnd"/>
      <w:r w:rsidR="00356C3C" w:rsidRPr="00460059">
        <w:rPr>
          <w:rFonts w:ascii="Times New Roman" w:hAnsi="Times New Roman" w:cs="Times New Roman"/>
          <w:bCs/>
          <w:sz w:val="24"/>
          <w:szCs w:val="24"/>
          <w:lang w:val="en-GB"/>
        </w:rPr>
        <w:t xml:space="preserve"> contributions associated with large polarization effects (</w:t>
      </w:r>
      <w:r w:rsidR="00356C3C" w:rsidRPr="00460059">
        <w:rPr>
          <w:rFonts w:ascii="Times New Roman" w:hAnsi="Times New Roman" w:cs="Times New Roman"/>
          <w:bCs/>
          <w:sz w:val="24"/>
          <w:szCs w:val="24"/>
          <w:lang w:val="en-GB"/>
        </w:rPr>
        <w:fldChar w:fldCharType="begin"/>
      </w:r>
      <w:r w:rsidR="00356C3C"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00356C3C" w:rsidRPr="00460059">
        <w:rPr>
          <w:rFonts w:ascii="Times New Roman" w:hAnsi="Times New Roman" w:cs="Times New Roman"/>
          <w:bCs/>
          <w:sz w:val="24"/>
          <w:szCs w:val="24"/>
          <w:lang w:val="en-GB"/>
        </w:rPr>
      </w:r>
      <w:r w:rsidR="00356C3C" w:rsidRPr="00460059">
        <w:rPr>
          <w:rFonts w:ascii="Times New Roman" w:hAnsi="Times New Roman" w:cs="Times New Roman"/>
          <w:bCs/>
          <w:sz w:val="24"/>
          <w:szCs w:val="24"/>
          <w:lang w:val="en-GB"/>
        </w:rPr>
        <w:fldChar w:fldCharType="separate"/>
      </w:r>
      <w:r w:rsidR="00356C3C" w:rsidRPr="00460059">
        <w:rPr>
          <w:rFonts w:ascii="Times New Roman" w:hAnsi="Times New Roman" w:cs="Times New Roman"/>
          <w:bCs/>
          <w:sz w:val="24"/>
          <w:szCs w:val="24"/>
          <w:lang w:val="en-GB"/>
        </w:rPr>
        <w:t>Figure 4</w:t>
      </w:r>
      <w:r w:rsidR="00356C3C" w:rsidRPr="00460059">
        <w:rPr>
          <w:rFonts w:ascii="Times New Roman" w:hAnsi="Times New Roman" w:cs="Times New Roman"/>
          <w:bCs/>
          <w:sz w:val="24"/>
          <w:szCs w:val="24"/>
          <w:lang w:val="en-GB"/>
        </w:rPr>
        <w:fldChar w:fldCharType="end"/>
      </w:r>
      <w:r w:rsidR="00356C3C" w:rsidRPr="00460059">
        <w:rPr>
          <w:rFonts w:ascii="Times New Roman" w:hAnsi="Times New Roman" w:cs="Times New Roman"/>
          <w:bCs/>
          <w:sz w:val="24"/>
          <w:szCs w:val="24"/>
          <w:lang w:val="en-GB"/>
        </w:rPr>
        <w:t>d), which are unavoidable when two anions are close each other. Unfortunately, the</w:t>
      </w:r>
      <w:r w:rsidR="00794FFF" w:rsidRPr="00460059">
        <w:rPr>
          <w:rFonts w:ascii="Times New Roman" w:hAnsi="Times New Roman" w:cs="Times New Roman"/>
          <w:bCs/>
          <w:sz w:val="24"/>
          <w:szCs w:val="24"/>
          <w:lang w:val="en-GB"/>
        </w:rPr>
        <w:t xml:space="preserve"> integration of the </w:t>
      </w:r>
      <w:proofErr w:type="spellStart"/>
      <w:r w:rsidR="00794FFF" w:rsidRPr="00460059">
        <w:rPr>
          <w:rFonts w:ascii="Times New Roman" w:hAnsi="Times New Roman" w:cs="Times New Roman"/>
          <w:bCs/>
          <w:sz w:val="24"/>
          <w:szCs w:val="24"/>
          <w:lang w:val="en-GB"/>
        </w:rPr>
        <w:t>Δρ</w:t>
      </w:r>
      <w:proofErr w:type="spellEnd"/>
      <w:r w:rsidR="00794FFF" w:rsidRPr="00460059">
        <w:rPr>
          <w:rFonts w:ascii="Times New Roman" w:hAnsi="Times New Roman" w:cs="Times New Roman"/>
          <w:bCs/>
          <w:sz w:val="24"/>
          <w:szCs w:val="24"/>
          <w:lang w:val="en-GB"/>
        </w:rPr>
        <w:t xml:space="preserve"> functions is not informative, as the</w:t>
      </w:r>
      <w:r w:rsidR="00356C3C" w:rsidRPr="00460059">
        <w:rPr>
          <w:rFonts w:ascii="Times New Roman" w:hAnsi="Times New Roman" w:cs="Times New Roman"/>
          <w:bCs/>
          <w:sz w:val="24"/>
          <w:szCs w:val="24"/>
          <w:lang w:val="en-GB"/>
        </w:rPr>
        <w:t xml:space="preserve"> adduct is so symmetrical that any flux from </w:t>
      </w:r>
      <w:r w:rsidR="00794FFF" w:rsidRPr="00460059">
        <w:rPr>
          <w:rFonts w:ascii="Times New Roman" w:hAnsi="Times New Roman" w:cs="Times New Roman"/>
          <w:bCs/>
          <w:sz w:val="24"/>
          <w:szCs w:val="24"/>
          <w:lang w:val="en-GB"/>
        </w:rPr>
        <w:t xml:space="preserve">one fragment to the other is counterbalanced by a similar one with opposite sign, making the sum null. </w:t>
      </w:r>
    </w:p>
    <w:p w14:paraId="52D37799" w14:textId="3F815B3E" w:rsidR="00D93B22" w:rsidRPr="00460059" w:rsidRDefault="00D93B22" w:rsidP="00D93B22">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Finally, for mercury adducts, the </w:t>
      </w:r>
      <w:r w:rsidR="005675BA" w:rsidRPr="00460059">
        <w:rPr>
          <w:rFonts w:ascii="Times New Roman" w:hAnsi="Times New Roman" w:cs="Times New Roman"/>
          <w:bCs/>
          <w:sz w:val="24"/>
          <w:szCs w:val="24"/>
          <w:lang w:val="en-GB"/>
        </w:rPr>
        <w:t>fragment</w:t>
      </w:r>
      <w:r w:rsidRPr="00460059">
        <w:rPr>
          <w:rFonts w:ascii="Times New Roman" w:hAnsi="Times New Roman" w:cs="Times New Roman"/>
          <w:bCs/>
          <w:sz w:val="24"/>
          <w:szCs w:val="24"/>
          <w:lang w:val="en-GB"/>
        </w:rPr>
        <w:t xml:space="preserve"> isolated from the DUKTAF lattice</w:t>
      </w:r>
      <w:r w:rsidR="005675BA" w:rsidRPr="00460059">
        <w:rPr>
          <w:rFonts w:ascii="Times New Roman" w:hAnsi="Times New Roman" w:cs="Times New Roman"/>
          <w:bCs/>
          <w:sz w:val="24"/>
          <w:szCs w:val="24"/>
          <w:lang w:val="en-GB"/>
        </w:rPr>
        <w:t xml:space="preserve"> contains three moieties</w:t>
      </w:r>
      <w:r w:rsidR="00B9173F" w:rsidRPr="00460059">
        <w:rPr>
          <w:rFonts w:ascii="Times New Roman" w:hAnsi="Times New Roman" w:cs="Times New Roman"/>
          <w:bCs/>
          <w:sz w:val="24"/>
          <w:szCs w:val="24"/>
          <w:lang w:val="en-GB"/>
        </w:rPr>
        <w:t xml:space="preserve"> and</w:t>
      </w:r>
      <w:r w:rsidRPr="00460059">
        <w:rPr>
          <w:rFonts w:ascii="Times New Roman" w:hAnsi="Times New Roman" w:cs="Times New Roman"/>
          <w:bCs/>
          <w:sz w:val="24"/>
          <w:szCs w:val="24"/>
          <w:lang w:val="en-GB"/>
        </w:rPr>
        <w:t xml:space="preserve"> has been separated into two fragments, [HgBr</w:t>
      </w:r>
      <w:r w:rsidRPr="00460059">
        <w:rPr>
          <w:rFonts w:ascii="Times New Roman" w:hAnsi="Times New Roman" w:cs="Times New Roman"/>
          <w:bCs/>
          <w:sz w:val="24"/>
          <w:szCs w:val="24"/>
          <w:vertAlign w:val="subscript"/>
          <w:lang w:val="en-GB"/>
        </w:rPr>
        <w:t>4</w:t>
      </w:r>
      <w:r w:rsidRPr="00460059">
        <w:rPr>
          <w:rFonts w:ascii="Times New Roman" w:hAnsi="Times New Roman" w:cs="Times New Roman"/>
          <w:bCs/>
          <w:sz w:val="24"/>
          <w:szCs w:val="24"/>
          <w:lang w:val="en-GB"/>
        </w:rPr>
        <w:t>]</w:t>
      </w:r>
      <w:r w:rsidRPr="00460059">
        <w:rPr>
          <w:rFonts w:ascii="Times New Roman" w:hAnsi="Times New Roman" w:cs="Times New Roman"/>
          <w:bCs/>
          <w:sz w:val="24"/>
          <w:szCs w:val="24"/>
          <w:vertAlign w:val="superscript"/>
          <w:lang w:val="en-GB"/>
        </w:rPr>
        <w:t xml:space="preserve">2- </w:t>
      </w:r>
      <w:r w:rsidRPr="00460059">
        <w:rPr>
          <w:rFonts w:ascii="Times New Roman" w:hAnsi="Times New Roman" w:cs="Times New Roman"/>
          <w:bCs/>
          <w:sz w:val="24"/>
          <w:szCs w:val="24"/>
          <w:lang w:val="en-GB"/>
        </w:rPr>
        <w:t>and [(H</w:t>
      </w:r>
      <w:r w:rsidRPr="00460059">
        <w:rPr>
          <w:rFonts w:ascii="Times New Roman" w:hAnsi="Times New Roman" w:cs="Times New Roman"/>
          <w:bCs/>
          <w:sz w:val="24"/>
          <w:szCs w:val="24"/>
          <w:vertAlign w:val="subscript"/>
          <w:lang w:val="en-GB"/>
        </w:rPr>
        <w:t>2</w:t>
      </w:r>
      <w:r w:rsidRPr="00460059">
        <w:rPr>
          <w:rFonts w:ascii="Times New Roman" w:hAnsi="Times New Roman" w:cs="Times New Roman"/>
          <w:bCs/>
          <w:sz w:val="24"/>
          <w:szCs w:val="24"/>
          <w:lang w:val="en-GB"/>
        </w:rPr>
        <w:t>O)(</w:t>
      </w:r>
      <w:proofErr w:type="spellStart"/>
      <w:r w:rsidRPr="00460059">
        <w:rPr>
          <w:rFonts w:ascii="Times New Roman" w:hAnsi="Times New Roman" w:cs="Times New Roman"/>
          <w:bCs/>
          <w:sz w:val="24"/>
          <w:szCs w:val="24"/>
          <w:lang w:val="en-GB"/>
        </w:rPr>
        <w:t>BrPyH</w:t>
      </w:r>
      <w:proofErr w:type="spellEnd"/>
      <w:r w:rsidRPr="00460059">
        <w:rPr>
          <w:rFonts w:ascii="Times New Roman" w:hAnsi="Times New Roman" w:cs="Times New Roman"/>
          <w:bCs/>
          <w:sz w:val="24"/>
          <w:szCs w:val="24"/>
          <w:lang w:val="en-GB"/>
        </w:rPr>
        <w:t>)]</w:t>
      </w:r>
      <w:r w:rsidRPr="00460059">
        <w:rPr>
          <w:rFonts w:ascii="Times New Roman" w:hAnsi="Times New Roman" w:cs="Times New Roman"/>
          <w:bCs/>
          <w:sz w:val="24"/>
          <w:szCs w:val="24"/>
          <w:vertAlign w:val="superscript"/>
          <w:lang w:val="en-GB"/>
        </w:rPr>
        <w:t>+</w:t>
      </w:r>
      <w:r w:rsidRPr="00460059">
        <w:rPr>
          <w:rFonts w:ascii="Times New Roman" w:hAnsi="Times New Roman" w:cs="Times New Roman"/>
          <w:bCs/>
          <w:sz w:val="24"/>
          <w:szCs w:val="24"/>
          <w:lang w:val="en-GB"/>
        </w:rPr>
        <w:t>. The fragmentation could have been [(HgBr</w:t>
      </w:r>
      <w:r w:rsidRPr="00460059">
        <w:rPr>
          <w:rFonts w:ascii="Times New Roman" w:hAnsi="Times New Roman" w:cs="Times New Roman"/>
          <w:bCs/>
          <w:sz w:val="24"/>
          <w:szCs w:val="24"/>
          <w:vertAlign w:val="subscript"/>
          <w:lang w:val="en-GB"/>
        </w:rPr>
        <w:t>4</w:t>
      </w:r>
      <w:r w:rsidRPr="00460059">
        <w:rPr>
          <w:rFonts w:ascii="Times New Roman" w:hAnsi="Times New Roman" w:cs="Times New Roman"/>
          <w:bCs/>
          <w:sz w:val="24"/>
          <w:szCs w:val="24"/>
          <w:lang w:val="en-GB"/>
        </w:rPr>
        <w:t>)(H</w:t>
      </w:r>
      <w:r w:rsidRPr="00460059">
        <w:rPr>
          <w:rFonts w:ascii="Times New Roman" w:hAnsi="Times New Roman" w:cs="Times New Roman"/>
          <w:bCs/>
          <w:sz w:val="24"/>
          <w:szCs w:val="24"/>
          <w:vertAlign w:val="subscript"/>
          <w:lang w:val="en-GB"/>
        </w:rPr>
        <w:t>2</w:t>
      </w:r>
      <w:r w:rsidRPr="00460059">
        <w:rPr>
          <w:rFonts w:ascii="Times New Roman" w:hAnsi="Times New Roman" w:cs="Times New Roman"/>
          <w:bCs/>
          <w:sz w:val="24"/>
          <w:szCs w:val="24"/>
          <w:lang w:val="en-GB"/>
        </w:rPr>
        <w:t>O)]</w:t>
      </w:r>
      <w:r w:rsidRPr="00460059">
        <w:rPr>
          <w:rFonts w:ascii="Times New Roman" w:hAnsi="Times New Roman" w:cs="Times New Roman"/>
          <w:bCs/>
          <w:sz w:val="24"/>
          <w:szCs w:val="24"/>
          <w:vertAlign w:val="superscript"/>
          <w:lang w:val="en-GB"/>
        </w:rPr>
        <w:t xml:space="preserve">2- </w:t>
      </w:r>
      <w:r w:rsidRPr="00460059">
        <w:rPr>
          <w:rFonts w:ascii="Times New Roman" w:hAnsi="Times New Roman" w:cs="Times New Roman"/>
          <w:bCs/>
          <w:sz w:val="24"/>
          <w:szCs w:val="24"/>
          <w:lang w:val="en-GB"/>
        </w:rPr>
        <w:t>and [</w:t>
      </w:r>
      <w:proofErr w:type="spellStart"/>
      <w:r w:rsidRPr="00460059">
        <w:rPr>
          <w:rFonts w:ascii="Times New Roman" w:hAnsi="Times New Roman" w:cs="Times New Roman"/>
          <w:bCs/>
          <w:sz w:val="24"/>
          <w:szCs w:val="24"/>
          <w:lang w:val="en-GB"/>
        </w:rPr>
        <w:t>BrPyH</w:t>
      </w:r>
      <w:proofErr w:type="spellEnd"/>
      <w:r w:rsidRPr="00460059">
        <w:rPr>
          <w:rFonts w:ascii="Times New Roman" w:hAnsi="Times New Roman" w:cs="Times New Roman"/>
          <w:bCs/>
          <w:sz w:val="24"/>
          <w:szCs w:val="24"/>
          <w:lang w:val="en-GB"/>
        </w:rPr>
        <w:t>]</w:t>
      </w:r>
      <w:r w:rsidRPr="00460059">
        <w:rPr>
          <w:rFonts w:ascii="Times New Roman" w:hAnsi="Times New Roman" w:cs="Times New Roman"/>
          <w:bCs/>
          <w:sz w:val="24"/>
          <w:szCs w:val="24"/>
          <w:vertAlign w:val="superscript"/>
          <w:lang w:val="en-GB"/>
        </w:rPr>
        <w:t>+</w:t>
      </w:r>
      <w:r w:rsidRPr="00460059">
        <w:rPr>
          <w:rFonts w:ascii="Times New Roman" w:hAnsi="Times New Roman" w:cs="Times New Roman"/>
          <w:bCs/>
          <w:sz w:val="24"/>
          <w:szCs w:val="24"/>
          <w:lang w:val="en-GB"/>
        </w:rPr>
        <w:t xml:space="preserve"> with no substantial </w:t>
      </w:r>
      <w:r w:rsidR="00B9173F" w:rsidRPr="00460059">
        <w:rPr>
          <w:rFonts w:ascii="Times New Roman" w:hAnsi="Times New Roman" w:cs="Times New Roman"/>
          <w:bCs/>
          <w:sz w:val="24"/>
          <w:szCs w:val="24"/>
          <w:lang w:val="en-GB"/>
        </w:rPr>
        <w:t>differences</w:t>
      </w:r>
      <w:r w:rsidRPr="00460059">
        <w:rPr>
          <w:rFonts w:ascii="Times New Roman" w:hAnsi="Times New Roman" w:cs="Times New Roman"/>
          <w:bCs/>
          <w:sz w:val="24"/>
          <w:szCs w:val="24"/>
          <w:lang w:val="en-GB"/>
        </w:rPr>
        <w:t>. Despite the spatial proximity of the bromine to the mercury, the only intermolecular interactions here are a XB between the coordinated bromine (LB) and the bromine on the pyridinium (LA) and a HB between another coordinated bromine and the water (</w:t>
      </w:r>
      <w:r w:rsidRPr="00460059">
        <w:rPr>
          <w:rFonts w:ascii="Times New Roman" w:hAnsi="Times New Roman" w:cs="Times New Roman"/>
          <w:bCs/>
          <w:sz w:val="24"/>
          <w:szCs w:val="24"/>
          <w:lang w:val="en-GB"/>
        </w:rPr>
        <w:fldChar w:fldCharType="begin"/>
      </w:r>
      <w:r w:rsidRPr="00460059">
        <w:rPr>
          <w:rFonts w:ascii="Times New Roman" w:hAnsi="Times New Roman" w:cs="Times New Roman"/>
          <w:bCs/>
          <w:sz w:val="24"/>
          <w:szCs w:val="24"/>
          <w:lang w:val="en-GB"/>
        </w:rPr>
        <w:instrText xml:space="preserve"> REF _Ref55195092 \h </w:instrText>
      </w:r>
      <w:r w:rsidR="00460059">
        <w:rPr>
          <w:rFonts w:ascii="Times New Roman" w:hAnsi="Times New Roman" w:cs="Times New Roman"/>
          <w:bCs/>
          <w:sz w:val="24"/>
          <w:szCs w:val="24"/>
          <w:lang w:val="en-GB"/>
        </w:rPr>
        <w:instrText xml:space="preserve"> \* MERGEFORMAT </w:instrText>
      </w:r>
      <w:r w:rsidRPr="00460059">
        <w:rPr>
          <w:rFonts w:ascii="Times New Roman" w:hAnsi="Times New Roman" w:cs="Times New Roman"/>
          <w:bCs/>
          <w:sz w:val="24"/>
          <w:szCs w:val="24"/>
          <w:lang w:val="en-GB"/>
        </w:rPr>
      </w:r>
      <w:r w:rsidRPr="00460059">
        <w:rPr>
          <w:rFonts w:ascii="Times New Roman" w:hAnsi="Times New Roman" w:cs="Times New Roman"/>
          <w:bCs/>
          <w:sz w:val="24"/>
          <w:szCs w:val="24"/>
          <w:lang w:val="en-GB"/>
        </w:rPr>
        <w:fldChar w:fldCharType="separate"/>
      </w:r>
      <w:r w:rsidRPr="00460059">
        <w:rPr>
          <w:rFonts w:ascii="Times New Roman" w:hAnsi="Times New Roman" w:cs="Times New Roman"/>
          <w:bCs/>
          <w:sz w:val="24"/>
          <w:szCs w:val="24"/>
          <w:lang w:val="en-GB"/>
        </w:rPr>
        <w:t>Figure 4</w:t>
      </w:r>
      <w:r w:rsidRPr="00460059">
        <w:rPr>
          <w:rFonts w:ascii="Times New Roman" w:hAnsi="Times New Roman" w:cs="Times New Roman"/>
          <w:bCs/>
          <w:sz w:val="24"/>
          <w:szCs w:val="24"/>
          <w:lang w:val="en-GB"/>
        </w:rPr>
        <w:fldChar w:fldCharType="end"/>
      </w:r>
      <w:r w:rsidRPr="00460059">
        <w:rPr>
          <w:rFonts w:ascii="Times New Roman" w:hAnsi="Times New Roman" w:cs="Times New Roman"/>
          <w:bCs/>
          <w:sz w:val="24"/>
          <w:szCs w:val="24"/>
          <w:lang w:val="en-GB"/>
        </w:rPr>
        <w:t>e and f).</w:t>
      </w:r>
      <w:r w:rsidR="00F0356D" w:rsidRPr="00460059">
        <w:rPr>
          <w:rFonts w:ascii="Times New Roman" w:hAnsi="Times New Roman" w:cs="Times New Roman"/>
          <w:bCs/>
          <w:sz w:val="24"/>
          <w:szCs w:val="24"/>
          <w:lang w:val="en-GB"/>
        </w:rPr>
        <w:t xml:space="preserve"> The very large value of </w:t>
      </w:r>
      <w:proofErr w:type="spellStart"/>
      <w:r w:rsidR="00F0356D" w:rsidRPr="00460059">
        <w:rPr>
          <w:rFonts w:ascii="Times New Roman" w:hAnsi="Times New Roman" w:cs="Times New Roman"/>
          <w:bCs/>
          <w:sz w:val="24"/>
          <w:szCs w:val="24"/>
          <w:lang w:val="en-GB"/>
        </w:rPr>
        <w:t>E</w:t>
      </w:r>
      <w:r w:rsidR="00F0356D" w:rsidRPr="00460059">
        <w:rPr>
          <w:rFonts w:ascii="Times New Roman" w:hAnsi="Times New Roman" w:cs="Times New Roman"/>
          <w:bCs/>
          <w:sz w:val="24"/>
          <w:szCs w:val="24"/>
          <w:vertAlign w:val="subscript"/>
          <w:lang w:val="en-GB"/>
        </w:rPr>
        <w:t>int</w:t>
      </w:r>
      <w:proofErr w:type="spellEnd"/>
      <w:r w:rsidR="00F0356D" w:rsidRPr="00460059">
        <w:rPr>
          <w:rFonts w:ascii="Times New Roman" w:hAnsi="Times New Roman" w:cs="Times New Roman"/>
          <w:bCs/>
          <w:sz w:val="24"/>
          <w:szCs w:val="24"/>
          <w:lang w:val="en-GB"/>
        </w:rPr>
        <w:t xml:space="preserve"> obviously depends on the electrostatic cation/anion attraction, but this contribution is mainly in E</w:t>
      </w:r>
      <w:r w:rsidR="00F0356D" w:rsidRPr="00460059">
        <w:rPr>
          <w:rFonts w:ascii="Times New Roman" w:hAnsi="Times New Roman" w:cs="Times New Roman"/>
          <w:bCs/>
          <w:sz w:val="24"/>
          <w:szCs w:val="24"/>
          <w:vertAlign w:val="subscript"/>
          <w:lang w:val="en-GB"/>
        </w:rPr>
        <w:t>st</w:t>
      </w:r>
      <w:r w:rsidR="00F0356D" w:rsidRPr="00460059">
        <w:rPr>
          <w:rFonts w:ascii="Times New Roman" w:hAnsi="Times New Roman" w:cs="Times New Roman"/>
          <w:bCs/>
          <w:sz w:val="24"/>
          <w:szCs w:val="24"/>
          <w:lang w:val="en-GB"/>
        </w:rPr>
        <w:t xml:space="preserve"> and does not affect much </w:t>
      </w:r>
      <w:proofErr w:type="spellStart"/>
      <w:r w:rsidR="00F0356D" w:rsidRPr="00460059">
        <w:rPr>
          <w:rFonts w:ascii="Times New Roman" w:hAnsi="Times New Roman" w:cs="Times New Roman"/>
          <w:bCs/>
          <w:sz w:val="24"/>
          <w:szCs w:val="24"/>
          <w:lang w:val="en-GB"/>
        </w:rPr>
        <w:t>E</w:t>
      </w:r>
      <w:r w:rsidR="00F0356D" w:rsidRPr="00460059">
        <w:rPr>
          <w:rFonts w:ascii="Times New Roman" w:hAnsi="Times New Roman" w:cs="Times New Roman"/>
          <w:bCs/>
          <w:sz w:val="24"/>
          <w:szCs w:val="24"/>
          <w:vertAlign w:val="subscript"/>
          <w:lang w:val="en-GB"/>
        </w:rPr>
        <w:t>orb</w:t>
      </w:r>
      <w:proofErr w:type="spellEnd"/>
      <w:r w:rsidR="00F0356D" w:rsidRPr="00460059">
        <w:rPr>
          <w:rFonts w:ascii="Times New Roman" w:hAnsi="Times New Roman" w:cs="Times New Roman"/>
          <w:bCs/>
          <w:sz w:val="24"/>
          <w:szCs w:val="24"/>
          <w:lang w:val="en-GB"/>
        </w:rPr>
        <w:t>.</w:t>
      </w:r>
    </w:p>
    <w:p w14:paraId="07A49A98" w14:textId="60962ABE" w:rsidR="00B32A78" w:rsidRPr="00460059" w:rsidRDefault="00F0356D"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KUSMAM is interesting, too, because the adduct contains two different mercury atoms, one belonging to the anion and the second to the cation, and both of them are bound to chlorine ligands. The NOCV-CD analysis reveals not only that a chlorine on the anion establishes a </w:t>
      </w:r>
      <w:proofErr w:type="spellStart"/>
      <w:r w:rsidRPr="00460059">
        <w:rPr>
          <w:rFonts w:ascii="Times New Roman" w:hAnsi="Times New Roman" w:cs="Times New Roman"/>
          <w:bCs/>
          <w:sz w:val="24"/>
          <w:szCs w:val="24"/>
          <w:lang w:val="en-GB"/>
        </w:rPr>
        <w:t>SpB</w:t>
      </w:r>
      <w:proofErr w:type="spellEnd"/>
      <w:r w:rsidRPr="00460059">
        <w:rPr>
          <w:rFonts w:ascii="Times New Roman" w:hAnsi="Times New Roman" w:cs="Times New Roman"/>
          <w:bCs/>
          <w:sz w:val="24"/>
          <w:szCs w:val="24"/>
          <w:lang w:val="en-GB"/>
        </w:rPr>
        <w:t xml:space="preserve"> with the mercury on the cation (79 me, see </w:t>
      </w:r>
      <w:r w:rsidRPr="00460059">
        <w:rPr>
          <w:rFonts w:ascii="Times New Roman" w:hAnsi="Times New Roman" w:cs="Times New Roman"/>
          <w:bCs/>
          <w:sz w:val="24"/>
          <w:szCs w:val="24"/>
          <w:lang w:val="en-GB"/>
        </w:rPr>
        <w:fldChar w:fldCharType="begin"/>
      </w:r>
      <w:r w:rsidRPr="00460059">
        <w:rPr>
          <w:rFonts w:ascii="Times New Roman" w:hAnsi="Times New Roman" w:cs="Times New Roman"/>
          <w:bCs/>
          <w:sz w:val="24"/>
          <w:szCs w:val="24"/>
          <w:lang w:val="en-GB"/>
        </w:rPr>
        <w:instrText xml:space="preserve"> REF _Ref47705715 \h </w:instrText>
      </w:r>
      <w:r w:rsidR="00460059">
        <w:rPr>
          <w:rFonts w:ascii="Times New Roman" w:hAnsi="Times New Roman" w:cs="Times New Roman"/>
          <w:bCs/>
          <w:sz w:val="24"/>
          <w:szCs w:val="24"/>
          <w:lang w:val="en-GB"/>
        </w:rPr>
        <w:instrText xml:space="preserve"> \* MERGEFORMAT </w:instrText>
      </w:r>
      <w:r w:rsidRPr="00460059">
        <w:rPr>
          <w:rFonts w:ascii="Times New Roman" w:hAnsi="Times New Roman" w:cs="Times New Roman"/>
          <w:bCs/>
          <w:sz w:val="24"/>
          <w:szCs w:val="24"/>
          <w:lang w:val="en-GB"/>
        </w:rPr>
      </w:r>
      <w:r w:rsidRPr="00460059">
        <w:rPr>
          <w:rFonts w:ascii="Times New Roman" w:hAnsi="Times New Roman" w:cs="Times New Roman"/>
          <w:bCs/>
          <w:sz w:val="24"/>
          <w:szCs w:val="24"/>
          <w:lang w:val="en-GB"/>
        </w:rPr>
        <w:fldChar w:fldCharType="separate"/>
      </w:r>
      <w:r w:rsidRPr="00460059">
        <w:rPr>
          <w:rFonts w:ascii="Times New Roman" w:eastAsia="Calibri" w:hAnsi="Times New Roman" w:cs="Times New Roman"/>
          <w:w w:val="108"/>
          <w:sz w:val="24"/>
          <w:szCs w:val="24"/>
          <w:lang w:val="en-GB"/>
        </w:rPr>
        <w:t>Table 4</w:t>
      </w:r>
      <w:r w:rsidRPr="00460059">
        <w:rPr>
          <w:rFonts w:ascii="Times New Roman" w:hAnsi="Times New Roman" w:cs="Times New Roman"/>
          <w:bCs/>
          <w:sz w:val="24"/>
          <w:szCs w:val="24"/>
          <w:lang w:val="en-GB"/>
        </w:rPr>
        <w:fldChar w:fldCharType="end"/>
      </w:r>
      <w:r w:rsidRPr="00460059">
        <w:rPr>
          <w:rFonts w:ascii="Times New Roman" w:hAnsi="Times New Roman" w:cs="Times New Roman"/>
          <w:bCs/>
          <w:sz w:val="24"/>
          <w:szCs w:val="24"/>
          <w:lang w:val="en-GB"/>
        </w:rPr>
        <w:t>), but also</w:t>
      </w:r>
      <w:r w:rsidR="00B9173F" w:rsidRPr="00460059">
        <w:rPr>
          <w:rFonts w:ascii="Times New Roman" w:hAnsi="Times New Roman" w:cs="Times New Roman"/>
          <w:bCs/>
          <w:sz w:val="24"/>
          <w:szCs w:val="24"/>
          <w:lang w:val="en-GB"/>
        </w:rPr>
        <w:t xml:space="preserve">, less </w:t>
      </w:r>
      <w:r w:rsidR="00D17AFA" w:rsidRPr="00460059">
        <w:rPr>
          <w:rFonts w:ascii="Times New Roman" w:hAnsi="Times New Roman" w:cs="Times New Roman"/>
          <w:bCs/>
          <w:sz w:val="24"/>
          <w:szCs w:val="24"/>
          <w:lang w:val="en-GB"/>
        </w:rPr>
        <w:t>obvious,</w:t>
      </w:r>
      <w:r w:rsidRPr="00460059">
        <w:rPr>
          <w:rFonts w:ascii="Times New Roman" w:hAnsi="Times New Roman" w:cs="Times New Roman"/>
          <w:bCs/>
          <w:sz w:val="24"/>
          <w:szCs w:val="24"/>
          <w:lang w:val="en-GB"/>
        </w:rPr>
        <w:t xml:space="preserve"> </w:t>
      </w:r>
      <w:proofErr w:type="spellStart"/>
      <w:r w:rsidRPr="00460059">
        <w:rPr>
          <w:rFonts w:ascii="Times New Roman" w:hAnsi="Times New Roman" w:cs="Times New Roman"/>
          <w:bCs/>
          <w:i/>
          <w:sz w:val="24"/>
          <w:szCs w:val="24"/>
          <w:lang w:val="en-GB"/>
        </w:rPr>
        <w:t>viceversa</w:t>
      </w:r>
      <w:proofErr w:type="spellEnd"/>
      <w:r w:rsidRPr="00460059">
        <w:rPr>
          <w:rFonts w:ascii="Times New Roman" w:hAnsi="Times New Roman" w:cs="Times New Roman"/>
          <w:bCs/>
          <w:sz w:val="24"/>
          <w:szCs w:val="24"/>
          <w:lang w:val="en-GB"/>
        </w:rPr>
        <w:t>: the chlorine on the cation donates a very small amount of charge (5 me) to the mercury on the anion</w:t>
      </w:r>
      <w:r w:rsidR="00871D29" w:rsidRPr="00460059">
        <w:rPr>
          <w:rFonts w:ascii="Times New Roman" w:hAnsi="Times New Roman" w:cs="Times New Roman"/>
          <w:bCs/>
          <w:sz w:val="24"/>
          <w:szCs w:val="24"/>
          <w:lang w:val="en-GB"/>
        </w:rPr>
        <w:t xml:space="preserve"> (see Supporting Information)</w:t>
      </w:r>
      <w:r w:rsidRPr="00460059">
        <w:rPr>
          <w:rFonts w:ascii="Times New Roman" w:hAnsi="Times New Roman" w:cs="Times New Roman"/>
          <w:bCs/>
          <w:sz w:val="24"/>
          <w:szCs w:val="24"/>
          <w:lang w:val="en-GB"/>
        </w:rPr>
        <w:t>.</w:t>
      </w:r>
    </w:p>
    <w:p w14:paraId="1332FDDE" w14:textId="7526ADF6" w:rsidR="00F0356D" w:rsidRPr="00460059" w:rsidRDefault="00F0356D"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In BEJGOM the nitrate anion establishes either a </w:t>
      </w:r>
      <w:proofErr w:type="spellStart"/>
      <w:r w:rsidRPr="00460059">
        <w:rPr>
          <w:rFonts w:ascii="Times New Roman" w:hAnsi="Times New Roman" w:cs="Times New Roman"/>
          <w:bCs/>
          <w:sz w:val="24"/>
          <w:szCs w:val="24"/>
          <w:lang w:val="en-GB"/>
        </w:rPr>
        <w:t>SpB</w:t>
      </w:r>
      <w:proofErr w:type="spellEnd"/>
      <w:r w:rsidRPr="00460059">
        <w:rPr>
          <w:rFonts w:ascii="Times New Roman" w:hAnsi="Times New Roman" w:cs="Times New Roman"/>
          <w:bCs/>
          <w:sz w:val="24"/>
          <w:szCs w:val="24"/>
          <w:lang w:val="en-GB"/>
        </w:rPr>
        <w:t xml:space="preserve"> with the mercury (</w:t>
      </w:r>
      <w:r w:rsidR="00BD67C7" w:rsidRPr="00460059">
        <w:rPr>
          <w:rFonts w:ascii="Times New Roman" w:hAnsi="Times New Roman" w:cs="Times New Roman"/>
          <w:bCs/>
          <w:sz w:val="24"/>
          <w:szCs w:val="24"/>
          <w:lang w:val="en-GB"/>
        </w:rPr>
        <w:t>58 me), but also a HB with a hydrogen of the complex (-33 me), whereas in DEZGEV the nitrogen of the acetonitrile shows a N → Hg charge transfer of 33 me</w:t>
      </w:r>
      <w:r w:rsidR="00871D29" w:rsidRPr="00460059">
        <w:rPr>
          <w:rFonts w:ascii="Times New Roman" w:hAnsi="Times New Roman" w:cs="Times New Roman"/>
          <w:bCs/>
          <w:sz w:val="24"/>
          <w:szCs w:val="24"/>
          <w:lang w:val="en-GB"/>
        </w:rPr>
        <w:t xml:space="preserve"> (see Supporting Information)</w:t>
      </w:r>
      <w:r w:rsidR="00BD67C7" w:rsidRPr="00460059">
        <w:rPr>
          <w:rFonts w:ascii="Times New Roman" w:hAnsi="Times New Roman" w:cs="Times New Roman"/>
          <w:bCs/>
          <w:sz w:val="24"/>
          <w:szCs w:val="24"/>
          <w:lang w:val="en-GB"/>
        </w:rPr>
        <w:t>.</w:t>
      </w:r>
    </w:p>
    <w:p w14:paraId="7846A3B5" w14:textId="2AF7F709" w:rsidR="00871D29" w:rsidRPr="00460059" w:rsidRDefault="00BD67C7" w:rsidP="002B1EFD">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 xml:space="preserve">It is interesting to note that for each metal, both examples with and without an orbital </w:t>
      </w:r>
      <w:proofErr w:type="spellStart"/>
      <w:r w:rsidRPr="00460059">
        <w:rPr>
          <w:rFonts w:ascii="Times New Roman" w:hAnsi="Times New Roman" w:cs="Times New Roman"/>
          <w:bCs/>
          <w:sz w:val="24"/>
          <w:szCs w:val="24"/>
          <w:lang w:val="en-GB"/>
        </w:rPr>
        <w:t>SpB</w:t>
      </w:r>
      <w:proofErr w:type="spellEnd"/>
      <w:r w:rsidRPr="00460059">
        <w:rPr>
          <w:rFonts w:ascii="Times New Roman" w:hAnsi="Times New Roman" w:cs="Times New Roman"/>
          <w:bCs/>
          <w:sz w:val="24"/>
          <w:szCs w:val="24"/>
          <w:lang w:val="en-GB"/>
        </w:rPr>
        <w:t xml:space="preserve"> can be found and quantified, </w:t>
      </w:r>
      <w:r w:rsidR="00871D29" w:rsidRPr="00460059">
        <w:rPr>
          <w:rFonts w:ascii="Times New Roman" w:hAnsi="Times New Roman" w:cs="Times New Roman"/>
          <w:bCs/>
          <w:sz w:val="24"/>
          <w:szCs w:val="24"/>
          <w:lang w:val="en-GB"/>
        </w:rPr>
        <w:t xml:space="preserve">making difficult to give a general rule for the occurrence of </w:t>
      </w:r>
      <w:proofErr w:type="spellStart"/>
      <w:r w:rsidR="00871D29" w:rsidRPr="00460059">
        <w:rPr>
          <w:rFonts w:ascii="Times New Roman" w:hAnsi="Times New Roman" w:cs="Times New Roman"/>
          <w:bCs/>
          <w:sz w:val="24"/>
          <w:szCs w:val="24"/>
          <w:lang w:val="en-GB"/>
        </w:rPr>
        <w:t>SpB</w:t>
      </w:r>
      <w:proofErr w:type="spellEnd"/>
      <w:r w:rsidR="00871D29" w:rsidRPr="00460059">
        <w:rPr>
          <w:rFonts w:ascii="Times New Roman" w:hAnsi="Times New Roman" w:cs="Times New Roman"/>
          <w:bCs/>
          <w:sz w:val="24"/>
          <w:szCs w:val="24"/>
          <w:lang w:val="en-GB"/>
        </w:rPr>
        <w:t xml:space="preserve">. Of course, a polarized metal is needed, but this is not uncommon: in many cases the metal is bound to electronegative atoms and therefore a σ-hole </w:t>
      </w:r>
      <w:r w:rsidR="00002C7C" w:rsidRPr="00460059">
        <w:rPr>
          <w:rFonts w:ascii="Times New Roman" w:hAnsi="Times New Roman" w:cs="Times New Roman"/>
          <w:bCs/>
          <w:sz w:val="24"/>
          <w:szCs w:val="24"/>
          <w:lang w:val="en-GB"/>
        </w:rPr>
        <w:t>can likely be</w:t>
      </w:r>
      <w:r w:rsidR="00871D29" w:rsidRPr="00460059">
        <w:rPr>
          <w:rFonts w:ascii="Times New Roman" w:hAnsi="Times New Roman" w:cs="Times New Roman"/>
          <w:bCs/>
          <w:sz w:val="24"/>
          <w:szCs w:val="24"/>
          <w:lang w:val="en-GB"/>
        </w:rPr>
        <w:t xml:space="preserve"> present. For lighter and less polarizable metals, as zinc, the polarization, and hence </w:t>
      </w:r>
      <w:proofErr w:type="spellStart"/>
      <w:r w:rsidR="00871D29" w:rsidRPr="00460059">
        <w:rPr>
          <w:rFonts w:ascii="Times New Roman" w:hAnsi="Times New Roman" w:cs="Times New Roman"/>
          <w:bCs/>
          <w:sz w:val="24"/>
          <w:szCs w:val="24"/>
          <w:lang w:val="en-GB"/>
        </w:rPr>
        <w:t>SpB</w:t>
      </w:r>
      <w:proofErr w:type="spellEnd"/>
      <w:r w:rsidR="00871D29" w:rsidRPr="00460059">
        <w:rPr>
          <w:rFonts w:ascii="Times New Roman" w:hAnsi="Times New Roman" w:cs="Times New Roman"/>
          <w:bCs/>
          <w:sz w:val="24"/>
          <w:szCs w:val="24"/>
          <w:lang w:val="en-GB"/>
        </w:rPr>
        <w:t>, is more difficult to achieve</w:t>
      </w:r>
      <w:r w:rsidR="00002C7C" w:rsidRPr="00460059">
        <w:rPr>
          <w:rFonts w:ascii="Times New Roman" w:hAnsi="Times New Roman" w:cs="Times New Roman"/>
          <w:bCs/>
          <w:sz w:val="24"/>
          <w:szCs w:val="24"/>
          <w:lang w:val="en-GB"/>
        </w:rPr>
        <w:t>, but if electrostatics keep the LB in the right position, as in YAGGET</w:t>
      </w:r>
      <w:r w:rsidR="002B1EFD" w:rsidRPr="00460059">
        <w:rPr>
          <w:rFonts w:ascii="Times New Roman" w:hAnsi="Times New Roman" w:cs="Times New Roman"/>
          <w:bCs/>
          <w:sz w:val="24"/>
          <w:szCs w:val="24"/>
          <w:lang w:val="en-GB"/>
        </w:rPr>
        <w:t xml:space="preserve">, the </w:t>
      </w:r>
      <w:proofErr w:type="spellStart"/>
      <w:r w:rsidR="002B1EFD" w:rsidRPr="00460059">
        <w:rPr>
          <w:rFonts w:ascii="Times New Roman" w:hAnsi="Times New Roman" w:cs="Times New Roman"/>
          <w:bCs/>
          <w:sz w:val="24"/>
          <w:szCs w:val="24"/>
          <w:lang w:val="en-GB"/>
        </w:rPr>
        <w:t>SpB</w:t>
      </w:r>
      <w:proofErr w:type="spellEnd"/>
      <w:r w:rsidR="002B1EFD" w:rsidRPr="00460059">
        <w:rPr>
          <w:rFonts w:ascii="Times New Roman" w:hAnsi="Times New Roman" w:cs="Times New Roman"/>
          <w:bCs/>
          <w:sz w:val="24"/>
          <w:szCs w:val="24"/>
          <w:lang w:val="en-GB"/>
        </w:rPr>
        <w:t xml:space="preserve"> can be induced</w:t>
      </w:r>
      <w:r w:rsidR="00871D29" w:rsidRPr="00460059">
        <w:rPr>
          <w:rFonts w:ascii="Times New Roman" w:hAnsi="Times New Roman" w:cs="Times New Roman"/>
          <w:bCs/>
          <w:sz w:val="24"/>
          <w:szCs w:val="24"/>
          <w:lang w:val="en-GB"/>
        </w:rPr>
        <w:t xml:space="preserve">. Secondly, the LB should be not too strong to coordinate and not too weak to not interact. </w:t>
      </w:r>
      <w:r w:rsidR="002B1EFD" w:rsidRPr="00460059">
        <w:rPr>
          <w:rFonts w:ascii="Times New Roman" w:hAnsi="Times New Roman" w:cs="Times New Roman"/>
          <w:bCs/>
          <w:sz w:val="24"/>
          <w:szCs w:val="24"/>
          <w:lang w:val="en-GB"/>
        </w:rPr>
        <w:t xml:space="preserve">Anyway, a pure </w:t>
      </w:r>
      <w:proofErr w:type="spellStart"/>
      <w:r w:rsidR="002B1EFD" w:rsidRPr="00460059">
        <w:rPr>
          <w:rFonts w:ascii="Times New Roman" w:hAnsi="Times New Roman" w:cs="Times New Roman"/>
          <w:bCs/>
          <w:sz w:val="24"/>
          <w:szCs w:val="24"/>
          <w:lang w:val="en-GB"/>
        </w:rPr>
        <w:t>SpB</w:t>
      </w:r>
      <w:proofErr w:type="spellEnd"/>
      <w:r w:rsidR="002B1EFD" w:rsidRPr="00460059">
        <w:rPr>
          <w:rFonts w:ascii="Times New Roman" w:hAnsi="Times New Roman" w:cs="Times New Roman"/>
          <w:bCs/>
          <w:sz w:val="24"/>
          <w:szCs w:val="24"/>
          <w:lang w:val="en-GB"/>
        </w:rPr>
        <w:t xml:space="preserve"> is difficult to obtain, as the ancillary ligands around the metal very likely</w:t>
      </w:r>
      <w:r w:rsidR="00871D29" w:rsidRPr="00460059">
        <w:rPr>
          <w:rFonts w:ascii="Times New Roman" w:hAnsi="Times New Roman" w:cs="Times New Roman"/>
          <w:bCs/>
          <w:sz w:val="24"/>
          <w:szCs w:val="24"/>
          <w:lang w:val="en-GB"/>
        </w:rPr>
        <w:t xml:space="preserve"> establish other weak interactions with the LB, in some cases favouring the occurrence of </w:t>
      </w:r>
      <w:proofErr w:type="spellStart"/>
      <w:r w:rsidR="00871D29" w:rsidRPr="00460059">
        <w:rPr>
          <w:rFonts w:ascii="Times New Roman" w:hAnsi="Times New Roman" w:cs="Times New Roman"/>
          <w:bCs/>
          <w:sz w:val="24"/>
          <w:szCs w:val="24"/>
          <w:lang w:val="en-GB"/>
        </w:rPr>
        <w:t>SpB</w:t>
      </w:r>
      <w:proofErr w:type="spellEnd"/>
      <w:r w:rsidR="00871D29" w:rsidRPr="00460059">
        <w:rPr>
          <w:rFonts w:ascii="Times New Roman" w:hAnsi="Times New Roman" w:cs="Times New Roman"/>
          <w:bCs/>
          <w:sz w:val="24"/>
          <w:szCs w:val="24"/>
          <w:lang w:val="en-GB"/>
        </w:rPr>
        <w:t>, as the HB in the model systems</w:t>
      </w:r>
      <w:r w:rsidR="002B1EFD" w:rsidRPr="00460059">
        <w:rPr>
          <w:rFonts w:ascii="Times New Roman" w:hAnsi="Times New Roman" w:cs="Times New Roman"/>
          <w:bCs/>
          <w:sz w:val="24"/>
          <w:szCs w:val="24"/>
          <w:lang w:val="en-GB"/>
        </w:rPr>
        <w:t>.</w:t>
      </w:r>
    </w:p>
    <w:p w14:paraId="767B0876" w14:textId="4B9F14E6" w:rsidR="00BD67C7" w:rsidRPr="00460059" w:rsidRDefault="00871D29" w:rsidP="00096663">
      <w:pPr>
        <w:pStyle w:val="Corpotesto"/>
        <w:spacing w:after="0" w:line="360" w:lineRule="auto"/>
        <w:jc w:val="both"/>
        <w:rPr>
          <w:rFonts w:ascii="Times New Roman" w:hAnsi="Times New Roman" w:cs="Times New Roman"/>
          <w:bCs/>
          <w:sz w:val="24"/>
          <w:szCs w:val="24"/>
          <w:lang w:val="en-GB"/>
        </w:rPr>
      </w:pPr>
      <w:r w:rsidRPr="00460059">
        <w:rPr>
          <w:rFonts w:ascii="Times New Roman" w:hAnsi="Times New Roman" w:cs="Times New Roman"/>
          <w:bCs/>
          <w:sz w:val="24"/>
          <w:szCs w:val="24"/>
          <w:lang w:val="en-GB"/>
        </w:rPr>
        <w:t>F</w:t>
      </w:r>
      <w:r w:rsidR="00BD67C7" w:rsidRPr="00460059">
        <w:rPr>
          <w:rFonts w:ascii="Times New Roman" w:hAnsi="Times New Roman" w:cs="Times New Roman"/>
          <w:bCs/>
          <w:sz w:val="24"/>
          <w:szCs w:val="24"/>
          <w:lang w:val="en-GB"/>
        </w:rPr>
        <w:t xml:space="preserve">rom the methodological point of view, the separation of the contributions is </w:t>
      </w:r>
      <w:r w:rsidRPr="00460059">
        <w:rPr>
          <w:rFonts w:ascii="Times New Roman" w:hAnsi="Times New Roman" w:cs="Times New Roman"/>
          <w:bCs/>
          <w:sz w:val="24"/>
          <w:szCs w:val="24"/>
          <w:lang w:val="en-GB"/>
        </w:rPr>
        <w:t xml:space="preserve">often </w:t>
      </w:r>
      <w:r w:rsidR="00BD67C7" w:rsidRPr="00460059">
        <w:rPr>
          <w:rFonts w:ascii="Times New Roman" w:hAnsi="Times New Roman" w:cs="Times New Roman"/>
          <w:bCs/>
          <w:sz w:val="24"/>
          <w:szCs w:val="24"/>
          <w:lang w:val="en-GB"/>
        </w:rPr>
        <w:t>perfect</w:t>
      </w:r>
      <w:r w:rsidRPr="00460059">
        <w:rPr>
          <w:rFonts w:ascii="Times New Roman" w:hAnsi="Times New Roman" w:cs="Times New Roman"/>
          <w:bCs/>
          <w:sz w:val="24"/>
          <w:szCs w:val="24"/>
          <w:lang w:val="en-GB"/>
        </w:rPr>
        <w:t>, with some exceptions</w:t>
      </w:r>
      <w:r w:rsidR="00BD67C7" w:rsidRPr="00460059">
        <w:rPr>
          <w:rFonts w:ascii="Times New Roman" w:hAnsi="Times New Roman" w:cs="Times New Roman"/>
          <w:bCs/>
          <w:sz w:val="24"/>
          <w:szCs w:val="24"/>
          <w:lang w:val="en-GB"/>
        </w:rPr>
        <w:t>.</w:t>
      </w:r>
      <w:r w:rsidR="007D33EE" w:rsidRPr="00460059">
        <w:rPr>
          <w:rFonts w:ascii="Times New Roman" w:hAnsi="Times New Roman" w:cs="Times New Roman"/>
          <w:bCs/>
          <w:sz w:val="24"/>
          <w:szCs w:val="24"/>
          <w:lang w:val="en-GB"/>
        </w:rPr>
        <w:t xml:space="preserve"> In addition,</w:t>
      </w:r>
      <w:r w:rsidR="002B1EFD" w:rsidRPr="00460059">
        <w:rPr>
          <w:rFonts w:ascii="Times New Roman" w:hAnsi="Times New Roman" w:cs="Times New Roman"/>
          <w:bCs/>
          <w:sz w:val="24"/>
          <w:szCs w:val="24"/>
          <w:lang w:val="en-GB"/>
        </w:rPr>
        <w:t xml:space="preserve"> it should be highlighted that</w:t>
      </w:r>
      <w:r w:rsidR="007D33EE" w:rsidRPr="00460059">
        <w:rPr>
          <w:rFonts w:ascii="Times New Roman" w:hAnsi="Times New Roman" w:cs="Times New Roman"/>
          <w:bCs/>
          <w:sz w:val="24"/>
          <w:szCs w:val="24"/>
          <w:lang w:val="en-GB"/>
        </w:rPr>
        <w:t xml:space="preserve"> the NOCV-CD analysis is quite fast (three single </w:t>
      </w:r>
      <w:r w:rsidR="007D33EE" w:rsidRPr="00460059">
        <w:rPr>
          <w:rFonts w:ascii="Times New Roman" w:hAnsi="Times New Roman" w:cs="Times New Roman"/>
          <w:bCs/>
          <w:sz w:val="24"/>
          <w:szCs w:val="24"/>
          <w:lang w:val="en-GB"/>
        </w:rPr>
        <w:lastRenderedPageBreak/>
        <w:t>point calculations, generally taking from 0.5 to 10 h depending on the size of the system), robust with respect to the choice of the computational details and greatly informative.</w:t>
      </w:r>
    </w:p>
    <w:p w14:paraId="362B5EAC" w14:textId="77777777" w:rsidR="00F0356D" w:rsidRPr="00460059" w:rsidRDefault="00F0356D" w:rsidP="00096663">
      <w:pPr>
        <w:pStyle w:val="Corpotesto"/>
        <w:spacing w:after="0" w:line="360" w:lineRule="auto"/>
        <w:jc w:val="both"/>
        <w:rPr>
          <w:rFonts w:ascii="Times New Roman" w:hAnsi="Times New Roman" w:cs="Times New Roman"/>
          <w:bCs/>
          <w:sz w:val="24"/>
          <w:szCs w:val="24"/>
          <w:lang w:val="en-GB"/>
        </w:rPr>
      </w:pPr>
    </w:p>
    <w:p w14:paraId="07063B6F" w14:textId="5F9C491C" w:rsidR="00D577CB" w:rsidRPr="00460059" w:rsidRDefault="00D577CB" w:rsidP="00B46701">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sz w:val="24"/>
          <w:szCs w:val="24"/>
        </w:rPr>
        <w:t>Conclusions</w:t>
      </w:r>
    </w:p>
    <w:p w14:paraId="49A29EAE" w14:textId="4CEC64F7" w:rsidR="00BD67C7" w:rsidRPr="00460059" w:rsidRDefault="00AC593D" w:rsidP="007D33EE">
      <w:pPr>
        <w:pStyle w:val="Corpotesto"/>
        <w:spacing w:after="0" w:line="360" w:lineRule="auto"/>
        <w:jc w:val="both"/>
        <w:rPr>
          <w:rFonts w:ascii="Times New Roman" w:hAnsi="Times New Roman" w:cs="Times New Roman"/>
          <w:bCs/>
          <w:sz w:val="24"/>
          <w:szCs w:val="24"/>
        </w:rPr>
      </w:pPr>
      <w:r w:rsidRPr="00460059">
        <w:rPr>
          <w:rFonts w:ascii="Times New Roman" w:hAnsi="Times New Roman" w:cs="Times New Roman"/>
          <w:bCs/>
          <w:sz w:val="24"/>
          <w:szCs w:val="24"/>
        </w:rPr>
        <w:t>The application of</w:t>
      </w:r>
      <w:r w:rsidR="00BD67C7" w:rsidRPr="00460059">
        <w:rPr>
          <w:rFonts w:ascii="Times New Roman" w:hAnsi="Times New Roman" w:cs="Times New Roman"/>
          <w:bCs/>
          <w:sz w:val="24"/>
          <w:szCs w:val="24"/>
        </w:rPr>
        <w:t xml:space="preserve"> NOCV-CD analysis allows the disentanglement of the complex network of weak interactions that drives the non-coordinative attraction between group 12 complexes and Lewis bases.</w:t>
      </w:r>
    </w:p>
    <w:p w14:paraId="0EF957E5" w14:textId="30F18F2D" w:rsidR="00BD67C7" w:rsidRPr="00460059" w:rsidRDefault="00BD67C7" w:rsidP="007D33EE">
      <w:pPr>
        <w:pStyle w:val="Corpotesto"/>
        <w:spacing w:after="0" w:line="360" w:lineRule="auto"/>
        <w:jc w:val="both"/>
        <w:rPr>
          <w:rFonts w:ascii="Times New Roman" w:hAnsi="Times New Roman" w:cs="Times New Roman"/>
          <w:bCs/>
          <w:sz w:val="24"/>
          <w:szCs w:val="24"/>
        </w:rPr>
      </w:pPr>
      <w:r w:rsidRPr="00460059">
        <w:rPr>
          <w:rFonts w:ascii="Times New Roman" w:hAnsi="Times New Roman" w:cs="Times New Roman"/>
          <w:bCs/>
          <w:sz w:val="24"/>
          <w:szCs w:val="24"/>
        </w:rPr>
        <w:t xml:space="preserve">By assessing the orbital contribution to the interaction energy, we could </w:t>
      </w:r>
      <w:r w:rsidR="007D33EE" w:rsidRPr="00460059">
        <w:rPr>
          <w:rFonts w:ascii="Times New Roman" w:hAnsi="Times New Roman" w:cs="Times New Roman"/>
          <w:bCs/>
          <w:sz w:val="24"/>
          <w:szCs w:val="24"/>
        </w:rPr>
        <w:t>characterize</w:t>
      </w:r>
      <w:r w:rsidRPr="00460059">
        <w:rPr>
          <w:rFonts w:ascii="Times New Roman" w:hAnsi="Times New Roman" w:cs="Times New Roman"/>
          <w:bCs/>
          <w:sz w:val="24"/>
          <w:szCs w:val="24"/>
        </w:rPr>
        <w:t xml:space="preserve"> each component separately and observe that a net LB→M charge transfer, compatible with the establishment of the so-called Spodium Bond (</w:t>
      </w:r>
      <w:proofErr w:type="spellStart"/>
      <w:r w:rsidRPr="00460059">
        <w:rPr>
          <w:rFonts w:ascii="Times New Roman" w:hAnsi="Times New Roman" w:cs="Times New Roman"/>
          <w:bCs/>
          <w:sz w:val="24"/>
          <w:szCs w:val="24"/>
        </w:rPr>
        <w:t>SpB</w:t>
      </w:r>
      <w:proofErr w:type="spellEnd"/>
      <w:r w:rsidRPr="00460059">
        <w:rPr>
          <w:rFonts w:ascii="Times New Roman" w:hAnsi="Times New Roman" w:cs="Times New Roman"/>
          <w:bCs/>
          <w:sz w:val="24"/>
          <w:szCs w:val="24"/>
        </w:rPr>
        <w:t xml:space="preserve">), can occur. The extent of such contribution is strongly affected by the metal, ligands and bases involved and generally, when the same ligand set is investigated, it seems to be more important for Cd complexes than for Hg and Zn. </w:t>
      </w:r>
    </w:p>
    <w:p w14:paraId="09ADB20F" w14:textId="52EFBA4D" w:rsidR="00BD67C7" w:rsidRPr="00460059" w:rsidRDefault="00BD67C7" w:rsidP="007D33EE">
      <w:pPr>
        <w:pStyle w:val="Corpotesto"/>
        <w:spacing w:after="0" w:line="360" w:lineRule="auto"/>
        <w:jc w:val="both"/>
        <w:rPr>
          <w:rFonts w:ascii="Times New Roman" w:hAnsi="Times New Roman" w:cs="Times New Roman"/>
          <w:bCs/>
          <w:sz w:val="24"/>
          <w:szCs w:val="24"/>
        </w:rPr>
      </w:pPr>
      <w:r w:rsidRPr="00460059">
        <w:rPr>
          <w:rFonts w:ascii="Times New Roman" w:hAnsi="Times New Roman" w:cs="Times New Roman"/>
          <w:bCs/>
          <w:sz w:val="24"/>
          <w:szCs w:val="24"/>
        </w:rPr>
        <w:t>The application of this method to “real-life” structures revealed that there is no direct correlation between short M</w:t>
      </w:r>
      <w:r w:rsidRPr="00460059">
        <w:rPr>
          <w:rFonts w:ascii="Times New Roman" w:hAnsi="Times New Roman" w:cs="Times New Roman"/>
          <w:bCs/>
          <w:sz w:val="24"/>
          <w:szCs w:val="24"/>
          <w:vertAlign w:val="superscript"/>
        </w:rPr>
        <w:t>...</w:t>
      </w:r>
      <w:r w:rsidRPr="00460059">
        <w:rPr>
          <w:rFonts w:ascii="Times New Roman" w:hAnsi="Times New Roman" w:cs="Times New Roman"/>
          <w:bCs/>
          <w:sz w:val="24"/>
          <w:szCs w:val="24"/>
        </w:rPr>
        <w:t xml:space="preserve">LB distances and LB→M charge transfer, as other intermolecular forces such as hydrogen, chalcogen or halogen bond can intervene in determining the structural features of that particular molecular network. Therefore, while it can be used as a screening parameter while looking for potential </w:t>
      </w:r>
      <w:proofErr w:type="spellStart"/>
      <w:r w:rsidRPr="00460059">
        <w:rPr>
          <w:rFonts w:ascii="Times New Roman" w:hAnsi="Times New Roman" w:cs="Times New Roman"/>
          <w:bCs/>
          <w:sz w:val="24"/>
          <w:szCs w:val="24"/>
        </w:rPr>
        <w:t>SpB</w:t>
      </w:r>
      <w:proofErr w:type="spellEnd"/>
      <w:r w:rsidRPr="00460059">
        <w:rPr>
          <w:rFonts w:ascii="Times New Roman" w:hAnsi="Times New Roman" w:cs="Times New Roman"/>
          <w:bCs/>
          <w:sz w:val="24"/>
          <w:szCs w:val="24"/>
        </w:rPr>
        <w:t xml:space="preserve"> interactions, a M</w:t>
      </w:r>
      <w:r w:rsidRPr="00460059">
        <w:rPr>
          <w:rFonts w:ascii="Times New Roman" w:hAnsi="Times New Roman" w:cs="Times New Roman"/>
          <w:bCs/>
          <w:sz w:val="24"/>
          <w:szCs w:val="24"/>
          <w:vertAlign w:val="superscript"/>
        </w:rPr>
        <w:t>...</w:t>
      </w:r>
      <w:r w:rsidRPr="00460059">
        <w:rPr>
          <w:rFonts w:ascii="Times New Roman" w:hAnsi="Times New Roman" w:cs="Times New Roman"/>
          <w:bCs/>
          <w:sz w:val="24"/>
          <w:szCs w:val="24"/>
        </w:rPr>
        <w:t xml:space="preserve">LB distance shorter than the sum of the van der Waals radii does not guarantee that a net </w:t>
      </w:r>
      <w:proofErr w:type="spellStart"/>
      <w:r w:rsidRPr="00460059">
        <w:rPr>
          <w:rFonts w:ascii="Times New Roman" w:hAnsi="Times New Roman" w:cs="Times New Roman"/>
          <w:bCs/>
          <w:sz w:val="24"/>
          <w:szCs w:val="24"/>
        </w:rPr>
        <w:t>SpB</w:t>
      </w:r>
      <w:proofErr w:type="spellEnd"/>
      <w:r w:rsidRPr="00460059">
        <w:rPr>
          <w:rFonts w:ascii="Times New Roman" w:hAnsi="Times New Roman" w:cs="Times New Roman"/>
          <w:bCs/>
          <w:sz w:val="24"/>
          <w:szCs w:val="24"/>
        </w:rPr>
        <w:t xml:space="preserve"> will be present, so each structure needs to be evaluated individually. NOCV-CD, at this point, can be used to quickly </w:t>
      </w:r>
      <w:r w:rsidR="00CC6374" w:rsidRPr="00460059">
        <w:rPr>
          <w:rFonts w:ascii="Times New Roman" w:hAnsi="Times New Roman" w:cs="Times New Roman"/>
          <w:bCs/>
          <w:sz w:val="24"/>
          <w:szCs w:val="24"/>
        </w:rPr>
        <w:t>visualize</w:t>
      </w:r>
      <w:r w:rsidRPr="00460059">
        <w:rPr>
          <w:rFonts w:ascii="Times New Roman" w:hAnsi="Times New Roman" w:cs="Times New Roman"/>
          <w:bCs/>
          <w:sz w:val="24"/>
          <w:szCs w:val="24"/>
        </w:rPr>
        <w:t xml:space="preserve"> whether the bond has an orbital contribution or not. </w:t>
      </w:r>
    </w:p>
    <w:p w14:paraId="6467DDA2" w14:textId="77777777" w:rsidR="00BD67C7" w:rsidRPr="00460059" w:rsidRDefault="00BD67C7" w:rsidP="00BD67C7">
      <w:pPr>
        <w:pStyle w:val="Corpotesto"/>
        <w:spacing w:after="0" w:line="360" w:lineRule="auto"/>
        <w:rPr>
          <w:rFonts w:ascii="Times New Roman" w:hAnsi="Times New Roman" w:cs="Times New Roman"/>
          <w:bCs/>
          <w:sz w:val="24"/>
          <w:szCs w:val="24"/>
        </w:rPr>
      </w:pPr>
    </w:p>
    <w:p w14:paraId="7ED82C2B" w14:textId="2F610EFC" w:rsidR="00DA551C" w:rsidRPr="00460059" w:rsidRDefault="00DA551C" w:rsidP="00B46701">
      <w:pPr>
        <w:pStyle w:val="Corpotesto"/>
        <w:spacing w:after="0" w:line="360" w:lineRule="auto"/>
        <w:rPr>
          <w:rFonts w:ascii="Times New Roman" w:hAnsi="Times New Roman" w:cs="Times New Roman"/>
          <w:sz w:val="24"/>
          <w:szCs w:val="24"/>
        </w:rPr>
      </w:pPr>
      <w:r w:rsidRPr="00460059">
        <w:rPr>
          <w:rFonts w:ascii="Times New Roman" w:hAnsi="Times New Roman" w:cs="Times New Roman"/>
          <w:b/>
          <w:bCs/>
          <w:sz w:val="24"/>
          <w:szCs w:val="24"/>
        </w:rPr>
        <w:t>Computational Details</w:t>
      </w:r>
    </w:p>
    <w:p w14:paraId="4897F5BE" w14:textId="3F2532EF" w:rsidR="00C23327" w:rsidRPr="00460059" w:rsidRDefault="0016476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A</w:t>
      </w:r>
      <w:r w:rsidR="00DA551C" w:rsidRPr="00460059">
        <w:rPr>
          <w:rFonts w:ascii="Times New Roman" w:hAnsi="Times New Roman" w:cs="Times New Roman"/>
          <w:sz w:val="24"/>
          <w:szCs w:val="24"/>
        </w:rPr>
        <w:t>ll the geometries were optimized with ORCA 4.1.0,</w:t>
      </w:r>
      <w:r w:rsidR="00C23327" w:rsidRPr="00460059">
        <w:rPr>
          <w:rFonts w:ascii="Times New Roman" w:hAnsi="Times New Roman" w:cs="Times New Roman"/>
          <w:sz w:val="24"/>
          <w:szCs w:val="24"/>
        </w:rPr>
        <w:fldChar w:fldCharType="begin" w:fldLock="1"/>
      </w:r>
      <w:r w:rsidR="00A32FE9">
        <w:rPr>
          <w:rFonts w:ascii="Times New Roman" w:hAnsi="Times New Roman" w:cs="Times New Roman"/>
          <w:sz w:val="24"/>
          <w:szCs w:val="24"/>
        </w:rPr>
        <w:instrText>ADDIN CSL_CITATION {"citationItems":[{"id":"ITEM-1","itemData":{"DOI":"10.1002/wcms.81","ISBN":"1759-0884","ISSN":"17590876","PMID":"298355300004","abstract":"ORCA is a general-purpose quantum chemistry program package that features virtually all modern electronic structure methods (density functional theory, many-body perturbation and coupled cluster theories, and multireference and semiempirical methods). It is designed with the aim of generality, extendibility, efficiency, and user friendliness. Its main field of application is larger molecules, transition metal complexes, and their spectroscopic properties. ORCA uses standard Gaussian basis functions and is fully parallelized. The article provides an overview of its current possibilities and documents its efficiency.","author":[{"dropping-particle":"","family":"Neese","given":"Frank","non-dropping-particle":"","parse-names":false,"suffix":""}],"container-title":"Wiley Interdisciplinary Reviews: Computational Molecular Science","id":"ITEM-1","issue":"1","issued":{"date-parts":[["2012","1","1"]]},"page":"73-78","publisher":"John Wiley &amp; Sons, Inc.","title":"The ORCA program system","type":"article-journal","volume":"2"},"uris":["http://www.mendeley.com/documents/?uuid=7624ea26-dda5-310b-9c6e-bd162359ff82"]},{"id":"ITEM-2","itemData":{"DOI":"10.1002/wcms.1327","ISSN":"17590884","abstract":"This short update provides an overview of the capabilities that have been added to the ORCA electronic structure package (version 4.0) since publication of the first article in 2012.","author":[{"dropping-particle":"","family":"Neese","given":"Frank","non-dropping-particle":"","parse-names":false,"suffix":""}],"container-title":"Wiley Interdisciplinary Reviews: Computational Molecular Science","id":"ITEM-2","issue":"1","issued":{"date-parts":[["2017","7","17"]]},"page":"e1327","publisher":"Wiley Periodicals, Inc.","title":"Software update: The ORCA program system, version 4.0","type":"article-journal","volume":"8"},"uris":["http://www.mendeley.com/documents/?uuid=44ef760d-4b45-306e-bd86-cbc97fa3aa05"]}],"mendeley":{"formattedCitation":"&lt;sup&gt;50,51&lt;/sup&gt;","plainTextFormattedCitation":"50,51","previouslyFormattedCitation":"&lt;sup&gt;50,51&lt;/sup&gt;"},"properties":{"noteIndex":0},"schema":"https://github.com/citation-style-language/schema/raw/master/csl-citation.json"}</w:instrText>
      </w:r>
      <w:r w:rsidR="00C23327" w:rsidRPr="00460059">
        <w:rPr>
          <w:rFonts w:ascii="Times New Roman" w:hAnsi="Times New Roman" w:cs="Times New Roman"/>
          <w:sz w:val="24"/>
          <w:szCs w:val="24"/>
        </w:rPr>
        <w:fldChar w:fldCharType="separate"/>
      </w:r>
      <w:r w:rsidR="00D15D67" w:rsidRPr="00D15D67">
        <w:rPr>
          <w:rFonts w:ascii="Times New Roman" w:hAnsi="Times New Roman" w:cs="Times New Roman"/>
          <w:noProof/>
          <w:sz w:val="24"/>
          <w:szCs w:val="24"/>
          <w:vertAlign w:val="superscript"/>
        </w:rPr>
        <w:t>50,51</w:t>
      </w:r>
      <w:r w:rsidR="00C23327" w:rsidRPr="00460059">
        <w:rPr>
          <w:rFonts w:ascii="Times New Roman" w:hAnsi="Times New Roman" w:cs="Times New Roman"/>
          <w:sz w:val="24"/>
          <w:szCs w:val="24"/>
        </w:rPr>
        <w:fldChar w:fldCharType="end"/>
      </w:r>
      <w:r w:rsidR="00C23327" w:rsidRPr="00460059">
        <w:rPr>
          <w:rFonts w:ascii="Times New Roman" w:hAnsi="Times New Roman" w:cs="Times New Roman"/>
          <w:sz w:val="24"/>
          <w:szCs w:val="24"/>
        </w:rPr>
        <w:t xml:space="preserve"> </w:t>
      </w:r>
      <w:r w:rsidR="00DA551C" w:rsidRPr="00460059">
        <w:rPr>
          <w:rFonts w:ascii="Times New Roman" w:hAnsi="Times New Roman" w:cs="Times New Roman"/>
          <w:sz w:val="24"/>
          <w:szCs w:val="24"/>
        </w:rPr>
        <w:t xml:space="preserve">using the </w:t>
      </w:r>
      <w:r w:rsidR="00C23327" w:rsidRPr="00460059">
        <w:rPr>
          <w:rFonts w:ascii="Times New Roman" w:hAnsi="Times New Roman" w:cs="Times New Roman"/>
          <w:sz w:val="24"/>
          <w:szCs w:val="24"/>
        </w:rPr>
        <w:t>M06</w:t>
      </w:r>
      <w:r w:rsidR="00DA551C" w:rsidRPr="00460059">
        <w:rPr>
          <w:rFonts w:ascii="Times New Roman" w:hAnsi="Times New Roman" w:cs="Times New Roman"/>
          <w:sz w:val="24"/>
          <w:szCs w:val="24"/>
        </w:rPr>
        <w:t xml:space="preserve"> functional</w:t>
      </w:r>
      <w:r w:rsidR="00C23327" w:rsidRPr="00460059">
        <w:rPr>
          <w:rFonts w:ascii="Times New Roman" w:hAnsi="Times New Roman" w:cs="Times New Roman"/>
          <w:sz w:val="24"/>
          <w:szCs w:val="24"/>
        </w:rPr>
        <w:t>. Dispersion forces were taken into account by using the D3 correction with zero damping (</w:t>
      </w:r>
      <w:proofErr w:type="spellStart"/>
      <w:r w:rsidR="00C23327" w:rsidRPr="00460059">
        <w:rPr>
          <w:rFonts w:ascii="Times New Roman" w:hAnsi="Times New Roman" w:cs="Times New Roman"/>
          <w:sz w:val="24"/>
          <w:szCs w:val="24"/>
        </w:rPr>
        <w:t>Becke</w:t>
      </w:r>
      <w:proofErr w:type="spellEnd"/>
      <w:r w:rsidR="00C23327" w:rsidRPr="00460059">
        <w:rPr>
          <w:rFonts w:ascii="Times New Roman" w:hAnsi="Times New Roman" w:cs="Times New Roman"/>
          <w:sz w:val="24"/>
          <w:szCs w:val="24"/>
        </w:rPr>
        <w:t>-Johnson damping is not available for M06).</w:t>
      </w:r>
      <w:r w:rsidR="00810DD1" w:rsidRPr="00460059">
        <w:rPr>
          <w:rFonts w:ascii="Times New Roman" w:hAnsi="Times New Roman" w:cs="Times New Roman"/>
          <w:sz w:val="24"/>
          <w:szCs w:val="24"/>
        </w:rPr>
        <w:fldChar w:fldCharType="begin" w:fldLock="1"/>
      </w:r>
      <w:r w:rsidR="00A32FE9">
        <w:rPr>
          <w:rFonts w:ascii="Times New Roman" w:hAnsi="Times New Roman" w:cs="Times New Roman"/>
          <w:sz w:val="24"/>
          <w:szCs w:val="24"/>
        </w:rPr>
        <w:instrText>ADDIN CSL_CITATION {"citationItems":[{"id":"ITEM-1","itemData":{"DOI":"10.1063/1.3382344","ISBN":"0021-9606","ISSN":"00219606","PMID":"20423165","abstract":"The method of dispersion correction as an add-on to standard Kohn-Sham density functional theory (DFT-D) has been refined regarding higher accuracy, broader range of applicability, and less empiricism. The main new ingredients are atom-pairwise specific dispersion coefficients and cutoff radii that are both computed from first principles. The coefficients for new eighth-order dispersion terms are computed using established recursion relations. System (geometry) dependent information is used for the first time in a DFT-D type approach by employing the new concept of fractional coordination numbers (CN). They are used to interpolate between dispersion coefficients of atoms in different chemical environments. The method only requires adjustment of two global parameters for each density functional, is asymptotically exact for a gas of weakly interacting neutral atoms, and easily allows the computation of atomic forces. Three-body nonadditivity terms are considered. The method has been assessed on standard benchmark sets for inter- and intramolecular noncovalent interactions with a particular emphasis on a consistent description of light and heavy element systems. The mean absolute deviations for the S22 benchmark set of noncovalent interactions for 11 standard density functionals decrease by 15%-40% compared to the previous (already accurate) DFT-D version. Spectacular improvements are found for a tripeptide-folding model and all tested metallic systems. The rectification of the long-range behavior and the use of more accurate C(6) coefficients also lead to a much better description of large (infinite) systems as shown for graphene sheets and the adsorption of benzene on an Ag(111) surface. For graphene it is found that the inclusion of three-body terms substantially (by about 10%) weakens the interlayer binding. We propose the revised DFT-D method as a general tool for the computation of the dispersion energy in molecules and solids of any kind with DFT and related (low-cost) electronic structure methods for large systems.","author":[{"dropping-particle":"","family":"Grimme","given":"Stefan","non-dropping-particle":"","parse-names":false,"suffix":""},{"dropping-particle":"","family":"Antony","given":"Jens","non-dropping-particle":"","parse-names":false,"suffix":""},{"dropping-particle":"","family":"Ehrlich","given":"Stephan","non-dropping-particle":"","parse-names":false,"suffix":""},{"dropping-particle":"","family":"Krieg","given":"Helge","non-dropping-particle":"","parse-names":false,"suffix":""}],"container-title":"Journal of Chemical Physics","id":"ITEM-1","issue":"15","issued":{"date-parts":[["2010","4","21"]]},"page":"154104","publisher":"American Institute of Physics","title":"A consistent and accurate ab initio parametrization of density functional dispersion correction (DFT-D) for the 94 elements H-Pu","type":"article-journal","volume":"132"},"uris":["http://www.mendeley.com/documents/?uuid=3c5abc5c-9107-3d23-8303-234c41f47333"]}],"mendeley":{"formattedCitation":"&lt;sup&gt;52&lt;/sup&gt;","plainTextFormattedCitation":"52","previouslyFormattedCitation":"&lt;sup&gt;52&lt;/sup&gt;"},"properties":{"noteIndex":0},"schema":"https://github.com/citation-style-language/schema/raw/master/csl-citation.json"}</w:instrText>
      </w:r>
      <w:r w:rsidR="00810DD1" w:rsidRPr="00460059">
        <w:rPr>
          <w:rFonts w:ascii="Times New Roman" w:hAnsi="Times New Roman" w:cs="Times New Roman"/>
          <w:sz w:val="24"/>
          <w:szCs w:val="24"/>
        </w:rPr>
        <w:fldChar w:fldCharType="separate"/>
      </w:r>
      <w:r w:rsidR="00D15D67" w:rsidRPr="00D15D67">
        <w:rPr>
          <w:rFonts w:ascii="Times New Roman" w:hAnsi="Times New Roman" w:cs="Times New Roman"/>
          <w:noProof/>
          <w:sz w:val="24"/>
          <w:szCs w:val="24"/>
          <w:vertAlign w:val="superscript"/>
        </w:rPr>
        <w:t>52</w:t>
      </w:r>
      <w:r w:rsidR="00810DD1" w:rsidRPr="00460059">
        <w:rPr>
          <w:rFonts w:ascii="Times New Roman" w:hAnsi="Times New Roman" w:cs="Times New Roman"/>
          <w:sz w:val="24"/>
          <w:szCs w:val="24"/>
        </w:rPr>
        <w:fldChar w:fldCharType="end"/>
      </w:r>
      <w:r w:rsidR="00C23327" w:rsidRPr="00460059">
        <w:rPr>
          <w:rFonts w:ascii="Times New Roman" w:hAnsi="Times New Roman" w:cs="Times New Roman"/>
          <w:sz w:val="24"/>
          <w:szCs w:val="24"/>
        </w:rPr>
        <w:t xml:space="preserve"> Relativistic effects were treated with the scalar zeroth-order regular approximation (ZORA).</w:t>
      </w:r>
      <w:r w:rsidR="00A32FE9">
        <w:rPr>
          <w:rFonts w:ascii="Times New Roman" w:hAnsi="Times New Roman" w:cs="Times New Roman"/>
          <w:sz w:val="24"/>
          <w:szCs w:val="24"/>
        </w:rPr>
        <w:fldChar w:fldCharType="begin" w:fldLock="1"/>
      </w:r>
      <w:r w:rsidR="00726CAE">
        <w:rPr>
          <w:rFonts w:ascii="Times New Roman" w:hAnsi="Times New Roman" w:cs="Times New Roman"/>
          <w:sz w:val="24"/>
          <w:szCs w:val="24"/>
        </w:rPr>
        <w:instrText>ADDIN CSL_CITATION {"citationItems":[{"id":"ITEM-1","itemData":{"DOI":"10.1063/1.466059","ISBN":"0020-7608","ISSN":"0021-9606","abstract":"In this paper, potential‐dependent transformations are used to transform the four‐component Dirac Hamiltonian to effective two‐component regular Hamiltonians. To zeroth order, the expansions give second order differential equations (just like the Schrödinger equation), which already contain the most important relativistic effects, including spin–orbit coupling. One of the zero order Hamiltonians is identical to the one obtained earlier by Chang, Pelissier, and Durand [Phys. Scr. 34, 394 (1986)]. Self‐consistent all‐electron and frozen‐core calculations are performed as well as first order perturbation calculations for the case of the uranium atom using these Hamiltonians. They give very accurate results, especially for the one‐electron energies and densities of the valence orbitals.","author":[{"dropping-particle":"","family":"Lenthe","given":"E.","non-dropping-particle":"van","parse-names":false,"suffix":""},{"dropping-particle":"","family":"Baerends","given":"E. J.","non-dropping-particle":"","parse-names":false,"suffix":""},{"dropping-particle":"","family":"Snijders","given":"J. G.","non-dropping-particle":"","parse-names":false,"suffix":""}],"container-title":"The Journal of Chemical Physics","id":"ITEM-1","issue":"6","issued":{"date-parts":[["1993","9","15"]]},"page":"4597-4610","publisher":"American Institute of Physics","title":"Relativistic regular two component Hamiltonians","type":"article-journal","volume":"99"},"uris":["http://www.mendeley.com/documents/?uuid=98e65219-e66c-3c51-a540-677b67282da8"]},{"id":"ITEM-2","itemData":{"DOI":"10.1063/1.478813","ISBN":"00219606","ISSN":"00219606","PMID":"80073200011","abstract":"Analytical expressions are derived for the evaluation of energy gradients in the zeroth order regular approximation (ZORA) to the Dirac equation. The electrostatic shift approximation is used to avoid gauge dependence problems. Comparison is made to the quasirelativistic Pauli method, the limitations of which are highlighted. The structures and first metal-carbonyl bond dissociation energies for the transition metal complexes W(CO) 6 , Os(CO) 5 , and Pt(CO) 4 are calculated, and basis set effects are investigated.","author":[{"dropping-particle":"","family":"Lenthe","given":"Erik","non-dropping-particle":"Van","parse-names":false,"suffix":""}],"container-title":"Journal of Chemical Physics","id":"ITEM-2","issue":"18","issued":{"date-parts":[["1999","4","29"]]},"page":"8943-8953","publisher":"American Institute of Physics","title":"Geometry optimizations in the zero order regular approximation for relativistic effects","type":"article-journal","volume":"110"},"uris":["http://www.mendeley.com/documents/?uuid=3502f817-57aa-383f-9bac-6c6d980372a6"]}],"mendeley":{"formattedCitation":"&lt;sup&gt;53,54&lt;/sup&gt;","plainTextFormattedCitation":"53,54","previouslyFormattedCitation":"&lt;sup&gt;53,54&lt;/sup&gt;"},"properties":{"noteIndex":0},"schema":"https://github.com/citation-style-language/schema/raw/master/csl-citation.json"}</w:instrText>
      </w:r>
      <w:r w:rsidR="00A32FE9">
        <w:rPr>
          <w:rFonts w:ascii="Times New Roman" w:hAnsi="Times New Roman" w:cs="Times New Roman"/>
          <w:sz w:val="24"/>
          <w:szCs w:val="24"/>
        </w:rPr>
        <w:fldChar w:fldCharType="separate"/>
      </w:r>
      <w:r w:rsidR="00A32FE9" w:rsidRPr="00A32FE9">
        <w:rPr>
          <w:rFonts w:ascii="Times New Roman" w:hAnsi="Times New Roman" w:cs="Times New Roman"/>
          <w:noProof/>
          <w:sz w:val="24"/>
          <w:szCs w:val="24"/>
          <w:vertAlign w:val="superscript"/>
        </w:rPr>
        <w:t>53,54</w:t>
      </w:r>
      <w:r w:rsidR="00A32FE9">
        <w:rPr>
          <w:rFonts w:ascii="Times New Roman" w:hAnsi="Times New Roman" w:cs="Times New Roman"/>
          <w:sz w:val="24"/>
          <w:szCs w:val="24"/>
        </w:rPr>
        <w:fldChar w:fldCharType="end"/>
      </w:r>
      <w:r w:rsidR="00C23327" w:rsidRPr="00460059">
        <w:rPr>
          <w:rFonts w:ascii="Times New Roman" w:hAnsi="Times New Roman" w:cs="Times New Roman"/>
          <w:sz w:val="24"/>
          <w:szCs w:val="24"/>
        </w:rPr>
        <w:t xml:space="preserve"> The basis set was ZORA-TZVP for all the atoms except for iodine, cadmium and tellurium, for which OLD-ZORA-TZVP was used, and mercury, for which SARC-ZORA-TZVP was used.</w:t>
      </w:r>
      <w:r w:rsidR="00726CAE">
        <w:rPr>
          <w:rFonts w:ascii="Times New Roman" w:hAnsi="Times New Roman" w:cs="Times New Roman"/>
          <w:sz w:val="24"/>
          <w:szCs w:val="24"/>
        </w:rPr>
        <w:t xml:space="preserve"> </w:t>
      </w:r>
      <w:r w:rsidR="00C23327" w:rsidRPr="00460059">
        <w:rPr>
          <w:rFonts w:ascii="Times New Roman" w:hAnsi="Times New Roman" w:cs="Times New Roman"/>
          <w:sz w:val="24"/>
          <w:szCs w:val="24"/>
        </w:rPr>
        <w:t>Coulomb-ﬁtting auxiliary basis sets SARC/J have been used.</w:t>
      </w:r>
      <w:r w:rsidR="00A23C6D">
        <w:rPr>
          <w:rFonts w:ascii="Times New Roman" w:hAnsi="Times New Roman" w:cs="Times New Roman"/>
          <w:sz w:val="24"/>
          <w:szCs w:val="24"/>
        </w:rPr>
        <w:fldChar w:fldCharType="begin" w:fldLock="1"/>
      </w:r>
      <w:r w:rsidR="00A23C6D">
        <w:rPr>
          <w:rFonts w:ascii="Times New Roman" w:hAnsi="Times New Roman" w:cs="Times New Roman"/>
          <w:sz w:val="24"/>
          <w:szCs w:val="24"/>
        </w:rPr>
        <w:instrText>ADDIN CSL_CITATION {"citationItems":[{"id":"ITEM-1","itemData":{"DOI":"10.1039/b515623h","ISSN":"14639076","abstract":"A series of auxiliary basis sets to fit Coulomb potentials for the elements H to Rn (except lanthanides) is presented. For each element only one auxiliary basis set is needed to approximate Coulomb energies in conjunction with orbital basis sets of split valence, triple zeta valence and quadruple zeta valence quality with errors of typically below ca. 0.15 kJ mol-1 per atom; this was demonstrated in conjunction with the recently developed orbital basis sets of types def2-SV(P), def2-TZVP and def2-QZVPP for a large set of small molecules representing (nearly) each element in all of its common oxidation states. These auxiliary bases are slightly more than three times larger than orbital bases of split valence quality. Compared to non-approximated treatments, computation times for the Coulomb part are reduced by a factor of ca. 8 for def2-SV(P) orbital bases, ca. 25 for def2-TZVP and ca. 100 for def2-QZVPP orbital bases. © the Owner Societies 2006.","author":[{"dropping-particle":"","family":"Weigend","given":"Florian","non-dropping-particle":"","parse-names":false,"suffix":""}],"container-title":"Physical Chemistry Chemical Physics","id":"ITEM-1","issue":"9","issued":{"date-parts":[["2006"]]},"page":"1057-1065","title":"Accurate Coulomb-fitting basis sets for H to Rn","type":"article-journal","volume":"8"},"uris":["http://www.mendeley.com/documents/?uuid=3b45ee5a-42b1-3867-a514-0fe7fb8a282d"]}],"mendeley":{"formattedCitation":"&lt;sup&gt;55&lt;/sup&gt;","plainTextFormattedCitation":"55"},"properties":{"noteIndex":0},"schema":"https://github.com/citation-style-language/schema/raw/master/csl-citation.json"}</w:instrText>
      </w:r>
      <w:r w:rsidR="00A23C6D">
        <w:rPr>
          <w:rFonts w:ascii="Times New Roman" w:hAnsi="Times New Roman" w:cs="Times New Roman"/>
          <w:sz w:val="24"/>
          <w:szCs w:val="24"/>
        </w:rPr>
        <w:fldChar w:fldCharType="separate"/>
      </w:r>
      <w:r w:rsidR="00A23C6D" w:rsidRPr="00726CAE">
        <w:rPr>
          <w:rFonts w:ascii="Times New Roman" w:hAnsi="Times New Roman" w:cs="Times New Roman"/>
          <w:noProof/>
          <w:sz w:val="24"/>
          <w:szCs w:val="24"/>
          <w:vertAlign w:val="superscript"/>
        </w:rPr>
        <w:t>55</w:t>
      </w:r>
      <w:r w:rsidR="00A23C6D">
        <w:rPr>
          <w:rFonts w:ascii="Times New Roman" w:hAnsi="Times New Roman" w:cs="Times New Roman"/>
          <w:sz w:val="24"/>
          <w:szCs w:val="24"/>
        </w:rPr>
        <w:fldChar w:fldCharType="end"/>
      </w:r>
      <w:r w:rsidR="001F3BEC" w:rsidRPr="00460059">
        <w:rPr>
          <w:rFonts w:ascii="Times New Roman" w:hAnsi="Times New Roman" w:cs="Times New Roman"/>
          <w:sz w:val="24"/>
          <w:szCs w:val="24"/>
        </w:rPr>
        <w:t xml:space="preserve"> The grid was set to 5, the </w:t>
      </w:r>
      <w:r w:rsidR="00C00E71">
        <w:rPr>
          <w:rFonts w:ascii="Times New Roman" w:hAnsi="Times New Roman" w:cs="Times New Roman"/>
          <w:sz w:val="24"/>
          <w:szCs w:val="24"/>
        </w:rPr>
        <w:t xml:space="preserve">SCF </w:t>
      </w:r>
      <w:r w:rsidR="001F3BEC" w:rsidRPr="00460059">
        <w:rPr>
          <w:rFonts w:ascii="Times New Roman" w:hAnsi="Times New Roman" w:cs="Times New Roman"/>
          <w:sz w:val="24"/>
          <w:szCs w:val="24"/>
        </w:rPr>
        <w:t>requirements were set to “very tight” and the number of radial points was set to 6.</w:t>
      </w:r>
      <w:r w:rsidR="006A1905" w:rsidRPr="00460059">
        <w:rPr>
          <w:rFonts w:ascii="Times New Roman" w:hAnsi="Times New Roman" w:cs="Times New Roman"/>
          <w:sz w:val="24"/>
          <w:szCs w:val="24"/>
        </w:rPr>
        <w:t xml:space="preserve"> No negative frequencies were found.</w:t>
      </w:r>
    </w:p>
    <w:p w14:paraId="2C812F47" w14:textId="33AC73BD" w:rsidR="00911D53" w:rsidRPr="00460059" w:rsidRDefault="006A1905"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G</w:t>
      </w:r>
      <w:r w:rsidR="001F3BEC" w:rsidRPr="00460059">
        <w:rPr>
          <w:rFonts w:ascii="Times New Roman" w:hAnsi="Times New Roman" w:cs="Times New Roman"/>
          <w:sz w:val="24"/>
          <w:szCs w:val="24"/>
        </w:rPr>
        <w:t>eometries taken f</w:t>
      </w:r>
      <w:r w:rsidR="00BE0AF6">
        <w:rPr>
          <w:rFonts w:ascii="Times New Roman" w:hAnsi="Times New Roman" w:cs="Times New Roman"/>
          <w:sz w:val="24"/>
          <w:szCs w:val="24"/>
        </w:rPr>
        <w:t>r</w:t>
      </w:r>
      <w:r w:rsidR="001F3BEC" w:rsidRPr="00460059">
        <w:rPr>
          <w:rFonts w:ascii="Times New Roman" w:hAnsi="Times New Roman" w:cs="Times New Roman"/>
          <w:sz w:val="24"/>
          <w:szCs w:val="24"/>
        </w:rPr>
        <w:t xml:space="preserve">om literature (ref. </w:t>
      </w:r>
      <w:r w:rsidR="001F3BEC" w:rsidRPr="001465C5">
        <w:rPr>
          <w:rFonts w:ascii="Times New Roman" w:hAnsi="Times New Roman" w:cs="Times New Roman"/>
          <w:sz w:val="24"/>
          <w:szCs w:val="24"/>
        </w:rPr>
        <w:fldChar w:fldCharType="begin" w:fldLock="1"/>
      </w:r>
      <w:r w:rsidR="00D15D67" w:rsidRPr="001465C5">
        <w:rPr>
          <w:rFonts w:ascii="Times New Roman" w:hAnsi="Times New Roman" w:cs="Times New Roman"/>
          <w:sz w:val="24"/>
          <w:szCs w:val="24"/>
        </w:rPr>
        <w:instrText>ADDIN CSL_CITATION {"citationItems":[{"id":"ITEM-1","itemData":{"DOI":"10.1002/anie.202007814","ISSN":"1433-7851","abstract":"The term Spodium (Sp) bond is proposed to refer to a net attractive interaction between any element of group 12 and electron rich atoms (Lewis bases or anions). We argue how these noncovalent interactions are markedly different from coordination bonds (antibonding Sp–Ligand orbital involved). We provide evidence of the existence of this interaction by calculations at the RI‐MP2/aug‐cc‐pVTZ level of theory, atoms‐in‐molecules and natural bond orbital analyses and by examining solid state structures in the Cambridge Structure Database.","author":[{"dropping-particle":"","family":"Bauzá","given":"Antonio","non-dropping-particle":"","parse-names":false,"suffix":""},{"dropping-particle":"","family":"Alkorta","given":"Ibon","non-dropping-particle":"","parse-names":false,"suffix":""},{"dropping-particle":"","family":"Elguero","given":"José","non-dropping-particle":"","parse-names":false,"suffix":""},{"dropping-particle":"","family":"Mooibroek","given":"Tiddo J.","non-dropping-particle":"","parse-names":false,"suffix":""},{"dropping-particle":"","family":"Frontera","given":"Antonio","non-dropping-particle":"","parse-names":false,"suffix":""}],"container-title":"Angewandte Chemie International Edition","id":"ITEM-1","issued":{"date-parts":[["2020","6","15"]]},"page":"anie.202007814","publisher":"John Wiley &amp; Sons, Ltd","title":"Spodium bonds: noncovalent interactions involving group 12 of elements","type":"article-journal"},"uris":["http://www.mendeley.com/documents/?uuid=c4ba9c17-1826-35bc-ad78-161161235102"]}],"mendeley":{"formattedCitation":"&lt;sup&gt;20&lt;/sup&gt;","plainTextFormattedCitation":"20","previouslyFormattedCitation":"&lt;sup&gt;20&lt;/sup&gt;"},"properties":{"noteIndex":0},"schema":"https://github.com/citation-style-language/schema/raw/master/csl-citation.json"}</w:instrText>
      </w:r>
      <w:r w:rsidR="001F3BEC" w:rsidRPr="001465C5">
        <w:rPr>
          <w:rFonts w:ascii="Times New Roman" w:hAnsi="Times New Roman" w:cs="Times New Roman"/>
          <w:sz w:val="24"/>
          <w:szCs w:val="24"/>
        </w:rPr>
        <w:fldChar w:fldCharType="separate"/>
      </w:r>
      <w:r w:rsidR="00F97619" w:rsidRPr="001465C5">
        <w:rPr>
          <w:rFonts w:ascii="Times New Roman" w:hAnsi="Times New Roman" w:cs="Times New Roman"/>
          <w:noProof/>
          <w:sz w:val="24"/>
          <w:szCs w:val="24"/>
        </w:rPr>
        <w:t>20</w:t>
      </w:r>
      <w:r w:rsidR="001F3BEC" w:rsidRPr="001465C5">
        <w:rPr>
          <w:rFonts w:ascii="Times New Roman" w:hAnsi="Times New Roman" w:cs="Times New Roman"/>
          <w:sz w:val="24"/>
          <w:szCs w:val="24"/>
        </w:rPr>
        <w:fldChar w:fldCharType="end"/>
      </w:r>
      <w:r w:rsidR="001F3BEC" w:rsidRPr="00460059">
        <w:rPr>
          <w:rFonts w:ascii="Times New Roman" w:hAnsi="Times New Roman" w:cs="Times New Roman"/>
          <w:sz w:val="24"/>
          <w:szCs w:val="24"/>
        </w:rPr>
        <w:t xml:space="preserve"> and C</w:t>
      </w:r>
      <w:r w:rsidR="00BE0AF6">
        <w:rPr>
          <w:rFonts w:ascii="Times New Roman" w:hAnsi="Times New Roman" w:cs="Times New Roman"/>
          <w:sz w:val="24"/>
          <w:szCs w:val="24"/>
        </w:rPr>
        <w:t>S</w:t>
      </w:r>
      <w:r w:rsidR="001F3BEC" w:rsidRPr="00460059">
        <w:rPr>
          <w:rFonts w:ascii="Times New Roman" w:hAnsi="Times New Roman" w:cs="Times New Roman"/>
          <w:sz w:val="24"/>
          <w:szCs w:val="24"/>
        </w:rPr>
        <w:t>D) have not been re-optimized.</w:t>
      </w:r>
    </w:p>
    <w:p w14:paraId="510ECC04" w14:textId="77777777" w:rsidR="00911D53" w:rsidRPr="00460059" w:rsidRDefault="00911D53" w:rsidP="00B46701">
      <w:pPr>
        <w:pStyle w:val="Corpotesto"/>
        <w:spacing w:after="0" w:line="360" w:lineRule="auto"/>
        <w:jc w:val="both"/>
        <w:rPr>
          <w:rFonts w:ascii="Times New Roman" w:hAnsi="Times New Roman" w:cs="Times New Roman"/>
          <w:sz w:val="24"/>
          <w:szCs w:val="24"/>
        </w:rPr>
      </w:pPr>
    </w:p>
    <w:p w14:paraId="4DFAF576" w14:textId="2AA9943E" w:rsidR="001F3BEC" w:rsidRPr="00460059" w:rsidRDefault="001F3BE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b/>
          <w:bCs/>
          <w:sz w:val="24"/>
          <w:szCs w:val="24"/>
        </w:rPr>
        <w:t>Energy decomposition analysis</w:t>
      </w:r>
      <w:r w:rsidR="004751D7" w:rsidRPr="00460059">
        <w:rPr>
          <w:rFonts w:ascii="Times New Roman" w:hAnsi="Times New Roman" w:cs="Times New Roman"/>
          <w:b/>
          <w:bCs/>
          <w:sz w:val="24"/>
          <w:szCs w:val="24"/>
        </w:rPr>
        <w:t xml:space="preserve"> (EDA)</w:t>
      </w:r>
      <w:r w:rsidRPr="00460059">
        <w:rPr>
          <w:rFonts w:ascii="Times New Roman" w:hAnsi="Times New Roman" w:cs="Times New Roman"/>
          <w:b/>
          <w:bCs/>
          <w:sz w:val="24"/>
          <w:szCs w:val="24"/>
        </w:rPr>
        <w:t>.</w:t>
      </w:r>
      <w:r w:rsidRPr="00460059">
        <w:rPr>
          <w:rFonts w:ascii="Times New Roman" w:hAnsi="Times New Roman" w:cs="Times New Roman"/>
          <w:b/>
          <w:bCs/>
          <w:sz w:val="24"/>
          <w:szCs w:val="24"/>
        </w:rPr>
        <w:fldChar w:fldCharType="begin" w:fldLock="1"/>
      </w:r>
      <w:r w:rsidR="00D15D67">
        <w:rPr>
          <w:rFonts w:ascii="Times New Roman" w:hAnsi="Times New Roman" w:cs="Times New Roman"/>
          <w:b/>
          <w:bCs/>
          <w:sz w:val="24"/>
          <w:szCs w:val="24"/>
        </w:rPr>
        <w:instrText>ADDIN CSL_CITATION {"citationItems":[{"id":"ITEM-1","itemData":{"DOI":"10.1002/wcms.71","ISBN":"1759-0876","ISSN":"17590876","abstract":"The energy decomposition analysis (EDA) is a powerful method for a quantitative interpretation of chemical bonds in terms of three major expressions. The instantaneous interaction energy ΔEint between two fragments A and B in a molecule A–B is partitioned in three terms, namely, (1) the quasiclassical electrostatic interaction ΔEelstat between the fragments, (2) the repulsive exchange (Pauli) interaction ΔEPauli between electrons of the two fragments having the same spin, and (3) the orbital (covalent) interaction ΔEorb, which comes from the orbital relaxation and the orbital mixing between the fragments. The latter term can be decomposed into contributions of orbitals with different symmetry, which makes it possible to distinguish between σ, π, and δ bonding. After a short introduction into the theoretical background of the EDA, we present illustrative examples of main group and transition metal chemistry. The results show that the EDA terms can be interpreted in a chemically meaningful way, thus providing a bridge between quantum chemical calculations and heuristic bonding models of traditional chemistry. © 2011 John Wiley &amp; Sons, Ltd.","author":[{"dropping-particle":"von","family":"Hopffgarten","given":"Moritz","non-dropping-particle":"","parse-names":false,"suffix":""},{"dropping-particle":"","family":"Frenking","given":"Gernot","non-dropping-particle":"","parse-names":false,"suffix":""}],"container-title":"Wiley Interdisciplinary Reviews: Computational Molecular Science","id":"ITEM-1","issue":"1","issued":{"date-parts":[["2012","1"]]},"page":"43-62","title":"Energy decomposition analysis","type":"article-journal","volume":"2"},"uris":["http://www.mendeley.com/documents/?uuid=bb2ed22c-30df-4b6e-a4f5-41438bfff9e6"]}],"mendeley":{"formattedCitation":"&lt;sup&gt;21&lt;/sup&gt;","plainTextFormattedCitation":"21","previouslyFormattedCitation":"&lt;sup&gt;21&lt;/sup&gt;"},"properties":{"noteIndex":0},"schema":"https://github.com/citation-style-language/schema/raw/master/csl-citation.json"}</w:instrText>
      </w:r>
      <w:r w:rsidRPr="00460059">
        <w:rPr>
          <w:rFonts w:ascii="Times New Roman" w:hAnsi="Times New Roman" w:cs="Times New Roman"/>
          <w:b/>
          <w:bCs/>
          <w:sz w:val="24"/>
          <w:szCs w:val="24"/>
        </w:rPr>
        <w:fldChar w:fldCharType="separate"/>
      </w:r>
      <w:r w:rsidR="00F97619" w:rsidRPr="00F97619">
        <w:rPr>
          <w:rFonts w:ascii="Times New Roman" w:hAnsi="Times New Roman" w:cs="Times New Roman"/>
          <w:bCs/>
          <w:noProof/>
          <w:sz w:val="24"/>
          <w:szCs w:val="24"/>
          <w:vertAlign w:val="superscript"/>
        </w:rPr>
        <w:t>21</w:t>
      </w:r>
      <w:r w:rsidRPr="00460059">
        <w:rPr>
          <w:rFonts w:ascii="Times New Roman" w:hAnsi="Times New Roman" w:cs="Times New Roman"/>
          <w:b/>
          <w:bCs/>
          <w:sz w:val="24"/>
          <w:szCs w:val="24"/>
        </w:rPr>
        <w:fldChar w:fldCharType="end"/>
      </w:r>
    </w:p>
    <w:p w14:paraId="473FF9FE" w14:textId="0D475545" w:rsidR="001F3BEC" w:rsidRPr="00460059" w:rsidRDefault="00B97E9F" w:rsidP="009E0BE2">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lastRenderedPageBreak/>
        <w:t>The EDA has been performed with a large variety of functional/basis sets combinations</w:t>
      </w:r>
      <w:r w:rsidR="001D6446" w:rsidRPr="00460059">
        <w:rPr>
          <w:rFonts w:ascii="Times New Roman" w:hAnsi="Times New Roman" w:cs="Times New Roman"/>
          <w:sz w:val="24"/>
          <w:szCs w:val="24"/>
        </w:rPr>
        <w:t>, either using ORCA</w:t>
      </w:r>
      <w:r w:rsidR="00BE0AF6">
        <w:rPr>
          <w:rFonts w:ascii="Times New Roman" w:hAnsi="Times New Roman" w:cs="Times New Roman"/>
          <w:sz w:val="24"/>
          <w:szCs w:val="24"/>
        </w:rPr>
        <w:t xml:space="preserve"> 4.1.0</w:t>
      </w:r>
      <w:r w:rsidR="001D6446" w:rsidRPr="00460059">
        <w:rPr>
          <w:rFonts w:ascii="Times New Roman" w:hAnsi="Times New Roman" w:cs="Times New Roman"/>
          <w:sz w:val="24"/>
          <w:szCs w:val="24"/>
        </w:rPr>
        <w:t xml:space="preserve"> or ADF (development version</w:t>
      </w:r>
      <w:r w:rsidR="009E0BE2" w:rsidRPr="00460059">
        <w:rPr>
          <w:rFonts w:ascii="Times New Roman" w:hAnsi="Times New Roman" w:cs="Times New Roman"/>
          <w:sz w:val="24"/>
          <w:szCs w:val="24"/>
        </w:rPr>
        <w:t xml:space="preserve"> r47686)</w:t>
      </w:r>
      <w:r w:rsidR="001F3BEC" w:rsidRPr="00460059">
        <w:rPr>
          <w:rFonts w:ascii="Times New Roman" w:hAnsi="Times New Roman" w:cs="Times New Roman"/>
          <w:sz w:val="24"/>
          <w:szCs w:val="24"/>
        </w:rPr>
        <w:t>.</w:t>
      </w:r>
      <w:r w:rsidR="00BE0AF6">
        <w:rPr>
          <w:rFonts w:ascii="Times New Roman" w:hAnsi="Times New Roman" w:cs="Times New Roman"/>
          <w:sz w:val="24"/>
          <w:szCs w:val="24"/>
        </w:rPr>
        <w:fldChar w:fldCharType="begin" w:fldLock="1"/>
      </w:r>
      <w:r w:rsidR="00726CAE">
        <w:rPr>
          <w:rFonts w:ascii="Times New Roman" w:hAnsi="Times New Roman" w:cs="Times New Roman"/>
          <w:sz w:val="24"/>
          <w:szCs w:val="24"/>
        </w:rPr>
        <w:instrText>ADDIN CSL_CITATION {"citationItems":[{"id":"ITEM-1","itemData":{"DOI":"10.1002/jcc.1056","ISSN":"01928651","abstract":"We present the theoretical and technical foundations of the Amsterdam Density Functional (ADF) program with a survey of the characteristics of the code (numerical integration, density fitting for the Coulomb potential, and STO basis functions). Recent developments enhance the efficiency of ADF (e.g., parallelization, near order-N scaling, QM/MM) and its functionality (e.g., NMR chemical shifts, COSMO solvent effects, ZORA relativistic method, excitation energies, frequency-dependent (hyper)polarizabilities, atomic VDD charges). In the Applications section we discuss the physical model of the electronic structure and the chemical bond, i.e., the Kohn-Sham molecular orbital (MO) theory, and illustrate the power of the Kohn-Sham MO model in conjunction with the ADF-typical fragment approach to quantitatively understand and predict chemical phenomena. We review the \"Activation-strain TS interaction\" (ATS) model of chemical reactivity as a conceptual framework for understanding how activation barriers of various types of (competing) reaction mechanisms arise and how they may be controlled, for example, in organic chemistry or homogeneous catalysis. Finally, we include a brief discussion of exemplary applications in the field of biochemistry (structure and bonding of DNA) and of time-dependent density functional theory (TDDFT) to indicate how this development further reinforces the ADF tools for the analysis of chemical phenomena.","author":[{"dropping-particle":"","family":"Velde","given":"G.","non-dropping-particle":"te","parse-names":false,"suffix":""},{"dropping-particle":"","family":"Bickelhaupt","given":"F. M.","non-dropping-particle":"","parse-names":false,"suffix":""},{"dropping-particle":"","family":"Baerends","given":"E. J.","non-dropping-particle":"","parse-names":false,"suffix":""},{"dropping-particle":"","family":"Fonseca Guerra","given":"C.","non-dropping-particle":"","parse-names":false,"suffix":""},{"dropping-particle":"","family":"Gisbergen","given":"S. J.A.","non-dropping-particle":"van","parse-names":false,"suffix":""},{"dropping-particle":"","family":"Snijders","given":"J. G.","non-dropping-particle":"","parse-names":false,"suffix":""},{"dropping-particle":"","family":"Ziegler","given":"T.","non-dropping-particle":"","parse-names":false,"suffix":""}],"container-title":"Journal of Computational Chemistry","id":"ITEM-1","issue":"9","issued":{"date-parts":[["2001","7","15"]]},"page":"931-967","title":"Chemistry with ADF","type":"article-journal","volume":"22"},"uris":["http://www.mendeley.com/documents/?uuid=bf8a5956-578b-3878-813a-91812110506f"]}],"mendeley":{"formattedCitation":"&lt;sup&gt;56&lt;/sup&gt;","plainTextFormattedCitation":"56","previouslyFormattedCitation":"&lt;sup&gt;55&lt;/sup&gt;"},"properties":{"noteIndex":0},"schema":"https://github.com/citation-style-language/schema/raw/master/csl-citation.json"}</w:instrText>
      </w:r>
      <w:r w:rsidR="00BE0AF6">
        <w:rPr>
          <w:rFonts w:ascii="Times New Roman" w:hAnsi="Times New Roman" w:cs="Times New Roman"/>
          <w:sz w:val="24"/>
          <w:szCs w:val="24"/>
        </w:rPr>
        <w:fldChar w:fldCharType="separate"/>
      </w:r>
      <w:r w:rsidR="00726CAE" w:rsidRPr="00726CAE">
        <w:rPr>
          <w:rFonts w:ascii="Times New Roman" w:hAnsi="Times New Roman" w:cs="Times New Roman"/>
          <w:noProof/>
          <w:sz w:val="24"/>
          <w:szCs w:val="24"/>
          <w:vertAlign w:val="superscript"/>
        </w:rPr>
        <w:t>56</w:t>
      </w:r>
      <w:r w:rsidR="00BE0AF6">
        <w:rPr>
          <w:rFonts w:ascii="Times New Roman" w:hAnsi="Times New Roman" w:cs="Times New Roman"/>
          <w:sz w:val="24"/>
          <w:szCs w:val="24"/>
        </w:rPr>
        <w:fldChar w:fldCharType="end"/>
      </w:r>
      <w:r w:rsidR="001F3BEC" w:rsidRPr="00460059">
        <w:rPr>
          <w:rFonts w:ascii="Times New Roman" w:hAnsi="Times New Roman" w:cs="Times New Roman"/>
          <w:sz w:val="24"/>
          <w:szCs w:val="24"/>
        </w:rPr>
        <w:t xml:space="preserve"> The EDA allows the decomposition of the bond energy into physically meaningful contributions. The interaction energy (</w:t>
      </w:r>
      <w:proofErr w:type="spellStart"/>
      <w:r w:rsidR="001F3BEC" w:rsidRPr="00460059">
        <w:rPr>
          <w:rFonts w:ascii="Times New Roman" w:hAnsi="Times New Roman" w:cs="Times New Roman"/>
          <w:sz w:val="24"/>
          <w:szCs w:val="24"/>
        </w:rPr>
        <w:t>E</w:t>
      </w:r>
      <w:r w:rsidR="001F3BEC" w:rsidRPr="00460059">
        <w:rPr>
          <w:rFonts w:ascii="Times New Roman" w:hAnsi="Times New Roman" w:cs="Times New Roman"/>
          <w:sz w:val="24"/>
          <w:szCs w:val="24"/>
          <w:vertAlign w:val="subscript"/>
        </w:rPr>
        <w:t>int</w:t>
      </w:r>
      <w:proofErr w:type="spellEnd"/>
      <w:r w:rsidR="001F3BEC" w:rsidRPr="00460059">
        <w:rPr>
          <w:rFonts w:ascii="Times New Roman" w:hAnsi="Times New Roman" w:cs="Times New Roman"/>
          <w:sz w:val="24"/>
          <w:szCs w:val="24"/>
        </w:rPr>
        <w:t xml:space="preserve">) is the difference of energy between the adduct and the unrelaxed fragments. It can be divided into contributions associated with the orbital, steric and dispersion interactions, as shown in </w:t>
      </w:r>
      <w:proofErr w:type="spellStart"/>
      <w:r w:rsidR="001F3BEC" w:rsidRPr="00460059">
        <w:rPr>
          <w:rFonts w:ascii="Times New Roman" w:hAnsi="Times New Roman" w:cs="Times New Roman"/>
          <w:sz w:val="24"/>
          <w:szCs w:val="24"/>
        </w:rPr>
        <w:t>eqn</w:t>
      </w:r>
      <w:proofErr w:type="spellEnd"/>
      <w:r w:rsidR="001F3BEC" w:rsidRPr="00460059">
        <w:rPr>
          <w:rFonts w:ascii="Times New Roman" w:hAnsi="Times New Roman" w:cs="Times New Roman"/>
          <w:sz w:val="24"/>
          <w:szCs w:val="24"/>
        </w:rPr>
        <w:t xml:space="preserve"> (1)</w:t>
      </w:r>
    </w:p>
    <w:p w14:paraId="01020EB1" w14:textId="56D21BF0" w:rsidR="001F3BEC" w:rsidRPr="00460059" w:rsidRDefault="001F3BEC" w:rsidP="00B46701">
      <w:pPr>
        <w:pStyle w:val="Corpotesto"/>
        <w:spacing w:after="0" w:line="360" w:lineRule="auto"/>
        <w:jc w:val="right"/>
        <w:rPr>
          <w:rFonts w:ascii="Times New Roman" w:hAnsi="Times New Roman" w:cs="Times New Roman"/>
          <w:sz w:val="24"/>
          <w:szCs w:val="24"/>
        </w:rPr>
      </w:pP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int</w:t>
      </w:r>
      <w:proofErr w:type="spellEnd"/>
      <w:r w:rsidRPr="00460059">
        <w:rPr>
          <w:rFonts w:ascii="Times New Roman" w:hAnsi="Times New Roman" w:cs="Times New Roman"/>
          <w:sz w:val="24"/>
          <w:szCs w:val="24"/>
        </w:rPr>
        <w:t xml:space="preserve"> = E</w:t>
      </w:r>
      <w:r w:rsidRPr="00460059">
        <w:rPr>
          <w:rFonts w:ascii="Times New Roman" w:hAnsi="Times New Roman" w:cs="Times New Roman"/>
          <w:sz w:val="24"/>
          <w:szCs w:val="24"/>
          <w:vertAlign w:val="subscript"/>
        </w:rPr>
        <w:t>st</w:t>
      </w:r>
      <w:r w:rsidRPr="00460059">
        <w:rPr>
          <w:rFonts w:ascii="Times New Roman" w:hAnsi="Times New Roman" w:cs="Times New Roman"/>
          <w:sz w:val="24"/>
          <w:szCs w:val="24"/>
        </w:rPr>
        <w:t xml:space="preserve"> +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o</w:t>
      </w:r>
      <w:r w:rsidR="002E4A25" w:rsidRPr="00460059">
        <w:rPr>
          <w:rFonts w:ascii="Times New Roman" w:hAnsi="Times New Roman" w:cs="Times New Roman"/>
          <w:sz w:val="24"/>
          <w:szCs w:val="24"/>
          <w:vertAlign w:val="subscript"/>
        </w:rPr>
        <w:t>rb</w:t>
      </w:r>
      <w:proofErr w:type="spellEnd"/>
      <w:r w:rsidRPr="00460059">
        <w:rPr>
          <w:rFonts w:ascii="Times New Roman" w:hAnsi="Times New Roman" w:cs="Times New Roman"/>
          <w:sz w:val="24"/>
          <w:szCs w:val="24"/>
        </w:rPr>
        <w:t xml:space="preserve"> +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disp</w:t>
      </w:r>
      <w:proofErr w:type="spellEnd"/>
      <w:r w:rsidRPr="00460059">
        <w:rPr>
          <w:rFonts w:ascii="Times New Roman" w:hAnsi="Times New Roman" w:cs="Times New Roman"/>
          <w:sz w:val="24"/>
          <w:szCs w:val="24"/>
        </w:rPr>
        <w:t xml:space="preserve">                                                                         (1)</w:t>
      </w:r>
    </w:p>
    <w:p w14:paraId="41E1E5EA" w14:textId="7061B884" w:rsidR="00911D53" w:rsidRPr="00460059" w:rsidRDefault="001F3BE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st</w:t>
      </w:r>
      <w:r w:rsidRPr="00460059">
        <w:rPr>
          <w:rFonts w:ascii="Times New Roman" w:hAnsi="Times New Roman" w:cs="Times New Roman"/>
          <w:sz w:val="24"/>
          <w:szCs w:val="24"/>
        </w:rPr>
        <w:t xml:space="preserve"> is usually called the steric interaction energy and it is the sum of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elst</w:t>
      </w:r>
      <w:proofErr w:type="spellEnd"/>
      <w:r w:rsidRPr="00460059">
        <w:rPr>
          <w:rFonts w:ascii="Times New Roman" w:hAnsi="Times New Roman" w:cs="Times New Roman"/>
          <w:sz w:val="24"/>
          <w:szCs w:val="24"/>
        </w:rPr>
        <w:t>, the classical electrostatic interaction between the unperturbed charge distributions of the fragments (</w:t>
      </w:r>
      <w:proofErr w:type="spellStart"/>
      <w:r w:rsidRPr="00460059">
        <w:rPr>
          <w:rFonts w:ascii="Times New Roman" w:hAnsi="Times New Roman" w:cs="Times New Roman"/>
          <w:sz w:val="24"/>
          <w:szCs w:val="24"/>
        </w:rPr>
        <w:t>ρ</w:t>
      </w:r>
      <w:r w:rsidRPr="00460059">
        <w:rPr>
          <w:rFonts w:ascii="Times New Roman" w:hAnsi="Times New Roman" w:cs="Times New Roman"/>
          <w:sz w:val="24"/>
          <w:szCs w:val="24"/>
          <w:vertAlign w:val="subscript"/>
        </w:rPr>
        <w:t>A</w:t>
      </w:r>
      <w:proofErr w:type="spellEnd"/>
      <w:r w:rsidRPr="00460059">
        <w:rPr>
          <w:rFonts w:ascii="Times New Roman" w:hAnsi="Times New Roman" w:cs="Times New Roman"/>
          <w:sz w:val="24"/>
          <w:szCs w:val="24"/>
        </w:rPr>
        <w:t xml:space="preserve"> and </w:t>
      </w:r>
      <w:proofErr w:type="spellStart"/>
      <w:r w:rsidRPr="00460059">
        <w:rPr>
          <w:rFonts w:ascii="Times New Roman" w:hAnsi="Times New Roman" w:cs="Times New Roman"/>
          <w:sz w:val="24"/>
          <w:szCs w:val="24"/>
        </w:rPr>
        <w:t>ρ</w:t>
      </w:r>
      <w:r w:rsidRPr="00460059">
        <w:rPr>
          <w:rFonts w:ascii="Times New Roman" w:hAnsi="Times New Roman" w:cs="Times New Roman"/>
          <w:sz w:val="24"/>
          <w:szCs w:val="24"/>
          <w:vertAlign w:val="subscript"/>
        </w:rPr>
        <w:t>B</w:t>
      </w:r>
      <w:proofErr w:type="spellEnd"/>
      <w:r w:rsidRPr="00460059">
        <w:rPr>
          <w:rFonts w:ascii="Times New Roman" w:hAnsi="Times New Roman" w:cs="Times New Roman"/>
          <w:sz w:val="24"/>
          <w:szCs w:val="24"/>
        </w:rPr>
        <w:t>) at their final positions in the adduct, and the Pauli repulsion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Pauli</w:t>
      </w:r>
      <w:proofErr w:type="spellEnd"/>
      <w:r w:rsidRPr="00460059">
        <w:rPr>
          <w:rFonts w:ascii="Times New Roman" w:hAnsi="Times New Roman" w:cs="Times New Roman"/>
          <w:sz w:val="24"/>
          <w:szCs w:val="24"/>
        </w:rPr>
        <w:t xml:space="preserve">) that is the energy change associated with going from </w:t>
      </w:r>
      <w:proofErr w:type="spellStart"/>
      <w:r w:rsidRPr="00460059">
        <w:rPr>
          <w:rFonts w:ascii="Times New Roman" w:hAnsi="Times New Roman" w:cs="Times New Roman"/>
          <w:sz w:val="24"/>
          <w:szCs w:val="24"/>
        </w:rPr>
        <w:t>ρ</w:t>
      </w:r>
      <w:r w:rsidRPr="00460059">
        <w:rPr>
          <w:rFonts w:ascii="Times New Roman" w:hAnsi="Times New Roman" w:cs="Times New Roman"/>
          <w:sz w:val="24"/>
          <w:szCs w:val="24"/>
          <w:vertAlign w:val="subscript"/>
        </w:rPr>
        <w:t>A</w:t>
      </w:r>
      <w:proofErr w:type="spellEnd"/>
      <w:r w:rsidRPr="00460059">
        <w:rPr>
          <w:rFonts w:ascii="Times New Roman" w:hAnsi="Times New Roman" w:cs="Times New Roman"/>
          <w:sz w:val="24"/>
          <w:szCs w:val="24"/>
        </w:rPr>
        <w:t xml:space="preserve"> + </w:t>
      </w:r>
      <w:proofErr w:type="spellStart"/>
      <w:r w:rsidRPr="00460059">
        <w:rPr>
          <w:rFonts w:ascii="Times New Roman" w:hAnsi="Times New Roman" w:cs="Times New Roman"/>
          <w:sz w:val="24"/>
          <w:szCs w:val="24"/>
        </w:rPr>
        <w:t>ρ</w:t>
      </w:r>
      <w:r w:rsidRPr="00460059">
        <w:rPr>
          <w:rFonts w:ascii="Times New Roman" w:hAnsi="Times New Roman" w:cs="Times New Roman"/>
          <w:sz w:val="24"/>
          <w:szCs w:val="24"/>
          <w:vertAlign w:val="subscript"/>
        </w:rPr>
        <w:t>B</w:t>
      </w:r>
      <w:proofErr w:type="spellEnd"/>
      <w:r w:rsidRPr="00460059">
        <w:rPr>
          <w:rFonts w:ascii="Times New Roman" w:hAnsi="Times New Roman" w:cs="Times New Roman"/>
          <w:sz w:val="24"/>
          <w:szCs w:val="24"/>
        </w:rPr>
        <w:t xml:space="preserve"> to the </w:t>
      </w:r>
      <w:proofErr w:type="spellStart"/>
      <w:r w:rsidR="002E4A25" w:rsidRPr="00460059">
        <w:rPr>
          <w:rFonts w:ascii="Times New Roman" w:hAnsi="Times New Roman" w:cs="Times New Roman"/>
          <w:sz w:val="24"/>
          <w:szCs w:val="24"/>
        </w:rPr>
        <w:t>a</w:t>
      </w:r>
      <w:r w:rsidRPr="00460059">
        <w:rPr>
          <w:rFonts w:ascii="Times New Roman" w:hAnsi="Times New Roman" w:cs="Times New Roman"/>
          <w:sz w:val="24"/>
          <w:szCs w:val="24"/>
        </w:rPr>
        <w:t>ntisymmetrized</w:t>
      </w:r>
      <w:proofErr w:type="spellEnd"/>
      <w:r w:rsidRPr="00460059">
        <w:rPr>
          <w:rFonts w:ascii="Times New Roman" w:hAnsi="Times New Roman" w:cs="Times New Roman"/>
          <w:sz w:val="24"/>
          <w:szCs w:val="24"/>
        </w:rPr>
        <w:t xml:space="preserve"> and renormalized wave function. The decomposition of E</w:t>
      </w:r>
      <w:r w:rsidRPr="00460059">
        <w:rPr>
          <w:rFonts w:ascii="Times New Roman" w:hAnsi="Times New Roman" w:cs="Times New Roman"/>
          <w:sz w:val="24"/>
          <w:szCs w:val="24"/>
          <w:vertAlign w:val="subscript"/>
        </w:rPr>
        <w:t>st</w:t>
      </w:r>
      <w:r w:rsidRPr="00460059">
        <w:rPr>
          <w:rFonts w:ascii="Times New Roman" w:hAnsi="Times New Roman" w:cs="Times New Roman"/>
          <w:sz w:val="24"/>
          <w:szCs w:val="24"/>
        </w:rPr>
        <w:t xml:space="preserve"> is not possible with ORCA 4.1.0</w:t>
      </w:r>
      <w:r w:rsidR="00BE0AF6">
        <w:rPr>
          <w:rFonts w:ascii="Times New Roman" w:hAnsi="Times New Roman" w:cs="Times New Roman"/>
          <w:sz w:val="24"/>
          <w:szCs w:val="24"/>
        </w:rPr>
        <w:t>, while it is with ADF</w:t>
      </w:r>
      <w:r w:rsidRPr="00460059">
        <w:rPr>
          <w:rFonts w:ascii="Times New Roman" w:hAnsi="Times New Roman" w:cs="Times New Roman"/>
          <w:sz w:val="24"/>
          <w:szCs w:val="24"/>
        </w:rPr>
        <w:t>. E</w:t>
      </w:r>
      <w:r w:rsidRPr="00460059">
        <w:rPr>
          <w:rFonts w:ascii="Times New Roman" w:hAnsi="Times New Roman" w:cs="Times New Roman"/>
          <w:sz w:val="24"/>
          <w:szCs w:val="24"/>
          <w:vertAlign w:val="subscript"/>
        </w:rPr>
        <w:t>st</w:t>
      </w:r>
      <w:r w:rsidRPr="00460059">
        <w:rPr>
          <w:rFonts w:ascii="Times New Roman" w:hAnsi="Times New Roman" w:cs="Times New Roman"/>
          <w:sz w:val="24"/>
          <w:szCs w:val="24"/>
        </w:rPr>
        <w:t xml:space="preserve"> comprises the destabilizing interactions between the occupied orbitals and is responsible for any steric repulsion.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o</w:t>
      </w:r>
      <w:r w:rsidR="002E4A25" w:rsidRPr="00460059">
        <w:rPr>
          <w:rFonts w:ascii="Times New Roman" w:hAnsi="Times New Roman" w:cs="Times New Roman"/>
          <w:sz w:val="24"/>
          <w:szCs w:val="24"/>
          <w:vertAlign w:val="subscript"/>
        </w:rPr>
        <w:t>rb</w:t>
      </w:r>
      <w:proofErr w:type="spellEnd"/>
      <w:r w:rsidRPr="00460059">
        <w:rPr>
          <w:rFonts w:ascii="Times New Roman" w:hAnsi="Times New Roman" w:cs="Times New Roman"/>
          <w:sz w:val="24"/>
          <w:szCs w:val="24"/>
        </w:rPr>
        <w:t xml:space="preserve"> is the contribution arising from allowing the wave function to relax to the fully converged one, accounting for electron pair bonding, charge transfer and polarization, while </w:t>
      </w:r>
      <w:proofErr w:type="spellStart"/>
      <w:r w:rsidRPr="00460059">
        <w:rPr>
          <w:rFonts w:ascii="Times New Roman" w:hAnsi="Times New Roman" w:cs="Times New Roman"/>
          <w:sz w:val="24"/>
          <w:szCs w:val="24"/>
        </w:rPr>
        <w:t>E</w:t>
      </w:r>
      <w:r w:rsidRPr="00460059">
        <w:rPr>
          <w:rFonts w:ascii="Times New Roman" w:hAnsi="Times New Roman" w:cs="Times New Roman"/>
          <w:sz w:val="24"/>
          <w:szCs w:val="24"/>
          <w:vertAlign w:val="subscript"/>
        </w:rPr>
        <w:t>disp</w:t>
      </w:r>
      <w:proofErr w:type="spellEnd"/>
      <w:r w:rsidRPr="00460059">
        <w:rPr>
          <w:rFonts w:ascii="Times New Roman" w:hAnsi="Times New Roman" w:cs="Times New Roman"/>
          <w:sz w:val="24"/>
          <w:szCs w:val="24"/>
        </w:rPr>
        <w:t xml:space="preserve"> is the contribution of the dispersion forces. </w:t>
      </w:r>
    </w:p>
    <w:p w14:paraId="736BC940" w14:textId="77777777" w:rsidR="00911D53" w:rsidRPr="00460059" w:rsidRDefault="00911D53" w:rsidP="00B46701">
      <w:pPr>
        <w:pStyle w:val="Corpotesto"/>
        <w:spacing w:after="0" w:line="360" w:lineRule="auto"/>
        <w:jc w:val="both"/>
        <w:rPr>
          <w:rFonts w:ascii="Times New Roman" w:hAnsi="Times New Roman" w:cs="Times New Roman"/>
          <w:sz w:val="24"/>
          <w:szCs w:val="24"/>
        </w:rPr>
      </w:pPr>
    </w:p>
    <w:p w14:paraId="2DC83543" w14:textId="123E19AD" w:rsidR="002E4A25" w:rsidRPr="00460059" w:rsidRDefault="001F3BEC" w:rsidP="00B46701">
      <w:pPr>
        <w:pStyle w:val="Corpotesto"/>
        <w:spacing w:after="0" w:line="360" w:lineRule="auto"/>
        <w:jc w:val="both"/>
        <w:rPr>
          <w:rFonts w:ascii="Times New Roman" w:hAnsi="Times New Roman" w:cs="Times New Roman"/>
          <w:b/>
          <w:bCs/>
          <w:sz w:val="24"/>
          <w:szCs w:val="24"/>
        </w:rPr>
      </w:pPr>
      <w:r w:rsidRPr="00460059">
        <w:rPr>
          <w:rFonts w:ascii="Times New Roman" w:hAnsi="Times New Roman" w:cs="Times New Roman"/>
          <w:b/>
          <w:bCs/>
          <w:sz w:val="24"/>
          <w:szCs w:val="24"/>
        </w:rPr>
        <w:t xml:space="preserve">Charge Displacement function analysis. </w:t>
      </w:r>
    </w:p>
    <w:p w14:paraId="2C2B1AC3" w14:textId="2AC90073" w:rsidR="001F3BEC" w:rsidRPr="00460059" w:rsidRDefault="001F3BE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 xml:space="preserve">The Charge Displacement function analysis is based on Eq. (2). </w:t>
      </w:r>
      <w:proofErr w:type="spellStart"/>
      <w:r w:rsidRPr="00460059">
        <w:rPr>
          <w:rFonts w:ascii="Times New Roman" w:hAnsi="Times New Roman" w:cs="Times New Roman"/>
          <w:sz w:val="24"/>
          <w:szCs w:val="24"/>
        </w:rPr>
        <w:t>Δρ</w:t>
      </w:r>
      <w:proofErr w:type="spellEnd"/>
      <w:r w:rsidRPr="00460059">
        <w:rPr>
          <w:rFonts w:ascii="Times New Roman" w:hAnsi="Times New Roman" w:cs="Times New Roman"/>
          <w:sz w:val="24"/>
          <w:szCs w:val="24"/>
        </w:rPr>
        <w:t>(</w:t>
      </w:r>
      <w:proofErr w:type="spellStart"/>
      <w:r w:rsidRPr="00460059">
        <w:rPr>
          <w:rFonts w:ascii="Times New Roman" w:hAnsi="Times New Roman" w:cs="Times New Roman"/>
          <w:sz w:val="24"/>
          <w:szCs w:val="24"/>
        </w:rPr>
        <w:t>x,y,z</w:t>
      </w:r>
      <w:proofErr w:type="spellEnd"/>
      <w:r w:rsidRPr="00460059">
        <w:rPr>
          <w:rFonts w:ascii="Times New Roman" w:hAnsi="Times New Roman" w:cs="Times New Roman"/>
          <w:sz w:val="24"/>
          <w:szCs w:val="24"/>
        </w:rPr>
        <w:t xml:space="preserve">) is the difference between the electron density of a complex and that of its non-interacting fragments placed in the same position as they occupy in the complex. In the present case, the fragmentation depends on the interaction under examination and are generally indicated in each case. The function </w:t>
      </w:r>
      <w:proofErr w:type="spellStart"/>
      <w:r w:rsidRPr="00460059">
        <w:rPr>
          <w:rFonts w:ascii="Times New Roman" w:hAnsi="Times New Roman" w:cs="Times New Roman"/>
          <w:sz w:val="24"/>
          <w:szCs w:val="24"/>
        </w:rPr>
        <w:t>Δq</w:t>
      </w:r>
      <w:proofErr w:type="spellEnd"/>
      <w:r w:rsidRPr="00460059">
        <w:rPr>
          <w:rFonts w:ascii="Times New Roman" w:hAnsi="Times New Roman" w:cs="Times New Roman"/>
          <w:sz w:val="24"/>
          <w:szCs w:val="24"/>
        </w:rPr>
        <w:t xml:space="preserve">(z’) defines, at each point along a chosen axis, the amount of electron charge that, upon formation of the bond between the fragments, moves across a plane perpendicular to the axis through the point z’. A positive (negative) value corresponds to electrons flowing in the direction of decreasing (increasing) z. Charge accumulates where the slope of </w:t>
      </w:r>
      <w:proofErr w:type="spellStart"/>
      <w:r w:rsidRPr="00460059">
        <w:rPr>
          <w:rFonts w:ascii="Times New Roman" w:hAnsi="Times New Roman" w:cs="Times New Roman"/>
          <w:sz w:val="24"/>
          <w:szCs w:val="24"/>
        </w:rPr>
        <w:t>Δq</w:t>
      </w:r>
      <w:proofErr w:type="spellEnd"/>
      <w:r w:rsidRPr="00460059">
        <w:rPr>
          <w:rFonts w:ascii="Times New Roman" w:hAnsi="Times New Roman" w:cs="Times New Roman"/>
          <w:sz w:val="24"/>
          <w:szCs w:val="24"/>
        </w:rPr>
        <w:t xml:space="preserve"> is positive and decreases where it is negative.</w:t>
      </w:r>
    </w:p>
    <w:p w14:paraId="1AB54076" w14:textId="6D17C687" w:rsidR="001F3BEC" w:rsidRPr="00460059" w:rsidRDefault="001F3BEC" w:rsidP="00B46701">
      <w:pPr>
        <w:pStyle w:val="Corpotesto"/>
        <w:spacing w:after="0" w:line="360" w:lineRule="auto"/>
        <w:jc w:val="right"/>
        <w:rPr>
          <w:rFonts w:ascii="Times New Roman" w:hAnsi="Times New Roman" w:cs="Times New Roman"/>
          <w:i/>
          <w:sz w:val="24"/>
          <w:szCs w:val="24"/>
        </w:rPr>
      </w:pPr>
      <m:oMath>
        <m:r>
          <w:rPr>
            <w:rFonts w:ascii="Cambria Math" w:hAnsi="Cambria Math" w:cs="Times New Roman"/>
            <w:sz w:val="24"/>
            <w:szCs w:val="24"/>
          </w:rPr>
          <m:t>Δq</m:t>
        </m:r>
        <m:d>
          <m:dPr>
            <m:ctrlPr>
              <w:rPr>
                <w:rFonts w:ascii="Cambria Math" w:hAnsi="Cambria Math" w:cs="Times New Roman"/>
                <w:i/>
                <w:sz w:val="24"/>
                <w:szCs w:val="24"/>
              </w:rPr>
            </m:ctrlPr>
          </m:dPr>
          <m:e>
            <m:r>
              <w:rPr>
                <w:rFonts w:ascii="Cambria Math" w:hAnsi="Cambria Math" w:cs="Times New Roman"/>
                <w:sz w:val="24"/>
                <w:szCs w:val="24"/>
              </w:rPr>
              <m:t>z'</m:t>
            </m:r>
          </m:e>
        </m:d>
        <m:r>
          <w:rPr>
            <w:rFonts w:ascii="Cambria Math" w:hAnsi="Cambria Math" w:cs="Times New Roman"/>
            <w:sz w:val="24"/>
            <w:szCs w:val="24"/>
            <w:lang w:val="en-GB"/>
          </w:rPr>
          <m:t xml:space="preserve">= </m:t>
        </m:r>
        <m:nary>
          <m:naryPr>
            <m:limLoc m:val="subSup"/>
            <m:ctrlPr>
              <w:rPr>
                <w:rFonts w:ascii="Cambria Math" w:hAnsi="Cambria Math" w:cs="Times New Roman"/>
                <w:i/>
                <w:sz w:val="24"/>
                <w:szCs w:val="24"/>
              </w:rPr>
            </m:ctrlPr>
          </m:naryPr>
          <m:sub>
            <m:r>
              <w:rPr>
                <w:rFonts w:ascii="Cambria Math" w:hAnsi="Cambria Math" w:cs="Times New Roman"/>
                <w:sz w:val="24"/>
                <w:szCs w:val="24"/>
                <w:lang w:val="en-GB"/>
              </w:rPr>
              <m:t>-∞</m:t>
            </m:r>
          </m:sub>
          <m:sup>
            <m:r>
              <w:rPr>
                <w:rFonts w:ascii="Cambria Math" w:hAnsi="Cambria Math" w:cs="Times New Roman"/>
                <w:sz w:val="24"/>
                <w:szCs w:val="24"/>
                <w:lang w:val="en-GB"/>
              </w:rPr>
              <m:t>+∞</m:t>
            </m:r>
          </m:sup>
          <m:e>
            <m:r>
              <w:rPr>
                <w:rFonts w:ascii="Cambria Math" w:hAnsi="Cambria Math" w:cs="Times New Roman"/>
                <w:sz w:val="24"/>
                <w:szCs w:val="24"/>
              </w:rPr>
              <m:t>dx</m:t>
            </m:r>
          </m:e>
        </m:nary>
        <m:nary>
          <m:naryPr>
            <m:limLoc m:val="subSup"/>
            <m:ctrlPr>
              <w:rPr>
                <w:rFonts w:ascii="Cambria Math" w:hAnsi="Cambria Math" w:cs="Times New Roman"/>
                <w:i/>
                <w:sz w:val="24"/>
                <w:szCs w:val="24"/>
              </w:rPr>
            </m:ctrlPr>
          </m:naryPr>
          <m:sub>
            <m:r>
              <w:rPr>
                <w:rFonts w:ascii="Cambria Math" w:hAnsi="Cambria Math" w:cs="Times New Roman"/>
                <w:sz w:val="24"/>
                <w:szCs w:val="24"/>
                <w:lang w:val="en-GB"/>
              </w:rPr>
              <m:t>-∞</m:t>
            </m:r>
          </m:sub>
          <m:sup>
            <m:r>
              <w:rPr>
                <w:rFonts w:ascii="Cambria Math" w:hAnsi="Cambria Math" w:cs="Times New Roman"/>
                <w:sz w:val="24"/>
                <w:szCs w:val="24"/>
                <w:lang w:val="en-GB"/>
              </w:rPr>
              <m:t>+∞</m:t>
            </m:r>
          </m:sup>
          <m:e>
            <m:r>
              <w:rPr>
                <w:rFonts w:ascii="Cambria Math" w:hAnsi="Cambria Math" w:cs="Times New Roman"/>
                <w:sz w:val="24"/>
                <w:szCs w:val="24"/>
              </w:rPr>
              <m:t>dy</m:t>
            </m:r>
          </m:e>
        </m:nary>
        <m:nary>
          <m:naryPr>
            <m:limLoc m:val="subSup"/>
            <m:ctrlPr>
              <w:rPr>
                <w:rFonts w:ascii="Cambria Math" w:hAnsi="Cambria Math" w:cs="Times New Roman"/>
                <w:i/>
                <w:sz w:val="24"/>
                <w:szCs w:val="24"/>
              </w:rPr>
            </m:ctrlPr>
          </m:naryPr>
          <m:sub>
            <m:r>
              <w:rPr>
                <w:rFonts w:ascii="Cambria Math" w:hAnsi="Cambria Math" w:cs="Times New Roman"/>
                <w:sz w:val="24"/>
                <w:szCs w:val="24"/>
                <w:lang w:val="en-GB"/>
              </w:rPr>
              <m:t>-∞</m:t>
            </m:r>
          </m:sub>
          <m:sup>
            <m:r>
              <w:rPr>
                <w:rFonts w:ascii="Cambria Math" w:hAnsi="Cambria Math" w:cs="Times New Roman"/>
                <w:sz w:val="24"/>
                <w:szCs w:val="24"/>
              </w:rPr>
              <m:t>z</m:t>
            </m:r>
            <m:r>
              <w:rPr>
                <w:rFonts w:ascii="Cambria Math" w:hAnsi="Cambria Math" w:cs="Times New Roman"/>
                <w:sz w:val="24"/>
                <w:szCs w:val="24"/>
                <w:lang w:val="en-GB"/>
              </w:rPr>
              <m:t>'</m:t>
            </m:r>
          </m:sup>
          <m:e>
            <m:r>
              <w:rPr>
                <w:rFonts w:ascii="Cambria Math" w:hAnsi="Cambria Math" w:cs="Times New Roman"/>
                <w:sz w:val="24"/>
                <w:szCs w:val="24"/>
              </w:rPr>
              <m:t xml:space="preserve">dz </m:t>
            </m:r>
            <m:r>
              <w:rPr>
                <w:rFonts w:ascii="Cambria Math" w:hAnsi="Cambria Math" w:cs="Times New Roman"/>
                <w:sz w:val="24"/>
                <w:szCs w:val="24"/>
                <w:lang w:val="en-GB"/>
              </w:rPr>
              <m:t>∆</m:t>
            </m:r>
            <m:r>
              <w:rPr>
                <w:rFonts w:ascii="Cambria Math" w:hAnsi="Cambria Math" w:cs="Times New Roman"/>
                <w:sz w:val="24"/>
                <w:szCs w:val="24"/>
              </w:rPr>
              <m:t>ρ</m:t>
            </m:r>
            <m:r>
              <w:rPr>
                <w:rFonts w:ascii="Cambria Math" w:hAnsi="Cambria Math" w:cs="Times New Roman"/>
                <w:sz w:val="24"/>
                <w:szCs w:val="24"/>
                <w:lang w:val="en-GB"/>
              </w:rPr>
              <m:t>(</m:t>
            </m:r>
            <m:r>
              <w:rPr>
                <w:rFonts w:ascii="Cambria Math" w:hAnsi="Cambria Math" w:cs="Times New Roman"/>
                <w:sz w:val="24"/>
                <w:szCs w:val="24"/>
              </w:rPr>
              <m:t>x</m:t>
            </m:r>
            <m:r>
              <w:rPr>
                <w:rFonts w:ascii="Cambria Math" w:hAnsi="Cambria Math" w:cs="Times New Roman"/>
                <w:sz w:val="24"/>
                <w:szCs w:val="24"/>
                <w:lang w:val="en-GB"/>
              </w:rPr>
              <m:t>,</m:t>
            </m:r>
            <m:r>
              <w:rPr>
                <w:rFonts w:ascii="Cambria Math" w:hAnsi="Cambria Math" w:cs="Times New Roman"/>
                <w:sz w:val="24"/>
                <w:szCs w:val="24"/>
              </w:rPr>
              <m:t>y</m:t>
            </m:r>
            <m:r>
              <w:rPr>
                <w:rFonts w:ascii="Cambria Math" w:hAnsi="Cambria Math" w:cs="Times New Roman"/>
                <w:sz w:val="24"/>
                <w:szCs w:val="24"/>
                <w:lang w:val="en-GB"/>
              </w:rPr>
              <m:t>,</m:t>
            </m:r>
            <m:r>
              <w:rPr>
                <w:rFonts w:ascii="Cambria Math" w:hAnsi="Cambria Math" w:cs="Times New Roman"/>
                <w:sz w:val="24"/>
                <w:szCs w:val="24"/>
              </w:rPr>
              <m:t>z</m:t>
            </m:r>
            <m:r>
              <w:rPr>
                <w:rFonts w:ascii="Cambria Math" w:hAnsi="Cambria Math" w:cs="Times New Roman"/>
                <w:sz w:val="24"/>
                <w:szCs w:val="24"/>
                <w:lang w:val="en-GB"/>
              </w:rPr>
              <m:t>)</m:t>
            </m:r>
          </m:e>
        </m:nary>
      </m:oMath>
      <w:r w:rsidR="002E4A25" w:rsidRPr="00460059">
        <w:rPr>
          <w:rFonts w:ascii="Times New Roman" w:hAnsi="Times New Roman" w:cs="Times New Roman"/>
          <w:i/>
          <w:sz w:val="24"/>
          <w:szCs w:val="24"/>
        </w:rPr>
        <w:t xml:space="preserve">                                                 </w:t>
      </w:r>
      <w:r w:rsidRPr="00460059">
        <w:rPr>
          <w:rFonts w:ascii="Times New Roman" w:hAnsi="Times New Roman" w:cs="Times New Roman"/>
          <w:iCs/>
          <w:sz w:val="24"/>
          <w:szCs w:val="24"/>
        </w:rPr>
        <w:t>(2)</w:t>
      </w:r>
    </w:p>
    <w:p w14:paraId="7F6FE4F3" w14:textId="77777777" w:rsidR="001F3BEC" w:rsidRPr="00460059" w:rsidRDefault="001F3BE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where ∆ρ(</w:t>
      </w:r>
      <w:proofErr w:type="spellStart"/>
      <w:r w:rsidRPr="00460059">
        <w:rPr>
          <w:rFonts w:ascii="Times New Roman" w:hAnsi="Times New Roman" w:cs="Times New Roman"/>
          <w:sz w:val="24"/>
          <w:szCs w:val="24"/>
        </w:rPr>
        <w:t>x,y,z</w:t>
      </w:r>
      <w:proofErr w:type="spellEnd"/>
      <w:r w:rsidRPr="00460059">
        <w:rPr>
          <w:rFonts w:ascii="Times New Roman" w:hAnsi="Times New Roman" w:cs="Times New Roman"/>
          <w:sz w:val="24"/>
          <w:szCs w:val="24"/>
        </w:rPr>
        <w:t xml:space="preserve">) is the difference between the electron densities of a complex and the sum of that of its non-interacting fragments, frozen at the same geometry they assume in the complex. </w:t>
      </w:r>
    </w:p>
    <w:p w14:paraId="625D5DD9" w14:textId="17C55212" w:rsidR="001F3BEC" w:rsidRPr="00460059" w:rsidRDefault="0016476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W</w:t>
      </w:r>
      <w:r w:rsidR="001F3BEC" w:rsidRPr="00460059">
        <w:rPr>
          <w:rFonts w:ascii="Times New Roman" w:hAnsi="Times New Roman" w:cs="Times New Roman"/>
          <w:sz w:val="24"/>
          <w:szCs w:val="24"/>
        </w:rPr>
        <w:t>e make use of the natural orbital for chemical valence theory (NOCV):</w:t>
      </w:r>
      <w:r w:rsidRPr="00460059">
        <w:rPr>
          <w:rFonts w:ascii="Times New Roman" w:hAnsi="Times New Roman" w:cs="Times New Roman"/>
          <w:sz w:val="24"/>
          <w:szCs w:val="24"/>
        </w:rPr>
        <w:fldChar w:fldCharType="begin" w:fldLock="1"/>
      </w:r>
      <w:r w:rsidR="00726CAE">
        <w:rPr>
          <w:rFonts w:ascii="Times New Roman" w:hAnsi="Times New Roman" w:cs="Times New Roman"/>
          <w:sz w:val="24"/>
          <w:szCs w:val="24"/>
        </w:rPr>
        <w:instrText>ADDIN CSL_CITATION {"citationItems":[{"id":"ITEM-1","itemData":{"DOI":"10.1007/s00894-006-0149-4","ISBN":"1610-2940","ISSN":"16102940","PMID":"17024408","abstract":"Natural orbitals for chemical valence (NOCV) are defined as the eigenvectors of the chemical valence operator defined by Nalewajski et al.; they decompose the deformation density (differential density, Deltarho) into diagonal contributions. NOCV were used in a description of the chemical bond between the organometallic fragment and the ligand in example transition-metal complexes: heme-CO ([FeN(5)C(20)H(15)]-CO), [Ni-diimine hydride]-ethylene ([N;N-Ni-H]-C(2)H(4), N;N = -NH-CH-CH-NH-), and [Ni(NH(3))(3)]-CO. DFT calculations were performed using gradient-corrected density functional theory (DFT) in the fragments resolution, using the fragment/ligand Kohn-Sham orbitals as a basis set in calculations for the whole fragment-ligand complex. It has been found that NOCV lead to a very compact description of the fragment-ligand bond, with only a few orbitals exhibiting non-zero eigenvalues. Results of NOCV analysis, compared with Mulliken populations analysis and Zigler-Rauk interaction-energy decomposition, demonstrate that the use of the natural valence orbitals allows for a separation of the sigma-donation and pi-back-donation contributions to the ligand-fragment bond. They can be also useful in comparison of these contributions in different complexes.","author":[{"dropping-particle":"","family":"Mitoraj","given":"Mariusz","non-dropping-particle":"","parse-names":false,"suffix":""},{"dropping-particle":"","family":"Michalak","given":"Artur","non-dropping-particle":"","parse-names":false,"suffix":""}],"container-title":"Journal of Molecular Modeling","id":"ITEM-1","issue":"2","issued":{"date-parts":[["2007","1","24"]]},"page":"347-355","publisher":"Springer-Verlag","title":"Natural orbitals for chemical valence as descriptors of chemical bonding in transition metal complexes","type":"article-journal","volume":"13"},"uris":["http://www.mendeley.com/documents/?uuid=1fab4c95-dde7-3da3-93a5-bdda338e0ce7"]},{"id":"ITEM-2","itemData":{"DOI":"10.1007/s00214-008-0428-5","ISSN":"1432881X","abstract":"Natural orbitals for chemical valence (NOCV) were recently introduced as descriptors of chemical bond. They were shown to provide a valuable bond diagnosis in transition metal complexes (Mitoraj and Michalak in J Mol Model 13:347–355, 2007). The present paper treats the math- ematical basis for the proposed method. In particular, the algebraic properties of NOCV, on which this methodology relies, are rigorously proven.","author":[{"dropping-particle":"","family":"Radoń","given":"Mariusz","non-dropping-particle":"","parse-names":false,"suffix":""}],"container-title":"Theoretical Chemistry Accounts","id":"ITEM-2","issue":"4-6","issued":{"date-parts":[["2008","7","7"]]},"page":"337-339","publisher":"Springer-Verlag","title":"On the properties of natural orbitals for chemical valence","type":"article-journal","volume":"120"},"uris":["http://www.mendeley.com/documents/?uuid=98f27ee3-53cd-3585-af68-c2da9292520d"]}],"mendeley":{"formattedCitation":"&lt;sup&gt;25,57&lt;/sup&gt;","plainTextFormattedCitation":"25,57","previouslyFormattedCitation":"&lt;sup&gt;25,56&lt;/sup&gt;"},"properties":{"noteIndex":0},"schema":"https://github.com/citation-style-language/schema/raw/master/csl-citation.json"}</w:instrText>
      </w:r>
      <w:r w:rsidRPr="00460059">
        <w:rPr>
          <w:rFonts w:ascii="Times New Roman" w:hAnsi="Times New Roman" w:cs="Times New Roman"/>
          <w:sz w:val="24"/>
          <w:szCs w:val="24"/>
        </w:rPr>
        <w:fldChar w:fldCharType="separate"/>
      </w:r>
      <w:r w:rsidR="00726CAE" w:rsidRPr="00726CAE">
        <w:rPr>
          <w:rFonts w:ascii="Times New Roman" w:hAnsi="Times New Roman" w:cs="Times New Roman"/>
          <w:noProof/>
          <w:sz w:val="24"/>
          <w:szCs w:val="24"/>
          <w:vertAlign w:val="superscript"/>
        </w:rPr>
        <w:t>25,57</w:t>
      </w:r>
      <w:r w:rsidRPr="00460059">
        <w:rPr>
          <w:rFonts w:ascii="Times New Roman" w:hAnsi="Times New Roman" w:cs="Times New Roman"/>
          <w:sz w:val="24"/>
          <w:szCs w:val="24"/>
        </w:rPr>
        <w:fldChar w:fldCharType="end"/>
      </w:r>
      <w:r w:rsidR="001F3BEC" w:rsidRPr="00460059">
        <w:rPr>
          <w:rFonts w:ascii="Times New Roman" w:hAnsi="Times New Roman" w:cs="Times New Roman"/>
          <w:sz w:val="24"/>
          <w:szCs w:val="24"/>
        </w:rPr>
        <w:t xml:space="preserve"> </w:t>
      </w:r>
      <w:proofErr w:type="spellStart"/>
      <w:r w:rsidR="001F3BEC" w:rsidRPr="00460059">
        <w:rPr>
          <w:rFonts w:ascii="Times New Roman" w:hAnsi="Times New Roman" w:cs="Times New Roman"/>
          <w:sz w:val="24"/>
          <w:szCs w:val="24"/>
        </w:rPr>
        <w:t>Δρ</w:t>
      </w:r>
      <w:proofErr w:type="spellEnd"/>
      <w:r w:rsidR="001F3BEC" w:rsidRPr="00460059">
        <w:rPr>
          <w:rFonts w:ascii="Times New Roman" w:hAnsi="Times New Roman" w:cs="Times New Roman"/>
          <w:sz w:val="24"/>
          <w:szCs w:val="24"/>
        </w:rPr>
        <w:t>’</w:t>
      </w:r>
      <w:r w:rsidRPr="00460059">
        <w:rPr>
          <w:rFonts w:ascii="Times New Roman" w:hAnsi="Times New Roman" w:cs="Times New Roman"/>
          <w:sz w:val="24"/>
          <w:szCs w:val="24"/>
        </w:rPr>
        <w:t xml:space="preserve"> </w:t>
      </w:r>
      <w:r w:rsidR="001F3BEC" w:rsidRPr="00460059">
        <w:rPr>
          <w:rFonts w:ascii="Times New Roman" w:hAnsi="Times New Roman" w:cs="Times New Roman"/>
          <w:sz w:val="24"/>
          <w:szCs w:val="24"/>
        </w:rPr>
        <w:t>is built from the occupied orbitals of A and B, suitably orthogonalized to each other and renormalized (</w:t>
      </w:r>
      <w:proofErr w:type="spellStart"/>
      <w:r w:rsidR="001F3BEC" w:rsidRPr="00460059">
        <w:rPr>
          <w:rFonts w:ascii="Times New Roman" w:hAnsi="Times New Roman" w:cs="Times New Roman"/>
          <w:sz w:val="24"/>
          <w:szCs w:val="24"/>
        </w:rPr>
        <w:t>promolecule</w:t>
      </w:r>
      <w:proofErr w:type="spellEnd"/>
      <w:r w:rsidR="001F3BEC" w:rsidRPr="00460059">
        <w:rPr>
          <w:rFonts w:ascii="Times New Roman" w:hAnsi="Times New Roman" w:cs="Times New Roman"/>
          <w:sz w:val="24"/>
          <w:szCs w:val="24"/>
        </w:rPr>
        <w:t>), using the “valence operator” (Eq. 3),</w:t>
      </w:r>
      <w:r w:rsidRPr="00460059">
        <w:rPr>
          <w:rFonts w:ascii="Times New Roman" w:hAnsi="Times New Roman" w:cs="Times New Roman"/>
          <w:sz w:val="24"/>
          <w:szCs w:val="24"/>
        </w:rPr>
        <w:fldChar w:fldCharType="begin" w:fldLock="1"/>
      </w:r>
      <w:r w:rsidR="00726CAE">
        <w:rPr>
          <w:rFonts w:ascii="Times New Roman" w:hAnsi="Times New Roman" w:cs="Times New Roman"/>
          <w:sz w:val="24"/>
          <w:szCs w:val="24"/>
        </w:rPr>
        <w:instrText>ADDIN CSL_CITATION {"citationItems":[{"id":"ITEM-1","itemData":{"DOI":"10.1002/(SICI)1097-461X(1997)61:3&lt;589::AID-QUA28&gt;3.0.CO;2-2","ISSN":"00207608","PMID":"269","abstract":"The recent Hartree-Fock (HF) difference approach to the chemical valence indices (ionic and covalent), formulated in the framework of the pair-density matrix, is implemented within the Kohn-Sham (KS) density functional theory (DFT). The valence numbers are quadratic in terms of displacements of the molecular spin-resolved charge-and-bond-order (CBO) matrix elements, relative to values in the separated atoms limit (SAL). It is shown that the global valence represents a generalized “distance” quantity measuring a degree of similarity between the two CBO matrices: the molecular and SAL. Numerical values for typical molecules exhibiting single and multiple bonds demonstrate that the KS orbitals give rise to these new bond valences in good agreement with both chemical and HF predictions. This KS bond multiplicity analysis is applied to the chemisorption system including the allyl radical and a model surface cluster of molybdenum oxide. It is concluded that the quadratic valence analysis represents a valuable procedure for extracting useful chemical information from standard DFT calculations.","author":[{"dropping-particle":"","family":"Nalewajski","given":"Roman F.","non-dropping-particle":"","parse-names":false,"suffix":""},{"dropping-particle":"","family":"Mrozek","given":"Janusz","non-dropping-particle":"","parse-names":false,"suffix":""},{"dropping-particle":"","family":"Michalak","given":"Artur","non-dropping-particle":"","parse-names":false,"suffix":""}],"container-title":"International Journal of Quantum Chemistry","id":"ITEM-1","issue":"3","issued":{"date-parts":[["1997"]]},"page":"589-601","publisher":"Wiley-Blackwell","title":"Two-electron valence indices from the Kohn-Sham orbitals","type":"article-journal","volume":"61"},"uris":["http://www.mendeley.com/documents/?uuid=e9c3f347-0dfb-32e2-a780-8f4554594c25"]},{"id":"ITEM-2","itemData":{"DOI":"10.1002/qua.560510403","ISSN":"1097461X","PMID":"280","abstract":"Modified ionic and covalent valence indexes are introduced, defined in the framework of the two-particle d. matrix, with respect to the ref. state of sepd. atoms or ions (SAL). They include only quadratic contributions in changes of the mol. charge-and-bond order matrix elements, relative to the SAL. General properties of the modified valence indexes are examd., and illustrative qual. results for model systems are presented. Numerical UHF-SCF-MO valence data for selected diat. and triat. mols. are reported, and interpreted in terms of the valence satn. effect and the ionic vs. covalent valence competition. A three-orbital valence model, for a sym. transition state of the bond-forming-bond-breaking reaction, supports the bond energy-bond order (BEBO) model postulate of preservation of the total \\\"bond order.\\\". The model predictions are compared with UHF numerical values.","author":[{"dropping-particle":"","family":"Nalewajski","given":"Roman F.","non-dropping-particle":"","parse-names":false,"suffix":""},{"dropping-particle":"","family":"Ozek","given":"Janusz","non-dropping-particle":"","parse-names":false,"suffix":""}],"container-title":"International Journal of Quantum Chemistry","id":"ITEM-2","issue":"4","issued":{"date-parts":[["1994","8","5"]]},"page":"187-200","publisher":"Wiley-Blackwell","title":"Modified valence indices from the two‐particle density matrix","type":"article-journal","volume":"51"},"uris":["http://www.mendeley.com/documents/?uuid=0dcc21a0-8682-3d57-9194-a589223a6a3a"]},{"id":"ITEM-3","itemData":{"DOI":"10.1007/BF01112985","ISSN":"00405744","PMID":"196","abstract":"The two-particle approach to the covalent and ionic valence indexes is presented within the restricted and UHF theories (RHF and UHF). It is based on the anal. of contributions from the two-particle d. matrix .GAMMA. in the orthogonal AO (OAO) representation. The at. and diat. valence indexes are identified with respect to the ref. states of sepd. atoms or ions and their phys. interpretation is given. Ionic indexes originate from the Coulomb part of .GAMMA., while the covalent indexes are related to its exchange part. They are shown to be related to the differences, with respect to the ref. state values, of the condensed .GAMMA.-matrix elements, measuring a total probability of simultaneously finding two electrons on atoms A and B. An interpretation of a second-order Taylor expansion around the ref. states of the proposed electron pair valence indexes is given. Illustrative valence diagrams for the two AO model are presented for both the A + B and A- + B+ ref. limits, and their implications for the bond description are briefly discussed. The valence indexes for simple diatomics and polyatomics are generated within the RHF and UHF schemes. The problem of the residual valence in the RHF approach is examd. and the RHF predictions for alternative ref. states are compared.","author":[{"dropping-particle":"","family":"Nalewajski","given":"R. F.","non-dropping-particle":"","parse-names":false,"suffix":""},{"dropping-particle":"","family":"Köster","given":"A. M.","non-dropping-particle":"","parse-names":false,"suffix":""},{"dropping-particle":"","family":"Jug","given":"K.","non-dropping-particle":"","parse-names":false,"suffix":""}],"container-title":"Theoretica Chimica Acta","id":"ITEM-3","issue":"6","issued":{"date-parts":[["1993","6"]]},"page":"463-484","publisher":"Springer-Verlag","title":"Chemical valence from the two-particle density matrix","type":"article-journal","volume":"85"},"uris":["http://www.mendeley.com/documents/?uuid=5d063847-b48a-3ebb-8247-2c2313c259a7"]}],"mendeley":{"formattedCitation":"&lt;sup&gt;58–60&lt;/sup&gt;","plainTextFormattedCitation":"58–60","previouslyFormattedCitation":"&lt;sup&gt;57–59&lt;/sup&gt;"},"properties":{"noteIndex":0},"schema":"https://github.com/citation-style-language/schema/raw/master/csl-citation.json"}</w:instrText>
      </w:r>
      <w:r w:rsidRPr="00460059">
        <w:rPr>
          <w:rFonts w:ascii="Times New Roman" w:hAnsi="Times New Roman" w:cs="Times New Roman"/>
          <w:sz w:val="24"/>
          <w:szCs w:val="24"/>
        </w:rPr>
        <w:fldChar w:fldCharType="separate"/>
      </w:r>
      <w:r w:rsidR="00726CAE" w:rsidRPr="00726CAE">
        <w:rPr>
          <w:rFonts w:ascii="Times New Roman" w:hAnsi="Times New Roman" w:cs="Times New Roman"/>
          <w:noProof/>
          <w:sz w:val="24"/>
          <w:szCs w:val="24"/>
          <w:vertAlign w:val="superscript"/>
        </w:rPr>
        <w:t>58–60</w:t>
      </w:r>
      <w:r w:rsidRPr="00460059">
        <w:rPr>
          <w:rFonts w:ascii="Times New Roman" w:hAnsi="Times New Roman" w:cs="Times New Roman"/>
          <w:sz w:val="24"/>
          <w:szCs w:val="24"/>
        </w:rPr>
        <w:fldChar w:fldCharType="end"/>
      </w:r>
    </w:p>
    <w:p w14:paraId="4ED124F2" w14:textId="77777777" w:rsidR="0016476C" w:rsidRPr="00460059" w:rsidRDefault="00F72B3D" w:rsidP="00B46701">
      <w:pPr>
        <w:pStyle w:val="Corpotesto"/>
        <w:spacing w:after="0" w:line="360" w:lineRule="auto"/>
        <w:jc w:val="right"/>
        <w:rPr>
          <w:rFonts w:ascii="Times New Roman" w:eastAsia="Times New Roman" w:hAnsi="Times New Roman" w:cs="Times New Roman"/>
          <w:i/>
          <w:sz w:val="24"/>
          <w:szCs w:val="24"/>
          <w:lang w:val="en-GB"/>
        </w:rPr>
      </w:pPr>
      <m:oMath>
        <m:acc>
          <m:accPr>
            <m:ctrlPr>
              <w:rPr>
                <w:rFonts w:ascii="Cambria Math" w:hAnsi="Cambria Math" w:cs="Times New Roman"/>
                <w:i/>
                <w:sz w:val="24"/>
                <w:szCs w:val="24"/>
              </w:rPr>
            </m:ctrlPr>
          </m:accPr>
          <m:e>
            <m:r>
              <w:rPr>
                <w:rFonts w:ascii="Cambria Math" w:hAnsi="Cambria Math" w:cs="Times New Roman"/>
                <w:sz w:val="24"/>
                <w:szCs w:val="24"/>
              </w:rPr>
              <m:t>V</m:t>
            </m:r>
          </m:e>
        </m:acc>
        <m:r>
          <w:rPr>
            <w:rFonts w:ascii="Cambria Math" w:hAnsi="Cambria Math" w:cs="Times New Roman"/>
            <w:sz w:val="24"/>
            <w:szCs w:val="24"/>
            <w:lang w:val="en-GB"/>
          </w:rPr>
          <m:t>=</m:t>
        </m:r>
        <m:nary>
          <m:naryPr>
            <m:chr m:val="∑"/>
            <m:limLoc m:val="undOvr"/>
            <m:supHide m:val="1"/>
            <m:ctrlPr>
              <w:rPr>
                <w:rFonts w:ascii="Cambria Math" w:hAnsi="Cambria Math" w:cs="Times New Roman"/>
                <w:i/>
                <w:sz w:val="24"/>
                <w:szCs w:val="24"/>
                <w:lang w:val="en-GB"/>
              </w:rPr>
            </m:ctrlPr>
          </m:naryPr>
          <m:sub>
            <m:r>
              <w:rPr>
                <w:rFonts w:ascii="Cambria Math" w:hAnsi="Cambria Math" w:cs="Times New Roman"/>
                <w:sz w:val="24"/>
                <w:szCs w:val="24"/>
                <w:lang w:val="en-GB"/>
              </w:rPr>
              <m:t>i</m:t>
            </m:r>
          </m:sub>
          <m:sup/>
          <m:e>
            <m:d>
              <m:dPr>
                <m:ctrlPr>
                  <w:rPr>
                    <w:rFonts w:ascii="Cambria Math" w:hAnsi="Cambria Math" w:cs="Times New Roman"/>
                    <w:i/>
                    <w:sz w:val="24"/>
                    <w:szCs w:val="24"/>
                    <w:lang w:val="en-GB"/>
                  </w:rPr>
                </m:ctrlPr>
              </m:dPr>
              <m:e>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ψ</m:t>
                        </m:r>
                      </m:e>
                      <m:sub>
                        <m:r>
                          <w:rPr>
                            <w:rFonts w:ascii="Cambria Math" w:hAnsi="Cambria Math" w:cs="Times New Roman"/>
                            <w:sz w:val="24"/>
                            <w:szCs w:val="24"/>
                            <w:lang w:val="en-GB"/>
                          </w:rPr>
                          <m:t>i</m:t>
                        </m:r>
                      </m:sub>
                      <m:sup>
                        <m:d>
                          <m:dPr>
                            <m:ctrlPr>
                              <w:rPr>
                                <w:rFonts w:ascii="Cambria Math" w:hAnsi="Cambria Math" w:cs="Times New Roman"/>
                                <w:i/>
                                <w:sz w:val="24"/>
                                <w:szCs w:val="24"/>
                                <w:lang w:val="en-GB"/>
                              </w:rPr>
                            </m:ctrlPr>
                          </m:dPr>
                          <m:e>
                            <m:r>
                              <w:rPr>
                                <w:rFonts w:ascii="Cambria Math" w:hAnsi="Cambria Math" w:cs="Times New Roman"/>
                                <w:sz w:val="24"/>
                                <w:szCs w:val="24"/>
                                <w:lang w:val="en-GB"/>
                              </w:rPr>
                              <m:t>AB</m:t>
                            </m:r>
                          </m:e>
                        </m:d>
                      </m:sup>
                    </m:sSubSup>
                  </m:e>
                </m:d>
                <m:d>
                  <m:dPr>
                    <m:begChr m:val="⟨"/>
                    <m:endChr m:val=""/>
                    <m:ctrlPr>
                      <w:rPr>
                        <w:rFonts w:ascii="Cambria Math" w:hAnsi="Cambria Math" w:cs="Times New Roman"/>
                        <w:i/>
                        <w:sz w:val="24"/>
                        <w:szCs w:val="24"/>
                        <w:lang w:val="en-GB"/>
                      </w:rPr>
                    </m:ctrlPr>
                  </m:dPr>
                  <m:e>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ψ</m:t>
                        </m:r>
                      </m:e>
                      <m:sub>
                        <m:r>
                          <w:rPr>
                            <w:rFonts w:ascii="Cambria Math" w:hAnsi="Cambria Math" w:cs="Times New Roman"/>
                            <w:sz w:val="24"/>
                            <w:szCs w:val="24"/>
                            <w:lang w:val="en-GB"/>
                          </w:rPr>
                          <m:t>i</m:t>
                        </m:r>
                      </m:sub>
                      <m:sup>
                        <m:d>
                          <m:dPr>
                            <m:ctrlPr>
                              <w:rPr>
                                <w:rFonts w:ascii="Cambria Math" w:hAnsi="Cambria Math" w:cs="Times New Roman"/>
                                <w:i/>
                                <w:sz w:val="24"/>
                                <w:szCs w:val="24"/>
                                <w:lang w:val="en-GB"/>
                              </w:rPr>
                            </m:ctrlPr>
                          </m:dPr>
                          <m:e>
                            <m:r>
                              <w:rPr>
                                <w:rFonts w:ascii="Cambria Math" w:hAnsi="Cambria Math" w:cs="Times New Roman"/>
                                <w:sz w:val="24"/>
                                <w:szCs w:val="24"/>
                                <w:lang w:val="en-GB"/>
                              </w:rPr>
                              <m:t>AB</m:t>
                            </m:r>
                          </m:e>
                        </m:d>
                      </m:sup>
                    </m:sSubSup>
                    <m:r>
                      <w:rPr>
                        <w:rFonts w:ascii="Cambria Math" w:hAnsi="Cambria Math" w:cs="Times New Roman"/>
                        <w:sz w:val="24"/>
                        <w:szCs w:val="24"/>
                        <w:lang w:val="en-GB"/>
                      </w:rPr>
                      <m:t>|-</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ψ</m:t>
                            </m:r>
                          </m:e>
                          <m:sub>
                            <m:r>
                              <w:rPr>
                                <w:rFonts w:ascii="Cambria Math" w:hAnsi="Cambria Math" w:cs="Times New Roman"/>
                                <w:sz w:val="24"/>
                                <w:szCs w:val="24"/>
                                <w:lang w:val="en-GB"/>
                              </w:rPr>
                              <m:t>i</m:t>
                            </m:r>
                          </m:sub>
                          <m:sup>
                            <m:r>
                              <w:rPr>
                                <w:rFonts w:ascii="Cambria Math" w:hAnsi="Cambria Math" w:cs="Times New Roman"/>
                                <w:sz w:val="24"/>
                                <w:szCs w:val="24"/>
                                <w:lang w:val="en-GB"/>
                              </w:rPr>
                              <m:t>0</m:t>
                            </m:r>
                          </m:sup>
                        </m:sSubSup>
                      </m:e>
                    </m:d>
                    <m:d>
                      <m:dPr>
                        <m:begChr m:val="⟨"/>
                        <m:endChr m:val=""/>
                        <m:ctrlPr>
                          <w:rPr>
                            <w:rFonts w:ascii="Cambria Math" w:hAnsi="Cambria Math" w:cs="Times New Roman"/>
                            <w:i/>
                            <w:sz w:val="24"/>
                            <w:szCs w:val="24"/>
                            <w:lang w:val="en-GB"/>
                          </w:rPr>
                        </m:ctrlPr>
                      </m:dPr>
                      <m:e>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ψ</m:t>
                            </m:r>
                          </m:e>
                          <m:sub>
                            <m:r>
                              <w:rPr>
                                <w:rFonts w:ascii="Cambria Math" w:hAnsi="Cambria Math" w:cs="Times New Roman"/>
                                <w:sz w:val="24"/>
                                <w:szCs w:val="24"/>
                                <w:lang w:val="en-GB"/>
                              </w:rPr>
                              <m:t>i</m:t>
                            </m:r>
                          </m:sub>
                          <m:sup>
                            <m:r>
                              <w:rPr>
                                <w:rFonts w:ascii="Cambria Math" w:hAnsi="Cambria Math" w:cs="Times New Roman"/>
                                <w:sz w:val="24"/>
                                <w:szCs w:val="24"/>
                                <w:lang w:val="en-GB"/>
                              </w:rPr>
                              <m:t>0</m:t>
                            </m:r>
                          </m:sup>
                        </m:sSubSup>
                        <m:r>
                          <w:rPr>
                            <w:rFonts w:ascii="Cambria Math" w:hAnsi="Cambria Math" w:cs="Times New Roman"/>
                            <w:sz w:val="24"/>
                            <w:szCs w:val="24"/>
                            <w:lang w:val="en-GB"/>
                          </w:rPr>
                          <m:t>|</m:t>
                        </m:r>
                      </m:e>
                    </m:d>
                  </m:e>
                </m:d>
              </m:e>
            </m:d>
          </m:e>
        </m:nary>
      </m:oMath>
      <w:r w:rsidR="0016476C" w:rsidRPr="00460059">
        <w:rPr>
          <w:rFonts w:ascii="Times New Roman" w:eastAsia="Times New Roman" w:hAnsi="Times New Roman" w:cs="Times New Roman"/>
          <w:i/>
          <w:sz w:val="24"/>
          <w:szCs w:val="24"/>
          <w:lang w:val="en-GB"/>
        </w:rPr>
        <w:t xml:space="preserve">                                             </w:t>
      </w:r>
      <w:r w:rsidR="0016476C" w:rsidRPr="00460059">
        <w:rPr>
          <w:rFonts w:ascii="Times New Roman" w:eastAsia="Times New Roman" w:hAnsi="Times New Roman" w:cs="Times New Roman"/>
          <w:iCs/>
          <w:sz w:val="24"/>
          <w:szCs w:val="24"/>
          <w:lang w:val="en-GB"/>
        </w:rPr>
        <w:t>(3)</w:t>
      </w:r>
    </w:p>
    <w:p w14:paraId="1FB31F2C" w14:textId="77777777" w:rsidR="0016476C" w:rsidRPr="00460059" w:rsidRDefault="0016476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lastRenderedPageBreak/>
        <w:t xml:space="preserve">where </w:t>
      </w:r>
      <w:r w:rsidRPr="00460059">
        <w:rPr>
          <w:rFonts w:ascii="Times New Roman" w:hAnsi="Times New Roman" w:cs="Times New Roman"/>
          <w:i/>
          <w:sz w:val="24"/>
          <w:szCs w:val="24"/>
        </w:rPr>
        <w:t>ψ</w:t>
      </w:r>
      <w:r w:rsidRPr="00460059">
        <w:rPr>
          <w:rFonts w:ascii="Times New Roman" w:hAnsi="Times New Roman" w:cs="Times New Roman"/>
          <w:sz w:val="24"/>
          <w:szCs w:val="24"/>
          <w:vertAlign w:val="subscript"/>
        </w:rPr>
        <w:t>i</w:t>
      </w:r>
      <w:r w:rsidRPr="00460059">
        <w:rPr>
          <w:rFonts w:ascii="Times New Roman" w:hAnsi="Times New Roman" w:cs="Times New Roman"/>
          <w:sz w:val="24"/>
          <w:szCs w:val="24"/>
          <w:vertAlign w:val="superscript"/>
        </w:rPr>
        <w:t xml:space="preserve">0 </w:t>
      </w:r>
      <w:r w:rsidRPr="00460059">
        <w:rPr>
          <w:rFonts w:ascii="Times New Roman" w:hAnsi="Times New Roman" w:cs="Times New Roman"/>
          <w:sz w:val="24"/>
          <w:szCs w:val="24"/>
        </w:rPr>
        <w:t xml:space="preserve">is the set of the occupied Kohn−Sham orbitals of fragments A and B, mutually orthonormalized, and </w:t>
      </w:r>
      <w:proofErr w:type="spellStart"/>
      <w:r w:rsidRPr="00460059">
        <w:rPr>
          <w:rFonts w:ascii="Times New Roman" w:hAnsi="Times New Roman" w:cs="Times New Roman"/>
          <w:i/>
          <w:sz w:val="24"/>
          <w:szCs w:val="24"/>
        </w:rPr>
        <w:t>ψ</w:t>
      </w:r>
      <w:r w:rsidRPr="00460059">
        <w:rPr>
          <w:rFonts w:ascii="Times New Roman" w:hAnsi="Times New Roman" w:cs="Times New Roman"/>
          <w:sz w:val="24"/>
          <w:szCs w:val="24"/>
          <w:vertAlign w:val="subscript"/>
        </w:rPr>
        <w:t>i</w:t>
      </w:r>
      <w:proofErr w:type="spellEnd"/>
      <w:r w:rsidRPr="00460059">
        <w:rPr>
          <w:rFonts w:ascii="Times New Roman" w:hAnsi="Times New Roman" w:cs="Times New Roman"/>
          <w:sz w:val="24"/>
          <w:szCs w:val="24"/>
          <w:vertAlign w:val="superscript"/>
        </w:rPr>
        <w:t xml:space="preserve">(AB) </w:t>
      </w:r>
      <w:r w:rsidRPr="00460059">
        <w:rPr>
          <w:rFonts w:ascii="Times New Roman" w:hAnsi="Times New Roman" w:cs="Times New Roman"/>
          <w:sz w:val="24"/>
          <w:szCs w:val="24"/>
        </w:rPr>
        <w:t>is the set of occupied orbitals of the adduct. The NOCVs can be grouped in pairs of complementary orbitals (</w:t>
      </w:r>
      <w:proofErr w:type="spellStart"/>
      <w:r w:rsidRPr="00460059">
        <w:rPr>
          <w:rFonts w:ascii="Times New Roman" w:hAnsi="Times New Roman" w:cs="Times New Roman"/>
          <w:i/>
          <w:sz w:val="24"/>
          <w:szCs w:val="24"/>
        </w:rPr>
        <w:t>φ</w:t>
      </w:r>
      <w:r w:rsidRPr="00460059">
        <w:rPr>
          <w:rFonts w:ascii="Times New Roman" w:hAnsi="Times New Roman" w:cs="Times New Roman"/>
          <w:sz w:val="24"/>
          <w:szCs w:val="24"/>
          <w:vertAlign w:val="subscript"/>
        </w:rPr>
        <w:t>k</w:t>
      </w:r>
      <w:proofErr w:type="spellEnd"/>
      <w:r w:rsidRPr="00460059">
        <w:rPr>
          <w:rFonts w:ascii="Times New Roman" w:hAnsi="Times New Roman" w:cs="Times New Roman"/>
          <w:sz w:val="24"/>
          <w:szCs w:val="24"/>
        </w:rPr>
        <w:t xml:space="preserve">, </w:t>
      </w:r>
      <w:r w:rsidRPr="00460059">
        <w:rPr>
          <w:rFonts w:ascii="Times New Roman" w:hAnsi="Times New Roman" w:cs="Times New Roman"/>
          <w:i/>
          <w:sz w:val="24"/>
          <w:szCs w:val="24"/>
        </w:rPr>
        <w:t>φ</w:t>
      </w:r>
      <w:r w:rsidRPr="00460059">
        <w:rPr>
          <w:rFonts w:ascii="Times New Roman" w:hAnsi="Times New Roman" w:cs="Times New Roman"/>
          <w:sz w:val="24"/>
          <w:szCs w:val="24"/>
          <w:vertAlign w:val="subscript"/>
        </w:rPr>
        <w:t>−k</w:t>
      </w:r>
      <w:r w:rsidRPr="00460059">
        <w:rPr>
          <w:rFonts w:ascii="Times New Roman" w:hAnsi="Times New Roman" w:cs="Times New Roman"/>
          <w:sz w:val="24"/>
          <w:szCs w:val="24"/>
        </w:rPr>
        <w:t>) corresponding to eigenvalues with same absolute value but opposite sign (Eq. 4).</w:t>
      </w:r>
    </w:p>
    <w:p w14:paraId="1155F035" w14:textId="77777777" w:rsidR="0016476C" w:rsidRPr="00460059" w:rsidRDefault="00F72B3D" w:rsidP="00B46701">
      <w:pPr>
        <w:pStyle w:val="Corpotesto"/>
        <w:spacing w:after="0" w:line="360" w:lineRule="auto"/>
        <w:jc w:val="right"/>
        <w:rPr>
          <w:rFonts w:ascii="Times New Roman" w:hAnsi="Times New Roman" w:cs="Times New Roman"/>
          <w:i/>
          <w:sz w:val="24"/>
          <w:szCs w:val="24"/>
          <w:lang w:val="en-GB"/>
        </w:rPr>
      </w:pPr>
      <m:oMath>
        <m:acc>
          <m:accPr>
            <m:ctrlPr>
              <w:rPr>
                <w:rFonts w:ascii="Cambria Math" w:hAnsi="Cambria Math" w:cs="Times New Roman"/>
                <w:i/>
                <w:sz w:val="24"/>
                <w:szCs w:val="24"/>
              </w:rPr>
            </m:ctrlPr>
          </m:accPr>
          <m:e>
            <m:r>
              <w:rPr>
                <w:rFonts w:ascii="Cambria Math" w:hAnsi="Cambria Math" w:cs="Times New Roman"/>
                <w:sz w:val="24"/>
                <w:szCs w:val="24"/>
              </w:rPr>
              <m:t>V</m:t>
            </m:r>
          </m:e>
        </m:acc>
        <m:sSub>
          <m:sSubPr>
            <m:ctrlPr>
              <w:rPr>
                <w:rFonts w:ascii="Cambria Math" w:hAnsi="Cambria Math" w:cs="Times New Roman"/>
                <w:i/>
                <w:sz w:val="24"/>
                <w:szCs w:val="24"/>
                <w:lang w:val="en-GB"/>
              </w:rPr>
            </m:ctrlPr>
          </m:sSubPr>
          <m:e>
            <m:r>
              <w:rPr>
                <w:rFonts w:ascii="Cambria Math" w:hAnsi="Cambria Math" w:cs="Times New Roman"/>
                <w:sz w:val="24"/>
                <w:szCs w:val="24"/>
                <w:lang w:val="en-GB"/>
              </w:rPr>
              <m:t>φ</m:t>
            </m:r>
          </m:e>
          <m:sub>
            <m:r>
              <w:rPr>
                <w:rFonts w:ascii="Cambria Math" w:hAnsi="Cambria Math" w:cs="Times New Roman"/>
                <w:sz w:val="24"/>
                <w:szCs w:val="24"/>
                <w:lang w:val="en-GB"/>
              </w:rPr>
              <m:t>±k</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ν</m:t>
            </m:r>
          </m:e>
          <m:sub>
            <m:r>
              <w:rPr>
                <w:rFonts w:ascii="Cambria Math" w:hAnsi="Cambria Math" w:cs="Times New Roman"/>
                <w:sz w:val="24"/>
                <w:szCs w:val="24"/>
                <w:lang w:val="en-GB"/>
              </w:rPr>
              <m:t>k</m:t>
            </m:r>
          </m:sub>
        </m:sSub>
        <m:sSub>
          <m:sSubPr>
            <m:ctrlPr>
              <w:rPr>
                <w:rFonts w:ascii="Cambria Math" w:hAnsi="Cambria Math" w:cs="Times New Roman"/>
                <w:i/>
                <w:sz w:val="24"/>
                <w:szCs w:val="24"/>
                <w:lang w:val="en-GB"/>
              </w:rPr>
            </m:ctrlPr>
          </m:sSubPr>
          <m:e>
            <m:r>
              <w:rPr>
                <w:rFonts w:ascii="Cambria Math" w:hAnsi="Cambria Math" w:cs="Times New Roman"/>
                <w:sz w:val="24"/>
                <w:szCs w:val="24"/>
                <w:lang w:val="en-GB"/>
              </w:rPr>
              <m:t>φ</m:t>
            </m:r>
          </m:e>
          <m:sub>
            <m:r>
              <w:rPr>
                <w:rFonts w:ascii="Cambria Math" w:hAnsi="Cambria Math" w:cs="Times New Roman"/>
                <w:sz w:val="24"/>
                <w:szCs w:val="24"/>
                <w:lang w:val="en-GB"/>
              </w:rPr>
              <m:t xml:space="preserve">±k </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ν</m:t>
            </m:r>
          </m:e>
          <m:sub>
            <m:r>
              <w:rPr>
                <w:rFonts w:ascii="Cambria Math" w:hAnsi="Cambria Math" w:cs="Times New Roman"/>
                <w:sz w:val="24"/>
                <w:szCs w:val="24"/>
                <w:lang w:val="en-GB"/>
              </w:rPr>
              <m:t>k</m:t>
            </m:r>
          </m:sub>
        </m:sSub>
        <m:r>
          <w:rPr>
            <w:rFonts w:ascii="Cambria Math" w:hAnsi="Cambria Math" w:cs="Times New Roman"/>
            <w:sz w:val="24"/>
            <w:szCs w:val="24"/>
            <w:lang w:val="en-GB"/>
          </w:rPr>
          <m:t>&gt;0)</m:t>
        </m:r>
      </m:oMath>
      <w:r w:rsidR="0016476C" w:rsidRPr="00460059">
        <w:rPr>
          <w:rFonts w:ascii="Times New Roman" w:hAnsi="Times New Roman" w:cs="Times New Roman"/>
          <w:i/>
          <w:sz w:val="24"/>
          <w:szCs w:val="24"/>
          <w:lang w:val="en-GB"/>
        </w:rPr>
        <w:t xml:space="preserve">                                                    </w:t>
      </w:r>
      <w:r w:rsidR="0016476C" w:rsidRPr="00460059">
        <w:rPr>
          <w:rFonts w:ascii="Times New Roman" w:hAnsi="Times New Roman" w:cs="Times New Roman"/>
          <w:iCs/>
          <w:sz w:val="24"/>
          <w:szCs w:val="24"/>
          <w:lang w:val="en-GB"/>
        </w:rPr>
        <w:t>(4)</w:t>
      </w:r>
    </w:p>
    <w:p w14:paraId="1F148DD8" w14:textId="77777777" w:rsidR="0016476C" w:rsidRPr="00460059" w:rsidRDefault="0016476C" w:rsidP="00B46701">
      <w:pPr>
        <w:pStyle w:val="Corpotesto"/>
        <w:spacing w:after="0" w:line="360" w:lineRule="auto"/>
        <w:jc w:val="both"/>
        <w:rPr>
          <w:rFonts w:ascii="Times New Roman" w:hAnsi="Times New Roman" w:cs="Times New Roman"/>
          <w:sz w:val="24"/>
          <w:szCs w:val="24"/>
          <w:lang w:val="en-GB"/>
        </w:rPr>
      </w:pPr>
      <w:r w:rsidRPr="00460059">
        <w:rPr>
          <w:rFonts w:ascii="Times New Roman" w:hAnsi="Times New Roman" w:cs="Times New Roman"/>
          <w:sz w:val="24"/>
          <w:szCs w:val="24"/>
        </w:rPr>
        <w:t xml:space="preserve">where </w:t>
      </w:r>
      <w:r w:rsidRPr="00460059">
        <w:rPr>
          <w:rFonts w:ascii="Times New Roman" w:hAnsi="Times New Roman" w:cs="Times New Roman"/>
          <w:i/>
          <w:sz w:val="24"/>
          <w:szCs w:val="24"/>
        </w:rPr>
        <w:t>k</w:t>
      </w:r>
      <w:r w:rsidRPr="00460059">
        <w:rPr>
          <w:rFonts w:ascii="Times New Roman" w:hAnsi="Times New Roman" w:cs="Times New Roman"/>
          <w:sz w:val="24"/>
          <w:szCs w:val="24"/>
        </w:rPr>
        <w:t xml:space="preserve"> numbers the NOCV pairs (</w:t>
      </w:r>
      <w:r w:rsidRPr="00460059">
        <w:rPr>
          <w:rFonts w:ascii="Times New Roman" w:hAnsi="Times New Roman" w:cs="Times New Roman"/>
          <w:i/>
          <w:sz w:val="24"/>
          <w:szCs w:val="24"/>
        </w:rPr>
        <w:t>k</w:t>
      </w:r>
      <w:r w:rsidRPr="00460059">
        <w:rPr>
          <w:rFonts w:ascii="Times New Roman" w:hAnsi="Times New Roman" w:cs="Times New Roman"/>
          <w:sz w:val="24"/>
          <w:szCs w:val="24"/>
        </w:rPr>
        <w:t xml:space="preserve"> = 0 for the largest value of |</w:t>
      </w:r>
      <w:proofErr w:type="spellStart"/>
      <w:r w:rsidRPr="00460059">
        <w:rPr>
          <w:rFonts w:ascii="Times New Roman" w:hAnsi="Times New Roman" w:cs="Times New Roman"/>
          <w:i/>
          <w:sz w:val="24"/>
          <w:szCs w:val="24"/>
        </w:rPr>
        <w:t>ν</w:t>
      </w:r>
      <w:r w:rsidRPr="00460059">
        <w:rPr>
          <w:rFonts w:ascii="Times New Roman" w:hAnsi="Times New Roman" w:cs="Times New Roman"/>
          <w:sz w:val="24"/>
          <w:szCs w:val="24"/>
          <w:vertAlign w:val="subscript"/>
        </w:rPr>
        <w:t>k</w:t>
      </w:r>
      <w:proofErr w:type="spellEnd"/>
      <w:r w:rsidRPr="00460059">
        <w:rPr>
          <w:rFonts w:ascii="Times New Roman" w:hAnsi="Times New Roman" w:cs="Times New Roman"/>
          <w:sz w:val="24"/>
          <w:szCs w:val="24"/>
        </w:rPr>
        <w:t xml:space="preserve">|). In this framework, </w:t>
      </w:r>
      <w:proofErr w:type="spellStart"/>
      <w:r w:rsidRPr="00460059">
        <w:rPr>
          <w:rFonts w:ascii="Times New Roman" w:hAnsi="Times New Roman" w:cs="Times New Roman"/>
          <w:sz w:val="24"/>
          <w:szCs w:val="24"/>
          <w:lang w:val="en-GB"/>
        </w:rPr>
        <w:t>Δ</w:t>
      </w:r>
      <w:r w:rsidRPr="00460059">
        <w:rPr>
          <w:rFonts w:ascii="Times New Roman" w:hAnsi="Times New Roman" w:cs="Times New Roman"/>
          <w:i/>
          <w:sz w:val="24"/>
          <w:szCs w:val="24"/>
          <w:lang w:val="en-GB"/>
        </w:rPr>
        <w:t>ρ</w:t>
      </w:r>
      <w:proofErr w:type="spellEnd"/>
      <w:r w:rsidRPr="00460059">
        <w:rPr>
          <w:rFonts w:ascii="Times New Roman" w:hAnsi="Times New Roman" w:cs="Times New Roman"/>
          <w:sz w:val="24"/>
          <w:szCs w:val="24"/>
          <w:lang w:val="en-GB"/>
        </w:rPr>
        <w:t>’ can be defined as in Eq. 5.</w:t>
      </w:r>
    </w:p>
    <w:p w14:paraId="72184EA9" w14:textId="77777777" w:rsidR="0016476C" w:rsidRPr="00460059" w:rsidRDefault="0016476C" w:rsidP="00B46701">
      <w:pPr>
        <w:pStyle w:val="Corpotesto"/>
        <w:spacing w:after="0" w:line="360" w:lineRule="auto"/>
        <w:jc w:val="right"/>
        <w:rPr>
          <w:rFonts w:ascii="Times New Roman" w:eastAsia="Times New Roman" w:hAnsi="Times New Roman" w:cs="Times New Roman"/>
          <w:i/>
          <w:sz w:val="24"/>
          <w:szCs w:val="24"/>
        </w:rPr>
      </w:pPr>
      <m:oMath>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ρ</m:t>
            </m:r>
          </m:e>
          <m:sup>
            <m:r>
              <w:rPr>
                <w:rFonts w:ascii="Cambria Math" w:hAnsi="Cambria Math" w:cs="Times New Roman"/>
                <w:sz w:val="24"/>
                <w:szCs w:val="24"/>
              </w:rPr>
              <m:t>'</m:t>
            </m:r>
          </m:sup>
        </m:sSup>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k</m:t>
            </m:r>
          </m:sub>
          <m:sup/>
          <m:e>
            <m:sSub>
              <m:sSubPr>
                <m:ctrlPr>
                  <w:rPr>
                    <w:rFonts w:ascii="Cambria Math" w:hAnsi="Cambria Math" w:cs="Times New Roman"/>
                    <w:i/>
                    <w:sz w:val="24"/>
                    <w:szCs w:val="24"/>
                  </w:rPr>
                </m:ctrlPr>
              </m:sSubPr>
              <m:e>
                <m:r>
                  <w:rPr>
                    <w:rFonts w:ascii="Cambria Math" w:hAnsi="Cambria Math" w:cs="Times New Roman"/>
                    <w:sz w:val="24"/>
                    <w:szCs w:val="24"/>
                  </w:rPr>
                  <m:t>ν</m:t>
                </m:r>
              </m:e>
              <m:sub>
                <m:r>
                  <w:rPr>
                    <w:rFonts w:ascii="Cambria Math" w:hAnsi="Cambria Math" w:cs="Times New Roman"/>
                    <w:sz w:val="24"/>
                    <w:szCs w:val="24"/>
                  </w:rPr>
                  <m:t>k</m:t>
                </m:r>
              </m:sub>
            </m:sSub>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k</m:t>
                        </m:r>
                      </m:sub>
                    </m:sSub>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-k</m:t>
                        </m:r>
                      </m:sub>
                    </m:sSub>
                    <m:r>
                      <w:rPr>
                        <w:rFonts w:ascii="Cambria Math" w:hAnsi="Cambria Math" w:cs="Times New Roman"/>
                        <w:sz w:val="24"/>
                        <w:szCs w:val="24"/>
                      </w:rPr>
                      <m:t>|</m:t>
                    </m:r>
                  </m:e>
                  <m:sup>
                    <m:r>
                      <w:rPr>
                        <w:rFonts w:ascii="Cambria Math" w:hAnsi="Cambria Math" w:cs="Times New Roman"/>
                        <w:sz w:val="24"/>
                        <w:szCs w:val="24"/>
                      </w:rPr>
                      <m:t>2</m:t>
                    </m:r>
                  </m:sup>
                </m:sSup>
              </m:e>
            </m:d>
          </m:e>
        </m:nary>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k</m:t>
            </m:r>
          </m:sub>
          <m:sup/>
          <m:e>
            <m: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k</m:t>
                </m:r>
              </m:sub>
            </m:sSub>
          </m:e>
        </m:nary>
      </m:oMath>
      <w:r w:rsidRPr="00460059">
        <w:rPr>
          <w:rFonts w:ascii="Times New Roman" w:eastAsia="Times New Roman" w:hAnsi="Times New Roman" w:cs="Times New Roman"/>
          <w:i/>
          <w:sz w:val="24"/>
          <w:szCs w:val="24"/>
        </w:rPr>
        <w:t xml:space="preserve">                                         </w:t>
      </w:r>
      <w:r w:rsidRPr="00460059">
        <w:rPr>
          <w:rFonts w:ascii="Times New Roman" w:eastAsia="Times New Roman" w:hAnsi="Times New Roman" w:cs="Times New Roman"/>
          <w:iCs/>
          <w:sz w:val="24"/>
          <w:szCs w:val="24"/>
        </w:rPr>
        <w:t>(5)</w:t>
      </w:r>
    </w:p>
    <w:p w14:paraId="16633615" w14:textId="6F89C6F7" w:rsidR="00D03F9E" w:rsidRPr="00460059" w:rsidRDefault="0016476C"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t xml:space="preserve">For each value of </w:t>
      </w:r>
      <w:r w:rsidRPr="00460059">
        <w:rPr>
          <w:rFonts w:ascii="Times New Roman" w:hAnsi="Times New Roman" w:cs="Times New Roman"/>
          <w:i/>
          <w:sz w:val="24"/>
          <w:szCs w:val="24"/>
        </w:rPr>
        <w:t>k</w:t>
      </w:r>
      <w:r w:rsidRPr="00460059">
        <w:rPr>
          <w:rFonts w:ascii="Times New Roman" w:hAnsi="Times New Roman" w:cs="Times New Roman"/>
          <w:sz w:val="24"/>
          <w:szCs w:val="24"/>
        </w:rPr>
        <w:t xml:space="preserve">, an energy contribution associated with the </w:t>
      </w:r>
      <w:r w:rsidRPr="00460059">
        <w:rPr>
          <w:rFonts w:ascii="Times New Roman" w:hAnsi="Times New Roman" w:cs="Times New Roman"/>
          <w:i/>
          <w:sz w:val="24"/>
          <w:szCs w:val="24"/>
        </w:rPr>
        <w:t>k</w:t>
      </w:r>
      <w:r w:rsidRPr="00460059">
        <w:rPr>
          <w:rFonts w:ascii="Times New Roman" w:hAnsi="Times New Roman" w:cs="Times New Roman"/>
          <w:sz w:val="24"/>
          <w:szCs w:val="24"/>
        </w:rPr>
        <w:t>-</w:t>
      </w:r>
      <w:proofErr w:type="spellStart"/>
      <w:r w:rsidRPr="00460059">
        <w:rPr>
          <w:rFonts w:ascii="Times New Roman" w:hAnsi="Times New Roman" w:cs="Times New Roman"/>
          <w:sz w:val="24"/>
          <w:szCs w:val="24"/>
        </w:rPr>
        <w:t>th</w:t>
      </w:r>
      <w:proofErr w:type="spellEnd"/>
      <w:r w:rsidRPr="00460059">
        <w:rPr>
          <w:rFonts w:ascii="Times New Roman" w:hAnsi="Times New Roman" w:cs="Times New Roman"/>
          <w:sz w:val="24"/>
          <w:szCs w:val="24"/>
        </w:rPr>
        <w:t xml:space="preserve"> NOCV pair is given.</w:t>
      </w:r>
      <w:r w:rsidR="00C21A2A" w:rsidRPr="00460059">
        <w:rPr>
          <w:rFonts w:ascii="Times New Roman" w:hAnsi="Times New Roman" w:cs="Times New Roman"/>
          <w:sz w:val="24"/>
          <w:szCs w:val="24"/>
        </w:rPr>
        <w:t xml:space="preserve"> </w:t>
      </w:r>
      <w:r w:rsidR="001F3BEC" w:rsidRPr="00460059">
        <w:rPr>
          <w:rFonts w:ascii="Times New Roman" w:hAnsi="Times New Roman" w:cs="Times New Roman"/>
          <w:sz w:val="24"/>
          <w:szCs w:val="24"/>
        </w:rPr>
        <w:t xml:space="preserve">Now the different </w:t>
      </w:r>
      <w:proofErr w:type="spellStart"/>
      <w:r w:rsidR="001F3BEC" w:rsidRPr="00460059">
        <w:rPr>
          <w:rFonts w:ascii="Times New Roman" w:hAnsi="Times New Roman" w:cs="Times New Roman"/>
          <w:sz w:val="24"/>
          <w:szCs w:val="24"/>
        </w:rPr>
        <w:t>Δρ’</w:t>
      </w:r>
      <w:r w:rsidR="001F3BEC" w:rsidRPr="00460059">
        <w:rPr>
          <w:rFonts w:ascii="Times New Roman" w:hAnsi="Times New Roman" w:cs="Times New Roman"/>
          <w:sz w:val="24"/>
          <w:szCs w:val="24"/>
          <w:vertAlign w:val="subscript"/>
        </w:rPr>
        <w:t>k</w:t>
      </w:r>
      <w:proofErr w:type="spellEnd"/>
      <w:r w:rsidR="001F3BEC" w:rsidRPr="00460059">
        <w:rPr>
          <w:rFonts w:ascii="Times New Roman" w:hAnsi="Times New Roman" w:cs="Times New Roman"/>
          <w:sz w:val="24"/>
          <w:szCs w:val="24"/>
        </w:rPr>
        <w:t xml:space="preserve"> can be separately integrated using Eq. 2.</w:t>
      </w:r>
      <w:r w:rsidR="00485768" w:rsidRPr="00460059">
        <w:rPr>
          <w:rFonts w:ascii="Times New Roman" w:hAnsi="Times New Roman" w:cs="Times New Roman"/>
          <w:sz w:val="24"/>
          <w:szCs w:val="24"/>
        </w:rPr>
        <w:fldChar w:fldCharType="begin" w:fldLock="1"/>
      </w:r>
      <w:r w:rsidR="00726CAE">
        <w:rPr>
          <w:rFonts w:ascii="Times New Roman" w:hAnsi="Times New Roman" w:cs="Times New Roman"/>
          <w:sz w:val="24"/>
          <w:szCs w:val="24"/>
        </w:rPr>
        <w:instrText>ADDIN CSL_CITATION {"citationItems":[{"id":"ITEM-1","itemData":{"DOI":"10.1021/acs.jctc.8b00915","ISSN":"15499626","abstract":"The development of post-Hartree–Fock (post-HF) energy decomposition schemes that are able to decompose the HF and correlation components of the interaction energy into chemically meaningful contributions is a very active field of research. One of the challenges is to provide a clear-cut quantification to the elusive London dispersion component of the intermolecular interaction. London dispersion is well-known to be a pure correlation effect, and as such it is not properly described by mean field theories. In this context, we have recently developed the local energy decomposition (LED) analysis, which provides a chemically meaningful decomposition of the interaction energy between two or more fragments computed at the domain-based local pair natural orbitals coupled cluster (DLPNO-CCSD(T)) level of theory. In this work, this scheme is used in conjunction with other interpretation tools to study a series of molecular adducts held together by intermolecular interactions of different natures. The HF and corre...","author":[{"dropping-particle":"","family":"Altun","given":"Ahmet","non-dropping-particle":"","parse-names":false,"suffix":""},{"dropping-particle":"","family":"Neese","given":"Frank","non-dropping-particle":"","parse-names":false,"suffix":""},{"dropping-particle":"","family":"Bistoni","given":"Giovanni","non-dropping-particle":"","parse-names":false,"suffix":""}],"container-title":"Journal of Chemical Theory and Computation","id":"ITEM-1","issue":"1","issued":{"date-parts":[["2019","12","13"]]},"page":"215-228","publisher":"American Chemical Society","title":"Effect of Electron Correlation on Intermolecular Interactions: A Pair Natural Orbitals Coupled Cluster Based Local Energy Decomposition Study","type":"article-journal","volume":"15"},"uris":["http://www.mendeley.com/documents/?uuid=aac843bd-84cc-324a-880d-701228d49694"]},{"id":"ITEM-2","itemData":{"DOI":"10.1063/1.4908537","ISSN":"00219606","abstract":"We recently devised a simple scheme for analyzing on quantitative grounds the Dewar-Chatt-Duncanson donation and back-donation in symmetric coordination complexes. Our approach is based on a symmetry decomposition of the so called Charge-Displacement (CD) function quantifying the charge flow, upon formation of a metal (M)-substrate (S) bond, along the M-S interaction axis and provides clear-cut measures of donation and back-donation charges in correlation with experimental observables [G. Bistoni et al., Angew. Chem., Int. Ed. 52, 11599 (2013)]. The symmetry constraints exclude of course from the analysis most systems of interest in coordination chemistry. In this paper, we show how to entirely overcome this limitation by taking advantage of the properties of the natural orbitals for chemical valence [M. Mitoraj and A. Michalak, J. Mol. Model. 13, 347 (2007)]. A general scheme for disentangling donation and back-donation in the CD function of both symmetric and non-symmetric systems is presented and illustrated through applications to M-ethyne (M = Au, Ni and W) coordination bonds, including an explicative study on substrate activation in a model reaction mechanism.","author":[{"dropping-particle":"","family":"Bistoni","given":"Giovanni","non-dropping-particle":"","parse-names":false,"suffix":""},{"dropping-particle":"","family":"Rampino","given":"Sergio","non-dropping-particle":"","parse-names":false,"suffix":""},{"dropping-particle":"","family":"Tarantelli","given":"Francesco","non-dropping-particle":"","parse-names":false,"suffix":""},{"dropping-particle":"","family":"Belpassi","given":"Leonardo","non-dropping-particle":"","parse-names":false,"suffix":""}],"container-title":"Journal of Chemical Physics","id":"ITEM-2","issue":"8","issued":{"date-parts":[["2015","2","28"]]},"page":"084112","publisher":"AIP Publishing LLC","title":"Charge-displacement analysis via natural orbitals for chemical valence: Charge transfer effects in coordination chemistry","type":"article-journal","volume":"142"},"uris":["http://www.mendeley.com/documents/?uuid=bebea8d3-7ce9-40b2-9346-c075163c6341"]}],"mendeley":{"formattedCitation":"&lt;sup&gt;28,61&lt;/sup&gt;","plainTextFormattedCitation":"28,61","previouslyFormattedCitation":"&lt;sup&gt;28,60&lt;/sup&gt;"},"properties":{"noteIndex":0},"schema":"https://github.com/citation-style-language/schema/raw/master/csl-citation.json"}</w:instrText>
      </w:r>
      <w:r w:rsidR="00485768" w:rsidRPr="00460059">
        <w:rPr>
          <w:rFonts w:ascii="Times New Roman" w:hAnsi="Times New Roman" w:cs="Times New Roman"/>
          <w:sz w:val="24"/>
          <w:szCs w:val="24"/>
        </w:rPr>
        <w:fldChar w:fldCharType="separate"/>
      </w:r>
      <w:r w:rsidR="00726CAE" w:rsidRPr="00726CAE">
        <w:rPr>
          <w:rFonts w:ascii="Times New Roman" w:hAnsi="Times New Roman" w:cs="Times New Roman"/>
          <w:noProof/>
          <w:sz w:val="24"/>
          <w:szCs w:val="24"/>
          <w:vertAlign w:val="superscript"/>
        </w:rPr>
        <w:t>28,61</w:t>
      </w:r>
      <w:r w:rsidR="00485768" w:rsidRPr="00460059">
        <w:rPr>
          <w:rFonts w:ascii="Times New Roman" w:hAnsi="Times New Roman" w:cs="Times New Roman"/>
          <w:sz w:val="24"/>
          <w:szCs w:val="24"/>
        </w:rPr>
        <w:fldChar w:fldCharType="end"/>
      </w:r>
    </w:p>
    <w:p w14:paraId="1E2BD79A" w14:textId="12FAEFD6" w:rsidR="00B2296C" w:rsidRPr="00460059" w:rsidRDefault="00B2296C" w:rsidP="00B46701">
      <w:pPr>
        <w:pStyle w:val="Corpotesto"/>
        <w:spacing w:after="0" w:line="360" w:lineRule="auto"/>
        <w:jc w:val="both"/>
        <w:rPr>
          <w:rFonts w:ascii="Times New Roman" w:hAnsi="Times New Roman" w:cs="Times New Roman"/>
          <w:sz w:val="24"/>
          <w:szCs w:val="24"/>
        </w:rPr>
      </w:pPr>
    </w:p>
    <w:p w14:paraId="1362FC83" w14:textId="77777777" w:rsidR="00B2296C" w:rsidRPr="00460059" w:rsidRDefault="00B2296C" w:rsidP="00B2296C">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caps/>
          <w:sz w:val="24"/>
          <w:szCs w:val="24"/>
        </w:rPr>
        <w:t>A</w:t>
      </w:r>
      <w:r w:rsidRPr="00460059">
        <w:rPr>
          <w:rFonts w:ascii="Times New Roman" w:hAnsi="Times New Roman" w:cs="Times New Roman"/>
          <w:b/>
          <w:bCs/>
          <w:sz w:val="24"/>
          <w:szCs w:val="24"/>
        </w:rPr>
        <w:t>cknowledgements</w:t>
      </w:r>
    </w:p>
    <w:p w14:paraId="577DE93B" w14:textId="77777777" w:rsidR="00B2296C" w:rsidRPr="00460059" w:rsidRDefault="00B2296C" w:rsidP="00B2296C">
      <w:pPr>
        <w:pStyle w:val="Corpotesto"/>
        <w:spacing w:after="0" w:line="360" w:lineRule="auto"/>
        <w:jc w:val="both"/>
        <w:rPr>
          <w:rFonts w:ascii="Times New Roman" w:hAnsi="Times New Roman" w:cs="Times New Roman"/>
          <w:bCs/>
          <w:sz w:val="24"/>
          <w:szCs w:val="24"/>
        </w:rPr>
      </w:pPr>
      <w:r w:rsidRPr="00460059">
        <w:rPr>
          <w:rFonts w:ascii="Times New Roman" w:hAnsi="Times New Roman" w:cs="Times New Roman"/>
          <w:bCs/>
          <w:sz w:val="24"/>
          <w:szCs w:val="24"/>
        </w:rPr>
        <w:t xml:space="preserve">This work was supported by the University of Pisa (PRA_2018_36 grant). LR is thankful to the University of East Anglia for support. </w:t>
      </w:r>
    </w:p>
    <w:p w14:paraId="14696CC1" w14:textId="77777777" w:rsidR="00B2296C" w:rsidRPr="00460059" w:rsidRDefault="00B2296C" w:rsidP="00B2296C">
      <w:pPr>
        <w:pStyle w:val="Corpotesto"/>
        <w:spacing w:after="0" w:line="360" w:lineRule="auto"/>
        <w:rPr>
          <w:rFonts w:ascii="Times New Roman" w:hAnsi="Times New Roman" w:cs="Times New Roman"/>
          <w:bCs/>
          <w:sz w:val="24"/>
          <w:szCs w:val="24"/>
        </w:rPr>
      </w:pPr>
    </w:p>
    <w:p w14:paraId="2B7DE64E" w14:textId="77777777" w:rsidR="00B2296C" w:rsidRPr="00460059" w:rsidRDefault="00B2296C" w:rsidP="00B2296C">
      <w:pPr>
        <w:pStyle w:val="Corpotesto"/>
        <w:spacing w:after="0" w:line="360" w:lineRule="auto"/>
        <w:rPr>
          <w:rFonts w:ascii="Times New Roman" w:hAnsi="Times New Roman" w:cs="Times New Roman"/>
          <w:b/>
          <w:bCs/>
          <w:sz w:val="24"/>
          <w:szCs w:val="24"/>
        </w:rPr>
      </w:pPr>
      <w:r w:rsidRPr="00460059">
        <w:rPr>
          <w:rFonts w:ascii="Times New Roman" w:hAnsi="Times New Roman" w:cs="Times New Roman"/>
          <w:b/>
          <w:bCs/>
          <w:sz w:val="24"/>
          <w:szCs w:val="24"/>
        </w:rPr>
        <w:t>Conflicts of interest</w:t>
      </w:r>
    </w:p>
    <w:p w14:paraId="17F90F09" w14:textId="77777777" w:rsidR="00B2296C" w:rsidRPr="00460059" w:rsidRDefault="00B2296C" w:rsidP="00B2296C">
      <w:pPr>
        <w:pStyle w:val="Corpotesto"/>
        <w:spacing w:after="0" w:line="360" w:lineRule="auto"/>
        <w:rPr>
          <w:rFonts w:ascii="Times New Roman" w:hAnsi="Times New Roman" w:cs="Times New Roman"/>
          <w:bCs/>
          <w:sz w:val="24"/>
          <w:szCs w:val="24"/>
        </w:rPr>
      </w:pPr>
      <w:r w:rsidRPr="00460059">
        <w:rPr>
          <w:rFonts w:ascii="Times New Roman" w:hAnsi="Times New Roman" w:cs="Times New Roman"/>
          <w:bCs/>
          <w:sz w:val="24"/>
          <w:szCs w:val="24"/>
        </w:rPr>
        <w:t>There are no conflicts to declare.</w:t>
      </w:r>
    </w:p>
    <w:p w14:paraId="3890C1E6" w14:textId="77777777" w:rsidR="007D33EE" w:rsidRPr="00460059" w:rsidRDefault="007D33EE" w:rsidP="00B46701">
      <w:pPr>
        <w:pStyle w:val="Corpotesto"/>
        <w:spacing w:after="0" w:line="360" w:lineRule="auto"/>
        <w:jc w:val="both"/>
        <w:rPr>
          <w:rFonts w:ascii="Times New Roman" w:hAnsi="Times New Roman" w:cs="Times New Roman"/>
          <w:sz w:val="24"/>
          <w:szCs w:val="24"/>
        </w:rPr>
      </w:pPr>
    </w:p>
    <w:p w14:paraId="7AFCDA71" w14:textId="4EDABCFB" w:rsidR="00911D53" w:rsidRPr="00460059" w:rsidRDefault="007D33EE" w:rsidP="00B46701">
      <w:pPr>
        <w:pStyle w:val="Corpotesto"/>
        <w:spacing w:after="0" w:line="360" w:lineRule="auto"/>
        <w:jc w:val="both"/>
        <w:rPr>
          <w:rFonts w:ascii="Times New Roman" w:hAnsi="Times New Roman" w:cs="Times New Roman"/>
          <w:b/>
          <w:sz w:val="24"/>
          <w:szCs w:val="24"/>
        </w:rPr>
      </w:pPr>
      <w:r w:rsidRPr="00460059">
        <w:rPr>
          <w:rFonts w:ascii="Times New Roman" w:hAnsi="Times New Roman" w:cs="Times New Roman"/>
          <w:b/>
          <w:sz w:val="24"/>
          <w:szCs w:val="24"/>
        </w:rPr>
        <w:t>References</w:t>
      </w:r>
    </w:p>
    <w:p w14:paraId="30FC8F3A" w14:textId="5113E2D9" w:rsidR="00726CAE" w:rsidRPr="00726CAE" w:rsidRDefault="00911D53"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460059">
        <w:rPr>
          <w:rFonts w:ascii="Times New Roman" w:hAnsi="Times New Roman" w:cs="Times New Roman"/>
          <w:sz w:val="24"/>
          <w:szCs w:val="24"/>
        </w:rPr>
        <w:fldChar w:fldCharType="begin" w:fldLock="1"/>
      </w:r>
      <w:r w:rsidRPr="00460059">
        <w:rPr>
          <w:rFonts w:ascii="Times New Roman" w:hAnsi="Times New Roman" w:cs="Times New Roman"/>
          <w:sz w:val="24"/>
          <w:szCs w:val="24"/>
        </w:rPr>
        <w:instrText xml:space="preserve">ADDIN Mendeley Bibliography CSL_BIBLIOGRAPHY </w:instrText>
      </w:r>
      <w:r w:rsidRPr="00460059">
        <w:rPr>
          <w:rFonts w:ascii="Times New Roman" w:hAnsi="Times New Roman" w:cs="Times New Roman"/>
          <w:sz w:val="24"/>
          <w:szCs w:val="24"/>
        </w:rPr>
        <w:fldChar w:fldCharType="separate"/>
      </w:r>
      <w:r w:rsidR="00726CAE" w:rsidRPr="00726CAE">
        <w:rPr>
          <w:rFonts w:ascii="Times New Roman" w:hAnsi="Times New Roman" w:cs="Times New Roman"/>
          <w:noProof/>
          <w:sz w:val="24"/>
          <w:szCs w:val="24"/>
        </w:rPr>
        <w:t xml:space="preserve">(1) </w:t>
      </w:r>
      <w:r w:rsidR="00726CAE" w:rsidRPr="00726CAE">
        <w:rPr>
          <w:rFonts w:ascii="Times New Roman" w:hAnsi="Times New Roman" w:cs="Times New Roman"/>
          <w:noProof/>
          <w:sz w:val="24"/>
          <w:szCs w:val="24"/>
        </w:rPr>
        <w:tab/>
        <w:t xml:space="preserve">Politzer, P.; Murray, J. S.; Clark, T. Halogen Bonding and Other σ-Hole Interactions: A Perspective. </w:t>
      </w:r>
      <w:r w:rsidR="00726CAE" w:rsidRPr="00726CAE">
        <w:rPr>
          <w:rFonts w:ascii="Times New Roman" w:hAnsi="Times New Roman" w:cs="Times New Roman"/>
          <w:i/>
          <w:iCs/>
          <w:noProof/>
          <w:sz w:val="24"/>
          <w:szCs w:val="24"/>
        </w:rPr>
        <w:t>Physical Chemistry Chemical Physics</w:t>
      </w:r>
      <w:r w:rsidR="00726CAE" w:rsidRPr="00726CAE">
        <w:rPr>
          <w:rFonts w:ascii="Times New Roman" w:hAnsi="Times New Roman" w:cs="Times New Roman"/>
          <w:noProof/>
          <w:sz w:val="24"/>
          <w:szCs w:val="24"/>
        </w:rPr>
        <w:t>. The Royal Society of Chemistry June 18, 2013, pp 11178–11189. https://doi.org/10.1039/c3cp00054k.</w:t>
      </w:r>
    </w:p>
    <w:p w14:paraId="640F60E9"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 </w:t>
      </w:r>
      <w:r w:rsidRPr="00726CAE">
        <w:rPr>
          <w:rFonts w:ascii="Times New Roman" w:hAnsi="Times New Roman" w:cs="Times New Roman"/>
          <w:noProof/>
          <w:sz w:val="24"/>
          <w:szCs w:val="24"/>
        </w:rPr>
        <w:tab/>
        <w:t xml:space="preserve">Wang, H.; Bisoyi, H. K.; Urbas, A. M.; Bunning, T. J.; Li, Q. The Halogen Bond: An Emerging Supramolecular Tool in the Design of Functional Mesomorphic Materials. </w:t>
      </w:r>
      <w:r w:rsidRPr="00726CAE">
        <w:rPr>
          <w:rFonts w:ascii="Times New Roman" w:hAnsi="Times New Roman" w:cs="Times New Roman"/>
          <w:i/>
          <w:iCs/>
          <w:noProof/>
          <w:sz w:val="24"/>
          <w:szCs w:val="24"/>
        </w:rPr>
        <w:t>Chem. - A Eur. J.</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25</w:t>
      </w:r>
      <w:r w:rsidRPr="00726CAE">
        <w:rPr>
          <w:rFonts w:ascii="Times New Roman" w:hAnsi="Times New Roman" w:cs="Times New Roman"/>
          <w:noProof/>
          <w:sz w:val="24"/>
          <w:szCs w:val="24"/>
        </w:rPr>
        <w:t xml:space="preserve"> (6), 1369–1378. https://doi.org/10.1002/chem.201802927.</w:t>
      </w:r>
    </w:p>
    <w:p w14:paraId="3D05B75E"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 </w:t>
      </w:r>
      <w:r w:rsidRPr="00726CAE">
        <w:rPr>
          <w:rFonts w:ascii="Times New Roman" w:hAnsi="Times New Roman" w:cs="Times New Roman"/>
          <w:noProof/>
          <w:sz w:val="24"/>
          <w:szCs w:val="24"/>
        </w:rPr>
        <w:tab/>
        <w:t xml:space="preserve">Cavallo, G.; Metrangolo, P.; Milani, R.; Pilati, T.; Priimagi, A.; Resnati, G.; Terraneo, G. The Halogen Bond. </w:t>
      </w:r>
      <w:r w:rsidRPr="00726CAE">
        <w:rPr>
          <w:rFonts w:ascii="Times New Roman" w:hAnsi="Times New Roman" w:cs="Times New Roman"/>
          <w:i/>
          <w:iCs/>
          <w:noProof/>
          <w:sz w:val="24"/>
          <w:szCs w:val="24"/>
        </w:rPr>
        <w:t>Chem. Rev.</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2016</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116</w:t>
      </w:r>
      <w:r w:rsidRPr="00726CAE">
        <w:rPr>
          <w:rFonts w:ascii="Times New Roman" w:hAnsi="Times New Roman" w:cs="Times New Roman"/>
          <w:noProof/>
          <w:sz w:val="24"/>
          <w:szCs w:val="24"/>
        </w:rPr>
        <w:t xml:space="preserve"> (4), 2478–2601. https://doi.org/10.1021/acs.chemrev.5b00484.</w:t>
      </w:r>
    </w:p>
    <w:p w14:paraId="1F585A22"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 </w:t>
      </w:r>
      <w:r w:rsidRPr="00726CAE">
        <w:rPr>
          <w:rFonts w:ascii="Times New Roman" w:hAnsi="Times New Roman" w:cs="Times New Roman"/>
          <w:noProof/>
          <w:sz w:val="24"/>
          <w:szCs w:val="24"/>
        </w:rPr>
        <w:tab/>
        <w:t xml:space="preserve">Desiraju, G. R.; Ho, P. S.; Kloo, L.; Legon, A. C.; Marquardt, R.; Metrangolo, P.; Politzer, P.; Resnati, G.; Rissanen, K. Definition of the Halogen Bond (IUPAC Recommendations 2013). </w:t>
      </w:r>
      <w:r w:rsidRPr="00726CAE">
        <w:rPr>
          <w:rFonts w:ascii="Times New Roman" w:hAnsi="Times New Roman" w:cs="Times New Roman"/>
          <w:i/>
          <w:iCs/>
          <w:noProof/>
          <w:sz w:val="24"/>
          <w:szCs w:val="24"/>
        </w:rPr>
        <w:t>Pure Appl.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85</w:t>
      </w:r>
      <w:r w:rsidRPr="00726CAE">
        <w:rPr>
          <w:rFonts w:ascii="Times New Roman" w:hAnsi="Times New Roman" w:cs="Times New Roman"/>
          <w:noProof/>
          <w:sz w:val="24"/>
          <w:szCs w:val="24"/>
        </w:rPr>
        <w:t xml:space="preserve"> (8), 1711–1713. https://doi.org/10.1351/PAC-REC-12-05-10.</w:t>
      </w:r>
    </w:p>
    <w:p w14:paraId="1B867AA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 </w:t>
      </w:r>
      <w:r w:rsidRPr="00726CAE">
        <w:rPr>
          <w:rFonts w:ascii="Times New Roman" w:hAnsi="Times New Roman" w:cs="Times New Roman"/>
          <w:noProof/>
          <w:sz w:val="24"/>
          <w:szCs w:val="24"/>
        </w:rPr>
        <w:tab/>
        <w:t xml:space="preserve">Pascoe, D. J.; Ling, K. B.; Cockroft, S. L. The Origin of Chalcogen-Bonding Interactions. </w:t>
      </w:r>
      <w:r w:rsidRPr="00726CAE">
        <w:rPr>
          <w:rFonts w:ascii="Times New Roman" w:hAnsi="Times New Roman" w:cs="Times New Roman"/>
          <w:i/>
          <w:iCs/>
          <w:noProof/>
          <w:sz w:val="24"/>
          <w:szCs w:val="24"/>
        </w:rPr>
        <w:t xml:space="preserve">J. Am. </w:t>
      </w:r>
      <w:r w:rsidRPr="00726CAE">
        <w:rPr>
          <w:rFonts w:ascii="Times New Roman" w:hAnsi="Times New Roman" w:cs="Times New Roman"/>
          <w:i/>
          <w:iCs/>
          <w:noProof/>
          <w:sz w:val="24"/>
          <w:szCs w:val="24"/>
        </w:rPr>
        <w:lastRenderedPageBreak/>
        <w:t>Chem. Soc.</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139</w:t>
      </w:r>
      <w:r w:rsidRPr="00726CAE">
        <w:rPr>
          <w:rFonts w:ascii="Times New Roman" w:hAnsi="Times New Roman" w:cs="Times New Roman"/>
          <w:noProof/>
          <w:sz w:val="24"/>
          <w:szCs w:val="24"/>
        </w:rPr>
        <w:t xml:space="preserve"> (42), 15160–15167. https://doi.org/10.1021/jacs.7b08511.</w:t>
      </w:r>
    </w:p>
    <w:p w14:paraId="111D451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(6) </w:t>
      </w:r>
      <w:r w:rsidRPr="00726CAE">
        <w:rPr>
          <w:rFonts w:ascii="Times New Roman" w:hAnsi="Times New Roman" w:cs="Times New Roman"/>
          <w:noProof/>
          <w:sz w:val="24"/>
          <w:szCs w:val="24"/>
        </w:rPr>
        <w:tab/>
        <w:t xml:space="preserve">Scilabra, P.; Terraneo, G.; Resnati, G. The Chalcogen Bond in Crystalline Solids: A World Parallel to Halogen Bond. </w:t>
      </w:r>
      <w:r w:rsidRPr="00726CAE">
        <w:rPr>
          <w:rFonts w:ascii="Times New Roman" w:hAnsi="Times New Roman" w:cs="Times New Roman"/>
          <w:i/>
          <w:iCs/>
          <w:noProof/>
          <w:sz w:val="24"/>
          <w:szCs w:val="24"/>
        </w:rPr>
        <w:t>Acc. Chem. Res.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52</w:t>
      </w:r>
      <w:r w:rsidRPr="00726CAE">
        <w:rPr>
          <w:rFonts w:ascii="Times New Roman" w:hAnsi="Times New Roman" w:cs="Times New Roman"/>
          <w:noProof/>
          <w:sz w:val="24"/>
          <w:szCs w:val="24"/>
        </w:rPr>
        <w:t>, 1313–1324. https://doi.org/10.1021/acs.accounts.9b00037.</w:t>
      </w:r>
    </w:p>
    <w:p w14:paraId="2AF17CEC" w14:textId="77777777" w:rsidR="00726CAE" w:rsidRPr="00D81615"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lang w:val="it-IT"/>
        </w:rPr>
      </w:pPr>
      <w:r w:rsidRPr="00726CAE">
        <w:rPr>
          <w:rFonts w:ascii="Times New Roman" w:hAnsi="Times New Roman" w:cs="Times New Roman"/>
          <w:noProof/>
          <w:sz w:val="24"/>
          <w:szCs w:val="24"/>
        </w:rPr>
        <w:t xml:space="preserve">(7) </w:t>
      </w:r>
      <w:r w:rsidRPr="00726CAE">
        <w:rPr>
          <w:rFonts w:ascii="Times New Roman" w:hAnsi="Times New Roman" w:cs="Times New Roman"/>
          <w:noProof/>
          <w:sz w:val="24"/>
          <w:szCs w:val="24"/>
        </w:rPr>
        <w:tab/>
        <w:t xml:space="preserve">Garrett, G. E.; Gibson, G. L.; Straus, R. N.; Seferos, D. S.; Taylor, M. S. Chalcogen Bonding in Solution: Interactions of Benzotelluradiazoles with Anionic and Uncharged Lewis Bases. </w:t>
      </w:r>
      <w:r w:rsidRPr="00D81615">
        <w:rPr>
          <w:rFonts w:ascii="Times New Roman" w:hAnsi="Times New Roman" w:cs="Times New Roman"/>
          <w:i/>
          <w:iCs/>
          <w:noProof/>
          <w:sz w:val="24"/>
          <w:szCs w:val="24"/>
          <w:lang w:val="it-IT"/>
        </w:rPr>
        <w:t>J. Am. Chem. Soc.</w:t>
      </w:r>
      <w:r w:rsidRPr="00D81615">
        <w:rPr>
          <w:rFonts w:ascii="Times New Roman" w:hAnsi="Times New Roman" w:cs="Times New Roman"/>
          <w:noProof/>
          <w:sz w:val="24"/>
          <w:szCs w:val="24"/>
          <w:lang w:val="it-IT"/>
        </w:rPr>
        <w:t xml:space="preserve"> </w:t>
      </w:r>
      <w:r w:rsidRPr="00D81615">
        <w:rPr>
          <w:rFonts w:ascii="Times New Roman" w:hAnsi="Times New Roman" w:cs="Times New Roman"/>
          <w:b/>
          <w:bCs/>
          <w:noProof/>
          <w:sz w:val="24"/>
          <w:szCs w:val="24"/>
          <w:lang w:val="it-IT"/>
        </w:rPr>
        <w:t>2015</w:t>
      </w:r>
      <w:r w:rsidRPr="00D81615">
        <w:rPr>
          <w:rFonts w:ascii="Times New Roman" w:hAnsi="Times New Roman" w:cs="Times New Roman"/>
          <w:noProof/>
          <w:sz w:val="24"/>
          <w:szCs w:val="24"/>
          <w:lang w:val="it-IT"/>
        </w:rPr>
        <w:t xml:space="preserve">, </w:t>
      </w:r>
      <w:r w:rsidRPr="00D81615">
        <w:rPr>
          <w:rFonts w:ascii="Times New Roman" w:hAnsi="Times New Roman" w:cs="Times New Roman"/>
          <w:i/>
          <w:iCs/>
          <w:noProof/>
          <w:sz w:val="24"/>
          <w:szCs w:val="24"/>
          <w:lang w:val="it-IT"/>
        </w:rPr>
        <w:t>137</w:t>
      </w:r>
      <w:r w:rsidRPr="00D81615">
        <w:rPr>
          <w:rFonts w:ascii="Times New Roman" w:hAnsi="Times New Roman" w:cs="Times New Roman"/>
          <w:noProof/>
          <w:sz w:val="24"/>
          <w:szCs w:val="24"/>
          <w:lang w:val="it-IT"/>
        </w:rPr>
        <w:t xml:space="preserve"> (12), 4126–4133. https://doi.org/10.1021/ja512183e.</w:t>
      </w:r>
    </w:p>
    <w:p w14:paraId="0D52283A"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D81615">
        <w:rPr>
          <w:rFonts w:ascii="Times New Roman" w:hAnsi="Times New Roman" w:cs="Times New Roman"/>
          <w:noProof/>
          <w:sz w:val="24"/>
          <w:szCs w:val="24"/>
          <w:lang w:val="it-IT"/>
        </w:rPr>
        <w:t xml:space="preserve">(8) </w:t>
      </w:r>
      <w:r w:rsidRPr="00D81615">
        <w:rPr>
          <w:rFonts w:ascii="Times New Roman" w:hAnsi="Times New Roman" w:cs="Times New Roman"/>
          <w:noProof/>
          <w:sz w:val="24"/>
          <w:szCs w:val="24"/>
          <w:lang w:val="it-IT"/>
        </w:rPr>
        <w:tab/>
        <w:t xml:space="preserve">Aakeroy, C. B.; Bryce, D. L.; Desiraju, G. R.; Frontera, A.; Legon, A. C.; Nicotra, F.; Rissanen, K.; Scheiner, S.; Terraneo, G.; Metrangolo, P.; et al. </w:t>
      </w:r>
      <w:r w:rsidRPr="00726CAE">
        <w:rPr>
          <w:rFonts w:ascii="Times New Roman" w:hAnsi="Times New Roman" w:cs="Times New Roman"/>
          <w:noProof/>
          <w:sz w:val="24"/>
          <w:szCs w:val="24"/>
        </w:rPr>
        <w:t xml:space="preserve">Definition of the Chalcogen Bond (IUPAC Recommendations 2019). </w:t>
      </w:r>
      <w:r w:rsidRPr="00726CAE">
        <w:rPr>
          <w:rFonts w:ascii="Times New Roman" w:hAnsi="Times New Roman" w:cs="Times New Roman"/>
          <w:i/>
          <w:iCs/>
          <w:noProof/>
          <w:sz w:val="24"/>
          <w:szCs w:val="24"/>
        </w:rPr>
        <w:t>Pure Appl.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91</w:t>
      </w:r>
      <w:r w:rsidRPr="00726CAE">
        <w:rPr>
          <w:rFonts w:ascii="Times New Roman" w:hAnsi="Times New Roman" w:cs="Times New Roman"/>
          <w:noProof/>
          <w:sz w:val="24"/>
          <w:szCs w:val="24"/>
        </w:rPr>
        <w:t xml:space="preserve"> (11), 1889–1892. https://doi.org/10.1515/pac-2018-0713.</w:t>
      </w:r>
    </w:p>
    <w:p w14:paraId="23DDFF48"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(9) </w:t>
      </w:r>
      <w:r w:rsidRPr="00726CAE">
        <w:rPr>
          <w:rFonts w:ascii="Times New Roman" w:hAnsi="Times New Roman" w:cs="Times New Roman"/>
          <w:noProof/>
          <w:sz w:val="24"/>
          <w:szCs w:val="24"/>
        </w:rPr>
        <w:tab/>
        <w:t xml:space="preserve">Scilabra, P.; Terraneo, G.; Resnati, G. Fluorinated Elements of Group 15 as Pnictogen Bond Donor Sites. </w:t>
      </w:r>
      <w:r w:rsidRPr="00726CAE">
        <w:rPr>
          <w:rFonts w:ascii="Times New Roman" w:hAnsi="Times New Roman" w:cs="Times New Roman"/>
          <w:i/>
          <w:iCs/>
          <w:noProof/>
          <w:sz w:val="24"/>
          <w:szCs w:val="24"/>
        </w:rPr>
        <w:t>Journal of Fluorine Chemistry</w:t>
      </w:r>
      <w:r w:rsidRPr="00726CAE">
        <w:rPr>
          <w:rFonts w:ascii="Times New Roman" w:hAnsi="Times New Roman" w:cs="Times New Roman"/>
          <w:noProof/>
          <w:sz w:val="24"/>
          <w:szCs w:val="24"/>
        </w:rPr>
        <w:t>. Elsevier B.V. November 1, 2017, pp 62–74. https://doi.org/10.1016/j.jfluchem.2017.10.002.</w:t>
      </w:r>
    </w:p>
    <w:p w14:paraId="16972834"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(10) </w:t>
      </w:r>
      <w:r w:rsidRPr="00726CAE">
        <w:rPr>
          <w:rFonts w:ascii="Times New Roman" w:hAnsi="Times New Roman" w:cs="Times New Roman"/>
          <w:noProof/>
          <w:sz w:val="24"/>
          <w:szCs w:val="24"/>
        </w:rPr>
        <w:tab/>
        <w:t xml:space="preserve">Bauzá, A.; Seth, S. K.; Frontera, A. Tetrel Bonding Interactions at Work: Impact on Tin and Lead Coordination Compounds. </w:t>
      </w:r>
      <w:r w:rsidRPr="00726CAE">
        <w:rPr>
          <w:rFonts w:ascii="Times New Roman" w:hAnsi="Times New Roman" w:cs="Times New Roman"/>
          <w:i/>
          <w:iCs/>
          <w:noProof/>
          <w:sz w:val="24"/>
          <w:szCs w:val="24"/>
        </w:rPr>
        <w:t>Coordination Chemistry Reviews</w:t>
      </w:r>
      <w:r w:rsidRPr="00726CAE">
        <w:rPr>
          <w:rFonts w:ascii="Times New Roman" w:hAnsi="Times New Roman" w:cs="Times New Roman"/>
          <w:noProof/>
          <w:sz w:val="24"/>
          <w:szCs w:val="24"/>
        </w:rPr>
        <w:t>. Elsevier B.V. April 1, 2019, pp 107–125. https://doi.org/10.1016/j.ccr.2019.01.003.</w:t>
      </w:r>
    </w:p>
    <w:p w14:paraId="3FEE0B76"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(11) </w:t>
      </w:r>
      <w:r w:rsidRPr="00726CAE">
        <w:rPr>
          <w:rFonts w:ascii="Times New Roman" w:hAnsi="Times New Roman" w:cs="Times New Roman"/>
          <w:noProof/>
          <w:sz w:val="24"/>
          <w:szCs w:val="24"/>
        </w:rPr>
        <w:tab/>
        <w:t xml:space="preserve">Bauzá, A.; Mooibroek, T. J.; Frontera, A. The Bright Future of Unconventional σ/π-Hole Interactions. </w:t>
      </w:r>
      <w:r w:rsidRPr="00726CAE">
        <w:rPr>
          <w:rFonts w:ascii="Times New Roman" w:hAnsi="Times New Roman" w:cs="Times New Roman"/>
          <w:i/>
          <w:iCs/>
          <w:noProof/>
          <w:sz w:val="24"/>
          <w:szCs w:val="24"/>
        </w:rPr>
        <w:t>ChemPhysChem</w:t>
      </w:r>
      <w:r w:rsidRPr="00726CAE">
        <w:rPr>
          <w:rFonts w:ascii="Times New Roman" w:hAnsi="Times New Roman" w:cs="Times New Roman"/>
          <w:noProof/>
          <w:sz w:val="24"/>
          <w:szCs w:val="24"/>
        </w:rPr>
        <w:t>. Wiley-VCH Verlag August 1, 2015, pp 2496–2517. https://doi.org/10.1002/cphc.201500314.</w:t>
      </w:r>
    </w:p>
    <w:p w14:paraId="2A3A8D0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(12) </w:t>
      </w:r>
      <w:r w:rsidRPr="00726CAE">
        <w:rPr>
          <w:rFonts w:ascii="Times New Roman" w:hAnsi="Times New Roman" w:cs="Times New Roman"/>
          <w:noProof/>
          <w:sz w:val="24"/>
          <w:szCs w:val="24"/>
        </w:rPr>
        <w:tab/>
        <w:t xml:space="preserve">Politzer, P.; Murray, J. S. Electrostatics and Polarization in σ- and π-Hole Noncovalent Interactions: An Overview. </w:t>
      </w:r>
      <w:r w:rsidRPr="00726CAE">
        <w:rPr>
          <w:rFonts w:ascii="Times New Roman" w:hAnsi="Times New Roman" w:cs="Times New Roman"/>
          <w:i/>
          <w:iCs/>
          <w:noProof/>
          <w:sz w:val="24"/>
          <w:szCs w:val="24"/>
        </w:rPr>
        <w:t>ChemPhysChem</w:t>
      </w:r>
      <w:r w:rsidRPr="00726CAE">
        <w:rPr>
          <w:rFonts w:ascii="Times New Roman" w:hAnsi="Times New Roman" w:cs="Times New Roman"/>
          <w:noProof/>
          <w:sz w:val="24"/>
          <w:szCs w:val="24"/>
        </w:rPr>
        <w:t>. Wiley-VCH Verlag April 2, 2020, pp 579–588. https://doi.org/10.1002/cphc.201900968.</w:t>
      </w:r>
    </w:p>
    <w:p w14:paraId="2341133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(13) </w:t>
      </w:r>
      <w:r w:rsidRPr="00726CAE">
        <w:rPr>
          <w:rFonts w:ascii="Times New Roman" w:hAnsi="Times New Roman" w:cs="Times New Roman"/>
          <w:noProof/>
          <w:sz w:val="24"/>
          <w:szCs w:val="24"/>
        </w:rPr>
        <w:tab/>
        <w:t xml:space="preserve">Thomas, J. M.; Walker, N. R.; Cooke, S. A.; Gerry, M. C. L. Microwave Spectra and Structures of KrAuF, KrAgF, and KrAgBr; 83Kr Nuclear Quadrupole Coupling and the Nature of Noble Gas-Noble Metal Halide Bonding. </w:t>
      </w:r>
      <w:r w:rsidRPr="00726CAE">
        <w:rPr>
          <w:rFonts w:ascii="Times New Roman" w:hAnsi="Times New Roman" w:cs="Times New Roman"/>
          <w:i/>
          <w:iCs/>
          <w:noProof/>
          <w:sz w:val="24"/>
          <w:szCs w:val="24"/>
        </w:rPr>
        <w:t>J. Am. Chem. Soc.</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2004</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126</w:t>
      </w:r>
      <w:r w:rsidRPr="00726CAE">
        <w:rPr>
          <w:rFonts w:ascii="Times New Roman" w:hAnsi="Times New Roman" w:cs="Times New Roman"/>
          <w:noProof/>
          <w:sz w:val="24"/>
          <w:szCs w:val="24"/>
        </w:rPr>
        <w:t xml:space="preserve"> (4), 1235–1246. https://doi.org/10.1021/ja0304300.</w:t>
      </w:r>
    </w:p>
    <w:p w14:paraId="128C193A"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(14) </w:t>
      </w:r>
      <w:r w:rsidRPr="00726CAE">
        <w:rPr>
          <w:rFonts w:ascii="Times New Roman" w:hAnsi="Times New Roman" w:cs="Times New Roman"/>
          <w:noProof/>
          <w:sz w:val="24"/>
          <w:szCs w:val="24"/>
        </w:rPr>
        <w:tab/>
        <w:t xml:space="preserve">Evans, C. J.; Lesarri, A.; Gerry, M. C. L. Noble Gas-Metal Chemical Bonds. Microwave Spectra, Geometries, and Nuclear Quadrupole Coupling Constants of Ar-AuCl and Kr-AuCl. </w:t>
      </w:r>
      <w:r w:rsidRPr="00726CAE">
        <w:rPr>
          <w:rFonts w:ascii="Times New Roman" w:hAnsi="Times New Roman" w:cs="Times New Roman"/>
          <w:i/>
          <w:iCs/>
          <w:noProof/>
          <w:sz w:val="24"/>
          <w:szCs w:val="24"/>
        </w:rPr>
        <w:t>J. Am. Chem. Soc.</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122</w:t>
      </w:r>
      <w:r w:rsidRPr="00726CAE">
        <w:rPr>
          <w:rFonts w:ascii="Times New Roman" w:hAnsi="Times New Roman" w:cs="Times New Roman"/>
          <w:noProof/>
          <w:sz w:val="24"/>
          <w:szCs w:val="24"/>
        </w:rPr>
        <w:t xml:space="preserve"> (25), 6100–6105. https://doi.org/10.1021/ja000874l.</w:t>
      </w:r>
    </w:p>
    <w:p w14:paraId="23B08889"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(15) </w:t>
      </w:r>
      <w:r w:rsidRPr="00726CAE">
        <w:rPr>
          <w:rFonts w:ascii="Times New Roman" w:hAnsi="Times New Roman" w:cs="Times New Roman"/>
          <w:noProof/>
          <w:sz w:val="24"/>
          <w:szCs w:val="24"/>
        </w:rPr>
        <w:tab/>
        <w:t xml:space="preserve">Legon, A. C.; Walker, N. R. What’s in a Name? “Coinage-Metal” Non-Covalent Bonds and Their Definition. </w:t>
      </w:r>
      <w:r w:rsidRPr="00726CAE">
        <w:rPr>
          <w:rFonts w:ascii="Times New Roman" w:hAnsi="Times New Roman" w:cs="Times New Roman"/>
          <w:i/>
          <w:iCs/>
          <w:noProof/>
          <w:sz w:val="24"/>
          <w:szCs w:val="24"/>
        </w:rPr>
        <w:t>Physical Chemistry Chemical Physics</w:t>
      </w:r>
      <w:r w:rsidRPr="00726CAE">
        <w:rPr>
          <w:rFonts w:ascii="Times New Roman" w:hAnsi="Times New Roman" w:cs="Times New Roman"/>
          <w:noProof/>
          <w:sz w:val="24"/>
          <w:szCs w:val="24"/>
        </w:rPr>
        <w:t xml:space="preserve">. Royal Society of Chemistry July 25, </w:t>
      </w:r>
      <w:r w:rsidRPr="00726CAE">
        <w:rPr>
          <w:rFonts w:ascii="Times New Roman" w:hAnsi="Times New Roman" w:cs="Times New Roman"/>
          <w:noProof/>
          <w:sz w:val="24"/>
          <w:szCs w:val="24"/>
        </w:rPr>
        <w:lastRenderedPageBreak/>
        <w:t>2018, pp 19332–19338. https://doi.org/10.1039/c8cp03432j.</w:t>
      </w:r>
    </w:p>
    <w:p w14:paraId="4672A7AA"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(16) </w:t>
      </w:r>
      <w:r w:rsidRPr="00726CAE">
        <w:rPr>
          <w:rFonts w:ascii="Times New Roman" w:hAnsi="Times New Roman" w:cs="Times New Roman"/>
          <w:noProof/>
          <w:sz w:val="24"/>
          <w:szCs w:val="24"/>
        </w:rPr>
        <w:tab/>
        <w:t xml:space="preserve">Joy, J.; Jemmis, E. D. Contrasting Behavior of the Z Bonds in X-Z···Y Weak Interactions: Z = Main Group Elements Versus the Transition Metals. </w:t>
      </w:r>
      <w:r w:rsidRPr="00726CAE">
        <w:rPr>
          <w:rFonts w:ascii="Times New Roman" w:hAnsi="Times New Roman" w:cs="Times New Roman"/>
          <w:i/>
          <w:iCs/>
          <w:noProof/>
          <w:sz w:val="24"/>
          <w:szCs w:val="24"/>
        </w:rPr>
        <w:t>Inorg.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56</w:t>
      </w:r>
      <w:r w:rsidRPr="00726CAE">
        <w:rPr>
          <w:rFonts w:ascii="Times New Roman" w:hAnsi="Times New Roman" w:cs="Times New Roman"/>
          <w:noProof/>
          <w:sz w:val="24"/>
          <w:szCs w:val="24"/>
        </w:rPr>
        <w:t xml:space="preserve"> (3), 1132–1143. https://doi.org/10.1021/acs.inorgchem.6b02073.</w:t>
      </w:r>
    </w:p>
    <w:p w14:paraId="379711EE"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(17) </w:t>
      </w:r>
      <w:r w:rsidRPr="00726CAE">
        <w:rPr>
          <w:rFonts w:ascii="Times New Roman" w:hAnsi="Times New Roman" w:cs="Times New Roman"/>
          <w:noProof/>
          <w:sz w:val="24"/>
          <w:szCs w:val="24"/>
        </w:rPr>
        <w:tab/>
        <w:t xml:space="preserve">Karmakar, M.; Frontera, A.; Chattopadhyay, S.; Mooibroek, T. J.; Bauzá, A. Intramolecular Spodium Bonds in Zn(II) Complexes: Insights from Theory and Experiment. </w:t>
      </w:r>
      <w:r w:rsidRPr="00726CAE">
        <w:rPr>
          <w:rFonts w:ascii="Times New Roman" w:hAnsi="Times New Roman" w:cs="Times New Roman"/>
          <w:i/>
          <w:iCs/>
          <w:noProof/>
          <w:sz w:val="24"/>
          <w:szCs w:val="24"/>
        </w:rPr>
        <w:t>Int. J. Mol. Sci.</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21</w:t>
      </w:r>
      <w:r w:rsidRPr="00726CAE">
        <w:rPr>
          <w:rFonts w:ascii="Times New Roman" w:hAnsi="Times New Roman" w:cs="Times New Roman"/>
          <w:noProof/>
          <w:sz w:val="24"/>
          <w:szCs w:val="24"/>
        </w:rPr>
        <w:t xml:space="preserve"> (19), 1–14. https://doi.org/10.3390/ijms21197091.</w:t>
      </w:r>
    </w:p>
    <w:p w14:paraId="3997A3E3"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(18) </w:t>
      </w:r>
      <w:r w:rsidRPr="00726CAE">
        <w:rPr>
          <w:rFonts w:ascii="Times New Roman" w:hAnsi="Times New Roman" w:cs="Times New Roman"/>
          <w:noProof/>
          <w:sz w:val="24"/>
          <w:szCs w:val="24"/>
        </w:rPr>
        <w:tab/>
        <w:t xml:space="preserve">Mahmoudi, G.; Lawrence, S. E.; Cisterna, J.; Cárdenas, A.; Brito, I.; Frontera, A.; Safin, D. A. A New Spodium Bond Driven Coordination Polymer Constructed from Mercury( Ii ) Azide and 1,2-Bis(Pyridin-2-Ylmethylene)Hydrazine. </w:t>
      </w:r>
      <w:r w:rsidRPr="00726CAE">
        <w:rPr>
          <w:rFonts w:ascii="Times New Roman" w:hAnsi="Times New Roman" w:cs="Times New Roman"/>
          <w:i/>
          <w:iCs/>
          <w:noProof/>
          <w:sz w:val="24"/>
          <w:szCs w:val="24"/>
        </w:rPr>
        <w:t>New J.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https://doi.org/10.1039/d0nj04444j.</w:t>
      </w:r>
    </w:p>
    <w:p w14:paraId="09771FCC"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(19) </w:t>
      </w:r>
      <w:r w:rsidRPr="00726CAE">
        <w:rPr>
          <w:rFonts w:ascii="Times New Roman" w:hAnsi="Times New Roman" w:cs="Times New Roman"/>
          <w:noProof/>
          <w:sz w:val="24"/>
          <w:szCs w:val="24"/>
        </w:rPr>
        <w:tab/>
        <w:t xml:space="preserve">Alkorta, I.; Elguero, J.; Frontera, A. Not Only Hydrogen Bonds: Other Noncovalent Interactions. </w:t>
      </w:r>
      <w:r w:rsidRPr="00726CAE">
        <w:rPr>
          <w:rFonts w:ascii="Times New Roman" w:hAnsi="Times New Roman" w:cs="Times New Roman"/>
          <w:i/>
          <w:iCs/>
          <w:noProof/>
          <w:sz w:val="24"/>
          <w:szCs w:val="24"/>
        </w:rPr>
        <w:t>Crystals</w:t>
      </w:r>
      <w:r w:rsidRPr="00726CAE">
        <w:rPr>
          <w:rFonts w:ascii="Times New Roman" w:hAnsi="Times New Roman" w:cs="Times New Roman"/>
          <w:noProof/>
          <w:sz w:val="24"/>
          <w:szCs w:val="24"/>
        </w:rPr>
        <w:t>. MDPI AG March 6, 2020, p 180. https://doi.org/10.3390/cryst10030180.</w:t>
      </w:r>
    </w:p>
    <w:p w14:paraId="3A0B90E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(20) </w:t>
      </w:r>
      <w:r w:rsidRPr="00726CAE">
        <w:rPr>
          <w:rFonts w:ascii="Times New Roman" w:hAnsi="Times New Roman" w:cs="Times New Roman"/>
          <w:noProof/>
          <w:sz w:val="24"/>
          <w:szCs w:val="24"/>
        </w:rPr>
        <w:tab/>
        <w:t xml:space="preserve">Bauzá, A.; Alkorta, I.; Elguero, J.; Mooibroek, T. J.; Frontera, A. Spodium Bonds: Noncovalent Interactions Involving Group 12 of Elements. </w:t>
      </w:r>
      <w:r w:rsidRPr="00726CAE">
        <w:rPr>
          <w:rFonts w:ascii="Times New Roman" w:hAnsi="Times New Roman" w:cs="Times New Roman"/>
          <w:i/>
          <w:iCs/>
          <w:noProof/>
          <w:sz w:val="24"/>
          <w:szCs w:val="24"/>
        </w:rPr>
        <w:t>Angew. Chemie Int. Ed.</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anie.202007814. https://doi.org/10.1002/anie.202007814.</w:t>
      </w:r>
    </w:p>
    <w:p w14:paraId="68C2C5C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(21) </w:t>
      </w:r>
      <w:r w:rsidRPr="00726CAE">
        <w:rPr>
          <w:rFonts w:ascii="Times New Roman" w:hAnsi="Times New Roman" w:cs="Times New Roman"/>
          <w:noProof/>
          <w:sz w:val="24"/>
          <w:szCs w:val="24"/>
        </w:rPr>
        <w:tab/>
        <w:t xml:space="preserve">Hopffgarten, M. von; Frenking, G. Energy Decomposition Analysis. </w:t>
      </w:r>
      <w:r w:rsidRPr="00726CAE">
        <w:rPr>
          <w:rFonts w:ascii="Times New Roman" w:hAnsi="Times New Roman" w:cs="Times New Roman"/>
          <w:i/>
          <w:iCs/>
          <w:noProof/>
          <w:sz w:val="24"/>
          <w:szCs w:val="24"/>
        </w:rPr>
        <w:t>Wiley Interdiscip. Rev. Comput. Mol. Sci.</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2012</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w:t>
      </w:r>
      <w:r w:rsidRPr="00726CAE">
        <w:rPr>
          <w:rFonts w:ascii="Times New Roman" w:hAnsi="Times New Roman" w:cs="Times New Roman"/>
          <w:noProof/>
          <w:sz w:val="24"/>
          <w:szCs w:val="24"/>
        </w:rPr>
        <w:t xml:space="preserve"> (1), 43–62. https://doi.org/10.1002/wcms.71.</w:t>
      </w:r>
    </w:p>
    <w:p w14:paraId="132B7284"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(22) </w:t>
      </w:r>
      <w:r w:rsidRPr="00726CAE">
        <w:rPr>
          <w:rFonts w:ascii="Times New Roman" w:hAnsi="Times New Roman" w:cs="Times New Roman"/>
          <w:noProof/>
          <w:sz w:val="24"/>
          <w:szCs w:val="24"/>
        </w:rPr>
        <w:tab/>
        <w:t xml:space="preserve">Frenking, G.; Krapp, A. Unicorns in the World of Chemical Bonding Models. </w:t>
      </w:r>
      <w:r w:rsidRPr="00726CAE">
        <w:rPr>
          <w:rFonts w:ascii="Times New Roman" w:hAnsi="Times New Roman" w:cs="Times New Roman"/>
          <w:i/>
          <w:iCs/>
          <w:noProof/>
          <w:sz w:val="24"/>
          <w:szCs w:val="24"/>
        </w:rPr>
        <w:t>J. Comput.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28</w:t>
      </w:r>
      <w:r w:rsidRPr="00726CAE">
        <w:rPr>
          <w:rFonts w:ascii="Times New Roman" w:hAnsi="Times New Roman" w:cs="Times New Roman"/>
          <w:noProof/>
          <w:sz w:val="24"/>
          <w:szCs w:val="24"/>
        </w:rPr>
        <w:t xml:space="preserve"> (1), 15–24. https://doi.org/10.1002/jcc.20543.</w:t>
      </w:r>
    </w:p>
    <w:p w14:paraId="04D4DD0A"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(23) </w:t>
      </w:r>
      <w:r w:rsidRPr="00726CAE">
        <w:rPr>
          <w:rFonts w:ascii="Times New Roman" w:hAnsi="Times New Roman" w:cs="Times New Roman"/>
          <w:noProof/>
          <w:sz w:val="24"/>
          <w:szCs w:val="24"/>
        </w:rPr>
        <w:tab/>
        <w:t>Xia, T.; Li, D.; Cheng, L. Theoretical Analysis of the Spodium Bonds in HgCl2</w:t>
      </w:r>
      <w:r w:rsidRPr="00726CAE">
        <w:rPr>
          <w:rFonts w:ascii="Cambria Math" w:hAnsi="Cambria Math" w:cs="Cambria Math"/>
          <w:noProof/>
          <w:sz w:val="24"/>
          <w:szCs w:val="24"/>
        </w:rPr>
        <w:t>⋯</w:t>
      </w:r>
      <w:r w:rsidRPr="00726CAE">
        <w:rPr>
          <w:rFonts w:ascii="Times New Roman" w:hAnsi="Times New Roman" w:cs="Times New Roman"/>
          <w:noProof/>
          <w:sz w:val="24"/>
          <w:szCs w:val="24"/>
        </w:rPr>
        <w:t xml:space="preserve">L (L = ClR, SR2, and PR3) Dimers. </w:t>
      </w:r>
      <w:r w:rsidRPr="00726CAE">
        <w:rPr>
          <w:rFonts w:ascii="Times New Roman" w:hAnsi="Times New Roman" w:cs="Times New Roman"/>
          <w:i/>
          <w:iCs/>
          <w:noProof/>
          <w:sz w:val="24"/>
          <w:szCs w:val="24"/>
        </w:rPr>
        <w:t>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539</w:t>
      </w:r>
      <w:r w:rsidRPr="00726CAE">
        <w:rPr>
          <w:rFonts w:ascii="Times New Roman" w:hAnsi="Times New Roman" w:cs="Times New Roman"/>
          <w:noProof/>
          <w:sz w:val="24"/>
          <w:szCs w:val="24"/>
        </w:rPr>
        <w:t>, 110978. https://doi.org/10.1016/j.chemphys.2020.110978.</w:t>
      </w:r>
    </w:p>
    <w:p w14:paraId="75308D1D"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(24) </w:t>
      </w:r>
      <w:r w:rsidRPr="00726CAE">
        <w:rPr>
          <w:rFonts w:ascii="Times New Roman" w:hAnsi="Times New Roman" w:cs="Times New Roman"/>
          <w:noProof/>
          <w:sz w:val="24"/>
          <w:szCs w:val="24"/>
        </w:rPr>
        <w:tab/>
        <w:t xml:space="preserve">Mitoraj, M. P.; Michalak, A.; Ziegler, T. A Combined Charge and Energy Decomposition Scheme for Bond Analysis. </w:t>
      </w:r>
      <w:r w:rsidRPr="00726CAE">
        <w:rPr>
          <w:rFonts w:ascii="Times New Roman" w:hAnsi="Times New Roman" w:cs="Times New Roman"/>
          <w:i/>
          <w:iCs/>
          <w:noProof/>
          <w:sz w:val="24"/>
          <w:szCs w:val="24"/>
        </w:rPr>
        <w:t>J. Chem. Theory Comput.</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w:t>
      </w:r>
      <w:r w:rsidRPr="00726CAE">
        <w:rPr>
          <w:rFonts w:ascii="Times New Roman" w:hAnsi="Times New Roman" w:cs="Times New Roman"/>
          <w:noProof/>
          <w:sz w:val="24"/>
          <w:szCs w:val="24"/>
        </w:rPr>
        <w:t xml:space="preserve"> (4), 962–975. https://doi.org/10.1021/ct800503d.</w:t>
      </w:r>
    </w:p>
    <w:p w14:paraId="62A2927C"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(25) </w:t>
      </w:r>
      <w:r w:rsidRPr="00726CAE">
        <w:rPr>
          <w:rFonts w:ascii="Times New Roman" w:hAnsi="Times New Roman" w:cs="Times New Roman"/>
          <w:noProof/>
          <w:sz w:val="24"/>
          <w:szCs w:val="24"/>
        </w:rPr>
        <w:tab/>
        <w:t xml:space="preserve">Radoń, M. On the Properties of Natural Orbitals for Chemical Valence. </w:t>
      </w:r>
      <w:r w:rsidRPr="00726CAE">
        <w:rPr>
          <w:rFonts w:ascii="Times New Roman" w:hAnsi="Times New Roman" w:cs="Times New Roman"/>
          <w:i/>
          <w:iCs/>
          <w:noProof/>
          <w:sz w:val="24"/>
          <w:szCs w:val="24"/>
        </w:rPr>
        <w:t>Theor. Chem. Acc.</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2008</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120</w:t>
      </w:r>
      <w:r w:rsidRPr="00726CAE">
        <w:rPr>
          <w:rFonts w:ascii="Times New Roman" w:hAnsi="Times New Roman" w:cs="Times New Roman"/>
          <w:noProof/>
          <w:sz w:val="24"/>
          <w:szCs w:val="24"/>
        </w:rPr>
        <w:t xml:space="preserve"> (4–6), 337–339. https://doi.org/10.1007/s00214-008-0428-5.</w:t>
      </w:r>
    </w:p>
    <w:p w14:paraId="11DA901E"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(26) </w:t>
      </w:r>
      <w:r w:rsidRPr="00726CAE">
        <w:rPr>
          <w:rFonts w:ascii="Times New Roman" w:hAnsi="Times New Roman" w:cs="Times New Roman"/>
          <w:noProof/>
          <w:sz w:val="24"/>
          <w:szCs w:val="24"/>
        </w:rPr>
        <w:tab/>
        <w:t xml:space="preserve">Ciancaleoni, G.; Nunzi, F.; Belpassi, L. Charge Displacement Analysis—A Tool to Theoretically Characterize the Charge Transfer Contribution of Halogen Bonds. </w:t>
      </w:r>
      <w:r w:rsidRPr="00726CAE">
        <w:rPr>
          <w:rFonts w:ascii="Times New Roman" w:hAnsi="Times New Roman" w:cs="Times New Roman"/>
          <w:i/>
          <w:iCs/>
          <w:noProof/>
          <w:sz w:val="24"/>
          <w:szCs w:val="24"/>
        </w:rPr>
        <w:t>Molecules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25</w:t>
      </w:r>
      <w:r w:rsidRPr="00726CAE">
        <w:rPr>
          <w:rFonts w:ascii="Times New Roman" w:hAnsi="Times New Roman" w:cs="Times New Roman"/>
          <w:noProof/>
          <w:sz w:val="24"/>
          <w:szCs w:val="24"/>
        </w:rPr>
        <w:t xml:space="preserve"> (2), 300. https://doi.org/10.3390/molecules25020300.</w:t>
      </w:r>
    </w:p>
    <w:p w14:paraId="08D7860D"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(27) </w:t>
      </w:r>
      <w:r w:rsidRPr="00726CAE">
        <w:rPr>
          <w:rFonts w:ascii="Times New Roman" w:hAnsi="Times New Roman" w:cs="Times New Roman"/>
          <w:noProof/>
          <w:sz w:val="24"/>
          <w:szCs w:val="24"/>
        </w:rPr>
        <w:tab/>
        <w:t xml:space="preserve">Ciancaleoni, G. Lewis Base Activation of Lewis Acid: A Detailed Bond Analysis. </w:t>
      </w:r>
      <w:r w:rsidRPr="00726CAE">
        <w:rPr>
          <w:rFonts w:ascii="Times New Roman" w:hAnsi="Times New Roman" w:cs="Times New Roman"/>
          <w:i/>
          <w:iCs/>
          <w:noProof/>
          <w:sz w:val="24"/>
          <w:szCs w:val="24"/>
        </w:rPr>
        <w:t>ACS Omega</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lastRenderedPageBreak/>
        <w:t>2018</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3</w:t>
      </w:r>
      <w:r w:rsidRPr="00726CAE">
        <w:rPr>
          <w:rFonts w:ascii="Times New Roman" w:hAnsi="Times New Roman" w:cs="Times New Roman"/>
          <w:noProof/>
          <w:sz w:val="24"/>
          <w:szCs w:val="24"/>
        </w:rPr>
        <w:t xml:space="preserve"> (11), 16292–16300. https://doi.org/10.1021/acsomega.8b02243.</w:t>
      </w:r>
    </w:p>
    <w:p w14:paraId="4F3E4836"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(28) </w:t>
      </w:r>
      <w:r w:rsidRPr="00726CAE">
        <w:rPr>
          <w:rFonts w:ascii="Times New Roman" w:hAnsi="Times New Roman" w:cs="Times New Roman"/>
          <w:noProof/>
          <w:sz w:val="24"/>
          <w:szCs w:val="24"/>
        </w:rPr>
        <w:tab/>
        <w:t xml:space="preserve">Bistoni, G.; Rampino, S.; Tarantelli, F.; Belpassi, L. Charge-Displacement Analysis via Natural Orbitals for Chemical Valence: Charge Transfer Effects in Coordination Chemistry. </w:t>
      </w:r>
      <w:r w:rsidRPr="00726CAE">
        <w:rPr>
          <w:rFonts w:ascii="Times New Roman" w:hAnsi="Times New Roman" w:cs="Times New Roman"/>
          <w:i/>
          <w:iCs/>
          <w:noProof/>
          <w:sz w:val="24"/>
          <w:szCs w:val="24"/>
        </w:rPr>
        <w:t>J.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2015</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142</w:t>
      </w:r>
      <w:r w:rsidRPr="00726CAE">
        <w:rPr>
          <w:rFonts w:ascii="Times New Roman" w:hAnsi="Times New Roman" w:cs="Times New Roman"/>
          <w:noProof/>
          <w:sz w:val="24"/>
          <w:szCs w:val="24"/>
        </w:rPr>
        <w:t xml:space="preserve"> (8), 084112. https://doi.org/10.1063/1.4908537.</w:t>
      </w:r>
    </w:p>
    <w:p w14:paraId="23650EE5"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(29) </w:t>
      </w:r>
      <w:r w:rsidRPr="00726CAE">
        <w:rPr>
          <w:rFonts w:ascii="Times New Roman" w:hAnsi="Times New Roman" w:cs="Times New Roman"/>
          <w:noProof/>
          <w:sz w:val="24"/>
          <w:szCs w:val="24"/>
        </w:rPr>
        <w:tab/>
        <w:t xml:space="preserve">Buttarazzi, E.; Rosi, F.; Ciancaleoni, G. Influence of Halogen Bonding on Gold(i)-Ligand Bond Components and DFT Characterization of a Gold-Iodine Halogen Bond. </w:t>
      </w:r>
      <w:r w:rsidRPr="00726CAE">
        <w:rPr>
          <w:rFonts w:ascii="Times New Roman" w:hAnsi="Times New Roman" w:cs="Times New Roman"/>
          <w:i/>
          <w:iCs/>
          <w:noProof/>
          <w:sz w:val="24"/>
          <w:szCs w:val="24"/>
        </w:rPr>
        <w:t>Phys. Chem.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21</w:t>
      </w:r>
      <w:r w:rsidRPr="00726CAE">
        <w:rPr>
          <w:rFonts w:ascii="Times New Roman" w:hAnsi="Times New Roman" w:cs="Times New Roman"/>
          <w:noProof/>
          <w:sz w:val="24"/>
          <w:szCs w:val="24"/>
        </w:rPr>
        <w:t xml:space="preserve"> (36), 20478–20485. https://doi.org/10.1039/c9cp03811f.</w:t>
      </w:r>
    </w:p>
    <w:p w14:paraId="76F92168"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(30) </w:t>
      </w:r>
      <w:r w:rsidRPr="00726CAE">
        <w:rPr>
          <w:rFonts w:ascii="Times New Roman" w:hAnsi="Times New Roman" w:cs="Times New Roman"/>
          <w:noProof/>
          <w:sz w:val="24"/>
          <w:szCs w:val="24"/>
        </w:rPr>
        <w:tab/>
        <w:t xml:space="preserve">Ciancaleoni, G.; Belpassi, L. Disentanglement of Orthogonal Hydrogen and Halogen Bonds via Natural Orbital for Chemical Valence: A Charge Displacement Analysis. </w:t>
      </w:r>
      <w:r w:rsidRPr="00726CAE">
        <w:rPr>
          <w:rFonts w:ascii="Times New Roman" w:hAnsi="Times New Roman" w:cs="Times New Roman"/>
          <w:i/>
          <w:iCs/>
          <w:noProof/>
          <w:sz w:val="24"/>
          <w:szCs w:val="24"/>
        </w:rPr>
        <w:t>J. Comput.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2020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41</w:t>
      </w:r>
      <w:r w:rsidRPr="00726CAE">
        <w:rPr>
          <w:rFonts w:ascii="Times New Roman" w:hAnsi="Times New Roman" w:cs="Times New Roman"/>
          <w:noProof/>
          <w:sz w:val="24"/>
          <w:szCs w:val="24"/>
        </w:rPr>
        <w:t xml:space="preserve"> (12), 1185–1193. https://doi.org/10.1002/jcc.26165.</w:t>
      </w:r>
    </w:p>
    <w:p w14:paraId="4E83982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(31) </w:t>
      </w:r>
      <w:r w:rsidRPr="00726CAE">
        <w:rPr>
          <w:rFonts w:ascii="Times New Roman" w:hAnsi="Times New Roman" w:cs="Times New Roman"/>
          <w:noProof/>
          <w:sz w:val="24"/>
          <w:szCs w:val="24"/>
        </w:rPr>
        <w:tab/>
        <w:t xml:space="preserve">Novák, M.; Foroutan-Nejad, C.; Marek, R. Asymmetric Bifurcated Halogen Bonds. </w:t>
      </w:r>
      <w:r w:rsidRPr="00726CAE">
        <w:rPr>
          <w:rFonts w:ascii="Times New Roman" w:hAnsi="Times New Roman" w:cs="Times New Roman"/>
          <w:i/>
          <w:iCs/>
          <w:noProof/>
          <w:sz w:val="24"/>
          <w:szCs w:val="24"/>
        </w:rPr>
        <w:t>Phys. Chem.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2015</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17</w:t>
      </w:r>
      <w:r w:rsidRPr="00726CAE">
        <w:rPr>
          <w:rFonts w:ascii="Times New Roman" w:hAnsi="Times New Roman" w:cs="Times New Roman"/>
          <w:noProof/>
          <w:sz w:val="24"/>
          <w:szCs w:val="24"/>
        </w:rPr>
        <w:t xml:space="preserve"> (9), 6440–6450. https://doi.org/10.1039/C4CP05532B.</w:t>
      </w:r>
    </w:p>
    <w:p w14:paraId="2970F64C"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(32) </w:t>
      </w:r>
      <w:r w:rsidRPr="00726CAE">
        <w:rPr>
          <w:rFonts w:ascii="Times New Roman" w:hAnsi="Times New Roman" w:cs="Times New Roman"/>
          <w:noProof/>
          <w:sz w:val="24"/>
          <w:szCs w:val="24"/>
        </w:rPr>
        <w:tab/>
        <w:t xml:space="preserve">Bora, P. L.; Novák, M.; Novotný, J.; Foroutan-Nejad, C.; Marek, R. Supramolecular Covalence in Bifurcated Chalcogen Bonding. </w:t>
      </w:r>
      <w:r w:rsidRPr="00726CAE">
        <w:rPr>
          <w:rFonts w:ascii="Times New Roman" w:hAnsi="Times New Roman" w:cs="Times New Roman"/>
          <w:i/>
          <w:iCs/>
          <w:noProof/>
          <w:sz w:val="24"/>
          <w:szCs w:val="24"/>
        </w:rPr>
        <w:t>Chem. - A Eur. J.</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23</w:t>
      </w:r>
      <w:r w:rsidRPr="00726CAE">
        <w:rPr>
          <w:rFonts w:ascii="Times New Roman" w:hAnsi="Times New Roman" w:cs="Times New Roman"/>
          <w:noProof/>
          <w:sz w:val="24"/>
          <w:szCs w:val="24"/>
        </w:rPr>
        <w:t xml:space="preserve"> (30), 7315–7323. https://doi.org/10.1002/chem.201700179.</w:t>
      </w:r>
    </w:p>
    <w:p w14:paraId="6DA58B30"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(33) </w:t>
      </w:r>
      <w:r w:rsidRPr="00726CAE">
        <w:rPr>
          <w:rFonts w:ascii="Times New Roman" w:hAnsi="Times New Roman" w:cs="Times New Roman"/>
          <w:noProof/>
          <w:sz w:val="24"/>
          <w:szCs w:val="24"/>
        </w:rPr>
        <w:tab/>
        <w:t xml:space="preserve">Mitoraj, M. P.; Michalak, A. Theoretical Description of Halogen Bonding - An Insight Based on the Natural Orbitals for Chemical Valence Combined with the Extended-Transition- State Method (ETS-NOCV). </w:t>
      </w:r>
      <w:r w:rsidRPr="00726CAE">
        <w:rPr>
          <w:rFonts w:ascii="Times New Roman" w:hAnsi="Times New Roman" w:cs="Times New Roman"/>
          <w:i/>
          <w:iCs/>
          <w:noProof/>
          <w:sz w:val="24"/>
          <w:szCs w:val="24"/>
        </w:rPr>
        <w:t>J. Mol. Model.</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19</w:t>
      </w:r>
      <w:r w:rsidRPr="00726CAE">
        <w:rPr>
          <w:rFonts w:ascii="Times New Roman" w:hAnsi="Times New Roman" w:cs="Times New Roman"/>
          <w:noProof/>
          <w:sz w:val="24"/>
          <w:szCs w:val="24"/>
        </w:rPr>
        <w:t xml:space="preserve"> (11), 4681–4688. https://doi.org/10.1007/s00894-012-1474-4.</w:t>
      </w:r>
    </w:p>
    <w:p w14:paraId="02D99884"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(34) </w:t>
      </w:r>
      <w:r w:rsidRPr="00726CAE">
        <w:rPr>
          <w:rFonts w:ascii="Times New Roman" w:hAnsi="Times New Roman" w:cs="Times New Roman"/>
          <w:noProof/>
          <w:sz w:val="24"/>
          <w:szCs w:val="24"/>
        </w:rPr>
        <w:tab/>
        <w:t xml:space="preserve">Salvi, N.; Belpassi, L.; Tarantelli, F. On the Dewar-Chatt-Duncanson Model for Catalytic Gold(I) Complexes. </w:t>
      </w:r>
      <w:r w:rsidRPr="00726CAE">
        <w:rPr>
          <w:rFonts w:ascii="Times New Roman" w:hAnsi="Times New Roman" w:cs="Times New Roman"/>
          <w:i/>
          <w:iCs/>
          <w:noProof/>
          <w:sz w:val="24"/>
          <w:szCs w:val="24"/>
        </w:rPr>
        <w:t>Chem. - A Eur. J.</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16</w:t>
      </w:r>
      <w:r w:rsidRPr="00726CAE">
        <w:rPr>
          <w:rFonts w:ascii="Times New Roman" w:hAnsi="Times New Roman" w:cs="Times New Roman"/>
          <w:noProof/>
          <w:sz w:val="24"/>
          <w:szCs w:val="24"/>
        </w:rPr>
        <w:t xml:space="preserve"> (24), 7231–7240. https://doi.org/10.1002/chem.201000608.</w:t>
      </w:r>
    </w:p>
    <w:p w14:paraId="70BCBEF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(35) </w:t>
      </w:r>
      <w:r w:rsidRPr="00726CAE">
        <w:rPr>
          <w:rFonts w:ascii="Times New Roman" w:hAnsi="Times New Roman" w:cs="Times New Roman"/>
          <w:noProof/>
          <w:sz w:val="24"/>
          <w:szCs w:val="24"/>
        </w:rPr>
        <w:tab/>
        <w:t xml:space="preserve">Bartalucci, N.; Belpassi, L.; Marchetti, F.; Pampaloni, G.; Zacchini, S.; Ciancaleoni, G. Ubiquity of Cis-Halide → Isocyanide Direct Interligand Interaction in Organometallic Complexes. </w:t>
      </w:r>
      <w:r w:rsidRPr="00726CAE">
        <w:rPr>
          <w:rFonts w:ascii="Times New Roman" w:hAnsi="Times New Roman" w:cs="Times New Roman"/>
          <w:i/>
          <w:iCs/>
          <w:noProof/>
          <w:sz w:val="24"/>
          <w:szCs w:val="24"/>
        </w:rPr>
        <w:t>Inorganic Chemistry</w:t>
      </w:r>
      <w:r w:rsidRPr="00726CAE">
        <w:rPr>
          <w:rFonts w:ascii="Times New Roman" w:hAnsi="Times New Roman" w:cs="Times New Roman"/>
          <w:noProof/>
          <w:sz w:val="24"/>
          <w:szCs w:val="24"/>
        </w:rPr>
        <w:t>. American Chemical Society December 3, 2018, pp 14554–14563. https://doi.org/10.1021/acs.inorgchem.8b02088.</w:t>
      </w:r>
    </w:p>
    <w:p w14:paraId="13F700B9"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(36) </w:t>
      </w:r>
      <w:r w:rsidRPr="00726CAE">
        <w:rPr>
          <w:rFonts w:ascii="Times New Roman" w:hAnsi="Times New Roman" w:cs="Times New Roman"/>
          <w:noProof/>
          <w:sz w:val="24"/>
          <w:szCs w:val="24"/>
        </w:rPr>
        <w:tab/>
        <w:t xml:space="preserve">Ciancaleoni, G.; Belpassi, L.; Marchetti, F. Back-Donation in High-Valent D0 Metal Complexes: Does It Exist? The Case of NbV. </w:t>
      </w:r>
      <w:r w:rsidRPr="00726CAE">
        <w:rPr>
          <w:rFonts w:ascii="Times New Roman" w:hAnsi="Times New Roman" w:cs="Times New Roman"/>
          <w:i/>
          <w:iCs/>
          <w:noProof/>
          <w:sz w:val="24"/>
          <w:szCs w:val="24"/>
        </w:rPr>
        <w:t>Inorg.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56</w:t>
      </w:r>
      <w:r w:rsidRPr="00726CAE">
        <w:rPr>
          <w:rFonts w:ascii="Times New Roman" w:hAnsi="Times New Roman" w:cs="Times New Roman"/>
          <w:noProof/>
          <w:sz w:val="24"/>
          <w:szCs w:val="24"/>
        </w:rPr>
        <w:t xml:space="preserve"> (18), 11266–11274. https://doi.org/10.1021/acs.inorgchem.7b01635.</w:t>
      </w:r>
    </w:p>
    <w:p w14:paraId="05E36E7C"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(37) </w:t>
      </w:r>
      <w:r w:rsidRPr="00726CAE">
        <w:rPr>
          <w:rFonts w:ascii="Times New Roman" w:hAnsi="Times New Roman" w:cs="Times New Roman"/>
          <w:noProof/>
          <w:sz w:val="24"/>
          <w:szCs w:val="24"/>
        </w:rPr>
        <w:tab/>
        <w:t xml:space="preserve">Bistoni, G.; Belpassi, L.; Tarantelli, F. Disentanglement of Donation and Back-Donation Effects on Experimental Observables: A Case Study of Gold-Ethyne Complexes. </w:t>
      </w:r>
      <w:r w:rsidRPr="00726CAE">
        <w:rPr>
          <w:rFonts w:ascii="Times New Roman" w:hAnsi="Times New Roman" w:cs="Times New Roman"/>
          <w:i/>
          <w:iCs/>
          <w:noProof/>
          <w:sz w:val="24"/>
          <w:szCs w:val="24"/>
        </w:rPr>
        <w:t>Angew. Chemie - Int. Ed.</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52</w:t>
      </w:r>
      <w:r w:rsidRPr="00726CAE">
        <w:rPr>
          <w:rFonts w:ascii="Times New Roman" w:hAnsi="Times New Roman" w:cs="Times New Roman"/>
          <w:noProof/>
          <w:sz w:val="24"/>
          <w:szCs w:val="24"/>
        </w:rPr>
        <w:t xml:space="preserve"> (44), 11599–11602. https://doi.org/10.1002/anie.201305505.</w:t>
      </w:r>
    </w:p>
    <w:p w14:paraId="01124425" w14:textId="77777777" w:rsidR="00726CAE" w:rsidRPr="00D81615"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lang w:val="it-IT"/>
        </w:rPr>
      </w:pPr>
      <w:r w:rsidRPr="00726CAE">
        <w:rPr>
          <w:rFonts w:ascii="Times New Roman" w:hAnsi="Times New Roman" w:cs="Times New Roman"/>
          <w:noProof/>
          <w:sz w:val="24"/>
          <w:szCs w:val="24"/>
        </w:rPr>
        <w:lastRenderedPageBreak/>
        <w:t xml:space="preserve">(38) </w:t>
      </w:r>
      <w:r w:rsidRPr="00726CAE">
        <w:rPr>
          <w:rFonts w:ascii="Times New Roman" w:hAnsi="Times New Roman" w:cs="Times New Roman"/>
          <w:noProof/>
          <w:sz w:val="24"/>
          <w:szCs w:val="24"/>
        </w:rPr>
        <w:tab/>
        <w:t xml:space="preserve">Hausmann, D.; Feldmann, C. Bromine-Rich Zinc Bromides: Zn6Br12(18-Crown-6)2×(Br2)5, Zn4Br8(18-Crown-6)2×(Br2)3, and Zn6Br12(18-Crown-6)2×(Br2)2. </w:t>
      </w:r>
      <w:r w:rsidRPr="00D81615">
        <w:rPr>
          <w:rFonts w:ascii="Times New Roman" w:hAnsi="Times New Roman" w:cs="Times New Roman"/>
          <w:i/>
          <w:iCs/>
          <w:noProof/>
          <w:sz w:val="24"/>
          <w:szCs w:val="24"/>
          <w:lang w:val="it-IT"/>
        </w:rPr>
        <w:t>Inorg. Chem.</w:t>
      </w:r>
      <w:r w:rsidRPr="00D81615">
        <w:rPr>
          <w:rFonts w:ascii="Times New Roman" w:hAnsi="Times New Roman" w:cs="Times New Roman"/>
          <w:noProof/>
          <w:sz w:val="24"/>
          <w:szCs w:val="24"/>
          <w:lang w:val="it-IT"/>
        </w:rPr>
        <w:t xml:space="preserve"> </w:t>
      </w:r>
      <w:r w:rsidRPr="00D81615">
        <w:rPr>
          <w:rFonts w:ascii="Times New Roman" w:hAnsi="Times New Roman" w:cs="Times New Roman"/>
          <w:b/>
          <w:bCs/>
          <w:noProof/>
          <w:sz w:val="24"/>
          <w:szCs w:val="24"/>
          <w:lang w:val="it-IT"/>
        </w:rPr>
        <w:t>2016</w:t>
      </w:r>
      <w:r w:rsidRPr="00D81615">
        <w:rPr>
          <w:rFonts w:ascii="Times New Roman" w:hAnsi="Times New Roman" w:cs="Times New Roman"/>
          <w:noProof/>
          <w:sz w:val="24"/>
          <w:szCs w:val="24"/>
          <w:lang w:val="it-IT"/>
        </w:rPr>
        <w:t xml:space="preserve">, </w:t>
      </w:r>
      <w:r w:rsidRPr="00D81615">
        <w:rPr>
          <w:rFonts w:ascii="Times New Roman" w:hAnsi="Times New Roman" w:cs="Times New Roman"/>
          <w:i/>
          <w:iCs/>
          <w:noProof/>
          <w:sz w:val="24"/>
          <w:szCs w:val="24"/>
          <w:lang w:val="it-IT"/>
        </w:rPr>
        <w:t>55</w:t>
      </w:r>
      <w:r w:rsidRPr="00D81615">
        <w:rPr>
          <w:rFonts w:ascii="Times New Roman" w:hAnsi="Times New Roman" w:cs="Times New Roman"/>
          <w:noProof/>
          <w:sz w:val="24"/>
          <w:szCs w:val="24"/>
          <w:lang w:val="it-IT"/>
        </w:rPr>
        <w:t xml:space="preserve"> (12), 6141–6147. https://doi.org/10.1021/acs.inorgchem.6b00663.</w:t>
      </w:r>
    </w:p>
    <w:p w14:paraId="34CD02A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D81615">
        <w:rPr>
          <w:rFonts w:ascii="Times New Roman" w:hAnsi="Times New Roman" w:cs="Times New Roman"/>
          <w:noProof/>
          <w:sz w:val="24"/>
          <w:szCs w:val="24"/>
          <w:lang w:val="it-IT"/>
        </w:rPr>
        <w:t xml:space="preserve">(39) </w:t>
      </w:r>
      <w:r w:rsidRPr="00D81615">
        <w:rPr>
          <w:rFonts w:ascii="Times New Roman" w:hAnsi="Times New Roman" w:cs="Times New Roman"/>
          <w:noProof/>
          <w:sz w:val="24"/>
          <w:szCs w:val="24"/>
          <w:lang w:val="it-IT"/>
        </w:rPr>
        <w:tab/>
        <w:t xml:space="preserve">Qu, Y.; Liu, Z. Di; Tan, M. Y.; Zhu, H. L. Bis[Tetraamminezinc(II)] Tetrapicrate Trihydrate. </w:t>
      </w:r>
      <w:r w:rsidRPr="00726CAE">
        <w:rPr>
          <w:rFonts w:ascii="Times New Roman" w:hAnsi="Times New Roman" w:cs="Times New Roman"/>
          <w:i/>
          <w:iCs/>
          <w:noProof/>
          <w:sz w:val="24"/>
          <w:szCs w:val="24"/>
        </w:rPr>
        <w:t>Acta Crystallogr. Sect. E Struct. Reports Online</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2004</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60</w:t>
      </w:r>
      <w:r w:rsidRPr="00726CAE">
        <w:rPr>
          <w:rFonts w:ascii="Times New Roman" w:hAnsi="Times New Roman" w:cs="Times New Roman"/>
          <w:noProof/>
          <w:sz w:val="24"/>
          <w:szCs w:val="24"/>
        </w:rPr>
        <w:t xml:space="preserve"> (9), m1343–m1345. https://doi.org/10.1107/S1600536804021014.</w:t>
      </w:r>
    </w:p>
    <w:p w14:paraId="37EB97E3"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(40) </w:t>
      </w:r>
      <w:r w:rsidRPr="00726CAE">
        <w:rPr>
          <w:rFonts w:ascii="Times New Roman" w:hAnsi="Times New Roman" w:cs="Times New Roman"/>
          <w:noProof/>
          <w:sz w:val="24"/>
          <w:szCs w:val="24"/>
        </w:rPr>
        <w:tab/>
        <w:t xml:space="preserve">Cameron, E. M.; Louch, W. E.; Cameron, T. S.; Knop, O. Thiocyanates. 1: N-H(N)...S Bonding in Tetrahedral [Zn(NCS)2L]0 Complexes (L = MexH2-XN(CH2)2NH 2-YMey, x, y = 0-2). </w:t>
      </w:r>
      <w:r w:rsidRPr="00726CAE">
        <w:rPr>
          <w:rFonts w:ascii="Times New Roman" w:hAnsi="Times New Roman" w:cs="Times New Roman"/>
          <w:i/>
          <w:iCs/>
          <w:noProof/>
          <w:sz w:val="24"/>
          <w:szCs w:val="24"/>
        </w:rPr>
        <w:t>Zeitschrift fur Anorg. und Allg. Chemie</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1998</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624</w:t>
      </w:r>
      <w:r w:rsidRPr="00726CAE">
        <w:rPr>
          <w:rFonts w:ascii="Times New Roman" w:hAnsi="Times New Roman" w:cs="Times New Roman"/>
          <w:noProof/>
          <w:sz w:val="24"/>
          <w:szCs w:val="24"/>
        </w:rPr>
        <w:t xml:space="preserve"> (10), 1629–1641. https://doi.org/10.1002/(SICI)1521-3749(199810)624:10&lt;1629::AID-ZAAC1629&gt;3.0.CO;2-X.</w:t>
      </w:r>
    </w:p>
    <w:p w14:paraId="642EAEED"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(41) </w:t>
      </w:r>
      <w:r w:rsidRPr="00726CAE">
        <w:rPr>
          <w:rFonts w:ascii="Times New Roman" w:hAnsi="Times New Roman" w:cs="Times New Roman"/>
          <w:noProof/>
          <w:sz w:val="24"/>
          <w:szCs w:val="24"/>
        </w:rPr>
        <w:tab/>
        <w:t xml:space="preserve">Nithya, K.; Karthikeyan, B.; Ramasamy, G.; Muthu, K.; Meenakshisundaram, S. P. Growth and Characterization of Fe3+-Doped Bis(Thiourea)Zinc(II) Chloride Crystals. </w:t>
      </w:r>
      <w:r w:rsidRPr="00726CAE">
        <w:rPr>
          <w:rFonts w:ascii="Times New Roman" w:hAnsi="Times New Roman" w:cs="Times New Roman"/>
          <w:i/>
          <w:iCs/>
          <w:noProof/>
          <w:sz w:val="24"/>
          <w:szCs w:val="24"/>
        </w:rPr>
        <w:t>Spectrochim. Acta - Part A Mol. Biomol. Spectrosc.</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2011</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79</w:t>
      </w:r>
      <w:r w:rsidRPr="00726CAE">
        <w:rPr>
          <w:rFonts w:ascii="Times New Roman" w:hAnsi="Times New Roman" w:cs="Times New Roman"/>
          <w:noProof/>
          <w:sz w:val="24"/>
          <w:szCs w:val="24"/>
        </w:rPr>
        <w:t xml:space="preserve"> (5), 1648–1653. https://doi.org/10.1016/j.saa.2011.05.029.</w:t>
      </w:r>
    </w:p>
    <w:p w14:paraId="6DF998F4"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(42) </w:t>
      </w:r>
      <w:r w:rsidRPr="00726CAE">
        <w:rPr>
          <w:rFonts w:ascii="Times New Roman" w:hAnsi="Times New Roman" w:cs="Times New Roman"/>
          <w:noProof/>
          <w:sz w:val="24"/>
          <w:szCs w:val="24"/>
        </w:rPr>
        <w:tab/>
        <w:t xml:space="preserve">Marcos, C.; Alía, J. M.; Adovasio, V.; Prieto, M.; García-Granda, S. Bis(Thiourea)Cadmium Halides. </w:t>
      </w:r>
      <w:r w:rsidRPr="00726CAE">
        <w:rPr>
          <w:rFonts w:ascii="Times New Roman" w:hAnsi="Times New Roman" w:cs="Times New Roman"/>
          <w:i/>
          <w:iCs/>
          <w:noProof/>
          <w:sz w:val="24"/>
          <w:szCs w:val="24"/>
        </w:rPr>
        <w:t>Acta Crystallogr. Sect. C Cryst. Struct. Commun.</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1998</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54</w:t>
      </w:r>
      <w:r w:rsidRPr="00726CAE">
        <w:rPr>
          <w:rFonts w:ascii="Times New Roman" w:hAnsi="Times New Roman" w:cs="Times New Roman"/>
          <w:noProof/>
          <w:sz w:val="24"/>
          <w:szCs w:val="24"/>
        </w:rPr>
        <w:t xml:space="preserve"> (9), 1225–1229. https://doi.org/10.1107/S0108270198004314.</w:t>
      </w:r>
    </w:p>
    <w:p w14:paraId="1B6DC732"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(43) </w:t>
      </w:r>
      <w:r w:rsidRPr="00726CAE">
        <w:rPr>
          <w:rFonts w:ascii="Times New Roman" w:hAnsi="Times New Roman" w:cs="Times New Roman"/>
          <w:noProof/>
          <w:sz w:val="24"/>
          <w:szCs w:val="24"/>
        </w:rPr>
        <w:tab/>
        <w:t xml:space="preserve">Nardelli, M.; Cavalca, L.; Braibanti, A. The Structure of Rhombic Thallous Nitrate. </w:t>
      </w:r>
      <w:r w:rsidRPr="00726CAE">
        <w:rPr>
          <w:rFonts w:ascii="Times New Roman" w:hAnsi="Times New Roman" w:cs="Times New Roman"/>
          <w:i/>
          <w:iCs/>
          <w:noProof/>
          <w:sz w:val="24"/>
          <w:szCs w:val="24"/>
        </w:rPr>
        <w:t>Gazz. Chim. Ital.</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1957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87</w:t>
      </w:r>
      <w:r w:rsidRPr="00726CAE">
        <w:rPr>
          <w:rFonts w:ascii="Times New Roman" w:hAnsi="Times New Roman" w:cs="Times New Roman"/>
          <w:noProof/>
          <w:sz w:val="24"/>
          <w:szCs w:val="24"/>
        </w:rPr>
        <w:t>, 137.</w:t>
      </w:r>
    </w:p>
    <w:p w14:paraId="5D7F9B0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(44) </w:t>
      </w:r>
      <w:r w:rsidRPr="00726CAE">
        <w:rPr>
          <w:rFonts w:ascii="Times New Roman" w:hAnsi="Times New Roman" w:cs="Times New Roman"/>
          <w:noProof/>
          <w:sz w:val="24"/>
          <w:szCs w:val="24"/>
        </w:rPr>
        <w:tab/>
        <w:t xml:space="preserve">Li, Q.; Qiu, S. C.; Zhang, J.; Chen, K.; Huang, Y.; Xiao, X.; Zhang, Y.; Li, F.; Zhang, Y. Q.; Xue, S. F.; et al. Twisted Cucurbit[n]Urils. </w:t>
      </w:r>
      <w:r w:rsidRPr="00726CAE">
        <w:rPr>
          <w:rFonts w:ascii="Times New Roman" w:hAnsi="Times New Roman" w:cs="Times New Roman"/>
          <w:i/>
          <w:iCs/>
          <w:noProof/>
          <w:sz w:val="24"/>
          <w:szCs w:val="24"/>
        </w:rPr>
        <w:t>Org. Lett.</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2016</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18</w:t>
      </w:r>
      <w:r w:rsidRPr="00726CAE">
        <w:rPr>
          <w:rFonts w:ascii="Times New Roman" w:hAnsi="Times New Roman" w:cs="Times New Roman"/>
          <w:noProof/>
          <w:sz w:val="24"/>
          <w:szCs w:val="24"/>
        </w:rPr>
        <w:t xml:space="preserve"> (16), 4020–4023. https://doi.org/10.1021/acs.orglett.6b01842.</w:t>
      </w:r>
    </w:p>
    <w:p w14:paraId="036C7CB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(45) </w:t>
      </w:r>
      <w:r w:rsidRPr="00726CAE">
        <w:rPr>
          <w:rFonts w:ascii="Times New Roman" w:hAnsi="Times New Roman" w:cs="Times New Roman"/>
          <w:noProof/>
          <w:sz w:val="24"/>
          <w:szCs w:val="24"/>
        </w:rPr>
        <w:tab/>
        <w:t xml:space="preserve">Moloto, M. J.; Malik, M. A.; O’Brien, P.; Motevalli, M.; Kolawole, G. A. Synthesis and Characterisation of Some N-Alkyl/Aryl and N,N′-Dialkyl/Aryl Thiourea Cadmium(II) Complexes: The Single Crystal X-Ray Structures of [CdCl2(CS(NH2) NHCH3)2]n and [CdCl2(CS(NH2)NHCH2 CH3)2]. </w:t>
      </w:r>
      <w:r w:rsidRPr="00726CAE">
        <w:rPr>
          <w:rFonts w:ascii="Times New Roman" w:hAnsi="Times New Roman" w:cs="Times New Roman"/>
          <w:i/>
          <w:iCs/>
          <w:noProof/>
          <w:sz w:val="24"/>
          <w:szCs w:val="24"/>
        </w:rPr>
        <w:t>Polyhedron</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22</w:t>
      </w:r>
      <w:r w:rsidRPr="00726CAE">
        <w:rPr>
          <w:rFonts w:ascii="Times New Roman" w:hAnsi="Times New Roman" w:cs="Times New Roman"/>
          <w:noProof/>
          <w:sz w:val="24"/>
          <w:szCs w:val="24"/>
        </w:rPr>
        <w:t xml:space="preserve"> (4), 595–603. https://doi.org/10.1016/S0277-5387(02)01420-1.</w:t>
      </w:r>
    </w:p>
    <w:p w14:paraId="73FA6D3F"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(46) </w:t>
      </w:r>
      <w:r w:rsidRPr="00726CAE">
        <w:rPr>
          <w:rFonts w:ascii="Times New Roman" w:hAnsi="Times New Roman" w:cs="Times New Roman"/>
          <w:noProof/>
          <w:sz w:val="24"/>
          <w:szCs w:val="24"/>
        </w:rPr>
        <w:tab/>
        <w:t xml:space="preserve">Al-Far, R. H.; Haddad, S. F.; Ali, B. F. Three Isomorphous 2,6-Dibromo-Pyridinium Tetra-Bromidometallates: (C 5H4Br2N)2[MBr4] ·2H2O (M = Cu, Cd and Hg). </w:t>
      </w:r>
      <w:r w:rsidRPr="00726CAE">
        <w:rPr>
          <w:rFonts w:ascii="Times New Roman" w:hAnsi="Times New Roman" w:cs="Times New Roman"/>
          <w:i/>
          <w:iCs/>
          <w:noProof/>
          <w:sz w:val="24"/>
          <w:szCs w:val="24"/>
        </w:rPr>
        <w:t>Acta Crystallogr. Sect. C Cryst. Struct. Commun.</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65</w:t>
      </w:r>
      <w:r w:rsidRPr="00726CAE">
        <w:rPr>
          <w:rFonts w:ascii="Times New Roman" w:hAnsi="Times New Roman" w:cs="Times New Roman"/>
          <w:noProof/>
          <w:sz w:val="24"/>
          <w:szCs w:val="24"/>
        </w:rPr>
        <w:t xml:space="preserve"> (11), m451–m454. https://doi.org/10.1107/S010827010903772X.</w:t>
      </w:r>
    </w:p>
    <w:p w14:paraId="693DFD20"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(47) </w:t>
      </w:r>
      <w:r w:rsidRPr="00726CAE">
        <w:rPr>
          <w:rFonts w:ascii="Times New Roman" w:hAnsi="Times New Roman" w:cs="Times New Roman"/>
          <w:noProof/>
          <w:sz w:val="24"/>
          <w:szCs w:val="24"/>
        </w:rPr>
        <w:tab/>
        <w:t xml:space="preserve">Sobhia, M. E.; Panneerselvam, K.; Chacko, K. K.; Suh, I. H.; Weber, E.; Reutel, C. Crystal </w:t>
      </w:r>
      <w:r w:rsidRPr="00726CAE">
        <w:rPr>
          <w:rFonts w:ascii="Times New Roman" w:hAnsi="Times New Roman" w:cs="Times New Roman"/>
          <w:noProof/>
          <w:sz w:val="24"/>
          <w:szCs w:val="24"/>
        </w:rPr>
        <w:lastRenderedPageBreak/>
        <w:t xml:space="preserve">Structure of the 2:1 Complex of Mercury(II) Chloride with Trithiapyridino-12-Crown-4 Having Unusual Mercury Coordination. </w:t>
      </w:r>
      <w:r w:rsidRPr="00726CAE">
        <w:rPr>
          <w:rFonts w:ascii="Times New Roman" w:hAnsi="Times New Roman" w:cs="Times New Roman"/>
          <w:i/>
          <w:iCs/>
          <w:noProof/>
          <w:sz w:val="24"/>
          <w:szCs w:val="24"/>
        </w:rPr>
        <w:t>Inorganica Chim. Acta</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1992</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194</w:t>
      </w:r>
      <w:r w:rsidRPr="00726CAE">
        <w:rPr>
          <w:rFonts w:ascii="Times New Roman" w:hAnsi="Times New Roman" w:cs="Times New Roman"/>
          <w:noProof/>
          <w:sz w:val="24"/>
          <w:szCs w:val="24"/>
        </w:rPr>
        <w:t xml:space="preserve"> (1), 93–97. https://doi.org/10.1016/S0020-1693(00)85828-4.</w:t>
      </w:r>
    </w:p>
    <w:p w14:paraId="0A249C8E"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(48) </w:t>
      </w:r>
      <w:r w:rsidRPr="00726CAE">
        <w:rPr>
          <w:rFonts w:ascii="Times New Roman" w:hAnsi="Times New Roman" w:cs="Times New Roman"/>
          <w:noProof/>
          <w:sz w:val="24"/>
          <w:szCs w:val="24"/>
        </w:rPr>
        <w:tab/>
        <w:t xml:space="preserve">Canty, A. J.; Chaichit, N.; Gatehouse, B. M.; George, E. E. Coordination Chemistry of Methylmercury (II). Complexes of Aromatic Nitrogen Donor Tripod Ligands Involving New Coordination Geometries for MeHgII. </w:t>
      </w:r>
      <w:r w:rsidRPr="00726CAE">
        <w:rPr>
          <w:rFonts w:ascii="Times New Roman" w:hAnsi="Times New Roman" w:cs="Times New Roman"/>
          <w:i/>
          <w:iCs/>
          <w:noProof/>
          <w:sz w:val="24"/>
          <w:szCs w:val="24"/>
        </w:rPr>
        <w:t>Inorg.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1981</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20</w:t>
      </w:r>
      <w:r w:rsidRPr="00726CAE">
        <w:rPr>
          <w:rFonts w:ascii="Times New Roman" w:hAnsi="Times New Roman" w:cs="Times New Roman"/>
          <w:noProof/>
          <w:sz w:val="24"/>
          <w:szCs w:val="24"/>
        </w:rPr>
        <w:t xml:space="preserve"> (12), 4293–4300. https://doi.org/10.1021/ic50226a052.</w:t>
      </w:r>
    </w:p>
    <w:p w14:paraId="3996A497"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(49) </w:t>
      </w:r>
      <w:r w:rsidRPr="00726CAE">
        <w:rPr>
          <w:rFonts w:ascii="Times New Roman" w:hAnsi="Times New Roman" w:cs="Times New Roman"/>
          <w:noProof/>
          <w:sz w:val="24"/>
          <w:szCs w:val="24"/>
        </w:rPr>
        <w:tab/>
        <w:t xml:space="preserve">Lee, K. M.; Chen, J. C. C.; Huang, C. J.; Lin, I. J. B. Rectangular Architectures Formed by Acyclic Diamido-Metal-N-Heterocyclic Carbenes with Skewed Conformation. </w:t>
      </w:r>
      <w:r w:rsidRPr="00726CAE">
        <w:rPr>
          <w:rFonts w:ascii="Times New Roman" w:hAnsi="Times New Roman" w:cs="Times New Roman"/>
          <w:i/>
          <w:iCs/>
          <w:noProof/>
          <w:sz w:val="24"/>
          <w:szCs w:val="24"/>
        </w:rPr>
        <w:t>CrystEngComm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9</w:t>
      </w:r>
      <w:r w:rsidRPr="00726CAE">
        <w:rPr>
          <w:rFonts w:ascii="Times New Roman" w:hAnsi="Times New Roman" w:cs="Times New Roman"/>
          <w:noProof/>
          <w:sz w:val="24"/>
          <w:szCs w:val="24"/>
        </w:rPr>
        <w:t xml:space="preserve"> (4), 278–281. https://doi.org/10.1039/b702032p.</w:t>
      </w:r>
    </w:p>
    <w:p w14:paraId="633506C0"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(50) </w:t>
      </w:r>
      <w:r w:rsidRPr="00726CAE">
        <w:rPr>
          <w:rFonts w:ascii="Times New Roman" w:hAnsi="Times New Roman" w:cs="Times New Roman"/>
          <w:noProof/>
          <w:sz w:val="24"/>
          <w:szCs w:val="24"/>
        </w:rPr>
        <w:tab/>
        <w:t xml:space="preserve">Neese, F. The ORCA Program System. </w:t>
      </w:r>
      <w:r w:rsidRPr="00726CAE">
        <w:rPr>
          <w:rFonts w:ascii="Times New Roman" w:hAnsi="Times New Roman" w:cs="Times New Roman"/>
          <w:i/>
          <w:iCs/>
          <w:noProof/>
          <w:sz w:val="24"/>
          <w:szCs w:val="24"/>
        </w:rPr>
        <w:t>Wiley Interdiscip. Rev. Comput. Mol. Sci.</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2012</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w:t>
      </w:r>
      <w:r w:rsidRPr="00726CAE">
        <w:rPr>
          <w:rFonts w:ascii="Times New Roman" w:hAnsi="Times New Roman" w:cs="Times New Roman"/>
          <w:noProof/>
          <w:sz w:val="24"/>
          <w:szCs w:val="24"/>
        </w:rPr>
        <w:t xml:space="preserve"> (1), 73–78. https://doi.org/10.1002/wcms.81.</w:t>
      </w:r>
    </w:p>
    <w:p w14:paraId="0450E20C"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(51) </w:t>
      </w:r>
      <w:r w:rsidRPr="00726CAE">
        <w:rPr>
          <w:rFonts w:ascii="Times New Roman" w:hAnsi="Times New Roman" w:cs="Times New Roman"/>
          <w:noProof/>
          <w:sz w:val="24"/>
          <w:szCs w:val="24"/>
        </w:rPr>
        <w:tab/>
        <w:t xml:space="preserve">Neese, F. Software Update: The ORCA Program System, Version 4.0. </w:t>
      </w:r>
      <w:r w:rsidRPr="00726CAE">
        <w:rPr>
          <w:rFonts w:ascii="Times New Roman" w:hAnsi="Times New Roman" w:cs="Times New Roman"/>
          <w:i/>
          <w:iCs/>
          <w:noProof/>
          <w:sz w:val="24"/>
          <w:szCs w:val="24"/>
        </w:rPr>
        <w:t>Wiley Interdiscip. Rev. Comput. Mol. Sci.</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8</w:t>
      </w:r>
      <w:r w:rsidRPr="00726CAE">
        <w:rPr>
          <w:rFonts w:ascii="Times New Roman" w:hAnsi="Times New Roman" w:cs="Times New Roman"/>
          <w:noProof/>
          <w:sz w:val="24"/>
          <w:szCs w:val="24"/>
        </w:rPr>
        <w:t xml:space="preserve"> (1), e1327. https://doi.org/10.1002/wcms.1327.</w:t>
      </w:r>
    </w:p>
    <w:p w14:paraId="2DFCA839"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(52) </w:t>
      </w:r>
      <w:r w:rsidRPr="00726CAE">
        <w:rPr>
          <w:rFonts w:ascii="Times New Roman" w:hAnsi="Times New Roman" w:cs="Times New Roman"/>
          <w:noProof/>
          <w:sz w:val="24"/>
          <w:szCs w:val="24"/>
        </w:rPr>
        <w:tab/>
        <w:t xml:space="preserve">Grimme, S.; Antony, J.; Ehrlich, S.; Krieg, H. A Consistent and Accurate Ab Initio Parametrization of Density Functional Dispersion Correction (DFT-D) for the 94 Elements H-Pu. </w:t>
      </w:r>
      <w:r w:rsidRPr="00726CAE">
        <w:rPr>
          <w:rFonts w:ascii="Times New Roman" w:hAnsi="Times New Roman" w:cs="Times New Roman"/>
          <w:i/>
          <w:iCs/>
          <w:noProof/>
          <w:sz w:val="24"/>
          <w:szCs w:val="24"/>
        </w:rPr>
        <w:t>J.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2010</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132</w:t>
      </w:r>
      <w:r w:rsidRPr="00726CAE">
        <w:rPr>
          <w:rFonts w:ascii="Times New Roman" w:hAnsi="Times New Roman" w:cs="Times New Roman"/>
          <w:noProof/>
          <w:sz w:val="24"/>
          <w:szCs w:val="24"/>
        </w:rPr>
        <w:t xml:space="preserve"> (15), 154104. https://doi.org/10.1063/1.3382344.</w:t>
      </w:r>
    </w:p>
    <w:p w14:paraId="50CE5F95"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(53) </w:t>
      </w:r>
      <w:r w:rsidRPr="00726CAE">
        <w:rPr>
          <w:rFonts w:ascii="Times New Roman" w:hAnsi="Times New Roman" w:cs="Times New Roman"/>
          <w:noProof/>
          <w:sz w:val="24"/>
          <w:szCs w:val="24"/>
        </w:rPr>
        <w:tab/>
        <w:t xml:space="preserve">van Lenthe, E.; Baerends, E. J.; Snijders, J. G. Relativistic Regular Two Component Hamiltonians. </w:t>
      </w:r>
      <w:r w:rsidRPr="00726CAE">
        <w:rPr>
          <w:rFonts w:ascii="Times New Roman" w:hAnsi="Times New Roman" w:cs="Times New Roman"/>
          <w:i/>
          <w:iCs/>
          <w:noProof/>
          <w:sz w:val="24"/>
          <w:szCs w:val="24"/>
        </w:rPr>
        <w:t>J.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99</w:t>
      </w:r>
      <w:r w:rsidRPr="00726CAE">
        <w:rPr>
          <w:rFonts w:ascii="Times New Roman" w:hAnsi="Times New Roman" w:cs="Times New Roman"/>
          <w:noProof/>
          <w:sz w:val="24"/>
          <w:szCs w:val="24"/>
        </w:rPr>
        <w:t xml:space="preserve"> (6), 4597–4610. https://doi.org/10.1063/1.466059.</w:t>
      </w:r>
    </w:p>
    <w:p w14:paraId="1835BEE8"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(54) </w:t>
      </w:r>
      <w:r w:rsidRPr="00726CAE">
        <w:rPr>
          <w:rFonts w:ascii="Times New Roman" w:hAnsi="Times New Roman" w:cs="Times New Roman"/>
          <w:noProof/>
          <w:sz w:val="24"/>
          <w:szCs w:val="24"/>
        </w:rPr>
        <w:tab/>
        <w:t xml:space="preserve">Van Lenthe, E. Geometry Optimizations in the Zero Order Regular Approximation for Relativistic Effects. </w:t>
      </w:r>
      <w:r w:rsidRPr="00726CAE">
        <w:rPr>
          <w:rFonts w:ascii="Times New Roman" w:hAnsi="Times New Roman" w:cs="Times New Roman"/>
          <w:i/>
          <w:iCs/>
          <w:noProof/>
          <w:sz w:val="24"/>
          <w:szCs w:val="24"/>
        </w:rPr>
        <w:t>J.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110</w:t>
      </w:r>
      <w:r w:rsidRPr="00726CAE">
        <w:rPr>
          <w:rFonts w:ascii="Times New Roman" w:hAnsi="Times New Roman" w:cs="Times New Roman"/>
          <w:noProof/>
          <w:sz w:val="24"/>
          <w:szCs w:val="24"/>
        </w:rPr>
        <w:t xml:space="preserve"> (18), 8943–8953. https://doi.org/10.1063/1.478813.</w:t>
      </w:r>
    </w:p>
    <w:p w14:paraId="60E993B6"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(55) </w:t>
      </w:r>
      <w:r w:rsidRPr="00726CAE">
        <w:rPr>
          <w:rFonts w:ascii="Times New Roman" w:hAnsi="Times New Roman" w:cs="Times New Roman"/>
          <w:noProof/>
          <w:sz w:val="24"/>
          <w:szCs w:val="24"/>
        </w:rPr>
        <w:tab/>
        <w:t xml:space="preserve">Weigend, F. Accurate Coulomb-Fitting Basis Sets for H to Rn. </w:t>
      </w:r>
      <w:r w:rsidRPr="00726CAE">
        <w:rPr>
          <w:rFonts w:ascii="Times New Roman" w:hAnsi="Times New Roman" w:cs="Times New Roman"/>
          <w:i/>
          <w:iCs/>
          <w:noProof/>
          <w:sz w:val="24"/>
          <w:szCs w:val="24"/>
        </w:rPr>
        <w:t>Phys. Chem. Chem. Phys.</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2006</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8</w:t>
      </w:r>
      <w:r w:rsidRPr="00726CAE">
        <w:rPr>
          <w:rFonts w:ascii="Times New Roman" w:hAnsi="Times New Roman" w:cs="Times New Roman"/>
          <w:noProof/>
          <w:sz w:val="24"/>
          <w:szCs w:val="24"/>
        </w:rPr>
        <w:t xml:space="preserve"> (9), 1057–1065. https://doi.org/10.1039/b515623h.</w:t>
      </w:r>
    </w:p>
    <w:p w14:paraId="7BD48741"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(56) </w:t>
      </w:r>
      <w:r w:rsidRPr="00726CAE">
        <w:rPr>
          <w:rFonts w:ascii="Times New Roman" w:hAnsi="Times New Roman" w:cs="Times New Roman"/>
          <w:noProof/>
          <w:sz w:val="24"/>
          <w:szCs w:val="24"/>
        </w:rPr>
        <w:tab/>
        <w:t xml:space="preserve">te Velde, G.; Bickelhaupt, F. M.; Baerends, E. J.; Fonseca Guerra, C.; van Gisbergen, S. J. A.; Snijders, J. G.; Ziegler, T. Chemistry with ADF. </w:t>
      </w:r>
      <w:r w:rsidRPr="00726CAE">
        <w:rPr>
          <w:rFonts w:ascii="Times New Roman" w:hAnsi="Times New Roman" w:cs="Times New Roman"/>
          <w:i/>
          <w:iCs/>
          <w:noProof/>
          <w:sz w:val="24"/>
          <w:szCs w:val="24"/>
        </w:rPr>
        <w:t>J. Comput.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2001</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22</w:t>
      </w:r>
      <w:r w:rsidRPr="00726CAE">
        <w:rPr>
          <w:rFonts w:ascii="Times New Roman" w:hAnsi="Times New Roman" w:cs="Times New Roman"/>
          <w:noProof/>
          <w:sz w:val="24"/>
          <w:szCs w:val="24"/>
        </w:rPr>
        <w:t xml:space="preserve"> (9), 931–967. https://doi.org/10.1002/jcc.1056.</w:t>
      </w:r>
    </w:p>
    <w:p w14:paraId="2355B629"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(57) </w:t>
      </w:r>
      <w:r w:rsidRPr="00726CAE">
        <w:rPr>
          <w:rFonts w:ascii="Times New Roman" w:hAnsi="Times New Roman" w:cs="Times New Roman"/>
          <w:noProof/>
          <w:sz w:val="24"/>
          <w:szCs w:val="24"/>
        </w:rPr>
        <w:tab/>
        <w:t xml:space="preserve">Mitoraj, M.; Michalak, A. Natural Orbitals for Chemical Valence as Descriptors of Chemical Bonding in Transition Metal Complexes. </w:t>
      </w:r>
      <w:r w:rsidRPr="00726CAE">
        <w:rPr>
          <w:rFonts w:ascii="Times New Roman" w:hAnsi="Times New Roman" w:cs="Times New Roman"/>
          <w:i/>
          <w:iCs/>
          <w:noProof/>
          <w:sz w:val="24"/>
          <w:szCs w:val="24"/>
        </w:rPr>
        <w:t>J. Mol. Model.</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2007</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13</w:t>
      </w:r>
      <w:r w:rsidRPr="00726CAE">
        <w:rPr>
          <w:rFonts w:ascii="Times New Roman" w:hAnsi="Times New Roman" w:cs="Times New Roman"/>
          <w:noProof/>
          <w:sz w:val="24"/>
          <w:szCs w:val="24"/>
        </w:rPr>
        <w:t xml:space="preserve"> (2), 347–355. https://doi.org/10.1007/s00894-006-0149-4.</w:t>
      </w:r>
    </w:p>
    <w:p w14:paraId="2A3A0BF4" w14:textId="77777777" w:rsidR="00726CAE" w:rsidRPr="00D81615"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lang w:val="it-IT"/>
        </w:rPr>
      </w:pPr>
      <w:r w:rsidRPr="00726CAE">
        <w:rPr>
          <w:rFonts w:ascii="Times New Roman" w:hAnsi="Times New Roman" w:cs="Times New Roman"/>
          <w:noProof/>
          <w:sz w:val="24"/>
          <w:szCs w:val="24"/>
        </w:rPr>
        <w:t xml:space="preserve">(58) </w:t>
      </w:r>
      <w:r w:rsidRPr="00726CAE">
        <w:rPr>
          <w:rFonts w:ascii="Times New Roman" w:hAnsi="Times New Roman" w:cs="Times New Roman"/>
          <w:noProof/>
          <w:sz w:val="24"/>
          <w:szCs w:val="24"/>
        </w:rPr>
        <w:tab/>
        <w:t xml:space="preserve">Nalewajski, R. F.; Mrozek, J.; Michalak, A. Two-Electron Valence Indices from the Kohn-Sham Orbitals. </w:t>
      </w:r>
      <w:r w:rsidRPr="00D81615">
        <w:rPr>
          <w:rFonts w:ascii="Times New Roman" w:hAnsi="Times New Roman" w:cs="Times New Roman"/>
          <w:i/>
          <w:iCs/>
          <w:noProof/>
          <w:sz w:val="24"/>
          <w:szCs w:val="24"/>
          <w:lang w:val="it-IT"/>
        </w:rPr>
        <w:t>Int. J. Quantum Chem.</w:t>
      </w:r>
      <w:r w:rsidRPr="00D81615">
        <w:rPr>
          <w:rFonts w:ascii="Times New Roman" w:hAnsi="Times New Roman" w:cs="Times New Roman"/>
          <w:noProof/>
          <w:sz w:val="24"/>
          <w:szCs w:val="24"/>
          <w:lang w:val="it-IT"/>
        </w:rPr>
        <w:t xml:space="preserve"> </w:t>
      </w:r>
      <w:r w:rsidRPr="00D81615">
        <w:rPr>
          <w:rFonts w:ascii="Times New Roman" w:hAnsi="Times New Roman" w:cs="Times New Roman"/>
          <w:b/>
          <w:bCs/>
          <w:noProof/>
          <w:sz w:val="24"/>
          <w:szCs w:val="24"/>
          <w:lang w:val="it-IT"/>
        </w:rPr>
        <w:t>1997</w:t>
      </w:r>
      <w:r w:rsidRPr="00D81615">
        <w:rPr>
          <w:rFonts w:ascii="Times New Roman" w:hAnsi="Times New Roman" w:cs="Times New Roman"/>
          <w:noProof/>
          <w:sz w:val="24"/>
          <w:szCs w:val="24"/>
          <w:lang w:val="it-IT"/>
        </w:rPr>
        <w:t xml:space="preserve">, </w:t>
      </w:r>
      <w:r w:rsidRPr="00D81615">
        <w:rPr>
          <w:rFonts w:ascii="Times New Roman" w:hAnsi="Times New Roman" w:cs="Times New Roman"/>
          <w:i/>
          <w:iCs/>
          <w:noProof/>
          <w:sz w:val="24"/>
          <w:szCs w:val="24"/>
          <w:lang w:val="it-IT"/>
        </w:rPr>
        <w:t>61</w:t>
      </w:r>
      <w:r w:rsidRPr="00D81615">
        <w:rPr>
          <w:rFonts w:ascii="Times New Roman" w:hAnsi="Times New Roman" w:cs="Times New Roman"/>
          <w:noProof/>
          <w:sz w:val="24"/>
          <w:szCs w:val="24"/>
          <w:lang w:val="it-IT"/>
        </w:rPr>
        <w:t xml:space="preserve"> (3), 589–601. https://doi.org/10.1002/(SICI)1097-</w:t>
      </w:r>
      <w:r w:rsidRPr="00D81615">
        <w:rPr>
          <w:rFonts w:ascii="Times New Roman" w:hAnsi="Times New Roman" w:cs="Times New Roman"/>
          <w:noProof/>
          <w:sz w:val="24"/>
          <w:szCs w:val="24"/>
          <w:lang w:val="it-IT"/>
        </w:rPr>
        <w:lastRenderedPageBreak/>
        <w:t>461X(1997)61:3&lt;589::AID-QUA28&gt;3.0.CO;2-2.</w:t>
      </w:r>
    </w:p>
    <w:p w14:paraId="0FE946F1"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(59) </w:t>
      </w:r>
      <w:r w:rsidRPr="00726CAE">
        <w:rPr>
          <w:rFonts w:ascii="Times New Roman" w:hAnsi="Times New Roman" w:cs="Times New Roman"/>
          <w:noProof/>
          <w:sz w:val="24"/>
          <w:szCs w:val="24"/>
        </w:rPr>
        <w:tab/>
        <w:t xml:space="preserve">Nalewajski, R. F.; Ozek, J. Modified Valence Indices from the Two‐particle Density Matrix. </w:t>
      </w:r>
      <w:r w:rsidRPr="00726CAE">
        <w:rPr>
          <w:rFonts w:ascii="Times New Roman" w:hAnsi="Times New Roman" w:cs="Times New Roman"/>
          <w:i/>
          <w:iCs/>
          <w:noProof/>
          <w:sz w:val="24"/>
          <w:szCs w:val="24"/>
        </w:rPr>
        <w:t>Int. J. Quantum Chem.</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1994</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51</w:t>
      </w:r>
      <w:r w:rsidRPr="00726CAE">
        <w:rPr>
          <w:rFonts w:ascii="Times New Roman" w:hAnsi="Times New Roman" w:cs="Times New Roman"/>
          <w:noProof/>
          <w:sz w:val="24"/>
          <w:szCs w:val="24"/>
        </w:rPr>
        <w:t xml:space="preserve"> (4), 187–200. https://doi.org/10.1002/qua.560510403.</w:t>
      </w:r>
    </w:p>
    <w:p w14:paraId="035340FB"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26CAE">
        <w:rPr>
          <w:rFonts w:ascii="Times New Roman" w:hAnsi="Times New Roman" w:cs="Times New Roman"/>
          <w:noProof/>
          <w:sz w:val="24"/>
          <w:szCs w:val="24"/>
        </w:rPr>
        <w:t xml:space="preserve">(60) </w:t>
      </w:r>
      <w:r w:rsidRPr="00726CAE">
        <w:rPr>
          <w:rFonts w:ascii="Times New Roman" w:hAnsi="Times New Roman" w:cs="Times New Roman"/>
          <w:noProof/>
          <w:sz w:val="24"/>
          <w:szCs w:val="24"/>
        </w:rPr>
        <w:tab/>
        <w:t xml:space="preserve">Nalewajski, R. F.; Köster, A. M.; Jug, K. Chemical Valence from the Two-Particle Density Matrix. </w:t>
      </w:r>
      <w:r w:rsidRPr="00726CAE">
        <w:rPr>
          <w:rFonts w:ascii="Times New Roman" w:hAnsi="Times New Roman" w:cs="Times New Roman"/>
          <w:i/>
          <w:iCs/>
          <w:noProof/>
          <w:sz w:val="24"/>
          <w:szCs w:val="24"/>
        </w:rPr>
        <w:t>Theor. Chim. Acta</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1993</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85</w:t>
      </w:r>
      <w:r w:rsidRPr="00726CAE">
        <w:rPr>
          <w:rFonts w:ascii="Times New Roman" w:hAnsi="Times New Roman" w:cs="Times New Roman"/>
          <w:noProof/>
          <w:sz w:val="24"/>
          <w:szCs w:val="24"/>
        </w:rPr>
        <w:t xml:space="preserve"> (6), 463–484. https://doi.org/10.1007/BF01112985.</w:t>
      </w:r>
    </w:p>
    <w:p w14:paraId="2BF07DDB" w14:textId="77777777" w:rsidR="00726CAE" w:rsidRPr="00726CAE" w:rsidRDefault="00726CAE" w:rsidP="00726CAE">
      <w:pPr>
        <w:widowControl w:val="0"/>
        <w:autoSpaceDE w:val="0"/>
        <w:autoSpaceDN w:val="0"/>
        <w:adjustRightInd w:val="0"/>
        <w:spacing w:after="0" w:line="360" w:lineRule="auto"/>
        <w:ind w:left="640" w:hanging="640"/>
        <w:rPr>
          <w:rFonts w:ascii="Times New Roman" w:hAnsi="Times New Roman" w:cs="Times New Roman"/>
          <w:noProof/>
          <w:sz w:val="24"/>
        </w:rPr>
      </w:pPr>
      <w:r w:rsidRPr="00726CAE">
        <w:rPr>
          <w:rFonts w:ascii="Times New Roman" w:hAnsi="Times New Roman" w:cs="Times New Roman"/>
          <w:noProof/>
          <w:sz w:val="24"/>
          <w:szCs w:val="24"/>
        </w:rPr>
        <w:t xml:space="preserve">(61) </w:t>
      </w:r>
      <w:r w:rsidRPr="00726CAE">
        <w:rPr>
          <w:rFonts w:ascii="Times New Roman" w:hAnsi="Times New Roman" w:cs="Times New Roman"/>
          <w:noProof/>
          <w:sz w:val="24"/>
          <w:szCs w:val="24"/>
        </w:rPr>
        <w:tab/>
        <w:t xml:space="preserve">Altun, A.; Neese, F.; Bistoni, G. Effect of Electron Correlation on Intermolecular Interactions: A Pair Natural Orbitals Coupled Cluster Based Local Energy Decomposition Study. </w:t>
      </w:r>
      <w:r w:rsidRPr="00726CAE">
        <w:rPr>
          <w:rFonts w:ascii="Times New Roman" w:hAnsi="Times New Roman" w:cs="Times New Roman"/>
          <w:i/>
          <w:iCs/>
          <w:noProof/>
          <w:sz w:val="24"/>
          <w:szCs w:val="24"/>
        </w:rPr>
        <w:t>J. Chem. Theory Comput.</w:t>
      </w:r>
      <w:r w:rsidRPr="00726CAE">
        <w:rPr>
          <w:rFonts w:ascii="Times New Roman" w:hAnsi="Times New Roman" w:cs="Times New Roman"/>
          <w:noProof/>
          <w:sz w:val="24"/>
          <w:szCs w:val="24"/>
        </w:rPr>
        <w:t xml:space="preserve"> </w:t>
      </w:r>
      <w:r w:rsidRPr="00726CAE">
        <w:rPr>
          <w:rFonts w:ascii="Times New Roman" w:hAnsi="Times New Roman" w:cs="Times New Roman"/>
          <w:b/>
          <w:bCs/>
          <w:noProof/>
          <w:sz w:val="24"/>
          <w:szCs w:val="24"/>
        </w:rPr>
        <w:t>2019</w:t>
      </w:r>
      <w:r w:rsidRPr="00726CAE">
        <w:rPr>
          <w:rFonts w:ascii="Times New Roman" w:hAnsi="Times New Roman" w:cs="Times New Roman"/>
          <w:noProof/>
          <w:sz w:val="24"/>
          <w:szCs w:val="24"/>
        </w:rPr>
        <w:t xml:space="preserve">, </w:t>
      </w:r>
      <w:r w:rsidRPr="00726CAE">
        <w:rPr>
          <w:rFonts w:ascii="Times New Roman" w:hAnsi="Times New Roman" w:cs="Times New Roman"/>
          <w:i/>
          <w:iCs/>
          <w:noProof/>
          <w:sz w:val="24"/>
          <w:szCs w:val="24"/>
        </w:rPr>
        <w:t>15</w:t>
      </w:r>
      <w:r w:rsidRPr="00726CAE">
        <w:rPr>
          <w:rFonts w:ascii="Times New Roman" w:hAnsi="Times New Roman" w:cs="Times New Roman"/>
          <w:noProof/>
          <w:sz w:val="24"/>
          <w:szCs w:val="24"/>
        </w:rPr>
        <w:t xml:space="preserve"> (1), 215–228. https://doi.org/10.1021/acs.jctc.8b00915.</w:t>
      </w:r>
    </w:p>
    <w:p w14:paraId="104B7337" w14:textId="02C847C9" w:rsidR="00911D53" w:rsidRPr="00460059" w:rsidRDefault="00911D53" w:rsidP="00B46701">
      <w:pPr>
        <w:pStyle w:val="Corpotesto"/>
        <w:spacing w:after="0" w:line="360" w:lineRule="auto"/>
        <w:jc w:val="both"/>
        <w:rPr>
          <w:rFonts w:ascii="Times New Roman" w:hAnsi="Times New Roman" w:cs="Times New Roman"/>
          <w:sz w:val="24"/>
          <w:szCs w:val="24"/>
        </w:rPr>
      </w:pPr>
      <w:r w:rsidRPr="00460059">
        <w:rPr>
          <w:rFonts w:ascii="Times New Roman" w:hAnsi="Times New Roman" w:cs="Times New Roman"/>
          <w:sz w:val="24"/>
          <w:szCs w:val="24"/>
        </w:rPr>
        <w:fldChar w:fldCharType="end"/>
      </w:r>
    </w:p>
    <w:sectPr w:rsidR="00911D53" w:rsidRPr="00460059">
      <w:pgSz w:w="12240" w:h="15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C7E02C" w14:textId="77777777" w:rsidR="00F72B3D" w:rsidRDefault="00F72B3D">
      <w:pPr>
        <w:spacing w:after="0" w:line="240" w:lineRule="auto"/>
      </w:pPr>
      <w:r>
        <w:separator/>
      </w:r>
    </w:p>
  </w:endnote>
  <w:endnote w:type="continuationSeparator" w:id="0">
    <w:p w14:paraId="1BD0DCB3" w14:textId="77777777" w:rsidR="00F72B3D" w:rsidRDefault="00F72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612D2A" w14:textId="77777777" w:rsidR="00F72B3D" w:rsidRDefault="00F72B3D">
      <w:pPr>
        <w:spacing w:after="0" w:line="240" w:lineRule="auto"/>
      </w:pPr>
      <w:r>
        <w:separator/>
      </w:r>
    </w:p>
  </w:footnote>
  <w:footnote w:type="continuationSeparator" w:id="0">
    <w:p w14:paraId="24DAC3BD" w14:textId="77777777" w:rsidR="00F72B3D" w:rsidRDefault="00F72B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BE1F52"/>
    <w:multiLevelType w:val="hybridMultilevel"/>
    <w:tmpl w:val="91781326"/>
    <w:lvl w:ilvl="0" w:tplc="CAE66D5A">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F77752"/>
    <w:multiLevelType w:val="hybridMultilevel"/>
    <w:tmpl w:val="A192D4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oNotDisplayPageBoundaries/>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D25"/>
    <w:rsid w:val="0000037E"/>
    <w:rsid w:val="000017B1"/>
    <w:rsid w:val="00002C7C"/>
    <w:rsid w:val="00002FED"/>
    <w:rsid w:val="00006294"/>
    <w:rsid w:val="000151AC"/>
    <w:rsid w:val="00015CC3"/>
    <w:rsid w:val="000168E1"/>
    <w:rsid w:val="00021297"/>
    <w:rsid w:val="0002252F"/>
    <w:rsid w:val="00043C8A"/>
    <w:rsid w:val="00050738"/>
    <w:rsid w:val="00051A9B"/>
    <w:rsid w:val="00051E2E"/>
    <w:rsid w:val="00056845"/>
    <w:rsid w:val="000576C1"/>
    <w:rsid w:val="00061B50"/>
    <w:rsid w:val="00063450"/>
    <w:rsid w:val="00064BE6"/>
    <w:rsid w:val="00065AE0"/>
    <w:rsid w:val="00066F4F"/>
    <w:rsid w:val="00067242"/>
    <w:rsid w:val="00071D22"/>
    <w:rsid w:val="0007305A"/>
    <w:rsid w:val="00074A0E"/>
    <w:rsid w:val="00075AD8"/>
    <w:rsid w:val="000911C7"/>
    <w:rsid w:val="00094EBC"/>
    <w:rsid w:val="00096663"/>
    <w:rsid w:val="00096A8A"/>
    <w:rsid w:val="00097215"/>
    <w:rsid w:val="000A0699"/>
    <w:rsid w:val="000B2028"/>
    <w:rsid w:val="000B2853"/>
    <w:rsid w:val="000B36C4"/>
    <w:rsid w:val="000B65AA"/>
    <w:rsid w:val="000C025B"/>
    <w:rsid w:val="000C2DD4"/>
    <w:rsid w:val="000C47BD"/>
    <w:rsid w:val="000C5486"/>
    <w:rsid w:val="000D255F"/>
    <w:rsid w:val="000D2971"/>
    <w:rsid w:val="000E022F"/>
    <w:rsid w:val="000E10D4"/>
    <w:rsid w:val="000E11EF"/>
    <w:rsid w:val="000E16F7"/>
    <w:rsid w:val="000E2B64"/>
    <w:rsid w:val="000E32C7"/>
    <w:rsid w:val="000E477D"/>
    <w:rsid w:val="000E5C40"/>
    <w:rsid w:val="000E5F17"/>
    <w:rsid w:val="000F05EE"/>
    <w:rsid w:val="000F21AA"/>
    <w:rsid w:val="00102B6B"/>
    <w:rsid w:val="00112B2D"/>
    <w:rsid w:val="00113FAC"/>
    <w:rsid w:val="00116C75"/>
    <w:rsid w:val="00117BE9"/>
    <w:rsid w:val="0012665A"/>
    <w:rsid w:val="001321B6"/>
    <w:rsid w:val="00134B4C"/>
    <w:rsid w:val="00135A59"/>
    <w:rsid w:val="00135AF6"/>
    <w:rsid w:val="001408BE"/>
    <w:rsid w:val="00141396"/>
    <w:rsid w:val="0014256E"/>
    <w:rsid w:val="00143BCA"/>
    <w:rsid w:val="00145007"/>
    <w:rsid w:val="0014607A"/>
    <w:rsid w:val="001465C5"/>
    <w:rsid w:val="00150F8F"/>
    <w:rsid w:val="00154486"/>
    <w:rsid w:val="0015561D"/>
    <w:rsid w:val="00155A5F"/>
    <w:rsid w:val="001561CC"/>
    <w:rsid w:val="0016141B"/>
    <w:rsid w:val="0016476C"/>
    <w:rsid w:val="00166159"/>
    <w:rsid w:val="0017072A"/>
    <w:rsid w:val="001725B8"/>
    <w:rsid w:val="00173F95"/>
    <w:rsid w:val="001755B4"/>
    <w:rsid w:val="00182338"/>
    <w:rsid w:val="0019063C"/>
    <w:rsid w:val="0019084F"/>
    <w:rsid w:val="00194C24"/>
    <w:rsid w:val="00197D2E"/>
    <w:rsid w:val="001A5D27"/>
    <w:rsid w:val="001A774C"/>
    <w:rsid w:val="001B2287"/>
    <w:rsid w:val="001B48CC"/>
    <w:rsid w:val="001B7016"/>
    <w:rsid w:val="001C05CC"/>
    <w:rsid w:val="001C4DF6"/>
    <w:rsid w:val="001C5536"/>
    <w:rsid w:val="001D120C"/>
    <w:rsid w:val="001D294E"/>
    <w:rsid w:val="001D62A3"/>
    <w:rsid w:val="001D6446"/>
    <w:rsid w:val="001D7C21"/>
    <w:rsid w:val="001E2092"/>
    <w:rsid w:val="001E36AE"/>
    <w:rsid w:val="001E5543"/>
    <w:rsid w:val="001F0C2F"/>
    <w:rsid w:val="001F3137"/>
    <w:rsid w:val="001F31E2"/>
    <w:rsid w:val="001F3BEC"/>
    <w:rsid w:val="001F426A"/>
    <w:rsid w:val="001F7C6E"/>
    <w:rsid w:val="00200C9D"/>
    <w:rsid w:val="00207E9D"/>
    <w:rsid w:val="00211F7C"/>
    <w:rsid w:val="00222E37"/>
    <w:rsid w:val="00226607"/>
    <w:rsid w:val="0023369E"/>
    <w:rsid w:val="0023480B"/>
    <w:rsid w:val="00234834"/>
    <w:rsid w:val="002432DA"/>
    <w:rsid w:val="0025093F"/>
    <w:rsid w:val="002559FE"/>
    <w:rsid w:val="0026086A"/>
    <w:rsid w:val="002639D1"/>
    <w:rsid w:val="00265B2E"/>
    <w:rsid w:val="00267458"/>
    <w:rsid w:val="002706DE"/>
    <w:rsid w:val="00270F17"/>
    <w:rsid w:val="002775A1"/>
    <w:rsid w:val="0028136B"/>
    <w:rsid w:val="0028162D"/>
    <w:rsid w:val="00284F6C"/>
    <w:rsid w:val="00285F4D"/>
    <w:rsid w:val="00287869"/>
    <w:rsid w:val="00290249"/>
    <w:rsid w:val="002B0AEE"/>
    <w:rsid w:val="002B100A"/>
    <w:rsid w:val="002B1EFD"/>
    <w:rsid w:val="002B52FA"/>
    <w:rsid w:val="002C0598"/>
    <w:rsid w:val="002C3034"/>
    <w:rsid w:val="002C4F6A"/>
    <w:rsid w:val="002C5271"/>
    <w:rsid w:val="002D1B08"/>
    <w:rsid w:val="002D64C1"/>
    <w:rsid w:val="002D7740"/>
    <w:rsid w:val="002D7846"/>
    <w:rsid w:val="002E4A25"/>
    <w:rsid w:val="002E4B41"/>
    <w:rsid w:val="002E4F8B"/>
    <w:rsid w:val="002E5207"/>
    <w:rsid w:val="002E56E2"/>
    <w:rsid w:val="002F241E"/>
    <w:rsid w:val="002F29C5"/>
    <w:rsid w:val="002F598F"/>
    <w:rsid w:val="002F5E96"/>
    <w:rsid w:val="002F77FE"/>
    <w:rsid w:val="0030042A"/>
    <w:rsid w:val="00302EE1"/>
    <w:rsid w:val="0030520D"/>
    <w:rsid w:val="00306C73"/>
    <w:rsid w:val="0031194A"/>
    <w:rsid w:val="00313E64"/>
    <w:rsid w:val="00314424"/>
    <w:rsid w:val="00321C0C"/>
    <w:rsid w:val="00326605"/>
    <w:rsid w:val="00327322"/>
    <w:rsid w:val="00327F20"/>
    <w:rsid w:val="003450F2"/>
    <w:rsid w:val="0035318B"/>
    <w:rsid w:val="00353D1E"/>
    <w:rsid w:val="00353F42"/>
    <w:rsid w:val="00356938"/>
    <w:rsid w:val="00356C3C"/>
    <w:rsid w:val="003635C7"/>
    <w:rsid w:val="0037209D"/>
    <w:rsid w:val="00372125"/>
    <w:rsid w:val="00373543"/>
    <w:rsid w:val="003773C7"/>
    <w:rsid w:val="0038194C"/>
    <w:rsid w:val="003833B9"/>
    <w:rsid w:val="00384FCE"/>
    <w:rsid w:val="00387C9A"/>
    <w:rsid w:val="00390D08"/>
    <w:rsid w:val="003932FD"/>
    <w:rsid w:val="00395883"/>
    <w:rsid w:val="003B0A03"/>
    <w:rsid w:val="003B10E1"/>
    <w:rsid w:val="003B2AF2"/>
    <w:rsid w:val="003C4DAB"/>
    <w:rsid w:val="003C5B77"/>
    <w:rsid w:val="003D1ECD"/>
    <w:rsid w:val="003D3B27"/>
    <w:rsid w:val="003D4588"/>
    <w:rsid w:val="003D75DE"/>
    <w:rsid w:val="003E04AF"/>
    <w:rsid w:val="003E152F"/>
    <w:rsid w:val="003E2356"/>
    <w:rsid w:val="003E23C4"/>
    <w:rsid w:val="003E3D52"/>
    <w:rsid w:val="003E67A8"/>
    <w:rsid w:val="003F10B9"/>
    <w:rsid w:val="003F44FA"/>
    <w:rsid w:val="003F595D"/>
    <w:rsid w:val="003F7FDA"/>
    <w:rsid w:val="0040259E"/>
    <w:rsid w:val="00411567"/>
    <w:rsid w:val="004157FA"/>
    <w:rsid w:val="00423F6B"/>
    <w:rsid w:val="00426739"/>
    <w:rsid w:val="004337A3"/>
    <w:rsid w:val="0043479A"/>
    <w:rsid w:val="00435B4C"/>
    <w:rsid w:val="00441221"/>
    <w:rsid w:val="004427EF"/>
    <w:rsid w:val="0044333B"/>
    <w:rsid w:val="00444911"/>
    <w:rsid w:val="00450D41"/>
    <w:rsid w:val="00453794"/>
    <w:rsid w:val="00455ABC"/>
    <w:rsid w:val="00460059"/>
    <w:rsid w:val="004611C5"/>
    <w:rsid w:val="004612FF"/>
    <w:rsid w:val="00461769"/>
    <w:rsid w:val="00473236"/>
    <w:rsid w:val="004751D7"/>
    <w:rsid w:val="00475AF2"/>
    <w:rsid w:val="004760A3"/>
    <w:rsid w:val="00477443"/>
    <w:rsid w:val="00484A5F"/>
    <w:rsid w:val="00484D7E"/>
    <w:rsid w:val="00484FEC"/>
    <w:rsid w:val="00485768"/>
    <w:rsid w:val="004857F7"/>
    <w:rsid w:val="00491F7E"/>
    <w:rsid w:val="00493EAD"/>
    <w:rsid w:val="00494E65"/>
    <w:rsid w:val="004971B0"/>
    <w:rsid w:val="004A596A"/>
    <w:rsid w:val="004B0486"/>
    <w:rsid w:val="004B43EF"/>
    <w:rsid w:val="004C38B4"/>
    <w:rsid w:val="004D24B6"/>
    <w:rsid w:val="004D29DA"/>
    <w:rsid w:val="004D4D1B"/>
    <w:rsid w:val="004D7C34"/>
    <w:rsid w:val="004E08D3"/>
    <w:rsid w:val="004E2467"/>
    <w:rsid w:val="004E2CC5"/>
    <w:rsid w:val="004E3449"/>
    <w:rsid w:val="004E6A2C"/>
    <w:rsid w:val="004F0A93"/>
    <w:rsid w:val="004F2B92"/>
    <w:rsid w:val="004F33DA"/>
    <w:rsid w:val="00504B49"/>
    <w:rsid w:val="00506303"/>
    <w:rsid w:val="00511992"/>
    <w:rsid w:val="00514034"/>
    <w:rsid w:val="0051482E"/>
    <w:rsid w:val="005156DA"/>
    <w:rsid w:val="005227B2"/>
    <w:rsid w:val="00523E28"/>
    <w:rsid w:val="00524EFB"/>
    <w:rsid w:val="00525BD7"/>
    <w:rsid w:val="00526489"/>
    <w:rsid w:val="00533EB4"/>
    <w:rsid w:val="005409B1"/>
    <w:rsid w:val="00543753"/>
    <w:rsid w:val="00546AC6"/>
    <w:rsid w:val="00551B1C"/>
    <w:rsid w:val="005675BA"/>
    <w:rsid w:val="00570D51"/>
    <w:rsid w:val="00576768"/>
    <w:rsid w:val="005902A3"/>
    <w:rsid w:val="00592958"/>
    <w:rsid w:val="005929DA"/>
    <w:rsid w:val="00594E5D"/>
    <w:rsid w:val="00595206"/>
    <w:rsid w:val="005A0687"/>
    <w:rsid w:val="005B24BA"/>
    <w:rsid w:val="005B41F3"/>
    <w:rsid w:val="005B5EFE"/>
    <w:rsid w:val="005C19EF"/>
    <w:rsid w:val="005C1AE6"/>
    <w:rsid w:val="005C1B20"/>
    <w:rsid w:val="005C33F2"/>
    <w:rsid w:val="005C3BB1"/>
    <w:rsid w:val="005C5A19"/>
    <w:rsid w:val="005E1E6D"/>
    <w:rsid w:val="005E4C39"/>
    <w:rsid w:val="005E4F9C"/>
    <w:rsid w:val="005F28BB"/>
    <w:rsid w:val="005F32AB"/>
    <w:rsid w:val="005F7E1D"/>
    <w:rsid w:val="006014FB"/>
    <w:rsid w:val="006037CC"/>
    <w:rsid w:val="0061102F"/>
    <w:rsid w:val="0061242A"/>
    <w:rsid w:val="00616270"/>
    <w:rsid w:val="00620BCF"/>
    <w:rsid w:val="0062246A"/>
    <w:rsid w:val="00624718"/>
    <w:rsid w:val="006264FD"/>
    <w:rsid w:val="00632296"/>
    <w:rsid w:val="00632C37"/>
    <w:rsid w:val="00636DCB"/>
    <w:rsid w:val="00637C80"/>
    <w:rsid w:val="00637DA8"/>
    <w:rsid w:val="006404C7"/>
    <w:rsid w:val="006404E1"/>
    <w:rsid w:val="006476D1"/>
    <w:rsid w:val="00657302"/>
    <w:rsid w:val="006640E5"/>
    <w:rsid w:val="00666DD9"/>
    <w:rsid w:val="00670AE6"/>
    <w:rsid w:val="00670E21"/>
    <w:rsid w:val="00676C41"/>
    <w:rsid w:val="006804AA"/>
    <w:rsid w:val="00683398"/>
    <w:rsid w:val="00687E07"/>
    <w:rsid w:val="00690A11"/>
    <w:rsid w:val="006969CC"/>
    <w:rsid w:val="006A1905"/>
    <w:rsid w:val="006A36D7"/>
    <w:rsid w:val="006A6B9D"/>
    <w:rsid w:val="006B091C"/>
    <w:rsid w:val="006B1648"/>
    <w:rsid w:val="006B186C"/>
    <w:rsid w:val="006B7561"/>
    <w:rsid w:val="006C0DE3"/>
    <w:rsid w:val="006C4784"/>
    <w:rsid w:val="006D17FF"/>
    <w:rsid w:val="006D5B5B"/>
    <w:rsid w:val="006D6BD0"/>
    <w:rsid w:val="006E16D1"/>
    <w:rsid w:val="006F6D9E"/>
    <w:rsid w:val="00700379"/>
    <w:rsid w:val="007005C8"/>
    <w:rsid w:val="00700B05"/>
    <w:rsid w:val="007051DA"/>
    <w:rsid w:val="007058BF"/>
    <w:rsid w:val="0071102A"/>
    <w:rsid w:val="00711D52"/>
    <w:rsid w:val="00722CA0"/>
    <w:rsid w:val="00726B13"/>
    <w:rsid w:val="00726CAE"/>
    <w:rsid w:val="0073106F"/>
    <w:rsid w:val="00743E08"/>
    <w:rsid w:val="007505C8"/>
    <w:rsid w:val="007601CC"/>
    <w:rsid w:val="00760835"/>
    <w:rsid w:val="00761EC8"/>
    <w:rsid w:val="007627C6"/>
    <w:rsid w:val="007652E6"/>
    <w:rsid w:val="007674ED"/>
    <w:rsid w:val="00770B52"/>
    <w:rsid w:val="0077395A"/>
    <w:rsid w:val="0077517A"/>
    <w:rsid w:val="007813ED"/>
    <w:rsid w:val="00785D36"/>
    <w:rsid w:val="00793DA9"/>
    <w:rsid w:val="00794687"/>
    <w:rsid w:val="00794FFF"/>
    <w:rsid w:val="007A368E"/>
    <w:rsid w:val="007B3B78"/>
    <w:rsid w:val="007C21BD"/>
    <w:rsid w:val="007C4C0A"/>
    <w:rsid w:val="007C6B02"/>
    <w:rsid w:val="007D0519"/>
    <w:rsid w:val="007D0A2E"/>
    <w:rsid w:val="007D33EE"/>
    <w:rsid w:val="007D3515"/>
    <w:rsid w:val="007D54B6"/>
    <w:rsid w:val="007D7EFD"/>
    <w:rsid w:val="007E0E6E"/>
    <w:rsid w:val="007E1D58"/>
    <w:rsid w:val="007E2B3E"/>
    <w:rsid w:val="007E6BE5"/>
    <w:rsid w:val="007E71BA"/>
    <w:rsid w:val="007F04FC"/>
    <w:rsid w:val="007F133A"/>
    <w:rsid w:val="007F6CE4"/>
    <w:rsid w:val="00802A99"/>
    <w:rsid w:val="0080384D"/>
    <w:rsid w:val="00807781"/>
    <w:rsid w:val="00810BB2"/>
    <w:rsid w:val="00810DD1"/>
    <w:rsid w:val="00813DEB"/>
    <w:rsid w:val="00814ABE"/>
    <w:rsid w:val="008200FB"/>
    <w:rsid w:val="008221D4"/>
    <w:rsid w:val="008229D0"/>
    <w:rsid w:val="00822A23"/>
    <w:rsid w:val="00822A9D"/>
    <w:rsid w:val="00823571"/>
    <w:rsid w:val="00827E6B"/>
    <w:rsid w:val="0083046C"/>
    <w:rsid w:val="0083419C"/>
    <w:rsid w:val="00835503"/>
    <w:rsid w:val="008360CC"/>
    <w:rsid w:val="0084101A"/>
    <w:rsid w:val="00845A17"/>
    <w:rsid w:val="008475E1"/>
    <w:rsid w:val="00850D53"/>
    <w:rsid w:val="008513C2"/>
    <w:rsid w:val="008517C3"/>
    <w:rsid w:val="008521EE"/>
    <w:rsid w:val="00855E0F"/>
    <w:rsid w:val="0085717C"/>
    <w:rsid w:val="00861A03"/>
    <w:rsid w:val="00861AF2"/>
    <w:rsid w:val="008643DB"/>
    <w:rsid w:val="008656C0"/>
    <w:rsid w:val="00867DAE"/>
    <w:rsid w:val="00867FFE"/>
    <w:rsid w:val="00871D29"/>
    <w:rsid w:val="00880770"/>
    <w:rsid w:val="00881A9F"/>
    <w:rsid w:val="00883EC4"/>
    <w:rsid w:val="0089043A"/>
    <w:rsid w:val="008A1FCC"/>
    <w:rsid w:val="008A243D"/>
    <w:rsid w:val="008A462C"/>
    <w:rsid w:val="008A6279"/>
    <w:rsid w:val="008A64B9"/>
    <w:rsid w:val="008A7B53"/>
    <w:rsid w:val="008B1BED"/>
    <w:rsid w:val="008C339D"/>
    <w:rsid w:val="008C3E78"/>
    <w:rsid w:val="008C6074"/>
    <w:rsid w:val="008C7562"/>
    <w:rsid w:val="008D1191"/>
    <w:rsid w:val="008D1F77"/>
    <w:rsid w:val="008D46D2"/>
    <w:rsid w:val="008E17C0"/>
    <w:rsid w:val="008E2618"/>
    <w:rsid w:val="008E275E"/>
    <w:rsid w:val="008E2E19"/>
    <w:rsid w:val="008E7D0D"/>
    <w:rsid w:val="008F390F"/>
    <w:rsid w:val="008F5EEB"/>
    <w:rsid w:val="009018EB"/>
    <w:rsid w:val="00904397"/>
    <w:rsid w:val="0090519D"/>
    <w:rsid w:val="00906CC9"/>
    <w:rsid w:val="00906F6B"/>
    <w:rsid w:val="00907FF3"/>
    <w:rsid w:val="0091038B"/>
    <w:rsid w:val="009116DA"/>
    <w:rsid w:val="00911D53"/>
    <w:rsid w:val="009134F3"/>
    <w:rsid w:val="009144C2"/>
    <w:rsid w:val="0092579C"/>
    <w:rsid w:val="00926871"/>
    <w:rsid w:val="00933153"/>
    <w:rsid w:val="00933F85"/>
    <w:rsid w:val="00936D38"/>
    <w:rsid w:val="0093779A"/>
    <w:rsid w:val="00940A74"/>
    <w:rsid w:val="00942832"/>
    <w:rsid w:val="00946888"/>
    <w:rsid w:val="00952EB5"/>
    <w:rsid w:val="00953731"/>
    <w:rsid w:val="009544AF"/>
    <w:rsid w:val="00963830"/>
    <w:rsid w:val="0096616B"/>
    <w:rsid w:val="00976A58"/>
    <w:rsid w:val="00981E16"/>
    <w:rsid w:val="0098246F"/>
    <w:rsid w:val="0098436A"/>
    <w:rsid w:val="009921BF"/>
    <w:rsid w:val="009A118C"/>
    <w:rsid w:val="009A1903"/>
    <w:rsid w:val="009A2694"/>
    <w:rsid w:val="009A51A1"/>
    <w:rsid w:val="009A6EEA"/>
    <w:rsid w:val="009A70E3"/>
    <w:rsid w:val="009B1D1A"/>
    <w:rsid w:val="009B2410"/>
    <w:rsid w:val="009B2718"/>
    <w:rsid w:val="009B3284"/>
    <w:rsid w:val="009B491F"/>
    <w:rsid w:val="009B56C7"/>
    <w:rsid w:val="009B69F3"/>
    <w:rsid w:val="009C0D0A"/>
    <w:rsid w:val="009C4C58"/>
    <w:rsid w:val="009C665B"/>
    <w:rsid w:val="009D1C1E"/>
    <w:rsid w:val="009D246B"/>
    <w:rsid w:val="009D2D09"/>
    <w:rsid w:val="009D3735"/>
    <w:rsid w:val="009D4713"/>
    <w:rsid w:val="009D5F82"/>
    <w:rsid w:val="009E0BE2"/>
    <w:rsid w:val="009E3F72"/>
    <w:rsid w:val="009E58B5"/>
    <w:rsid w:val="009F6DB8"/>
    <w:rsid w:val="00A04F2A"/>
    <w:rsid w:val="00A10358"/>
    <w:rsid w:val="00A153FD"/>
    <w:rsid w:val="00A17F68"/>
    <w:rsid w:val="00A23000"/>
    <w:rsid w:val="00A23896"/>
    <w:rsid w:val="00A23BD1"/>
    <w:rsid w:val="00A23C6D"/>
    <w:rsid w:val="00A249CC"/>
    <w:rsid w:val="00A259A8"/>
    <w:rsid w:val="00A30F64"/>
    <w:rsid w:val="00A32F5D"/>
    <w:rsid w:val="00A32FE9"/>
    <w:rsid w:val="00A33567"/>
    <w:rsid w:val="00A362AE"/>
    <w:rsid w:val="00A439D2"/>
    <w:rsid w:val="00A4624C"/>
    <w:rsid w:val="00A57FC8"/>
    <w:rsid w:val="00A61442"/>
    <w:rsid w:val="00A62516"/>
    <w:rsid w:val="00A62B31"/>
    <w:rsid w:val="00A6322C"/>
    <w:rsid w:val="00A64A66"/>
    <w:rsid w:val="00A709CC"/>
    <w:rsid w:val="00A71CEB"/>
    <w:rsid w:val="00A746BD"/>
    <w:rsid w:val="00A751DA"/>
    <w:rsid w:val="00A90F17"/>
    <w:rsid w:val="00A939ED"/>
    <w:rsid w:val="00A93C47"/>
    <w:rsid w:val="00AB34E0"/>
    <w:rsid w:val="00AB37BC"/>
    <w:rsid w:val="00AB3CAF"/>
    <w:rsid w:val="00AC11F5"/>
    <w:rsid w:val="00AC593D"/>
    <w:rsid w:val="00AD216F"/>
    <w:rsid w:val="00AD6890"/>
    <w:rsid w:val="00AD6B4B"/>
    <w:rsid w:val="00AE041A"/>
    <w:rsid w:val="00AE083D"/>
    <w:rsid w:val="00AE1C17"/>
    <w:rsid w:val="00AE38FB"/>
    <w:rsid w:val="00AF02A5"/>
    <w:rsid w:val="00AF0343"/>
    <w:rsid w:val="00AF2098"/>
    <w:rsid w:val="00AF3EAA"/>
    <w:rsid w:val="00AF554D"/>
    <w:rsid w:val="00B04F33"/>
    <w:rsid w:val="00B11704"/>
    <w:rsid w:val="00B14CE1"/>
    <w:rsid w:val="00B15223"/>
    <w:rsid w:val="00B15B10"/>
    <w:rsid w:val="00B2296C"/>
    <w:rsid w:val="00B247B4"/>
    <w:rsid w:val="00B25313"/>
    <w:rsid w:val="00B262F6"/>
    <w:rsid w:val="00B32A78"/>
    <w:rsid w:val="00B32E43"/>
    <w:rsid w:val="00B340A4"/>
    <w:rsid w:val="00B41E64"/>
    <w:rsid w:val="00B458F6"/>
    <w:rsid w:val="00B45D7F"/>
    <w:rsid w:val="00B46701"/>
    <w:rsid w:val="00B553B7"/>
    <w:rsid w:val="00B5589F"/>
    <w:rsid w:val="00B57166"/>
    <w:rsid w:val="00B6105D"/>
    <w:rsid w:val="00B7029B"/>
    <w:rsid w:val="00B715FD"/>
    <w:rsid w:val="00B72F40"/>
    <w:rsid w:val="00B74D24"/>
    <w:rsid w:val="00B74DC7"/>
    <w:rsid w:val="00B84493"/>
    <w:rsid w:val="00B876E6"/>
    <w:rsid w:val="00B9173F"/>
    <w:rsid w:val="00B95E4B"/>
    <w:rsid w:val="00B96D0D"/>
    <w:rsid w:val="00B97E9F"/>
    <w:rsid w:val="00BA5FAD"/>
    <w:rsid w:val="00BA73EB"/>
    <w:rsid w:val="00BB03D9"/>
    <w:rsid w:val="00BB206D"/>
    <w:rsid w:val="00BB2C44"/>
    <w:rsid w:val="00BB6310"/>
    <w:rsid w:val="00BB67EE"/>
    <w:rsid w:val="00BB7387"/>
    <w:rsid w:val="00BC53C7"/>
    <w:rsid w:val="00BC7898"/>
    <w:rsid w:val="00BD140A"/>
    <w:rsid w:val="00BD3F6C"/>
    <w:rsid w:val="00BD67C7"/>
    <w:rsid w:val="00BE0AF6"/>
    <w:rsid w:val="00BE1FCB"/>
    <w:rsid w:val="00BE659F"/>
    <w:rsid w:val="00C00C92"/>
    <w:rsid w:val="00C00E71"/>
    <w:rsid w:val="00C11EF8"/>
    <w:rsid w:val="00C148B9"/>
    <w:rsid w:val="00C16F46"/>
    <w:rsid w:val="00C21A2A"/>
    <w:rsid w:val="00C21BCA"/>
    <w:rsid w:val="00C23327"/>
    <w:rsid w:val="00C2489D"/>
    <w:rsid w:val="00C24A96"/>
    <w:rsid w:val="00C254DB"/>
    <w:rsid w:val="00C336AB"/>
    <w:rsid w:val="00C34BEF"/>
    <w:rsid w:val="00C35E35"/>
    <w:rsid w:val="00C36823"/>
    <w:rsid w:val="00C37DC5"/>
    <w:rsid w:val="00C43818"/>
    <w:rsid w:val="00C46400"/>
    <w:rsid w:val="00C46960"/>
    <w:rsid w:val="00C5090A"/>
    <w:rsid w:val="00C527D4"/>
    <w:rsid w:val="00C57109"/>
    <w:rsid w:val="00C60615"/>
    <w:rsid w:val="00C644D6"/>
    <w:rsid w:val="00C64E95"/>
    <w:rsid w:val="00C6712B"/>
    <w:rsid w:val="00C717D9"/>
    <w:rsid w:val="00C75D18"/>
    <w:rsid w:val="00C82E89"/>
    <w:rsid w:val="00C87D97"/>
    <w:rsid w:val="00C9275B"/>
    <w:rsid w:val="00C9442D"/>
    <w:rsid w:val="00CA0215"/>
    <w:rsid w:val="00CA360B"/>
    <w:rsid w:val="00CB1E3D"/>
    <w:rsid w:val="00CB33B7"/>
    <w:rsid w:val="00CB55D3"/>
    <w:rsid w:val="00CC3D44"/>
    <w:rsid w:val="00CC3E93"/>
    <w:rsid w:val="00CC6374"/>
    <w:rsid w:val="00CC666B"/>
    <w:rsid w:val="00CD3E8C"/>
    <w:rsid w:val="00CD526F"/>
    <w:rsid w:val="00CD5286"/>
    <w:rsid w:val="00CD6B7A"/>
    <w:rsid w:val="00CE225E"/>
    <w:rsid w:val="00CE3A32"/>
    <w:rsid w:val="00CE49A1"/>
    <w:rsid w:val="00CF2608"/>
    <w:rsid w:val="00CF31B4"/>
    <w:rsid w:val="00CF53B4"/>
    <w:rsid w:val="00CF7160"/>
    <w:rsid w:val="00CF71CE"/>
    <w:rsid w:val="00CF7D66"/>
    <w:rsid w:val="00D03F9E"/>
    <w:rsid w:val="00D128D8"/>
    <w:rsid w:val="00D147F9"/>
    <w:rsid w:val="00D14F7D"/>
    <w:rsid w:val="00D15D67"/>
    <w:rsid w:val="00D16A38"/>
    <w:rsid w:val="00D17AFA"/>
    <w:rsid w:val="00D2284E"/>
    <w:rsid w:val="00D27D25"/>
    <w:rsid w:val="00D328FA"/>
    <w:rsid w:val="00D40363"/>
    <w:rsid w:val="00D459EA"/>
    <w:rsid w:val="00D46AF1"/>
    <w:rsid w:val="00D52A3B"/>
    <w:rsid w:val="00D52E0F"/>
    <w:rsid w:val="00D577CB"/>
    <w:rsid w:val="00D60886"/>
    <w:rsid w:val="00D638EA"/>
    <w:rsid w:val="00D64037"/>
    <w:rsid w:val="00D659DB"/>
    <w:rsid w:val="00D711B6"/>
    <w:rsid w:val="00D80399"/>
    <w:rsid w:val="00D81615"/>
    <w:rsid w:val="00D83FEE"/>
    <w:rsid w:val="00D85271"/>
    <w:rsid w:val="00D91834"/>
    <w:rsid w:val="00D93B22"/>
    <w:rsid w:val="00D95E0F"/>
    <w:rsid w:val="00D95E27"/>
    <w:rsid w:val="00DA551C"/>
    <w:rsid w:val="00DA6E1D"/>
    <w:rsid w:val="00DA767E"/>
    <w:rsid w:val="00DB1D20"/>
    <w:rsid w:val="00DB6C15"/>
    <w:rsid w:val="00DB7018"/>
    <w:rsid w:val="00DC0724"/>
    <w:rsid w:val="00DC0768"/>
    <w:rsid w:val="00DC0E7A"/>
    <w:rsid w:val="00DC1944"/>
    <w:rsid w:val="00DC1A99"/>
    <w:rsid w:val="00DC3FA7"/>
    <w:rsid w:val="00DD3CB1"/>
    <w:rsid w:val="00DD5C2B"/>
    <w:rsid w:val="00DD71E3"/>
    <w:rsid w:val="00DE246E"/>
    <w:rsid w:val="00DF31B2"/>
    <w:rsid w:val="00DF49ED"/>
    <w:rsid w:val="00DF5936"/>
    <w:rsid w:val="00E064E0"/>
    <w:rsid w:val="00E13A76"/>
    <w:rsid w:val="00E16395"/>
    <w:rsid w:val="00E17505"/>
    <w:rsid w:val="00E20136"/>
    <w:rsid w:val="00E22929"/>
    <w:rsid w:val="00E22A45"/>
    <w:rsid w:val="00E23EC1"/>
    <w:rsid w:val="00E31AE8"/>
    <w:rsid w:val="00E31D52"/>
    <w:rsid w:val="00E35BC4"/>
    <w:rsid w:val="00E42476"/>
    <w:rsid w:val="00E43F9F"/>
    <w:rsid w:val="00E53373"/>
    <w:rsid w:val="00E55863"/>
    <w:rsid w:val="00E610B9"/>
    <w:rsid w:val="00E62265"/>
    <w:rsid w:val="00E76429"/>
    <w:rsid w:val="00E7725F"/>
    <w:rsid w:val="00E77FBB"/>
    <w:rsid w:val="00E830DC"/>
    <w:rsid w:val="00E96BDB"/>
    <w:rsid w:val="00E97A1E"/>
    <w:rsid w:val="00EA6676"/>
    <w:rsid w:val="00EB24FD"/>
    <w:rsid w:val="00EC0D04"/>
    <w:rsid w:val="00EC2C01"/>
    <w:rsid w:val="00ED17C0"/>
    <w:rsid w:val="00ED29A0"/>
    <w:rsid w:val="00ED7744"/>
    <w:rsid w:val="00EE2795"/>
    <w:rsid w:val="00EE326D"/>
    <w:rsid w:val="00EE4538"/>
    <w:rsid w:val="00EE5FB2"/>
    <w:rsid w:val="00EE715E"/>
    <w:rsid w:val="00EF39A2"/>
    <w:rsid w:val="00EF7237"/>
    <w:rsid w:val="00EF7D57"/>
    <w:rsid w:val="00F0356D"/>
    <w:rsid w:val="00F0671C"/>
    <w:rsid w:val="00F06DA4"/>
    <w:rsid w:val="00F12596"/>
    <w:rsid w:val="00F16E9B"/>
    <w:rsid w:val="00F224C0"/>
    <w:rsid w:val="00F25A63"/>
    <w:rsid w:val="00F33092"/>
    <w:rsid w:val="00F350C9"/>
    <w:rsid w:val="00F36B34"/>
    <w:rsid w:val="00F44619"/>
    <w:rsid w:val="00F45737"/>
    <w:rsid w:val="00F4612E"/>
    <w:rsid w:val="00F51554"/>
    <w:rsid w:val="00F53128"/>
    <w:rsid w:val="00F55429"/>
    <w:rsid w:val="00F56B50"/>
    <w:rsid w:val="00F72B3D"/>
    <w:rsid w:val="00F868D4"/>
    <w:rsid w:val="00F97529"/>
    <w:rsid w:val="00F97619"/>
    <w:rsid w:val="00F97828"/>
    <w:rsid w:val="00FA1994"/>
    <w:rsid w:val="00FA27FB"/>
    <w:rsid w:val="00FA3CE1"/>
    <w:rsid w:val="00FA5381"/>
    <w:rsid w:val="00FB227F"/>
    <w:rsid w:val="00FB2CBD"/>
    <w:rsid w:val="00FC09CA"/>
    <w:rsid w:val="00FC0A46"/>
    <w:rsid w:val="00FC1469"/>
    <w:rsid w:val="00FC4475"/>
    <w:rsid w:val="00FD17FD"/>
    <w:rsid w:val="00FD48D6"/>
    <w:rsid w:val="00FD4D48"/>
    <w:rsid w:val="00FD5BD6"/>
    <w:rsid w:val="00FE0E48"/>
    <w:rsid w:val="00FE349A"/>
    <w:rsid w:val="00FE4ACC"/>
    <w:rsid w:val="00FE66DA"/>
    <w:rsid w:val="00FE6D78"/>
    <w:rsid w:val="00FE79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0852A7"/>
  <w15:chartTrackingRefBased/>
  <w15:docId w15:val="{2A20045B-A2E3-4018-B214-83CCCDF55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36D38"/>
  </w:style>
  <w:style w:type="paragraph" w:styleId="Titolo2">
    <w:name w:val="heading 2"/>
    <w:basedOn w:val="Normale"/>
    <w:next w:val="Normale"/>
    <w:link w:val="Titolo2Carattere"/>
    <w:uiPriority w:val="9"/>
    <w:unhideWhenUsed/>
    <w:qFormat/>
    <w:rsid w:val="00DF59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3E23C4"/>
    <w:pPr>
      <w:spacing w:after="200" w:line="240" w:lineRule="auto"/>
    </w:pPr>
    <w:rPr>
      <w:i/>
      <w:iCs/>
      <w:color w:val="44546A" w:themeColor="text2"/>
      <w:sz w:val="18"/>
      <w:szCs w:val="18"/>
    </w:rPr>
  </w:style>
  <w:style w:type="paragraph" w:styleId="Paragrafoelenco">
    <w:name w:val="List Paragraph"/>
    <w:basedOn w:val="Normale"/>
    <w:uiPriority w:val="34"/>
    <w:qFormat/>
    <w:rsid w:val="00B72F40"/>
    <w:pPr>
      <w:ind w:left="720"/>
      <w:contextualSpacing/>
    </w:pPr>
  </w:style>
  <w:style w:type="table" w:styleId="Grigliatabella">
    <w:name w:val="Table Grid"/>
    <w:basedOn w:val="Tabellanormale"/>
    <w:uiPriority w:val="39"/>
    <w:rsid w:val="00D03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DA551C"/>
    <w:rPr>
      <w:color w:val="0563C1" w:themeColor="hyperlink"/>
      <w:u w:val="single"/>
    </w:rPr>
  </w:style>
  <w:style w:type="character" w:customStyle="1" w:styleId="Menzionenonrisolta1">
    <w:name w:val="Menzione non risolta1"/>
    <w:basedOn w:val="Carpredefinitoparagrafo"/>
    <w:uiPriority w:val="99"/>
    <w:semiHidden/>
    <w:unhideWhenUsed/>
    <w:rsid w:val="00DA551C"/>
    <w:rPr>
      <w:color w:val="605E5C"/>
      <w:shd w:val="clear" w:color="auto" w:fill="E1DFDD"/>
    </w:rPr>
  </w:style>
  <w:style w:type="character" w:customStyle="1" w:styleId="Titolo2Carattere">
    <w:name w:val="Titolo 2 Carattere"/>
    <w:basedOn w:val="Carpredefinitoparagrafo"/>
    <w:link w:val="Titolo2"/>
    <w:uiPriority w:val="9"/>
    <w:rsid w:val="00DF5936"/>
    <w:rPr>
      <w:rFonts w:asciiTheme="majorHAnsi" w:eastAsiaTheme="majorEastAsia" w:hAnsiTheme="majorHAnsi" w:cstheme="majorBidi"/>
      <w:color w:val="2E74B5" w:themeColor="accent1" w:themeShade="BF"/>
      <w:sz w:val="26"/>
      <w:szCs w:val="26"/>
    </w:rPr>
  </w:style>
  <w:style w:type="paragraph" w:styleId="Corpotesto">
    <w:name w:val="Body Text"/>
    <w:basedOn w:val="Normale"/>
    <w:link w:val="CorpotestoCarattere"/>
    <w:uiPriority w:val="99"/>
    <w:unhideWhenUsed/>
    <w:rsid w:val="00DF5936"/>
    <w:pPr>
      <w:spacing w:after="120"/>
    </w:pPr>
  </w:style>
  <w:style w:type="character" w:customStyle="1" w:styleId="CorpotestoCarattere">
    <w:name w:val="Corpo testo Carattere"/>
    <w:basedOn w:val="Carpredefinitoparagrafo"/>
    <w:link w:val="Corpotesto"/>
    <w:uiPriority w:val="99"/>
    <w:rsid w:val="00DF5936"/>
  </w:style>
  <w:style w:type="paragraph" w:styleId="Primorientrocorpodeltesto">
    <w:name w:val="Body Text First Indent"/>
    <w:basedOn w:val="Corpotesto"/>
    <w:link w:val="PrimorientrocorpodeltestoCarattere"/>
    <w:uiPriority w:val="99"/>
    <w:unhideWhenUsed/>
    <w:rsid w:val="00DF5936"/>
    <w:pPr>
      <w:spacing w:after="160"/>
      <w:ind w:firstLine="360"/>
    </w:pPr>
  </w:style>
  <w:style w:type="character" w:customStyle="1" w:styleId="PrimorientrocorpodeltestoCarattere">
    <w:name w:val="Primo rientro corpo del testo Carattere"/>
    <w:basedOn w:val="CorpotestoCarattere"/>
    <w:link w:val="Primorientrocorpodeltesto"/>
    <w:uiPriority w:val="99"/>
    <w:rsid w:val="00DF5936"/>
  </w:style>
  <w:style w:type="character" w:customStyle="1" w:styleId="Menzionenonrisolta2">
    <w:name w:val="Menzione non risolta2"/>
    <w:basedOn w:val="Carpredefinitoparagrafo"/>
    <w:uiPriority w:val="99"/>
    <w:semiHidden/>
    <w:unhideWhenUsed/>
    <w:rsid w:val="00861A03"/>
    <w:rPr>
      <w:color w:val="605E5C"/>
      <w:shd w:val="clear" w:color="auto" w:fill="E1DFDD"/>
    </w:rPr>
  </w:style>
  <w:style w:type="paragraph" w:customStyle="1" w:styleId="RSCI03FigureSchemeChartUncaptioned">
    <w:name w:val="RSC I03 Figure/Scheme/Chart Uncaptioned"/>
    <w:basedOn w:val="Normale"/>
    <w:link w:val="RSCI03FigureSchemeChartUncaptionedChar"/>
    <w:qFormat/>
    <w:rsid w:val="000017B1"/>
    <w:pPr>
      <w:spacing w:before="160" w:line="240" w:lineRule="auto"/>
      <w:jc w:val="center"/>
    </w:pPr>
    <w:rPr>
      <w:rFonts w:ascii="Calibri" w:eastAsia="Calibri" w:hAnsi="Calibri" w:cs="Times New Roman"/>
      <w:sz w:val="16"/>
      <w:szCs w:val="16"/>
      <w:lang w:val="en-GB"/>
    </w:rPr>
  </w:style>
  <w:style w:type="character" w:customStyle="1" w:styleId="RSCI03FigureSchemeChartUncaptionedChar">
    <w:name w:val="RSC I03 Figure/Scheme/Chart Uncaptioned Char"/>
    <w:link w:val="RSCI03FigureSchemeChartUncaptioned"/>
    <w:rsid w:val="000017B1"/>
    <w:rPr>
      <w:rFonts w:ascii="Calibri" w:eastAsia="Calibri" w:hAnsi="Calibri" w:cs="Times New Roman"/>
      <w:sz w:val="16"/>
      <w:szCs w:val="16"/>
      <w:lang w:val="en-GB"/>
    </w:rPr>
  </w:style>
  <w:style w:type="paragraph" w:customStyle="1" w:styleId="RSCI04CaptiontoFigureSchemeChart">
    <w:name w:val="RSC I04 Caption to Figure/Scheme/Chart"/>
    <w:link w:val="RSCI04CaptiontoFigureSchemeChartChar"/>
    <w:qFormat/>
    <w:rsid w:val="000017B1"/>
    <w:pPr>
      <w:spacing w:after="200" w:line="200" w:lineRule="exact"/>
      <w:jc w:val="both"/>
    </w:pPr>
    <w:rPr>
      <w:rFonts w:ascii="Calibri" w:eastAsia="Calibri" w:hAnsi="Calibri" w:cs="Times New Roman"/>
      <w:bCs/>
      <w:sz w:val="14"/>
      <w:szCs w:val="18"/>
      <w:lang w:val="en-GB"/>
    </w:rPr>
  </w:style>
  <w:style w:type="character" w:customStyle="1" w:styleId="RSCI04CaptiontoFigureSchemeChartChar">
    <w:name w:val="RSC I04 Caption to Figure/Scheme/Chart Char"/>
    <w:link w:val="RSCI04CaptiontoFigureSchemeChart"/>
    <w:rsid w:val="000017B1"/>
    <w:rPr>
      <w:rFonts w:ascii="Calibri" w:eastAsia="Calibri" w:hAnsi="Calibri" w:cs="Times New Roman"/>
      <w:bCs/>
      <w:sz w:val="14"/>
      <w:szCs w:val="18"/>
      <w:lang w:val="en-GB"/>
    </w:rPr>
  </w:style>
  <w:style w:type="paragraph" w:customStyle="1" w:styleId="RSCB02ArticleText">
    <w:name w:val="RSC B02 Article Text"/>
    <w:basedOn w:val="Normale"/>
    <w:link w:val="RSCB02ArticleTextChar"/>
    <w:qFormat/>
    <w:rsid w:val="00F97529"/>
    <w:pPr>
      <w:tabs>
        <w:tab w:val="left" w:pos="284"/>
      </w:tabs>
      <w:spacing w:after="0" w:line="240" w:lineRule="exact"/>
      <w:jc w:val="both"/>
    </w:pPr>
    <w:rPr>
      <w:rFonts w:ascii="Calibri" w:eastAsia="Calibri" w:hAnsi="Calibri" w:cs="Times New Roman"/>
      <w:w w:val="108"/>
      <w:sz w:val="18"/>
      <w:szCs w:val="18"/>
      <w:lang w:val="en-GB"/>
    </w:rPr>
  </w:style>
  <w:style w:type="character" w:customStyle="1" w:styleId="RSCB02ArticleTextChar">
    <w:name w:val="RSC B02 Article Text Char"/>
    <w:link w:val="RSCB02ArticleText"/>
    <w:rsid w:val="00F97529"/>
    <w:rPr>
      <w:rFonts w:ascii="Calibri" w:eastAsia="Calibri" w:hAnsi="Calibri" w:cs="Times New Roman"/>
      <w:w w:val="108"/>
      <w:sz w:val="18"/>
      <w:szCs w:val="18"/>
      <w:lang w:val="en-GB"/>
    </w:rPr>
  </w:style>
  <w:style w:type="character" w:customStyle="1" w:styleId="06CHeading">
    <w:name w:val="06 C Heading"/>
    <w:uiPriority w:val="1"/>
    <w:rsid w:val="00B46701"/>
    <w:rPr>
      <w:rFonts w:ascii="Times New Roman" w:hAnsi="Times New Roman" w:cs="Times New Roman"/>
      <w:b/>
      <w:smallCaps/>
      <w:w w:val="108"/>
      <w:sz w:val="18"/>
      <w:szCs w:val="18"/>
    </w:rPr>
  </w:style>
  <w:style w:type="paragraph" w:customStyle="1" w:styleId="RSCT03TableBody">
    <w:name w:val="RSC T03 Table Body"/>
    <w:basedOn w:val="Normale"/>
    <w:link w:val="RSCT03TableBodyChar"/>
    <w:qFormat/>
    <w:rsid w:val="002B52FA"/>
    <w:pPr>
      <w:keepNext/>
      <w:keepLines/>
      <w:spacing w:after="0" w:line="220" w:lineRule="exact"/>
      <w:jc w:val="center"/>
    </w:pPr>
    <w:rPr>
      <w:rFonts w:ascii="Calibri" w:eastAsia="Times New Roman" w:hAnsi="Calibri" w:cs="Times New Roman"/>
      <w:sz w:val="16"/>
      <w:szCs w:val="16"/>
      <w:lang w:val="en-GB" w:eastAsia="en-GB"/>
    </w:rPr>
  </w:style>
  <w:style w:type="character" w:customStyle="1" w:styleId="RSCT03TableBodyChar">
    <w:name w:val="RSC T03 Table Body Char"/>
    <w:link w:val="RSCT03TableBody"/>
    <w:rsid w:val="002B52FA"/>
    <w:rPr>
      <w:rFonts w:ascii="Calibri" w:eastAsia="Times New Roman" w:hAnsi="Calibri" w:cs="Times New Roman"/>
      <w:sz w:val="16"/>
      <w:szCs w:val="16"/>
      <w:lang w:val="en-GB" w:eastAsia="en-GB"/>
    </w:rPr>
  </w:style>
  <w:style w:type="paragraph" w:customStyle="1" w:styleId="RSCT05TableFootnotewithoutbottombar">
    <w:name w:val="RSC T05 Table Footnote without bottom bar"/>
    <w:basedOn w:val="Normale"/>
    <w:link w:val="RSCT05TableFootnotewithoutbottombarChar"/>
    <w:qFormat/>
    <w:rsid w:val="002B52FA"/>
    <w:pPr>
      <w:keepLines/>
      <w:spacing w:before="120" w:line="200" w:lineRule="exact"/>
      <w:jc w:val="both"/>
    </w:pPr>
    <w:rPr>
      <w:rFonts w:ascii="Calibri" w:eastAsia="Times New Roman" w:hAnsi="Calibri" w:cs="Times New Roman"/>
      <w:sz w:val="15"/>
      <w:szCs w:val="20"/>
      <w:lang w:val="en-GB" w:eastAsia="en-GB"/>
    </w:rPr>
  </w:style>
  <w:style w:type="character" w:customStyle="1" w:styleId="RSCT05TableFootnotewithoutbottombarChar">
    <w:name w:val="RSC T05 Table Footnote without bottom bar Char"/>
    <w:link w:val="RSCT05TableFootnotewithoutbottombar"/>
    <w:rsid w:val="002B52FA"/>
    <w:rPr>
      <w:rFonts w:ascii="Calibri" w:eastAsia="Times New Roman" w:hAnsi="Calibri" w:cs="Times New Roman"/>
      <w:sz w:val="15"/>
      <w:szCs w:val="20"/>
      <w:lang w:val="en-GB" w:eastAsia="en-GB"/>
    </w:rPr>
  </w:style>
  <w:style w:type="character" w:styleId="Rimandocommento">
    <w:name w:val="annotation reference"/>
    <w:basedOn w:val="Carpredefinitoparagrafo"/>
    <w:uiPriority w:val="99"/>
    <w:semiHidden/>
    <w:unhideWhenUsed/>
    <w:rsid w:val="006A36D7"/>
    <w:rPr>
      <w:sz w:val="16"/>
      <w:szCs w:val="16"/>
    </w:rPr>
  </w:style>
  <w:style w:type="paragraph" w:styleId="Testocommento">
    <w:name w:val="annotation text"/>
    <w:basedOn w:val="Normale"/>
    <w:link w:val="TestocommentoCarattere"/>
    <w:uiPriority w:val="99"/>
    <w:unhideWhenUsed/>
    <w:rsid w:val="006A36D7"/>
    <w:pPr>
      <w:spacing w:line="240" w:lineRule="auto"/>
    </w:pPr>
    <w:rPr>
      <w:sz w:val="20"/>
      <w:szCs w:val="20"/>
    </w:rPr>
  </w:style>
  <w:style w:type="character" w:customStyle="1" w:styleId="TestocommentoCarattere">
    <w:name w:val="Testo commento Carattere"/>
    <w:basedOn w:val="Carpredefinitoparagrafo"/>
    <w:link w:val="Testocommento"/>
    <w:uiPriority w:val="99"/>
    <w:rsid w:val="006A36D7"/>
    <w:rPr>
      <w:sz w:val="20"/>
      <w:szCs w:val="20"/>
    </w:rPr>
  </w:style>
  <w:style w:type="paragraph" w:styleId="Soggettocommento">
    <w:name w:val="annotation subject"/>
    <w:basedOn w:val="Testocommento"/>
    <w:next w:val="Testocommento"/>
    <w:link w:val="SoggettocommentoCarattere"/>
    <w:uiPriority w:val="99"/>
    <w:semiHidden/>
    <w:unhideWhenUsed/>
    <w:rsid w:val="006A36D7"/>
    <w:rPr>
      <w:b/>
      <w:bCs/>
    </w:rPr>
  </w:style>
  <w:style w:type="character" w:customStyle="1" w:styleId="SoggettocommentoCarattere">
    <w:name w:val="Soggetto commento Carattere"/>
    <w:basedOn w:val="TestocommentoCarattere"/>
    <w:link w:val="Soggettocommento"/>
    <w:uiPriority w:val="99"/>
    <w:semiHidden/>
    <w:rsid w:val="006A36D7"/>
    <w:rPr>
      <w:b/>
      <w:bCs/>
      <w:sz w:val="20"/>
      <w:szCs w:val="20"/>
    </w:rPr>
  </w:style>
  <w:style w:type="paragraph" w:styleId="Testofumetto">
    <w:name w:val="Balloon Text"/>
    <w:basedOn w:val="Normale"/>
    <w:link w:val="TestofumettoCarattere"/>
    <w:uiPriority w:val="99"/>
    <w:semiHidden/>
    <w:unhideWhenUsed/>
    <w:rsid w:val="006A36D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A36D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tiff"/><Relationship Id="rId18" Type="http://schemas.openxmlformats.org/officeDocument/2006/relationships/image" Target="media/image1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14F03-1472-4C9F-8F45-09056D27C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24</Pages>
  <Words>31508</Words>
  <Characters>179602</Characters>
  <Application>Microsoft Office Word</Application>
  <DocSecurity>0</DocSecurity>
  <Lines>1496</Lines>
  <Paragraphs>421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Ciancaleoni</dc:creator>
  <cp:keywords/>
  <dc:description/>
  <cp:lastModifiedBy>Gianluca Ciancaleoni</cp:lastModifiedBy>
  <cp:revision>483</cp:revision>
  <dcterms:created xsi:type="dcterms:W3CDTF">2020-10-21T09:57:00Z</dcterms:created>
  <dcterms:modified xsi:type="dcterms:W3CDTF">2020-12-11T15:31:00Z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http://www.zotero.org/styles/dalton-transactions</vt:lpwstr>
  </property>
  <property fmtid="{D5CDD505-2E9C-101B-9397-08002B2CF9AE}" pid="11" name="Mendeley Recent Style Name 4_1">
    <vt:lpwstr>Dalton Transactions</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http://www.zotero.org/styles/inorganic-chemistry</vt:lpwstr>
  </property>
  <property fmtid="{D5CDD505-2E9C-101B-9397-08002B2CF9AE}" pid="15" name="Mendeley Recent Style Name 6_1">
    <vt:lpwstr>Inorganic Chemistry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http://www.zotero.org/styles/pharmaceuticals</vt:lpwstr>
  </property>
  <property fmtid="{D5CDD505-2E9C-101B-9397-08002B2CF9AE}" pid="21" name="Mendeley Recent Style Name 9_1">
    <vt:lpwstr>Pharmaceuticals</vt:lpwstr>
  </property>
  <property fmtid="{D5CDD505-2E9C-101B-9397-08002B2CF9AE}" pid="22" name="Mendeley Document_1">
    <vt:lpwstr>True</vt:lpwstr>
  </property>
  <property fmtid="{D5CDD505-2E9C-101B-9397-08002B2CF9AE}" pid="23" name="Mendeley Unique User Id_1">
    <vt:lpwstr>eb47c05e-0d69-3803-b88b-fe6ef7ecf3bd</vt:lpwstr>
  </property>
  <property fmtid="{D5CDD505-2E9C-101B-9397-08002B2CF9AE}" pid="24" name="Mendeley Citation Style_1">
    <vt:lpwstr>http://www.zotero.org/styles/inorganic-chemistry</vt:lpwstr>
  </property>
</Properties>
</file>